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71.xml" ContentType="application/vnd.openxmlformats-officedocument.wordprocessingml.footer+xml"/>
  <Override PartName="/word/footer115.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سؤال و جواب درباره حکم عقد با خواهر زوجه مطلقه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387361_372815092">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387363_372815092">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3387365_372815092">
            <w:r>
              <w:rPr>
                <w:webHidden/>
                <w:rStyle w:val="IndexLink"/>
                <w:rtl w:val="true"/>
              </w:rPr>
              <w:t>مقدّمه</w:t>
            </w:r>
            <w:r>
              <w:rPr>
                <w:rStyle w:val="IndexLink"/>
                <w:rtl w:val="true"/>
              </w:rPr>
              <w:tab/>
            </w:r>
            <w:r>
              <w:rPr>
                <w:rStyle w:val="IndexLink"/>
              </w:rPr>
              <w:t>9</w:t>
            </w:r>
          </w:hyperlink>
        </w:p>
        <w:p>
          <w:pPr>
            <w:pStyle w:val="Contents2"/>
            <w:tabs>
              <w:tab w:val="clear" w:pos="8743"/>
              <w:tab w:val="right" w:pos="9026" w:leader="dot"/>
            </w:tabs>
            <w:rPr/>
          </w:pPr>
          <w:hyperlink w:anchor="__RefHeading___Toc3387367_372815092">
            <w:r>
              <w:rPr>
                <w:webHidden/>
                <w:rStyle w:val="IndexLink"/>
                <w:rtl w:val="true"/>
              </w:rPr>
              <w:t>توضيحى پيرامون رساله حاضر</w:t>
            </w:r>
            <w:r>
              <w:rPr>
                <w:rStyle w:val="IndexLink"/>
                <w:rtl w:val="true"/>
              </w:rPr>
              <w:tab/>
            </w:r>
            <w:r>
              <w:rPr>
                <w:rStyle w:val="IndexLink"/>
              </w:rPr>
              <w:t>11</w:t>
            </w:r>
          </w:hyperlink>
        </w:p>
        <w:p>
          <w:pPr>
            <w:pStyle w:val="Contents2"/>
            <w:tabs>
              <w:tab w:val="clear" w:pos="8743"/>
              <w:tab w:val="right" w:pos="9026" w:leader="dot"/>
            </w:tabs>
            <w:rPr/>
          </w:pPr>
          <w:hyperlink w:anchor="__RefHeading___Toc3387369_372815092">
            <w:r>
              <w:rPr>
                <w:webHidden/>
                <w:rStyle w:val="IndexLink"/>
                <w:rtl w:val="true"/>
              </w:rPr>
              <w:t>زندگى نامه مؤلّف</w:t>
            </w:r>
            <w:r>
              <w:rPr>
                <w:rStyle w:val="IndexLink"/>
                <w:rtl w:val="true"/>
              </w:rPr>
              <w:tab/>
            </w:r>
            <w:r>
              <w:rPr>
                <w:rStyle w:val="IndexLink"/>
              </w:rPr>
              <w:t>13</w:t>
            </w:r>
          </w:hyperlink>
        </w:p>
        <w:p>
          <w:pPr>
            <w:pStyle w:val="Contents3"/>
            <w:tabs>
              <w:tab w:val="clear" w:pos="8459"/>
              <w:tab w:val="right" w:pos="9026" w:leader="dot"/>
            </w:tabs>
            <w:rPr/>
          </w:pPr>
          <w:hyperlink w:anchor="__RefHeading___Toc3387371_372815092">
            <w:r>
              <w:rPr>
                <w:webHidden/>
                <w:rStyle w:val="IndexLink"/>
                <w:rtl w:val="true"/>
              </w:rPr>
              <w:t>نام</w:t>
            </w:r>
            <w:r>
              <w:rPr>
                <w:rStyle w:val="IndexLink"/>
                <w:rtl w:val="true"/>
              </w:rPr>
              <w:tab/>
            </w:r>
            <w:r>
              <w:rPr>
                <w:rStyle w:val="IndexLink"/>
              </w:rPr>
              <w:t>13</w:t>
            </w:r>
          </w:hyperlink>
        </w:p>
        <w:p>
          <w:pPr>
            <w:pStyle w:val="Contents3"/>
            <w:tabs>
              <w:tab w:val="clear" w:pos="8459"/>
              <w:tab w:val="right" w:pos="9026" w:leader="dot"/>
            </w:tabs>
            <w:rPr/>
          </w:pPr>
          <w:hyperlink w:anchor="__RefHeading___Toc3387373_372815092">
            <w:r>
              <w:rPr>
                <w:webHidden/>
                <w:rStyle w:val="IndexLink"/>
                <w:rtl w:val="true"/>
              </w:rPr>
              <w:t>شهرت</w:t>
            </w:r>
            <w:r>
              <w:rPr>
                <w:rStyle w:val="IndexLink"/>
                <w:rtl w:val="true"/>
              </w:rPr>
              <w:tab/>
            </w:r>
            <w:r>
              <w:rPr>
                <w:rStyle w:val="IndexLink"/>
              </w:rPr>
              <w:t>13</w:t>
            </w:r>
          </w:hyperlink>
        </w:p>
        <w:p>
          <w:pPr>
            <w:pStyle w:val="Contents3"/>
            <w:tabs>
              <w:tab w:val="clear" w:pos="8459"/>
              <w:tab w:val="right" w:pos="9026" w:leader="dot"/>
            </w:tabs>
            <w:rPr/>
          </w:pPr>
          <w:hyperlink w:anchor="__RefHeading___Toc3387375_372815092">
            <w:r>
              <w:rPr>
                <w:webHidden/>
                <w:rStyle w:val="IndexLink"/>
                <w:rtl w:val="true"/>
              </w:rPr>
              <w:t>از نگاه ديگران</w:t>
            </w:r>
            <w:r>
              <w:rPr>
                <w:rStyle w:val="IndexLink"/>
                <w:rtl w:val="true"/>
              </w:rPr>
              <w:tab/>
            </w:r>
            <w:r>
              <w:rPr>
                <w:rStyle w:val="IndexLink"/>
              </w:rPr>
              <w:t>14</w:t>
            </w:r>
          </w:hyperlink>
        </w:p>
        <w:p>
          <w:pPr>
            <w:pStyle w:val="Contents3"/>
            <w:tabs>
              <w:tab w:val="clear" w:pos="8459"/>
              <w:tab w:val="right" w:pos="9026" w:leader="dot"/>
            </w:tabs>
            <w:rPr/>
          </w:pPr>
          <w:hyperlink w:anchor="__RefHeading___Toc3387377_372815092">
            <w:r>
              <w:rPr>
                <w:webHidden/>
                <w:rStyle w:val="IndexLink"/>
                <w:rtl w:val="true"/>
              </w:rPr>
              <w:t>نسب</w:t>
            </w:r>
            <w:r>
              <w:rPr>
                <w:rStyle w:val="IndexLink"/>
                <w:rtl w:val="true"/>
              </w:rPr>
              <w:tab/>
            </w:r>
            <w:r>
              <w:rPr>
                <w:rStyle w:val="IndexLink"/>
              </w:rPr>
              <w:t>17</w:t>
            </w:r>
          </w:hyperlink>
        </w:p>
        <w:p>
          <w:pPr>
            <w:pStyle w:val="Contents3"/>
            <w:tabs>
              <w:tab w:val="clear" w:pos="8459"/>
              <w:tab w:val="right" w:pos="9026" w:leader="dot"/>
            </w:tabs>
            <w:rPr/>
          </w:pPr>
          <w:hyperlink w:anchor="__RefHeading___Toc3387379_372815092">
            <w:r>
              <w:rPr>
                <w:webHidden/>
                <w:rStyle w:val="IndexLink"/>
                <w:rtl w:val="true"/>
              </w:rPr>
              <w:t>نياكان</w:t>
            </w:r>
            <w:r>
              <w:rPr>
                <w:rStyle w:val="IndexLink"/>
                <w:rtl w:val="true"/>
              </w:rPr>
              <w:tab/>
            </w:r>
            <w:r>
              <w:rPr>
                <w:rStyle w:val="IndexLink"/>
              </w:rPr>
              <w:t>18</w:t>
            </w:r>
          </w:hyperlink>
        </w:p>
        <w:p>
          <w:pPr>
            <w:pStyle w:val="Contents3"/>
            <w:tabs>
              <w:tab w:val="clear" w:pos="8459"/>
              <w:tab w:val="right" w:pos="9026" w:leader="dot"/>
            </w:tabs>
            <w:rPr/>
          </w:pPr>
          <w:hyperlink w:anchor="__RefHeading___Toc3387381_372815092">
            <w:r>
              <w:rPr>
                <w:webHidden/>
                <w:rStyle w:val="IndexLink"/>
                <w:rtl w:val="true"/>
              </w:rPr>
              <w:t>تولّد</w:t>
            </w:r>
            <w:r>
              <w:rPr>
                <w:rStyle w:val="IndexLink"/>
                <w:rtl w:val="true"/>
              </w:rPr>
              <w:tab/>
            </w:r>
            <w:r>
              <w:rPr>
                <w:rStyle w:val="IndexLink"/>
              </w:rPr>
              <w:t>19</w:t>
            </w:r>
          </w:hyperlink>
        </w:p>
        <w:p>
          <w:pPr>
            <w:pStyle w:val="Contents3"/>
            <w:tabs>
              <w:tab w:val="clear" w:pos="8459"/>
              <w:tab w:val="right" w:pos="9026" w:leader="dot"/>
            </w:tabs>
            <w:rPr/>
          </w:pPr>
          <w:hyperlink w:anchor="__RefHeading___Toc3387383_372815092">
            <w:r>
              <w:rPr>
                <w:webHidden/>
                <w:rStyle w:val="IndexLink"/>
                <w:rtl w:val="true"/>
              </w:rPr>
              <w:t>زادگاه</w:t>
            </w:r>
            <w:r>
              <w:rPr>
                <w:rStyle w:val="IndexLink"/>
                <w:rtl w:val="true"/>
              </w:rPr>
              <w:tab/>
            </w:r>
            <w:r>
              <w:rPr>
                <w:rStyle w:val="IndexLink"/>
              </w:rPr>
              <w:t>20</w:t>
            </w:r>
          </w:hyperlink>
        </w:p>
        <w:p>
          <w:pPr>
            <w:pStyle w:val="Contents3"/>
            <w:tabs>
              <w:tab w:val="clear" w:pos="8459"/>
              <w:tab w:val="right" w:pos="9026" w:leader="dot"/>
            </w:tabs>
            <w:rPr/>
          </w:pPr>
          <w:hyperlink w:anchor="__RefHeading___Toc3387385_372815092">
            <w:r>
              <w:rPr>
                <w:webHidden/>
                <w:rStyle w:val="IndexLink"/>
                <w:rtl w:val="true"/>
              </w:rPr>
              <w:t>دوران تحصيل</w:t>
            </w:r>
            <w:r>
              <w:rPr>
                <w:rStyle w:val="IndexLink"/>
                <w:rtl w:val="true"/>
              </w:rPr>
              <w:tab/>
            </w:r>
            <w:r>
              <w:rPr>
                <w:rStyle w:val="IndexLink"/>
              </w:rPr>
              <w:t>21</w:t>
            </w:r>
          </w:hyperlink>
        </w:p>
        <w:p>
          <w:pPr>
            <w:pStyle w:val="Contents3"/>
            <w:tabs>
              <w:tab w:val="clear" w:pos="8459"/>
              <w:tab w:val="right" w:pos="9026" w:leader="dot"/>
            </w:tabs>
            <w:rPr/>
          </w:pPr>
          <w:hyperlink w:anchor="__RefHeading___Toc3387387_372815092">
            <w:r>
              <w:rPr>
                <w:webHidden/>
                <w:rStyle w:val="IndexLink"/>
                <w:rtl w:val="true"/>
              </w:rPr>
              <w:t>استادان</w:t>
            </w:r>
            <w:r>
              <w:rPr>
                <w:rStyle w:val="IndexLink"/>
                <w:rtl w:val="true"/>
              </w:rPr>
              <w:tab/>
            </w:r>
            <w:r>
              <w:rPr>
                <w:rStyle w:val="IndexLink"/>
              </w:rPr>
              <w:t>23</w:t>
            </w:r>
          </w:hyperlink>
        </w:p>
        <w:p>
          <w:pPr>
            <w:pStyle w:val="Contents3"/>
            <w:tabs>
              <w:tab w:val="clear" w:pos="8459"/>
              <w:tab w:val="right" w:pos="9026" w:leader="dot"/>
            </w:tabs>
            <w:rPr/>
          </w:pPr>
          <w:hyperlink w:anchor="__RefHeading___Toc3387389_372815092">
            <w:r>
              <w:rPr>
                <w:webHidden/>
                <w:rStyle w:val="IndexLink"/>
                <w:rtl w:val="true"/>
              </w:rPr>
              <w:t>مشايخ اجازه</w:t>
            </w:r>
            <w:r>
              <w:rPr>
                <w:rStyle w:val="IndexLink"/>
                <w:rtl w:val="true"/>
              </w:rPr>
              <w:tab/>
            </w:r>
            <w:r>
              <w:rPr>
                <w:rStyle w:val="IndexLink"/>
              </w:rPr>
              <w:t>28</w:t>
            </w:r>
          </w:hyperlink>
        </w:p>
        <w:p>
          <w:pPr>
            <w:pStyle w:val="Contents3"/>
            <w:tabs>
              <w:tab w:val="clear" w:pos="8459"/>
              <w:tab w:val="right" w:pos="9026" w:leader="dot"/>
            </w:tabs>
            <w:rPr/>
          </w:pPr>
          <w:hyperlink w:anchor="__RefHeading___Toc3387391_372815092">
            <w:r>
              <w:rPr>
                <w:webHidden/>
                <w:rStyle w:val="IndexLink"/>
                <w:rtl w:val="true"/>
              </w:rPr>
              <w:t>ويژگى‌هاى اخلاقى</w:t>
            </w:r>
            <w:r>
              <w:rPr>
                <w:rStyle w:val="IndexLink"/>
                <w:rtl w:val="true"/>
              </w:rPr>
              <w:tab/>
            </w:r>
            <w:r>
              <w:rPr>
                <w:rStyle w:val="IndexLink"/>
              </w:rPr>
              <w:t>32</w:t>
            </w:r>
          </w:hyperlink>
        </w:p>
        <w:p>
          <w:pPr>
            <w:pStyle w:val="Contents3"/>
            <w:tabs>
              <w:tab w:val="clear" w:pos="8459"/>
              <w:tab w:val="right" w:pos="9026" w:leader="dot"/>
            </w:tabs>
            <w:rPr/>
          </w:pPr>
          <w:hyperlink w:anchor="__RefHeading___Toc3387393_372815092">
            <w:r>
              <w:rPr>
                <w:webHidden/>
                <w:rStyle w:val="IndexLink"/>
                <w:rtl w:val="true"/>
              </w:rPr>
              <w:t>سخاوت</w:t>
            </w:r>
            <w:r>
              <w:rPr>
                <w:rStyle w:val="IndexLink"/>
                <w:rtl w:val="true"/>
              </w:rPr>
              <w:tab/>
            </w:r>
            <w:r>
              <w:rPr>
                <w:rStyle w:val="IndexLink"/>
              </w:rPr>
              <w:t>33</w:t>
            </w:r>
          </w:hyperlink>
        </w:p>
        <w:p>
          <w:pPr>
            <w:pStyle w:val="Contents3"/>
            <w:tabs>
              <w:tab w:val="clear" w:pos="8459"/>
              <w:tab w:val="right" w:pos="9026" w:leader="dot"/>
            </w:tabs>
            <w:rPr/>
          </w:pPr>
          <w:hyperlink w:anchor="__RefHeading___Toc3387395_372815092">
            <w:r>
              <w:rPr>
                <w:webHidden/>
                <w:rStyle w:val="IndexLink"/>
                <w:rtl w:val="true"/>
              </w:rPr>
              <w:t>عبادت</w:t>
            </w:r>
            <w:r>
              <w:rPr>
                <w:rStyle w:val="IndexLink"/>
                <w:rtl w:val="true"/>
              </w:rPr>
              <w:tab/>
            </w:r>
            <w:r>
              <w:rPr>
                <w:rStyle w:val="IndexLink"/>
              </w:rPr>
              <w:t>34</w:t>
            </w:r>
          </w:hyperlink>
        </w:p>
        <w:p>
          <w:pPr>
            <w:pStyle w:val="Contents3"/>
            <w:tabs>
              <w:tab w:val="clear" w:pos="8459"/>
              <w:tab w:val="right" w:pos="9026" w:leader="dot"/>
            </w:tabs>
            <w:rPr/>
          </w:pPr>
          <w:hyperlink w:anchor="__RefHeading___Toc3387397_372815092">
            <w:r>
              <w:rPr>
                <w:webHidden/>
                <w:rStyle w:val="IndexLink"/>
                <w:rtl w:val="true"/>
              </w:rPr>
              <w:t>شاگردان</w:t>
            </w:r>
            <w:r>
              <w:rPr>
                <w:rStyle w:val="IndexLink"/>
                <w:rtl w:val="true"/>
              </w:rPr>
              <w:tab/>
            </w:r>
            <w:r>
              <w:rPr>
                <w:rStyle w:val="IndexLink"/>
              </w:rPr>
              <w:t>35</w:t>
            </w:r>
          </w:hyperlink>
        </w:p>
        <w:p>
          <w:pPr>
            <w:pStyle w:val="Contents3"/>
            <w:tabs>
              <w:tab w:val="clear" w:pos="8459"/>
              <w:tab w:val="right" w:pos="9026" w:leader="dot"/>
            </w:tabs>
            <w:rPr/>
          </w:pPr>
          <w:hyperlink w:anchor="__RefHeading___Toc3387399_372815092">
            <w:r>
              <w:rPr>
                <w:webHidden/>
                <w:rStyle w:val="IndexLink"/>
                <w:rtl w:val="true"/>
              </w:rPr>
              <w:t>داورى</w:t>
            </w:r>
            <w:r>
              <w:rPr>
                <w:rStyle w:val="IndexLink"/>
                <w:rtl w:val="true"/>
              </w:rPr>
              <w:tab/>
            </w:r>
            <w:r>
              <w:rPr>
                <w:rStyle w:val="IndexLink"/>
              </w:rPr>
              <w:t>35</w:t>
            </w:r>
          </w:hyperlink>
        </w:p>
        <w:p>
          <w:pPr>
            <w:pStyle w:val="Contents3"/>
            <w:tabs>
              <w:tab w:val="clear" w:pos="8459"/>
              <w:tab w:val="right" w:pos="9026" w:leader="dot"/>
            </w:tabs>
            <w:rPr/>
          </w:pPr>
          <w:hyperlink w:anchor="__RefHeading___Toc3387401_372815092">
            <w:r>
              <w:rPr>
                <w:webHidden/>
                <w:rStyle w:val="IndexLink"/>
                <w:rtl w:val="true"/>
              </w:rPr>
              <w:t>اجراى حدود الهى</w:t>
            </w:r>
            <w:r>
              <w:rPr>
                <w:rStyle w:val="IndexLink"/>
                <w:rtl w:val="true"/>
              </w:rPr>
              <w:tab/>
            </w:r>
            <w:r>
              <w:rPr>
                <w:rStyle w:val="IndexLink"/>
              </w:rPr>
              <w:t>36</w:t>
            </w:r>
          </w:hyperlink>
        </w:p>
        <w:p>
          <w:pPr>
            <w:pStyle w:val="Contents3"/>
            <w:tabs>
              <w:tab w:val="clear" w:pos="8459"/>
              <w:tab w:val="right" w:pos="9026" w:leader="dot"/>
            </w:tabs>
            <w:rPr/>
          </w:pPr>
          <w:hyperlink w:anchor="__RefHeading___Toc3387403_372815092">
            <w:r>
              <w:rPr>
                <w:webHidden/>
                <w:rStyle w:val="IndexLink"/>
                <w:rtl w:val="true"/>
              </w:rPr>
              <w:t>سفر به مكّه</w:t>
            </w:r>
            <w:r>
              <w:rPr>
                <w:rStyle w:val="IndexLink"/>
                <w:rtl w:val="true"/>
              </w:rPr>
              <w:tab/>
            </w:r>
            <w:r>
              <w:rPr>
                <w:rStyle w:val="IndexLink"/>
              </w:rPr>
              <w:t>38</w:t>
            </w:r>
          </w:hyperlink>
        </w:p>
        <w:p>
          <w:pPr>
            <w:pStyle w:val="Contents3"/>
            <w:tabs>
              <w:tab w:val="clear" w:pos="8459"/>
              <w:tab w:val="right" w:pos="9026" w:leader="dot"/>
            </w:tabs>
            <w:rPr/>
          </w:pPr>
          <w:hyperlink w:anchor="__RefHeading___Toc3387405_372815092">
            <w:r>
              <w:rPr>
                <w:webHidden/>
                <w:rStyle w:val="IndexLink"/>
                <w:rtl w:val="true"/>
              </w:rPr>
              <w:t>آثار علمى</w:t>
            </w:r>
            <w:r>
              <w:rPr>
                <w:rStyle w:val="IndexLink"/>
                <w:rtl w:val="true"/>
              </w:rPr>
              <w:tab/>
            </w:r>
            <w:r>
              <w:rPr>
                <w:rStyle w:val="IndexLink"/>
              </w:rPr>
              <w:t>39</w:t>
            </w:r>
          </w:hyperlink>
        </w:p>
        <w:p>
          <w:pPr>
            <w:pStyle w:val="Contents3"/>
            <w:tabs>
              <w:tab w:val="clear" w:pos="8459"/>
              <w:tab w:val="right" w:pos="9026" w:leader="dot"/>
            </w:tabs>
            <w:rPr/>
          </w:pPr>
          <w:hyperlink w:anchor="__RefHeading___Toc3387407_372815092">
            <w:r>
              <w:rPr>
                <w:webHidden/>
                <w:rStyle w:val="IndexLink"/>
                <w:rtl w:val="true"/>
              </w:rPr>
              <w:t>فقه</w:t>
            </w:r>
            <w:r>
              <w:rPr>
                <w:rStyle w:val="IndexLink"/>
                <w:rtl w:val="true"/>
              </w:rPr>
              <w:tab/>
            </w:r>
            <w:r>
              <w:rPr>
                <w:rStyle w:val="IndexLink"/>
              </w:rPr>
              <w:t>39</w:t>
            </w:r>
          </w:hyperlink>
        </w:p>
        <w:p>
          <w:pPr>
            <w:pStyle w:val="Contents3"/>
            <w:tabs>
              <w:tab w:val="clear" w:pos="8459"/>
              <w:tab w:val="right" w:pos="9026" w:leader="dot"/>
            </w:tabs>
            <w:rPr/>
          </w:pPr>
          <w:hyperlink w:anchor="__RefHeading___Toc3387409_372815092">
            <w:r>
              <w:rPr>
                <w:webHidden/>
                <w:rStyle w:val="IndexLink"/>
                <w:rtl w:val="true"/>
              </w:rPr>
              <w:t>أصول فقه</w:t>
            </w:r>
            <w:r>
              <w:rPr>
                <w:rStyle w:val="IndexLink"/>
                <w:rtl w:val="true"/>
              </w:rPr>
              <w:tab/>
            </w:r>
            <w:r>
              <w:rPr>
                <w:rStyle w:val="IndexLink"/>
              </w:rPr>
              <w:t>41</w:t>
            </w:r>
          </w:hyperlink>
        </w:p>
        <w:p>
          <w:pPr>
            <w:pStyle w:val="Contents3"/>
            <w:tabs>
              <w:tab w:val="clear" w:pos="8459"/>
              <w:tab w:val="right" w:pos="9026" w:leader="dot"/>
            </w:tabs>
            <w:rPr/>
          </w:pPr>
          <w:hyperlink w:anchor="__RefHeading___Toc3387411_372815092">
            <w:r>
              <w:rPr>
                <w:webHidden/>
                <w:rStyle w:val="IndexLink"/>
                <w:rtl w:val="true"/>
              </w:rPr>
              <w:t>حديث</w:t>
            </w:r>
            <w:r>
              <w:rPr>
                <w:rStyle w:val="IndexLink"/>
                <w:rtl w:val="true"/>
              </w:rPr>
              <w:tab/>
            </w:r>
            <w:r>
              <w:rPr>
                <w:rStyle w:val="IndexLink"/>
              </w:rPr>
              <w:t>41</w:t>
            </w:r>
          </w:hyperlink>
        </w:p>
        <w:p>
          <w:pPr>
            <w:pStyle w:val="Contents3"/>
            <w:tabs>
              <w:tab w:val="clear" w:pos="8459"/>
              <w:tab w:val="right" w:pos="9026" w:leader="dot"/>
            </w:tabs>
            <w:rPr/>
          </w:pPr>
          <w:hyperlink w:anchor="__RefHeading___Toc3387413_372815092">
            <w:r>
              <w:rPr>
                <w:webHidden/>
                <w:rStyle w:val="IndexLink"/>
                <w:rtl w:val="true"/>
              </w:rPr>
              <w:t>رجال</w:t>
            </w:r>
            <w:r>
              <w:rPr>
                <w:rStyle w:val="IndexLink"/>
                <w:rtl w:val="true"/>
              </w:rPr>
              <w:tab/>
            </w:r>
            <w:r>
              <w:rPr>
                <w:rStyle w:val="IndexLink"/>
              </w:rPr>
              <w:t>42</w:t>
            </w:r>
          </w:hyperlink>
        </w:p>
        <w:p>
          <w:pPr>
            <w:pStyle w:val="Contents3"/>
            <w:tabs>
              <w:tab w:val="clear" w:pos="8459"/>
              <w:tab w:val="right" w:pos="9026" w:leader="dot"/>
            </w:tabs>
            <w:rPr/>
          </w:pPr>
          <w:hyperlink w:anchor="__RefHeading___Toc3387415_372815092">
            <w:r>
              <w:rPr>
                <w:webHidden/>
                <w:rStyle w:val="IndexLink"/>
                <w:rtl w:val="true"/>
              </w:rPr>
              <w:t>كلام</w:t>
            </w:r>
            <w:r>
              <w:rPr>
                <w:rStyle w:val="IndexLink"/>
                <w:rtl w:val="true"/>
              </w:rPr>
              <w:tab/>
            </w:r>
            <w:r>
              <w:rPr>
                <w:rStyle w:val="IndexLink"/>
              </w:rPr>
              <w:t>43</w:t>
            </w:r>
          </w:hyperlink>
        </w:p>
        <w:p>
          <w:pPr>
            <w:pStyle w:val="Contents3"/>
            <w:tabs>
              <w:tab w:val="clear" w:pos="8459"/>
              <w:tab w:val="right" w:pos="9026" w:leader="dot"/>
            </w:tabs>
            <w:rPr/>
          </w:pPr>
          <w:hyperlink w:anchor="__RefHeading___Toc3387417_372815092">
            <w:r>
              <w:rPr>
                <w:webHidden/>
                <w:rStyle w:val="IndexLink"/>
                <w:rtl w:val="true"/>
              </w:rPr>
              <w:t>نحو</w:t>
            </w:r>
            <w:r>
              <w:rPr>
                <w:rStyle w:val="IndexLink"/>
                <w:rtl w:val="true"/>
              </w:rPr>
              <w:tab/>
            </w:r>
            <w:r>
              <w:rPr>
                <w:rStyle w:val="IndexLink"/>
              </w:rPr>
              <w:t>44</w:t>
            </w:r>
          </w:hyperlink>
        </w:p>
        <w:p>
          <w:pPr>
            <w:pStyle w:val="Contents3"/>
            <w:tabs>
              <w:tab w:val="clear" w:pos="8459"/>
              <w:tab w:val="right" w:pos="9026" w:leader="dot"/>
            </w:tabs>
            <w:rPr/>
          </w:pPr>
          <w:hyperlink w:anchor="__RefHeading___Toc3387419_372815092">
            <w:r>
              <w:rPr>
                <w:webHidden/>
                <w:rStyle w:val="IndexLink"/>
                <w:rtl w:val="true"/>
              </w:rPr>
              <w:t>ساخت مسجدى بزرگ</w:t>
            </w:r>
            <w:r>
              <w:rPr>
                <w:rStyle w:val="IndexLink"/>
                <w:rtl w:val="true"/>
              </w:rPr>
              <w:tab/>
            </w:r>
            <w:r>
              <w:rPr>
                <w:rStyle w:val="IndexLink"/>
              </w:rPr>
              <w:t>44</w:t>
            </w:r>
          </w:hyperlink>
        </w:p>
        <w:p>
          <w:pPr>
            <w:pStyle w:val="Contents3"/>
            <w:tabs>
              <w:tab w:val="clear" w:pos="8459"/>
              <w:tab w:val="right" w:pos="9026" w:leader="dot"/>
            </w:tabs>
            <w:rPr/>
          </w:pPr>
          <w:hyperlink w:anchor="__RefHeading___Toc3387421_372815092">
            <w:r>
              <w:rPr>
                <w:webHidden/>
                <w:rStyle w:val="IndexLink"/>
                <w:rtl w:val="true"/>
              </w:rPr>
              <w:t>فرزندان</w:t>
            </w:r>
            <w:r>
              <w:rPr>
                <w:rStyle w:val="IndexLink"/>
                <w:rtl w:val="true"/>
              </w:rPr>
              <w:tab/>
            </w:r>
            <w:r>
              <w:rPr>
                <w:rStyle w:val="IndexLink"/>
              </w:rPr>
              <w:t>44</w:t>
            </w:r>
          </w:hyperlink>
        </w:p>
        <w:p>
          <w:pPr>
            <w:pStyle w:val="Contents3"/>
            <w:tabs>
              <w:tab w:val="clear" w:pos="8459"/>
              <w:tab w:val="right" w:pos="9026" w:leader="dot"/>
            </w:tabs>
            <w:rPr/>
          </w:pPr>
          <w:hyperlink w:anchor="__RefHeading___Toc3387423_372815092">
            <w:r>
              <w:rPr>
                <w:webHidden/>
                <w:rStyle w:val="IndexLink"/>
                <w:rtl w:val="true"/>
              </w:rPr>
              <w:t>درگذشت</w:t>
            </w:r>
            <w:r>
              <w:rPr>
                <w:rStyle w:val="IndexLink"/>
                <w:rtl w:val="true"/>
              </w:rPr>
              <w:tab/>
            </w:r>
            <w:r>
              <w:rPr>
                <w:rStyle w:val="IndexLink"/>
              </w:rPr>
              <w:t>52</w:t>
            </w:r>
          </w:hyperlink>
        </w:p>
        <w:p>
          <w:pPr>
            <w:pStyle w:val="Contents2"/>
            <w:tabs>
              <w:tab w:val="clear" w:pos="8743"/>
              <w:tab w:val="right" w:pos="9026" w:leader="dot"/>
            </w:tabs>
            <w:rPr/>
          </w:pPr>
          <w:hyperlink w:anchor="__RefHeading___Toc3387425_372815092">
            <w:r>
              <w:rPr>
                <w:webHidden/>
                <w:rStyle w:val="IndexLink"/>
                <w:rtl w:val="true"/>
              </w:rPr>
              <w:t xml:space="preserve">سؤال و جواب درباره </w:t>
            </w:r>
            <w:r>
              <w:rPr>
                <w:rStyle w:val="IndexLink"/>
                <w:rtl w:val="true"/>
              </w:rPr>
              <w:t xml:space="preserve">: </w:t>
            </w:r>
            <w:r>
              <w:rPr>
                <w:rStyle w:val="IndexLink"/>
                <w:rtl w:val="true"/>
              </w:rPr>
              <w:t>حكم عقد با خواهر زوجه مطلّقه</w:t>
            </w:r>
            <w:r>
              <w:rPr>
                <w:rStyle w:val="IndexLink"/>
                <w:rtl w:val="true"/>
              </w:rPr>
              <w:tab/>
            </w:r>
            <w:r>
              <w:rPr>
                <w:rStyle w:val="IndexLink"/>
              </w:rPr>
              <w:t>55</w:t>
            </w:r>
          </w:hyperlink>
        </w:p>
        <w:p>
          <w:pPr>
            <w:pStyle w:val="Contents2"/>
            <w:tabs>
              <w:tab w:val="clear" w:pos="8743"/>
              <w:tab w:val="right" w:pos="9026" w:leader="dot"/>
            </w:tabs>
            <w:rPr/>
          </w:pPr>
          <w:hyperlink w:anchor="__RefHeading___Toc3387427_372815092">
            <w:r>
              <w:rPr>
                <w:webHidden/>
                <w:rStyle w:val="IndexLink"/>
                <w:rtl w:val="true"/>
              </w:rPr>
              <w:t>[</w:t>
            </w:r>
            <w:r>
              <w:rPr>
                <w:rStyle w:val="IndexLink"/>
                <w:rtl w:val="true"/>
              </w:rPr>
              <w:t xml:space="preserve">سؤال </w:t>
            </w:r>
            <w:r>
              <w:rPr>
                <w:rStyle w:val="IndexLink"/>
                <w:rtl w:val="true"/>
              </w:rPr>
              <w:t>]</w:t>
              <w:tab/>
            </w:r>
            <w:r>
              <w:rPr>
                <w:rStyle w:val="IndexLink"/>
              </w:rPr>
              <w:t>57</w:t>
            </w:r>
          </w:hyperlink>
        </w:p>
        <w:p>
          <w:pPr>
            <w:pStyle w:val="Contents2"/>
            <w:tabs>
              <w:tab w:val="clear" w:pos="8743"/>
              <w:tab w:val="right" w:pos="9026" w:leader="dot"/>
            </w:tabs>
            <w:rPr/>
          </w:pPr>
          <w:hyperlink w:anchor="__RefHeading___Toc3387429_372815092">
            <w:r>
              <w:rPr>
                <w:webHidden/>
                <w:rStyle w:val="IndexLink"/>
                <w:rtl w:val="true"/>
              </w:rPr>
              <w:t>[</w:t>
            </w:r>
            <w:r>
              <w:rPr>
                <w:rStyle w:val="IndexLink"/>
                <w:rtl w:val="true"/>
              </w:rPr>
              <w:t xml:space="preserve">جواب </w:t>
            </w:r>
            <w:r>
              <w:rPr>
                <w:rStyle w:val="IndexLink"/>
                <w:rtl w:val="true"/>
              </w:rPr>
              <w:t>]</w:t>
              <w:tab/>
            </w:r>
            <w:r>
              <w:rPr>
                <w:rStyle w:val="IndexLink"/>
              </w:rPr>
              <w:t>57</w:t>
            </w:r>
          </w:hyperlink>
        </w:p>
        <w:p>
          <w:pPr>
            <w:pStyle w:val="Contents2"/>
            <w:tabs>
              <w:tab w:val="clear" w:pos="8743"/>
              <w:tab w:val="right" w:pos="9026" w:leader="dot"/>
            </w:tabs>
            <w:rPr/>
          </w:pPr>
          <w:hyperlink w:anchor="__RefHeading___Toc3387431_372815092">
            <w:r>
              <w:rPr>
                <w:webHidden/>
                <w:rStyle w:val="IndexLink"/>
                <w:rtl w:val="true"/>
              </w:rPr>
              <w:t xml:space="preserve">[ </w:t>
            </w:r>
            <w:r>
              <w:rPr>
                <w:rStyle w:val="IndexLink"/>
                <w:rtl w:val="true"/>
              </w:rPr>
              <w:t xml:space="preserve">مطلب اوّل </w:t>
            </w:r>
            <w:r>
              <w:rPr>
                <w:rStyle w:val="IndexLink"/>
                <w:rtl w:val="true"/>
              </w:rPr>
              <w:t>]</w:t>
              <w:tab/>
            </w:r>
            <w:r>
              <w:rPr>
                <w:rStyle w:val="IndexLink"/>
              </w:rPr>
              <w:t>58</w:t>
            </w:r>
          </w:hyperlink>
        </w:p>
        <w:p>
          <w:pPr>
            <w:pStyle w:val="Contents3"/>
            <w:tabs>
              <w:tab w:val="clear" w:pos="8459"/>
              <w:tab w:val="right" w:pos="9026" w:leader="dot"/>
            </w:tabs>
            <w:rPr/>
          </w:pPr>
          <w:hyperlink w:anchor="__RefHeading___Toc3387433_372815092">
            <w:r>
              <w:rPr>
                <w:webHidden/>
                <w:rStyle w:val="IndexLink"/>
                <w:rtl w:val="true"/>
              </w:rPr>
              <w:t>اشاره</w:t>
            </w:r>
            <w:r>
              <w:rPr>
                <w:rStyle w:val="IndexLink"/>
                <w:rtl w:val="true"/>
              </w:rPr>
              <w:tab/>
            </w:r>
            <w:r>
              <w:rPr>
                <w:rStyle w:val="IndexLink"/>
              </w:rPr>
              <w:t>58</w:t>
            </w:r>
          </w:hyperlink>
        </w:p>
        <w:p>
          <w:pPr>
            <w:pStyle w:val="Contents3"/>
            <w:tabs>
              <w:tab w:val="clear" w:pos="8459"/>
              <w:tab w:val="right" w:pos="9026" w:leader="dot"/>
            </w:tabs>
            <w:rPr/>
          </w:pPr>
          <w:hyperlink w:anchor="__RefHeading___Toc3387435_372815092">
            <w:r>
              <w:rPr>
                <w:webHidden/>
                <w:rStyle w:val="IndexLink"/>
                <w:rtl w:val="true"/>
              </w:rPr>
              <w:t xml:space="preserve">و في المبسوط </w:t>
            </w:r>
            <w:r>
              <w:rPr>
                <w:rStyle w:val="IndexLink"/>
                <w:rtl w:val="true"/>
              </w:rPr>
              <w:t>:</w:t>
              <w:tab/>
            </w:r>
            <w:r>
              <w:rPr>
                <w:rStyle w:val="IndexLink"/>
              </w:rPr>
              <w:t>60</w:t>
            </w:r>
          </w:hyperlink>
        </w:p>
        <w:p>
          <w:pPr>
            <w:pStyle w:val="Contents3"/>
            <w:tabs>
              <w:tab w:val="clear" w:pos="8459"/>
              <w:tab w:val="right" w:pos="9026" w:leader="dot"/>
            </w:tabs>
            <w:rPr/>
          </w:pPr>
          <w:hyperlink w:anchor="__RefHeading___Toc3387437_372815092">
            <w:r>
              <w:rPr>
                <w:webHidden/>
                <w:rStyle w:val="IndexLink"/>
                <w:rtl w:val="true"/>
              </w:rPr>
              <w:t xml:space="preserve">و في الخلاف </w:t>
            </w:r>
            <w:r>
              <w:rPr>
                <w:rStyle w:val="IndexLink"/>
                <w:rtl w:val="true"/>
              </w:rPr>
              <w:t>:</w:t>
              <w:tab/>
            </w:r>
            <w:r>
              <w:rPr>
                <w:rStyle w:val="IndexLink"/>
              </w:rPr>
              <w:t>60</w:t>
            </w:r>
          </w:hyperlink>
        </w:p>
        <w:p>
          <w:pPr>
            <w:pStyle w:val="Contents3"/>
            <w:tabs>
              <w:tab w:val="clear" w:pos="8459"/>
              <w:tab w:val="right" w:pos="9026" w:leader="dot"/>
            </w:tabs>
            <w:rPr/>
          </w:pPr>
          <w:hyperlink w:anchor="__RefHeading___Toc3387439_372815092">
            <w:r>
              <w:rPr>
                <w:webHidden/>
                <w:rStyle w:val="IndexLink"/>
                <w:rtl w:val="true"/>
              </w:rPr>
              <w:t xml:space="preserve">و في المراسم </w:t>
            </w:r>
            <w:r>
              <w:rPr>
                <w:rStyle w:val="IndexLink"/>
                <w:rtl w:val="true"/>
              </w:rPr>
              <w:t>:</w:t>
              <w:tab/>
            </w:r>
            <w:r>
              <w:rPr>
                <w:rStyle w:val="IndexLink"/>
              </w:rPr>
              <w:t>61</w:t>
            </w:r>
          </w:hyperlink>
        </w:p>
        <w:p>
          <w:pPr>
            <w:pStyle w:val="Contents3"/>
            <w:tabs>
              <w:tab w:val="clear" w:pos="8459"/>
              <w:tab w:val="right" w:pos="9026" w:leader="dot"/>
            </w:tabs>
            <w:rPr/>
          </w:pPr>
          <w:hyperlink w:anchor="__RefHeading___Toc3387441_372815092">
            <w:r>
              <w:rPr>
                <w:webHidden/>
                <w:rStyle w:val="IndexLink"/>
                <w:rtl w:val="true"/>
              </w:rPr>
              <w:t xml:space="preserve">و في الكافي </w:t>
            </w:r>
            <w:r>
              <w:rPr>
                <w:rStyle w:val="IndexLink"/>
                <w:rtl w:val="true"/>
              </w:rPr>
              <w:t>:</w:t>
              <w:tab/>
            </w:r>
            <w:r>
              <w:rPr>
                <w:rStyle w:val="IndexLink"/>
              </w:rPr>
              <w:t>62</w:t>
            </w:r>
          </w:hyperlink>
        </w:p>
        <w:p>
          <w:pPr>
            <w:pStyle w:val="Contents3"/>
            <w:tabs>
              <w:tab w:val="clear" w:pos="8459"/>
              <w:tab w:val="right" w:pos="9026" w:leader="dot"/>
            </w:tabs>
            <w:rPr/>
          </w:pPr>
          <w:hyperlink w:anchor="__RefHeading___Toc3387443_372815092">
            <w:r>
              <w:rPr>
                <w:webHidden/>
                <w:rStyle w:val="IndexLink"/>
                <w:rtl w:val="true"/>
              </w:rPr>
              <w:t xml:space="preserve">و في المهذّب </w:t>
            </w:r>
            <w:r>
              <w:rPr>
                <w:rStyle w:val="IndexLink"/>
                <w:rtl w:val="true"/>
              </w:rPr>
              <w:t>:</w:t>
              <w:tab/>
            </w:r>
            <w:r>
              <w:rPr>
                <w:rStyle w:val="IndexLink"/>
              </w:rPr>
              <w:t>62</w:t>
            </w:r>
          </w:hyperlink>
        </w:p>
        <w:p>
          <w:pPr>
            <w:pStyle w:val="Contents3"/>
            <w:tabs>
              <w:tab w:val="clear" w:pos="8459"/>
              <w:tab w:val="right" w:pos="9026" w:leader="dot"/>
            </w:tabs>
            <w:rPr/>
          </w:pPr>
          <w:hyperlink w:anchor="__RefHeading___Toc3387445_372815092">
            <w:r>
              <w:rPr>
                <w:webHidden/>
                <w:rStyle w:val="IndexLink"/>
                <w:rtl w:val="true"/>
              </w:rPr>
              <w:t xml:space="preserve">و في الغنية </w:t>
            </w:r>
            <w:r>
              <w:rPr>
                <w:rStyle w:val="IndexLink"/>
                <w:rtl w:val="true"/>
              </w:rPr>
              <w:t>:</w:t>
              <w:tab/>
            </w:r>
            <w:r>
              <w:rPr>
                <w:rStyle w:val="IndexLink"/>
              </w:rPr>
              <w:t>62</w:t>
            </w:r>
          </w:hyperlink>
        </w:p>
        <w:p>
          <w:pPr>
            <w:pStyle w:val="Contents3"/>
            <w:tabs>
              <w:tab w:val="clear" w:pos="8459"/>
              <w:tab w:val="right" w:pos="9026" w:leader="dot"/>
            </w:tabs>
            <w:rPr/>
          </w:pPr>
          <w:hyperlink w:anchor="__RefHeading___Toc3387447_372815092">
            <w:r>
              <w:rPr>
                <w:webHidden/>
                <w:rStyle w:val="IndexLink"/>
                <w:rtl w:val="true"/>
              </w:rPr>
              <w:t xml:space="preserve">و في السرائر </w:t>
            </w:r>
            <w:r>
              <w:rPr>
                <w:rStyle w:val="IndexLink"/>
                <w:rtl w:val="true"/>
              </w:rPr>
              <w:t>:</w:t>
              <w:tab/>
            </w:r>
            <w:r>
              <w:rPr>
                <w:rStyle w:val="IndexLink"/>
              </w:rPr>
              <w:t>63</w:t>
            </w:r>
          </w:hyperlink>
        </w:p>
        <w:p>
          <w:pPr>
            <w:pStyle w:val="Contents3"/>
            <w:tabs>
              <w:tab w:val="clear" w:pos="8459"/>
              <w:tab w:val="right" w:pos="9026" w:leader="dot"/>
            </w:tabs>
            <w:rPr/>
          </w:pPr>
          <w:hyperlink w:anchor="__RefHeading___Toc3387449_372815092">
            <w:r>
              <w:rPr>
                <w:webHidden/>
                <w:rStyle w:val="IndexLink"/>
                <w:rtl w:val="true"/>
              </w:rPr>
              <w:t xml:space="preserve">و فيه أيضاً </w:t>
            </w:r>
            <w:r>
              <w:rPr>
                <w:rStyle w:val="IndexLink"/>
                <w:rtl w:val="true"/>
              </w:rPr>
              <w:t>:</w:t>
              <w:tab/>
            </w:r>
            <w:r>
              <w:rPr>
                <w:rStyle w:val="IndexLink"/>
              </w:rPr>
              <w:t>63</w:t>
            </w:r>
          </w:hyperlink>
        </w:p>
        <w:p>
          <w:pPr>
            <w:pStyle w:val="Contents3"/>
            <w:tabs>
              <w:tab w:val="clear" w:pos="8459"/>
              <w:tab w:val="right" w:pos="9026" w:leader="dot"/>
            </w:tabs>
            <w:rPr/>
          </w:pPr>
          <w:hyperlink w:anchor="__RefHeading___Toc3387451_372815092">
            <w:r>
              <w:rPr>
                <w:webHidden/>
                <w:rStyle w:val="IndexLink"/>
                <w:rtl w:val="true"/>
              </w:rPr>
              <w:t xml:space="preserve">و في الجامع </w:t>
            </w:r>
            <w:r>
              <w:rPr>
                <w:rStyle w:val="IndexLink"/>
                <w:rtl w:val="true"/>
              </w:rPr>
              <w:t>:</w:t>
              <w:tab/>
            </w:r>
            <w:r>
              <w:rPr>
                <w:rStyle w:val="IndexLink"/>
              </w:rPr>
              <w:t>64</w:t>
            </w:r>
          </w:hyperlink>
        </w:p>
        <w:p>
          <w:pPr>
            <w:pStyle w:val="Contents3"/>
            <w:tabs>
              <w:tab w:val="clear" w:pos="8459"/>
              <w:tab w:val="right" w:pos="9026" w:leader="dot"/>
            </w:tabs>
            <w:rPr/>
          </w:pPr>
          <w:hyperlink w:anchor="__RefHeading___Toc3387453_372815092">
            <w:r>
              <w:rPr>
                <w:webHidden/>
                <w:rStyle w:val="IndexLink"/>
                <w:rtl w:val="true"/>
              </w:rPr>
              <w:t xml:space="preserve">و في الشرائع </w:t>
            </w:r>
            <w:r>
              <w:rPr>
                <w:rStyle w:val="IndexLink"/>
                <w:rtl w:val="true"/>
              </w:rPr>
              <w:t>:</w:t>
              <w:tab/>
            </w:r>
            <w:r>
              <w:rPr>
                <w:rStyle w:val="IndexLink"/>
              </w:rPr>
              <w:t>65</w:t>
            </w:r>
          </w:hyperlink>
        </w:p>
        <w:p>
          <w:pPr>
            <w:pStyle w:val="Contents3"/>
            <w:tabs>
              <w:tab w:val="clear" w:pos="8459"/>
              <w:tab w:val="right" w:pos="9026" w:leader="dot"/>
            </w:tabs>
            <w:rPr/>
          </w:pPr>
          <w:hyperlink w:anchor="__RefHeading___Toc3387455_372815092">
            <w:r>
              <w:rPr>
                <w:webHidden/>
                <w:rStyle w:val="IndexLink"/>
                <w:rtl w:val="true"/>
              </w:rPr>
              <w:t xml:space="preserve">و في النافع </w:t>
            </w:r>
            <w:r>
              <w:rPr>
                <w:rStyle w:val="IndexLink"/>
                <w:rtl w:val="true"/>
              </w:rPr>
              <w:t>:</w:t>
              <w:tab/>
            </w:r>
            <w:r>
              <w:rPr>
                <w:rStyle w:val="IndexLink"/>
              </w:rPr>
              <w:t>65</w:t>
            </w:r>
          </w:hyperlink>
        </w:p>
        <w:p>
          <w:pPr>
            <w:pStyle w:val="Contents3"/>
            <w:tabs>
              <w:tab w:val="clear" w:pos="8459"/>
              <w:tab w:val="right" w:pos="9026" w:leader="dot"/>
            </w:tabs>
            <w:rPr/>
          </w:pPr>
          <w:hyperlink w:anchor="__RefHeading___Toc3387457_372815092">
            <w:r>
              <w:rPr>
                <w:webHidden/>
                <w:rStyle w:val="IndexLink"/>
                <w:rtl w:val="true"/>
              </w:rPr>
              <w:t xml:space="preserve">و في القواعد </w:t>
            </w:r>
            <w:r>
              <w:rPr>
                <w:rStyle w:val="IndexLink"/>
                <w:rtl w:val="true"/>
              </w:rPr>
              <w:t>:</w:t>
              <w:tab/>
            </w:r>
            <w:r>
              <w:rPr>
                <w:rStyle w:val="IndexLink"/>
              </w:rPr>
              <w:t>66</w:t>
            </w:r>
          </w:hyperlink>
        </w:p>
        <w:p>
          <w:pPr>
            <w:pStyle w:val="Contents3"/>
            <w:tabs>
              <w:tab w:val="clear" w:pos="8459"/>
              <w:tab w:val="right" w:pos="9026" w:leader="dot"/>
            </w:tabs>
            <w:rPr/>
          </w:pPr>
          <w:hyperlink w:anchor="__RefHeading___Toc3387459_372815092">
            <w:r>
              <w:rPr>
                <w:webHidden/>
                <w:rStyle w:val="IndexLink"/>
                <w:rtl w:val="true"/>
              </w:rPr>
              <w:t xml:space="preserve">و في التذكرة </w:t>
            </w:r>
            <w:r>
              <w:rPr>
                <w:rStyle w:val="IndexLink"/>
                <w:rtl w:val="true"/>
              </w:rPr>
              <w:t>:</w:t>
              <w:tab/>
            </w:r>
            <w:r>
              <w:rPr>
                <w:rStyle w:val="IndexLink"/>
              </w:rPr>
              <w:t>66</w:t>
            </w:r>
          </w:hyperlink>
        </w:p>
        <w:p>
          <w:pPr>
            <w:pStyle w:val="Contents3"/>
            <w:tabs>
              <w:tab w:val="clear" w:pos="8459"/>
              <w:tab w:val="right" w:pos="9026" w:leader="dot"/>
            </w:tabs>
            <w:rPr/>
          </w:pPr>
          <w:hyperlink w:anchor="__RefHeading___Toc3387461_372815092">
            <w:r>
              <w:rPr>
                <w:webHidden/>
                <w:rStyle w:val="IndexLink"/>
                <w:rtl w:val="true"/>
              </w:rPr>
              <w:t xml:space="preserve">و في الإرشاد </w:t>
            </w:r>
            <w:r>
              <w:rPr>
                <w:rStyle w:val="IndexLink"/>
                <w:rtl w:val="true"/>
              </w:rPr>
              <w:t>:</w:t>
              <w:tab/>
            </w:r>
            <w:r>
              <w:rPr>
                <w:rStyle w:val="IndexLink"/>
              </w:rPr>
              <w:t>66</w:t>
            </w:r>
          </w:hyperlink>
        </w:p>
        <w:p>
          <w:pPr>
            <w:pStyle w:val="Contents3"/>
            <w:tabs>
              <w:tab w:val="clear" w:pos="8459"/>
              <w:tab w:val="right" w:pos="9026" w:leader="dot"/>
            </w:tabs>
            <w:rPr/>
          </w:pPr>
          <w:hyperlink w:anchor="__RefHeading___Toc3387463_372815092">
            <w:r>
              <w:rPr>
                <w:webHidden/>
                <w:rStyle w:val="IndexLink"/>
                <w:rtl w:val="true"/>
              </w:rPr>
              <w:t xml:space="preserve">و في التبصرة </w:t>
            </w:r>
            <w:r>
              <w:rPr>
                <w:rStyle w:val="IndexLink"/>
                <w:rtl w:val="true"/>
              </w:rPr>
              <w:t>:</w:t>
              <w:tab/>
            </w:r>
            <w:r>
              <w:rPr>
                <w:rStyle w:val="IndexLink"/>
              </w:rPr>
              <w:t>67</w:t>
            </w:r>
          </w:hyperlink>
        </w:p>
        <w:p>
          <w:pPr>
            <w:pStyle w:val="Contents3"/>
            <w:tabs>
              <w:tab w:val="clear" w:pos="8459"/>
              <w:tab w:val="right" w:pos="9026" w:leader="dot"/>
            </w:tabs>
            <w:rPr/>
          </w:pPr>
          <w:hyperlink w:anchor="__RefHeading___Toc3387465_372815092">
            <w:r>
              <w:rPr>
                <w:webHidden/>
                <w:rStyle w:val="IndexLink"/>
                <w:rtl w:val="true"/>
              </w:rPr>
              <w:t xml:space="preserve">و في اللمعة و شرحها </w:t>
            </w:r>
            <w:r>
              <w:rPr>
                <w:rStyle w:val="IndexLink"/>
                <w:rtl w:val="true"/>
              </w:rPr>
              <w:t>:</w:t>
              <w:tab/>
            </w:r>
            <w:r>
              <w:rPr>
                <w:rStyle w:val="IndexLink"/>
              </w:rPr>
              <w:t>67</w:t>
            </w:r>
          </w:hyperlink>
        </w:p>
        <w:p>
          <w:pPr>
            <w:pStyle w:val="Contents2"/>
            <w:tabs>
              <w:tab w:val="clear" w:pos="8743"/>
              <w:tab w:val="right" w:pos="9026" w:leader="dot"/>
            </w:tabs>
            <w:rPr/>
          </w:pPr>
          <w:hyperlink w:anchor="__RefHeading___Toc3387467_372815092">
            <w:r>
              <w:rPr>
                <w:webHidden/>
                <w:rStyle w:val="IndexLink"/>
                <w:rtl w:val="true"/>
              </w:rPr>
              <w:t>[</w:t>
            </w:r>
            <w:r>
              <w:rPr>
                <w:rStyle w:val="IndexLink"/>
                <w:rtl w:val="true"/>
              </w:rPr>
              <w:t xml:space="preserve">مطلب دوّم </w:t>
            </w:r>
            <w:r>
              <w:rPr>
                <w:rStyle w:val="IndexLink"/>
                <w:rtl w:val="true"/>
              </w:rPr>
              <w:t>]</w:t>
              <w:tab/>
            </w:r>
            <w:r>
              <w:rPr>
                <w:rStyle w:val="IndexLink"/>
              </w:rPr>
              <w:t>69</w:t>
            </w:r>
          </w:hyperlink>
        </w:p>
        <w:p>
          <w:pPr>
            <w:pStyle w:val="Contents2"/>
            <w:tabs>
              <w:tab w:val="clear" w:pos="8743"/>
              <w:tab w:val="right" w:pos="9026" w:leader="dot"/>
            </w:tabs>
            <w:rPr/>
          </w:pPr>
          <w:hyperlink w:anchor="__RefHeading___Toc3387469_372815092">
            <w:r>
              <w:rPr>
                <w:webHidden/>
                <w:rStyle w:val="IndexLink"/>
                <w:rtl w:val="true"/>
              </w:rPr>
              <w:t>[</w:t>
            </w:r>
            <w:r>
              <w:rPr>
                <w:rStyle w:val="IndexLink"/>
                <w:rtl w:val="true"/>
              </w:rPr>
              <w:t xml:space="preserve">مطلب سوّم </w:t>
            </w:r>
            <w:r>
              <w:rPr>
                <w:rStyle w:val="IndexLink"/>
                <w:rtl w:val="true"/>
              </w:rPr>
              <w:t>]</w:t>
              <w:tab/>
            </w:r>
            <w:r>
              <w:rPr>
                <w:rStyle w:val="IndexLink"/>
              </w:rPr>
              <w:t>71</w:t>
            </w:r>
          </w:hyperlink>
        </w:p>
        <w:p>
          <w:pPr>
            <w:pStyle w:val="Contents2"/>
            <w:tabs>
              <w:tab w:val="clear" w:pos="8743"/>
              <w:tab w:val="right" w:pos="9026" w:leader="dot"/>
            </w:tabs>
            <w:rPr/>
          </w:pPr>
          <w:hyperlink w:anchor="__RefHeading___Toc3387471_372815092">
            <w:r>
              <w:rPr>
                <w:webHidden/>
                <w:rStyle w:val="IndexLink"/>
                <w:rtl w:val="true"/>
              </w:rPr>
              <w:t>[</w:t>
            </w:r>
            <w:r>
              <w:rPr>
                <w:rStyle w:val="IndexLink"/>
                <w:rtl w:val="true"/>
              </w:rPr>
              <w:t xml:space="preserve">المستند في عدم جواز العقد على اُخت المتمتّع بها قبل انقضاء العدّة </w:t>
            </w:r>
            <w:r>
              <w:rPr>
                <w:rStyle w:val="IndexLink"/>
                <w:rtl w:val="true"/>
              </w:rPr>
              <w:t>]</w:t>
              <w:tab/>
            </w:r>
            <w:r>
              <w:rPr>
                <w:rStyle w:val="IndexLink"/>
              </w:rPr>
              <w:t>74</w:t>
            </w:r>
          </w:hyperlink>
        </w:p>
        <w:p>
          <w:pPr>
            <w:pStyle w:val="Contents2"/>
            <w:tabs>
              <w:tab w:val="clear" w:pos="8743"/>
              <w:tab w:val="right" w:pos="9026" w:leader="dot"/>
            </w:tabs>
            <w:rPr/>
          </w:pPr>
          <w:hyperlink w:anchor="__RefHeading___Toc3387473_372815092">
            <w:r>
              <w:rPr>
                <w:webHidden/>
                <w:rStyle w:val="IndexLink"/>
                <w:rtl w:val="true"/>
              </w:rPr>
              <w:t>[</w:t>
            </w:r>
            <w:r>
              <w:rPr>
                <w:rStyle w:val="IndexLink"/>
                <w:rtl w:val="true"/>
              </w:rPr>
              <w:t xml:space="preserve">المستند في جواز العقد على اُخت المرأة ولو قبل انقضاء العدّة </w:t>
            </w:r>
            <w:r>
              <w:rPr>
                <w:rStyle w:val="IndexLink"/>
                <w:rtl w:val="true"/>
              </w:rPr>
              <w:t>]</w:t>
              <w:tab/>
            </w:r>
            <w:r>
              <w:rPr>
                <w:rStyle w:val="IndexLink"/>
              </w:rPr>
              <w:t>82</w:t>
            </w:r>
          </w:hyperlink>
        </w:p>
        <w:p>
          <w:pPr>
            <w:pStyle w:val="Contents2"/>
            <w:tabs>
              <w:tab w:val="clear" w:pos="8743"/>
              <w:tab w:val="right" w:pos="9026" w:leader="dot"/>
            </w:tabs>
            <w:rPr/>
          </w:pPr>
          <w:hyperlink w:anchor="__RefHeading___Toc3387475_372815092">
            <w:r>
              <w:rPr>
                <w:webHidden/>
                <w:rStyle w:val="IndexLink"/>
                <w:rtl w:val="true"/>
              </w:rPr>
              <w:t xml:space="preserve">[ </w:t>
            </w:r>
            <w:r>
              <w:rPr>
                <w:rStyle w:val="IndexLink"/>
                <w:rtl w:val="true"/>
              </w:rPr>
              <w:t xml:space="preserve">وجوه الاستدلال لحلّيّة عقد اُخت المتمتّع بها في أثناء عدّتها </w:t>
            </w:r>
            <w:r>
              <w:rPr>
                <w:rStyle w:val="IndexLink"/>
                <w:rtl w:val="true"/>
              </w:rPr>
              <w:t>]</w:t>
              <w:tab/>
            </w:r>
            <w:r>
              <w:rPr>
                <w:rStyle w:val="IndexLink"/>
              </w:rPr>
              <w:t>84</w:t>
            </w:r>
          </w:hyperlink>
        </w:p>
        <w:p>
          <w:pPr>
            <w:pStyle w:val="Contents2"/>
            <w:tabs>
              <w:tab w:val="clear" w:pos="8743"/>
              <w:tab w:val="right" w:pos="9026" w:leader="dot"/>
            </w:tabs>
            <w:rPr/>
          </w:pPr>
          <w:hyperlink w:anchor="__RefHeading___Toc3387477_372815092">
            <w:r>
              <w:rPr>
                <w:webHidden/>
                <w:rStyle w:val="IndexLink"/>
                <w:rtl w:val="true"/>
              </w:rPr>
              <w:t xml:space="preserve">[ </w:t>
            </w:r>
            <w:r>
              <w:rPr>
                <w:rStyle w:val="IndexLink"/>
                <w:rtl w:val="true"/>
              </w:rPr>
              <w:t xml:space="preserve">الجواب عن مستند المجوّزين </w:t>
            </w:r>
            <w:r>
              <w:rPr>
                <w:rStyle w:val="IndexLink"/>
                <w:rtl w:val="true"/>
              </w:rPr>
              <w:t>]</w:t>
              <w:tab/>
            </w:r>
            <w:r>
              <w:rPr>
                <w:rStyle w:val="IndexLink"/>
              </w:rPr>
              <w:t>85</w:t>
            </w:r>
          </w:hyperlink>
        </w:p>
        <w:p>
          <w:pPr>
            <w:pStyle w:val="Contents2"/>
            <w:tabs>
              <w:tab w:val="clear" w:pos="8743"/>
              <w:tab w:val="right" w:pos="9026" w:leader="dot"/>
            </w:tabs>
            <w:rPr/>
          </w:pPr>
          <w:hyperlink w:anchor="__RefHeading___Toc3387479_372815092">
            <w:r>
              <w:rPr>
                <w:webHidden/>
                <w:rStyle w:val="IndexLink"/>
                <w:rtl w:val="true"/>
              </w:rPr>
              <w:t>[</w:t>
            </w:r>
            <w:r>
              <w:rPr>
                <w:rStyle w:val="IndexLink"/>
                <w:rtl w:val="true"/>
              </w:rPr>
              <w:t xml:space="preserve">الجواب عن وجوه الاستدلال لحلّيّة عقد اُخت المتمتّع بها في أثناء عدّتها </w:t>
            </w:r>
            <w:r>
              <w:rPr>
                <w:rStyle w:val="IndexLink"/>
                <w:rtl w:val="true"/>
              </w:rPr>
              <w:t>]</w:t>
              <w:tab/>
            </w:r>
            <w:r>
              <w:rPr>
                <w:rStyle w:val="IndexLink"/>
              </w:rPr>
              <w:t>87</w:t>
            </w:r>
          </w:hyperlink>
        </w:p>
        <w:p>
          <w:pPr>
            <w:pStyle w:val="Contents2"/>
            <w:tabs>
              <w:tab w:val="clear" w:pos="8743"/>
              <w:tab w:val="right" w:pos="9026" w:leader="dot"/>
            </w:tabs>
            <w:rPr/>
          </w:pPr>
          <w:hyperlink w:anchor="__RefHeading___Toc3387481_372815092">
            <w:r>
              <w:rPr>
                <w:webHidden/>
                <w:rStyle w:val="IndexLink"/>
                <w:rtl w:val="true"/>
              </w:rPr>
              <w:t xml:space="preserve">[ </w:t>
            </w:r>
            <w:r>
              <w:rPr>
                <w:rStyle w:val="IndexLink"/>
                <w:rtl w:val="true"/>
              </w:rPr>
              <w:t xml:space="preserve">مختار المصنّف قدس‌سره في المسألة </w:t>
            </w:r>
            <w:r>
              <w:rPr>
                <w:rStyle w:val="IndexLink"/>
                <w:rtl w:val="true"/>
              </w:rPr>
              <w:t>]</w:t>
              <w:tab/>
            </w:r>
            <w:r>
              <w:rPr>
                <w:rStyle w:val="IndexLink"/>
              </w:rPr>
              <w:t>94</w:t>
            </w:r>
          </w:hyperlink>
        </w:p>
        <w:p>
          <w:pPr>
            <w:pStyle w:val="Contents2"/>
            <w:tabs>
              <w:tab w:val="clear" w:pos="8743"/>
              <w:tab w:val="right" w:pos="9026" w:leader="dot"/>
            </w:tabs>
            <w:rPr/>
          </w:pPr>
          <w:hyperlink w:anchor="__RefHeading___Toc3387483_372815092">
            <w:r>
              <w:rPr>
                <w:webHidden/>
                <w:rStyle w:val="IndexLink"/>
                <w:rtl w:val="true"/>
              </w:rPr>
              <w:t xml:space="preserve">و في الاستبصار </w:t>
            </w:r>
            <w:r>
              <w:rPr>
                <w:rStyle w:val="IndexLink"/>
                <w:rtl w:val="true"/>
              </w:rPr>
              <w:t>:</w:t>
              <w:tab/>
            </w:r>
            <w:r>
              <w:rPr>
                <w:rStyle w:val="IndexLink"/>
              </w:rPr>
              <w:t>98</w:t>
            </w:r>
          </w:hyperlink>
        </w:p>
        <w:p>
          <w:pPr>
            <w:pStyle w:val="Contents2"/>
            <w:tabs>
              <w:tab w:val="clear" w:pos="8743"/>
              <w:tab w:val="right" w:pos="9026" w:leader="dot"/>
            </w:tabs>
            <w:rPr/>
          </w:pPr>
          <w:hyperlink w:anchor="__RefHeading___Toc3387485_372815092">
            <w:r>
              <w:rPr>
                <w:webHidden/>
                <w:rStyle w:val="IndexLink"/>
                <w:rtl w:val="true"/>
              </w:rPr>
              <w:t>[</w:t>
            </w:r>
            <w:r>
              <w:rPr>
                <w:rStyle w:val="IndexLink"/>
                <w:rtl w:val="true"/>
              </w:rPr>
              <w:t xml:space="preserve">التنبيه على أمرين </w:t>
            </w:r>
            <w:r>
              <w:rPr>
                <w:rStyle w:val="IndexLink"/>
                <w:rtl w:val="true"/>
              </w:rPr>
              <w:t>]</w:t>
              <w:tab/>
            </w:r>
            <w:r>
              <w:rPr>
                <w:rStyle w:val="IndexLink"/>
              </w:rPr>
              <w:t>101</w:t>
            </w:r>
          </w:hyperlink>
        </w:p>
        <w:p>
          <w:pPr>
            <w:pStyle w:val="Contents3"/>
            <w:tabs>
              <w:tab w:val="clear" w:pos="8459"/>
              <w:tab w:val="right" w:pos="9026" w:leader="dot"/>
            </w:tabs>
            <w:rPr/>
          </w:pPr>
          <w:hyperlink w:anchor="__RefHeading___Toc3387487_372815092">
            <w:r>
              <w:rPr>
                <w:webHidden/>
                <w:rStyle w:val="IndexLink"/>
                <w:rtl w:val="true"/>
              </w:rPr>
              <w:t>اشاره</w:t>
            </w:r>
            <w:r>
              <w:rPr>
                <w:rStyle w:val="IndexLink"/>
                <w:rtl w:val="true"/>
              </w:rPr>
              <w:tab/>
            </w:r>
            <w:r>
              <w:rPr>
                <w:rStyle w:val="IndexLink"/>
              </w:rPr>
              <w:t>101</w:t>
            </w:r>
          </w:hyperlink>
        </w:p>
        <w:p>
          <w:pPr>
            <w:pStyle w:val="Contents3"/>
            <w:tabs>
              <w:tab w:val="clear" w:pos="8459"/>
              <w:tab w:val="right" w:pos="9026" w:leader="dot"/>
            </w:tabs>
            <w:rPr/>
          </w:pPr>
          <w:hyperlink w:anchor="__RefHeading___Toc3387489_372815092">
            <w:r>
              <w:rPr>
                <w:webHidden/>
                <w:rStyle w:val="IndexLink"/>
                <w:rtl w:val="true"/>
              </w:rPr>
              <w:t>[</w:t>
            </w:r>
            <w:r>
              <w:rPr>
                <w:rStyle w:val="IndexLink"/>
                <w:rtl w:val="true"/>
              </w:rPr>
              <w:t xml:space="preserve">الأمر الأوّل </w:t>
            </w:r>
            <w:r>
              <w:rPr>
                <w:rStyle w:val="IndexLink"/>
                <w:rtl w:val="true"/>
              </w:rPr>
              <w:t xml:space="preserve">: ] </w:t>
            </w:r>
            <w:r>
              <w:rPr>
                <w:rStyle w:val="IndexLink"/>
                <w:rtl w:val="true"/>
              </w:rPr>
              <w:t>في أنّ عدم جواز العقد على اُخت المطلّقة بالطلاق الرجعيّ</w:t>
            </w:r>
            <w:r>
              <w:rPr>
                <w:rStyle w:val="IndexLink"/>
                <w:rtl w:val="true"/>
              </w:rPr>
              <w:t>...</w:t>
              <w:tab/>
            </w:r>
            <w:r>
              <w:rPr>
                <w:rStyle w:val="IndexLink"/>
              </w:rPr>
              <w:t>102</w:t>
            </w:r>
          </w:hyperlink>
        </w:p>
        <w:p>
          <w:pPr>
            <w:pStyle w:val="Contents4"/>
            <w:tabs>
              <w:tab w:val="clear" w:pos="8176"/>
              <w:tab w:val="right" w:pos="9026" w:leader="dot"/>
            </w:tabs>
            <w:rPr/>
          </w:pPr>
          <w:hyperlink w:anchor="__RefHeading___Toc3387491_372815092">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3387493_372815092">
            <w:r>
              <w:rPr>
                <w:webHidden/>
                <w:rStyle w:val="IndexLink"/>
                <w:rtl w:val="true"/>
              </w:rPr>
              <w:t>[</w:t>
            </w:r>
            <w:r>
              <w:rPr>
                <w:rStyle w:val="IndexLink"/>
                <w:rtl w:val="true"/>
              </w:rPr>
              <w:t xml:space="preserve">مختار المصنّف قدس‌سره في المسألة </w:t>
            </w:r>
            <w:r>
              <w:rPr>
                <w:rStyle w:val="IndexLink"/>
                <w:rtl w:val="true"/>
              </w:rPr>
              <w:t>]</w:t>
              <w:tab/>
            </w:r>
            <w:r>
              <w:rPr>
                <w:rStyle w:val="IndexLink"/>
              </w:rPr>
              <w:t>103</w:t>
            </w:r>
          </w:hyperlink>
        </w:p>
        <w:p>
          <w:pPr>
            <w:pStyle w:val="Contents3"/>
            <w:tabs>
              <w:tab w:val="clear" w:pos="8459"/>
              <w:tab w:val="right" w:pos="9026" w:leader="dot"/>
            </w:tabs>
            <w:rPr/>
          </w:pPr>
          <w:hyperlink w:anchor="__RefHeading___Toc3387495_372815092">
            <w:r>
              <w:rPr>
                <w:webHidden/>
                <w:rStyle w:val="IndexLink"/>
                <w:rtl w:val="true"/>
              </w:rPr>
              <w:t xml:space="preserve">[ </w:t>
            </w:r>
            <w:r>
              <w:rPr>
                <w:rStyle w:val="IndexLink"/>
                <w:rtl w:val="true"/>
              </w:rPr>
              <w:t xml:space="preserve">الأمر الثاني </w:t>
            </w:r>
            <w:r>
              <w:rPr>
                <w:rStyle w:val="IndexLink"/>
                <w:rtl w:val="true"/>
              </w:rPr>
              <w:t xml:space="preserve">: ] </w:t>
            </w:r>
            <w:r>
              <w:rPr>
                <w:rStyle w:val="IndexLink"/>
                <w:rtl w:val="true"/>
              </w:rPr>
              <w:t>في أنّ جواز العقد على اُخت المطلّقة المختلعة</w:t>
            </w:r>
            <w:r>
              <w:rPr>
                <w:rStyle w:val="IndexLink"/>
                <w:rtl w:val="true"/>
              </w:rPr>
              <w:tab/>
            </w:r>
            <w:r>
              <w:rPr>
                <w:rStyle w:val="IndexLink"/>
              </w:rPr>
              <w:t>104</w:t>
            </w:r>
          </w:hyperlink>
        </w:p>
        <w:p>
          <w:pPr>
            <w:pStyle w:val="Contents4"/>
            <w:tabs>
              <w:tab w:val="clear" w:pos="8176"/>
              <w:tab w:val="right" w:pos="9026" w:leader="dot"/>
            </w:tabs>
            <w:rPr/>
          </w:pPr>
          <w:hyperlink w:anchor="__RefHeading___Toc3387497_372815092">
            <w:r>
              <w:rPr>
                <w:webHidden/>
                <w:rStyle w:val="IndexLink"/>
                <w:rtl w:val="true"/>
              </w:rPr>
              <w:t>اشاره</w:t>
            </w:r>
            <w:r>
              <w:rPr>
                <w:rStyle w:val="IndexLink"/>
                <w:rtl w:val="true"/>
              </w:rPr>
              <w:tab/>
            </w:r>
            <w:r>
              <w:rPr>
                <w:rStyle w:val="IndexLink"/>
              </w:rPr>
              <w:t>104</w:t>
            </w:r>
          </w:hyperlink>
        </w:p>
        <w:p>
          <w:pPr>
            <w:pStyle w:val="Contents4"/>
            <w:tabs>
              <w:tab w:val="clear" w:pos="8176"/>
              <w:tab w:val="right" w:pos="9026" w:leader="dot"/>
            </w:tabs>
            <w:rPr/>
          </w:pPr>
          <w:hyperlink w:anchor="__RefHeading___Toc3387499_372815092">
            <w:r>
              <w:rPr>
                <w:webHidden/>
                <w:rStyle w:val="IndexLink"/>
                <w:rtl w:val="true"/>
              </w:rPr>
              <w:t>[</w:t>
            </w:r>
            <w:r>
              <w:rPr>
                <w:rStyle w:val="IndexLink"/>
                <w:rtl w:val="true"/>
              </w:rPr>
              <w:t xml:space="preserve">مختار المصنّف قدس‌سره في المسألة </w:t>
            </w:r>
            <w:r>
              <w:rPr>
                <w:rStyle w:val="IndexLink"/>
                <w:rtl w:val="true"/>
              </w:rPr>
              <w:t>]</w:t>
              <w:tab/>
            </w:r>
            <w:r>
              <w:rPr>
                <w:rStyle w:val="IndexLink"/>
              </w:rPr>
              <w:t>105</w:t>
            </w:r>
          </w:hyperlink>
        </w:p>
        <w:p>
          <w:pPr>
            <w:pStyle w:val="Contents2"/>
            <w:tabs>
              <w:tab w:val="clear" w:pos="8743"/>
              <w:tab w:val="right" w:pos="9026" w:leader="dot"/>
            </w:tabs>
            <w:rPr/>
          </w:pPr>
          <w:hyperlink w:anchor="__RefHeading___Toc3387501_372815092">
            <w:r>
              <w:rPr>
                <w:webHidden/>
                <w:rStyle w:val="IndexLink"/>
                <w:rtl w:val="true"/>
              </w:rPr>
              <w:t>فهرس مصادر التحقيق</w:t>
            </w:r>
            <w:r>
              <w:rPr>
                <w:rStyle w:val="IndexLink"/>
                <w:rtl w:val="true"/>
              </w:rPr>
              <w:tab/>
            </w:r>
            <w:r>
              <w:rPr>
                <w:rStyle w:val="IndexLink"/>
              </w:rPr>
              <w:t>107</w:t>
            </w:r>
          </w:hyperlink>
        </w:p>
        <w:p>
          <w:pPr>
            <w:pStyle w:val="Contents2"/>
            <w:tabs>
              <w:tab w:val="clear" w:pos="8743"/>
              <w:tab w:val="right" w:pos="9026" w:leader="dot"/>
            </w:tabs>
            <w:rPr/>
          </w:pPr>
          <w:hyperlink w:anchor="__RefHeading___Toc3387503_372815092">
            <w:r>
              <w:rPr>
                <w:webHidden/>
                <w:rStyle w:val="IndexLink"/>
                <w:rtl w:val="true"/>
              </w:rPr>
              <w:t>فهرس المحتويات</w:t>
            </w:r>
            <w:r>
              <w:rPr>
                <w:rStyle w:val="IndexLink"/>
                <w:rtl w:val="true"/>
              </w:rPr>
              <w:tab/>
            </w:r>
            <w:r>
              <w:rPr>
                <w:rStyle w:val="IndexLink"/>
              </w:rPr>
              <w:t>115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074_66991"/>
      <w:bookmarkStart w:id="1" w:name="pg7074_66991"/>
      <w:bookmarkEnd w:id="1"/>
    </w:p>
    <w:p>
      <w:pPr>
        <w:pStyle w:val="Heading2"/>
        <w:numPr>
          <w:ilvl w:val="1"/>
          <w:numId w:val="1"/>
        </w:numPr>
        <w:rPr/>
      </w:pPr>
      <w:bookmarkStart w:id="2" w:name="pg7074_66991"/>
      <w:bookmarkStart w:id="3" w:name="__RefHeading___Toc3387361_372815092"/>
      <w:bookmarkStart w:id="4" w:name="_Toc1"/>
      <w:bookmarkEnd w:id="2"/>
      <w:bookmarkEnd w:id="3"/>
      <w:r>
        <w:rPr>
          <w:rtl w:val="true"/>
        </w:rPr>
        <w:t>مشخصات کتاب</w:t>
      </w:r>
      <w:bookmarkEnd w:id="4"/>
    </w:p>
    <w:p>
      <w:pPr>
        <w:pStyle w:val="BookText"/>
        <w:rPr/>
      </w:pPr>
      <w:r>
        <w:rPr>
          <w:rFonts w:ascii="Amiri" w:hAnsi="Amiri" w:eastAsia="Amiri" w:cs="Amiri"/>
          <w:color w:val="111111"/>
          <w:sz w:val="28"/>
          <w:sz w:val="28"/>
          <w:szCs w:val="28"/>
          <w:rtl w:val="true"/>
          <w:lang w:bidi="ar-SA"/>
        </w:rPr>
        <w:t xml:space="preserve">سؤال و جواب درباره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عقد با خواهر زوجه مطلّقه</w:t>
      </w:r>
    </w:p>
    <w:p>
      <w:pPr>
        <w:pStyle w:val="BookText"/>
        <w:rPr/>
      </w:pPr>
      <w:r>
        <w:rPr>
          <w:rFonts w:ascii="Amiri" w:hAnsi="Amiri" w:eastAsia="Amiri" w:cs="Amiri"/>
          <w:color w:val="111111"/>
          <w:sz w:val="28"/>
          <w:sz w:val="28"/>
          <w:szCs w:val="28"/>
          <w:rtl w:val="true"/>
          <w:lang w:bidi="ar-SA"/>
        </w:rPr>
        <w:t xml:space="preserve">تاليف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فقيه و محقّق متتبّع حاج سيّد محمّد باقر شفتى قدس‌سره</w:t>
      </w:r>
    </w:p>
    <w:p>
      <w:pPr>
        <w:pStyle w:val="BookText"/>
        <w:rPr/>
      </w:pPr>
      <w:r>
        <w:rPr>
          <w:rFonts w:ascii="Amiri" w:hAnsi="Amiri" w:eastAsia="Amiri" w:cs="Amiri"/>
          <w:color w:val="111111"/>
          <w:sz w:val="28"/>
          <w:sz w:val="28"/>
          <w:szCs w:val="28"/>
          <w:rtl w:val="true"/>
          <w:lang w:bidi="ar-SA"/>
        </w:rPr>
        <w:t xml:space="preserve">مشهور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 مهدى شفتى</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387363_37281509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7074_66995"/>
      <w:bookmarkStart w:id="8" w:name="pg7074_66995"/>
      <w:bookmarkEnd w:id="8"/>
    </w:p>
    <w:p>
      <w:pPr>
        <w:pStyle w:val="Heading2"/>
        <w:numPr>
          <w:ilvl w:val="1"/>
          <w:numId w:val="1"/>
        </w:numPr>
        <w:rPr/>
      </w:pPr>
      <w:bookmarkStart w:id="9" w:name="pg7074_66995"/>
      <w:bookmarkStart w:id="10" w:name="__RefHeading___Toc3387365_372815092"/>
      <w:bookmarkStart w:id="11" w:name="_Toc3"/>
      <w:bookmarkEnd w:id="9"/>
      <w:bookmarkEnd w:id="10"/>
      <w:r>
        <w:rPr>
          <w:rtl w:val="true"/>
        </w:rPr>
        <w:t>مقدّمه</w:t>
      </w:r>
      <w:bookmarkEnd w:id="11"/>
    </w:p>
    <w:p>
      <w:pPr>
        <w:pStyle w:val="BookText"/>
        <w:rPr/>
      </w:pPr>
      <w:r>
        <w:rPr>
          <w:rFonts w:ascii="Amiri" w:hAnsi="Amiri" w:eastAsia="Amiri" w:cs="Amiri"/>
          <w:color w:val="111111"/>
          <w:sz w:val="28"/>
          <w:sz w:val="28"/>
          <w:szCs w:val="28"/>
          <w:rtl w:val="true"/>
          <w:lang w:bidi="ar-SA"/>
        </w:rPr>
        <w:t>بسم‌الله‌الرحمن‌الرحيم</w:t>
      </w:r>
    </w:p>
    <w:p>
      <w:pPr>
        <w:pStyle w:val="BookText"/>
        <w:rPr/>
      </w:pPr>
      <w:r>
        <w:rPr>
          <w:rFonts w:ascii="IRNazanin" w:hAnsi="IRNazanin" w:eastAsia="IRNazanin"/>
          <w:color w:val="111111"/>
          <w:sz w:val="28"/>
          <w:sz w:val="28"/>
          <w:szCs w:val="28"/>
          <w:rtl w:val="true"/>
          <w:lang w:bidi="fa-IR"/>
        </w:rPr>
        <w:t xml:space="preserve">فقيه متبحّر، عالم محقّق و متتبّع مرحوم آية اللّه العظمى حاج سيّد محمّد باقر شفتى، معروف 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حجّة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زعماى بزرگ و اساطين علمى شيعه است كه سال هاى سال، شهر اصفهان از بركات وجودى او بهره‌مند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زعامت دينى و اجراى حدود الهى، بذل و سخاوت حيرت آور، تأليف اثر پربار و كم نظير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مطالع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دهها كتاب و رساله فقهى، رجالى، حديثى</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تربيت شاگردان فراوان، از برجستگى‌هاى خاصّ او بود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اصفهان آن روز به وجود نورانى فرزانگانى همچون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آية اللّه العظمى حاج محمّد ابراهيم كلباسى صاحب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اشارات الأصول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دهها فقيه و عالم برجسته ديگر منوّر بود، ولى بار سنگين زعامت دينى بر دوش مرحوم سيّد حجّة الاسلام قرار داشت ؛ از اين رو پرسش‌هاى فراوان فقهى، اعتقادى </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علما، طلاّب و مقلّدين مرحوم سيّد در محضر او مطرح مى‌گرديد، كه وى با تبحّر و روشن بينى خاصّ خود آنها را پاسخ مى‌گفت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آنچه اينجا به حضور اهل دانش و تحقيق، شما تشنگان چشمه علم و فقاهت تقديم مى‌گردد، رساله‌اى است از آثار ارزشمند عالم ربّانى، فقيه نامدار اهل بيت عصمت عليهم‌السلام، حجّة الإسلام مطلق در شيعه، مرحوم آية اللّه العظمى حاج سيّد محمّد باقر موسوى شفتى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أعلى اللّه مقامه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پاسخ به پرسشى فقهى نگاشته شده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اين سؤال و جواب از مجموعه ارزشمند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و 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انتخاب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سؤال و 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مجموعه‌اى است شامل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دهها رساله فقهى، و نيز پرسش‌هاى فراوانى كه از طرف اقشار مختلف مردم از مرحوم حجّة الإسلام استفتاء شده است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قسمتى از اين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اجتهاد و تقليد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كتاب وديعة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زمان حيات مرحوم حجّة الإسلام در سال </w:t>
      </w:r>
      <w:r>
        <w:rPr>
          <w:rFonts w:eastAsia="IRNazanin" w:cs="IRNazanin"/>
          <w:color w:val="111111"/>
          <w:sz w:val="28"/>
          <w:szCs w:val="28"/>
          <w:lang w:bidi="fa-IR"/>
        </w:rPr>
        <w:t>1247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چاپ سنگى شده، ولى باقيمانده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بيش از قسمت چاپ شده مى‌باشد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متأسّفانه تاكنون به طبع نرسيده و همچنان مخطوط باقى مانده است </w:t>
      </w:r>
      <w:r>
        <w:rPr>
          <w:rFonts w:eastAsia="IRNazanin" w:cs="IRNazanin"/>
          <w:color w:val="111111"/>
          <w:sz w:val="28"/>
          <w:szCs w:val="28"/>
          <w:rtl w:val="true"/>
          <w:lang w:bidi="fa-IR"/>
        </w:rPr>
        <w:t xml:space="preserve">. </w:t>
      </w:r>
      <w:bookmarkStart w:id="12" w:name="pg7074_66997"/>
    </w:p>
    <w:p>
      <w:pPr>
        <w:pStyle w:val="Heading2"/>
        <w:numPr>
          <w:ilvl w:val="1"/>
          <w:numId w:val="1"/>
        </w:numPr>
        <w:rPr/>
      </w:pPr>
      <w:bookmarkStart w:id="13" w:name="__RefHeading___Toc3387367_372815092"/>
      <w:bookmarkStart w:id="14" w:name="_Toc4"/>
      <w:bookmarkEnd w:id="12"/>
      <w:bookmarkEnd w:id="13"/>
      <w:r>
        <w:rPr>
          <w:rtl w:val="true"/>
        </w:rPr>
        <w:t>توضيحى پيرامون رساله حاضر</w:t>
      </w:r>
      <w:bookmarkEnd w:id="14"/>
    </w:p>
    <w:p>
      <w:pPr>
        <w:pStyle w:val="BookText"/>
        <w:rPr/>
      </w:pPr>
      <w:r>
        <w:rPr>
          <w:rFonts w:ascii="IRNazanin" w:hAnsi="IRNazanin" w:eastAsia="IRNazanin"/>
          <w:color w:val="111111"/>
          <w:sz w:val="28"/>
          <w:sz w:val="28"/>
          <w:szCs w:val="28"/>
          <w:rtl w:val="true"/>
          <w:lang w:bidi="fa-IR"/>
        </w:rPr>
        <w:t xml:space="preserve">اين رساله در پاسخ به چند سؤال فقهى نگاشته شده، كه متن سؤال چنين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زيد زوجه خود را طلاق خلعى گفت، آيا مى‌تواند در اثناى عدّه، خواهر مطلّقه مزبوره را عقد كند براى خود، يا نه ؟</w:t>
      </w:r>
    </w:p>
    <w:p>
      <w:pPr>
        <w:pStyle w:val="BookText"/>
        <w:rPr/>
      </w:pPr>
      <w:r>
        <w:rPr>
          <w:rFonts w:ascii="IRNazanin" w:hAnsi="IRNazanin" w:eastAsia="IRNazanin"/>
          <w:color w:val="111111"/>
          <w:sz w:val="28"/>
          <w:sz w:val="28"/>
          <w:szCs w:val="28"/>
          <w:rtl w:val="true"/>
          <w:lang w:bidi="fa-IR"/>
        </w:rPr>
        <w:t xml:space="preserve">در صورتى كه تواند، آيا عكس مى‌تواند بكند،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جديد را طلاق به اين گويد و در عدّه او اخت او را كه مطلّقه اوّلى باشد عقد نمايد، يا نه ؟</w:t>
      </w:r>
    </w:p>
    <w:p>
      <w:pPr>
        <w:pStyle w:val="BookText"/>
        <w:rPr/>
      </w:pPr>
      <w:r>
        <w:rPr>
          <w:rFonts w:ascii="Amiri" w:hAnsi="Amiri" w:eastAsia="Amiri" w:cs="Amiri"/>
          <w:color w:val="111111"/>
          <w:sz w:val="28"/>
          <w:sz w:val="28"/>
          <w:szCs w:val="28"/>
          <w:rtl w:val="true"/>
          <w:lang w:bidi="ar-SA"/>
        </w:rPr>
        <w:t>آيا در اين باب، فرقى ميان عقد دائمى و انقطاعى هست، يا نه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حجّة الإسلام در پاسخ به اين پرسش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كه دأب او بر آن است كه هر مسأله‌اى را با تحليل و بررسى جوانب مختلف آن پاسخ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صورت‌هاى مختلف مسأله و اقوال و عبارات فقها در اين باره را به طور مبسوط بيان داشته است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پايان اميدوارم همان گونه كه ألطاف خداوند و روح عالى و بلند مرتبه جدّ بزرگوارم مرحوم سيّد حجّة الإسلام، تاكنون يار و ياور ما بوده و توفيق تحقيق وتنظيم و نشر بعضى از آثار ايشان را نصيب نموده، إن شاء اللّه در آينده نه چندان دور بتوانيم بقيّه مسائل و رسائل فقهى و اصولى ايشان را با تحقيقى جامع واسلوبى زيبا و شايسته تقديم مشتاقان علم 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گفتنى است كه شرح حالِ مفصّلى از مؤلّف بزرگوار در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بيان المفاخر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قلم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سيّد مصلح الدين مهدوى، نگاشته شده و در دو جلد به چاپ رسيده ؛ لذا ما در اينجا به شرح حال مختصرى از مؤلّف بسنده مى‌كنيم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آخر دعوانا أن الحمد للّه ربّ العالمين، و صلّى اللّه على محمّد وآله الطاهرين، والسلام على عباد اللّه الصالحين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رجب المرّجب </w:t>
      </w:r>
      <w:r>
        <w:rPr>
          <w:rFonts w:eastAsia="IRNazanin" w:cs="IRNazanin"/>
          <w:color w:val="111111"/>
          <w:sz w:val="28"/>
          <w:szCs w:val="28"/>
          <w:lang w:bidi="fa-IR"/>
        </w:rPr>
        <w:t>1443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مدرسه و كتابخانه مسجد سيّد اصفهان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مهدى شفتى </w:t>
      </w:r>
      <w:bookmarkStart w:id="15" w:name="pg7074_66999"/>
    </w:p>
    <w:p>
      <w:pPr>
        <w:pStyle w:val="Heading2"/>
        <w:numPr>
          <w:ilvl w:val="1"/>
          <w:numId w:val="1"/>
        </w:numPr>
        <w:rPr/>
      </w:pPr>
      <w:bookmarkStart w:id="16" w:name="__RefHeading___Toc3387369_372815092"/>
      <w:bookmarkStart w:id="17" w:name="_Toc5"/>
      <w:bookmarkEnd w:id="15"/>
      <w:bookmarkEnd w:id="16"/>
      <w:r>
        <w:rPr>
          <w:rtl w:val="true"/>
        </w:rPr>
        <w:t>زندگى نامه مؤلّف</w:t>
      </w:r>
      <w:bookmarkEnd w:id="17"/>
    </w:p>
    <w:p>
      <w:pPr>
        <w:pStyle w:val="Heading3"/>
        <w:numPr>
          <w:ilvl w:val="2"/>
          <w:numId w:val="1"/>
        </w:numPr>
        <w:rPr/>
      </w:pPr>
      <w:bookmarkStart w:id="18" w:name="__RefHeading___Toc3387371_372815092"/>
      <w:bookmarkStart w:id="19" w:name="_Toc6"/>
      <w:bookmarkEnd w:id="18"/>
      <w:r>
        <w:rPr>
          <w:rtl w:val="true"/>
        </w:rPr>
        <w:t>نام</w:t>
      </w:r>
      <w:bookmarkEnd w:id="19"/>
    </w:p>
    <w:p>
      <w:pPr>
        <w:pStyle w:val="BookText"/>
        <w:rPr/>
      </w:pPr>
      <w:r>
        <w:rPr>
          <w:rFonts w:ascii="Amiri" w:hAnsi="Amiri" w:eastAsia="Amiri" w:cs="Amiri"/>
          <w:color w:val="111111"/>
          <w:sz w:val="28"/>
          <w:sz w:val="28"/>
          <w:szCs w:val="28"/>
          <w:rtl w:val="true"/>
          <w:lang w:bidi="ar-SA"/>
        </w:rPr>
        <w:t xml:space="preserve">عالم و فقيه كامل، محقّق، علاّمه، جامعِ معقول و منقول، مجتهدِ خبير و بصير مرحوم حجّة الإسلام حاج سيّد محمّد باقر موسوى شفتى اصفهانى، از فحول علماى شيعه و مفاخر فقها و مجتهدين اماميّه در سده سيزدهم هجرى است </w:t>
      </w:r>
      <w:r>
        <w:rPr>
          <w:rFonts w:eastAsia="Amiri" w:cs="Amiri" w:ascii="Amiri" w:hAnsi="Amiri"/>
          <w:color w:val="111111"/>
          <w:sz w:val="28"/>
          <w:szCs w:val="28"/>
          <w:rtl w:val="true"/>
          <w:lang w:bidi="ar-SA"/>
        </w:rPr>
        <w:t>.</w:t>
      </w:r>
    </w:p>
    <w:p>
      <w:pPr>
        <w:pStyle w:val="Heading3"/>
        <w:numPr>
          <w:ilvl w:val="2"/>
          <w:numId w:val="1"/>
        </w:numPr>
        <w:rPr/>
      </w:pPr>
      <w:bookmarkStart w:id="20" w:name="__RefHeading___Toc3387373_372815092"/>
      <w:bookmarkStart w:id="21" w:name="_Toc7"/>
      <w:bookmarkEnd w:id="20"/>
      <w:r>
        <w:rPr>
          <w:rtl w:val="true"/>
        </w:rPr>
        <w:t>شهرت</w:t>
      </w:r>
      <w:bookmarkEnd w:id="21"/>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شهرت و لقب مرحوم حاج سيّد محمّد باقر شفتى،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ايشان در بين دانشمندان شيعه نخستين كسى است كه به اين لقب مشهور و معروف شده، البته در قرن سيزدهم چند نفر از ديگر بزرگان هم به اين لقب ناميده شده‌اند، ولى هيچ كدام اهميّت و شهرت و مقام مرحوم سيّد شفتى را نداشته‌اند </w:t>
      </w:r>
      <w:r>
        <w:rPr>
          <w:rFonts w:eastAsia="IRNazanin" w:cs="IRNazanin"/>
          <w:color w:val="111111"/>
          <w:sz w:val="28"/>
          <w:szCs w:val="28"/>
          <w:rtl w:val="true"/>
          <w:lang w:bidi="fa-IR"/>
        </w:rPr>
        <w:t xml:space="preserve">. </w:t>
      </w:r>
      <w:bookmarkStart w:id="22" w:name="pg7074_67000"/>
    </w:p>
    <w:p>
      <w:pPr>
        <w:pStyle w:val="Heading3"/>
        <w:numPr>
          <w:ilvl w:val="2"/>
          <w:numId w:val="1"/>
        </w:numPr>
        <w:rPr/>
      </w:pPr>
      <w:bookmarkStart w:id="23" w:name="__RefHeading___Toc3387375_372815092"/>
      <w:bookmarkStart w:id="24" w:name="_Toc8"/>
      <w:bookmarkEnd w:id="22"/>
      <w:bookmarkEnd w:id="23"/>
      <w:r>
        <w:rPr>
          <w:rtl w:val="true"/>
        </w:rPr>
        <w:t>از نگاه ديگران</w:t>
      </w:r>
      <w:bookmarkEnd w:id="24"/>
    </w:p>
    <w:p>
      <w:pPr>
        <w:pStyle w:val="BookText"/>
        <w:rPr/>
      </w:pPr>
      <w:r>
        <w:rPr>
          <w:rFonts w:ascii="IRNazanin" w:hAnsi="IRNazanin" w:eastAsia="IRNazanin"/>
          <w:color w:val="111111"/>
          <w:sz w:val="28"/>
          <w:sz w:val="28"/>
          <w:szCs w:val="28"/>
          <w:rtl w:val="true"/>
          <w:lang w:bidi="fa-IR"/>
        </w:rPr>
        <w:t xml:space="preserve">درباره شخصيّتِ علمى و اجتماعى فقيه و مرجع بزرگ مرحوم علاّمه حاج سيّد محمّد باقر شفتى، افراد بسيارى ايراد سخن و اظهار عقيده نموده‌اند ؛ عدّه بسيارى به مدح و ستايش وى پرداخته، و بزرگى، علم، زهد، تقوا، فضائل اخلاقى، و خدمات اجتماعى وى را ستوده‌اند ؛ و عدّه اندكى نيز بر وى و برخى از كارهاى او، خرده گرفته و دهان به انتقاد و اعتراض گشوده‌اند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ستايش گرانِ سيّد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تعداد آنها به بيش از صد نفر مى‌رسد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قالب نظم و نثر، و به دو زبان فارسى و عربى، زبان به مدح و ستايشِ وى باز نموده‌اند، كه گزارش و پرداختن به تمامى آن گفته‌ها، خود به نگارش كتابى جداگانه مى‌انجامد، ولى در اينجا براى نمونه تنها به نقل گفتار بعضى از آنها، بسنده مى‌كنيم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حكيم ملاّ على نورى قدس‌سره</w:t>
      </w:r>
    </w:p>
    <w:p>
      <w:pPr>
        <w:pStyle w:val="BookText"/>
        <w:rPr/>
      </w:pPr>
      <w:r>
        <w:rPr>
          <w:rFonts w:ascii="Amiri" w:hAnsi="Amiri" w:eastAsia="Amiri" w:cs="Amiri"/>
          <w:color w:val="111111"/>
          <w:sz w:val="28"/>
          <w:sz w:val="28"/>
          <w:szCs w:val="28"/>
          <w:rtl w:val="true"/>
          <w:lang w:bidi="ar-SA"/>
        </w:rPr>
        <w:t xml:space="preserve">وى در تاييد نظر مرحوم حجّة الإسلام شفتى درباره مسأله‌اى فقهى، او را با اين اوصاف ستوده است </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علاّمة العهد، فقيه العصر، حجّة الطائفة المحقّة، قبلة الكرام البررة، </w:t>
      </w:r>
    </w:p>
    <w:p>
      <w:pPr>
        <w:pStyle w:val="BookText"/>
        <w:rPr/>
      </w:pPr>
      <w:r>
        <w:rPr>
          <w:rFonts w:ascii="Amiri" w:hAnsi="Amiri" w:eastAsia="Amiri" w:cs="Amiri"/>
          <w:color w:val="111111"/>
          <w:sz w:val="28"/>
          <w:sz w:val="28"/>
          <w:szCs w:val="28"/>
          <w:rtl w:val="true"/>
          <w:lang w:bidi="ar-SA"/>
        </w:rPr>
        <w:t xml:space="preserve">الفريد الدهريّ، والوحيد العصريّ، مطاع، واجب الإتباع، معظّم، مجموعة المناقب و المفاخر، آقا سيّد محمّد باقر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دامت بركات فضائله الإنسيّة و شمائله القدسيّة </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آية اللّه حاج محمّد ابراهيم كرباسى</w:t>
      </w:r>
    </w:p>
    <w:p>
      <w:pPr>
        <w:pStyle w:val="BookText"/>
        <w:rPr/>
      </w:pPr>
      <w:r>
        <w:rPr>
          <w:rFonts w:ascii="IRNazanin" w:hAnsi="IRNazanin" w:eastAsia="IRNazanin"/>
          <w:color w:val="111111"/>
          <w:sz w:val="28"/>
          <w:sz w:val="28"/>
          <w:szCs w:val="28"/>
          <w:rtl w:val="true"/>
          <w:lang w:bidi="fa-IR"/>
        </w:rPr>
        <w:t xml:space="preserve">ايشان از بزرگان انديشمندان و فقهاى نامى اصفهان است، كه در علم و زهد و تقوا و دورى از امور دنيوى معروف و مشهور، و داستان‌هاى احتياطِ او در امور شرعيّه، بر سرِ زبان‌ها است و در متن كتاب‌هاى بسيارى ثبت شده، تا آنجا كه مرحوم ميرزا محمّد تنكابنى در شرح زندگانى وى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حاجى كرباسى را اعتقاد آن بود كه اجتهاد در نهايت سختى است، و آنان كه مدّعى اجتهادند، اكثر مجتهد نيستند ؛ و اگر كسى ادّعاى اجتهاد و مرافعه مى‌نمود، حاجى او را تفسيق مى‌كرد </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اين ويژگى‌ها، سخن ايشان درباره سيّد حجّة الإسلام خواندنى است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رسول خدا صلى‌الله‌عليه‌و‌آله در مدينه بود و مردم اصفهان قاضى </w:t>
      </w:r>
    </w:p>
    <w:p>
      <w:pPr>
        <w:pStyle w:val="BookText"/>
        <w:rPr/>
      </w:pPr>
      <w:r>
        <w:rPr>
          <w:rFonts w:ascii="Amiri" w:hAnsi="Amiri" w:eastAsia="Amiri" w:cs="Amiri"/>
          <w:color w:val="111111"/>
          <w:sz w:val="28"/>
          <w:sz w:val="28"/>
          <w:szCs w:val="28"/>
          <w:rtl w:val="true"/>
          <w:lang w:bidi="ar-SA"/>
        </w:rPr>
        <w:t xml:space="preserve">مى‌خواستند، آن حضرت آقا سيّد محمّد باقر را به قضاوت نصب مى‌نمود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علاّمه حاج سيّد محمّد باقر خوانسارى قدس‌سره</w:t>
      </w:r>
    </w:p>
    <w:p>
      <w:pPr>
        <w:pStyle w:val="BookText"/>
        <w:rPr/>
      </w:pPr>
      <w:r>
        <w:rPr>
          <w:rFonts w:ascii="IRNazanin" w:hAnsi="IRNazanin" w:eastAsia="IRNazanin"/>
          <w:color w:val="111111"/>
          <w:sz w:val="28"/>
          <w:sz w:val="28"/>
          <w:szCs w:val="28"/>
          <w:rtl w:val="true"/>
          <w:lang w:bidi="fa-IR"/>
        </w:rPr>
        <w:t xml:space="preserve">ايشان كه سال‌ها در مجلسِ درسِ حجّة الإسلام شفتى قدس‌سره شركت مى‌كرده، و با وى بسيار معاشر و صميمى بوده، در وصفِ آن بزرگوار مى‌فرمايد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حجّة الإسلام دين دار به تمام معنا بود، چنانچه تمامى متديّنان و حافظان و خزينه داران دين، در برابر ديانت او تسليم بودند ؛ بلكه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همه مردم تنها جزئى از ايمان حقيقى وى به شمار مى‌آمد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معتقدم در اثبات حقايق علمى، و براهين عقلى و نقلى، كسى همتاى او نبوده است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محدّث خبير مرحوم حاج شيخ عبّاس قمّى</w:t>
      </w:r>
    </w:p>
    <w:p>
      <w:pPr>
        <w:pStyle w:val="BookText"/>
        <w:rPr/>
      </w:pPr>
      <w:r>
        <w:rPr>
          <w:rFonts w:ascii="IRNazanin" w:hAnsi="IRNazanin" w:eastAsia="IRNazanin"/>
          <w:color w:val="111111"/>
          <w:sz w:val="28"/>
          <w:sz w:val="28"/>
          <w:szCs w:val="28"/>
          <w:rtl w:val="true"/>
          <w:lang w:bidi="fa-IR"/>
        </w:rPr>
        <w:t xml:space="preserve">ايشان مرحوم حجّة الإسلام را اين گونه توصيف مى‌كند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حجّة الإسلام اطلاق مى‌شود نزد شيعه بر سَيّدِ أجل، وحيد الأيّام، </w:t>
      </w:r>
      <w:bookmarkStart w:id="25" w:name="pg7074_67003"/>
    </w:p>
    <w:p>
      <w:pPr>
        <w:pStyle w:val="BookText"/>
        <w:rPr/>
      </w:pPr>
      <w:bookmarkEnd w:id="25"/>
      <w:r>
        <w:rPr>
          <w:rFonts w:ascii="Amiri" w:hAnsi="Amiri" w:eastAsia="Amiri" w:cs="Amiri"/>
          <w:color w:val="111111"/>
          <w:sz w:val="28"/>
          <w:sz w:val="28"/>
          <w:szCs w:val="28"/>
          <w:rtl w:val="true"/>
          <w:lang w:bidi="ar-SA"/>
        </w:rPr>
        <w:t xml:space="preserve">و مقتدى الأنام، سيّد العلماء العظام، سيّد محمّد باقر بن محمّد نقى موسوى شفتى اصفهانى قدس‌سره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جلالت شأنش زياده از آن است كه ذكر شود ؛ در عبادات ومناجات ونوافل و اوراد، حكايات بسيار از آن جناب نقل شده، و فوايدى كه از آن بزرگوار به فقرا و سادات و طلاّب علوم مى‌رسيده، زياده از آن است كه ذكر شود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6" w:name="__RefHeading___Toc3387377_372815092"/>
      <w:bookmarkStart w:id="27" w:name="_Toc9"/>
      <w:bookmarkEnd w:id="26"/>
      <w:r>
        <w:rPr>
          <w:rtl w:val="true"/>
        </w:rPr>
        <w:t>نسب</w:t>
      </w:r>
      <w:bookmarkEnd w:id="27"/>
    </w:p>
    <w:p>
      <w:pPr>
        <w:pStyle w:val="BookText"/>
        <w:rPr/>
      </w:pPr>
      <w:r>
        <w:rPr>
          <w:rFonts w:ascii="IRNazanin" w:hAnsi="IRNazanin" w:eastAsia="IRNazanin"/>
          <w:color w:val="111111"/>
          <w:sz w:val="28"/>
          <w:sz w:val="28"/>
          <w:szCs w:val="28"/>
          <w:rtl w:val="true"/>
          <w:lang w:bidi="fa-IR"/>
        </w:rPr>
        <w:t xml:space="preserve">نسب شريف آن بزرگوار بنا بر آنچه خود در مقدّمه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 الأنوار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با بيست و دو واسطه به امام هفتم حضرت موسى بن جعفر عليهماالسلام مى‌رسد، كه بدين ترتيب است </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 محمّد باقر فرزند محمّد نقى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فرزند محمّد زكى، فرزند محمّد تقى، فرزند شاه قاسم، فرزند مير اشرف، فرزند شاه قاسم، فرزند شاه هدايت، فرزند امير هاشم، فرزند سلطان سيّد على قاضى، فرزند سيّد على، فرزند محمّد، فرزند على، فرزند محمّد، فرزند موسى، فرزند جعفر، فرزند اسماعيل، فرزند احمد، فرزند محمّدِ مجدور، فرزند احمد مجدور، فرزند محمّد أعرابى، فرزند </w:t>
      </w:r>
      <w:bookmarkStart w:id="28" w:name="pg7074_67004"/>
    </w:p>
    <w:p>
      <w:pPr>
        <w:pStyle w:val="BookText"/>
        <w:rPr/>
      </w:pPr>
      <w:bookmarkEnd w:id="28"/>
      <w:r>
        <w:rPr>
          <w:rFonts w:ascii="Amiri" w:hAnsi="Amiri" w:eastAsia="Amiri" w:cs="Amiri"/>
          <w:color w:val="111111"/>
          <w:sz w:val="28"/>
          <w:sz w:val="28"/>
          <w:szCs w:val="28"/>
          <w:rtl w:val="true"/>
          <w:lang w:bidi="ar-SA"/>
        </w:rPr>
        <w:t xml:space="preserve">أبوالقاسم أعرابى، فرزند حمزه، فرزند امامِ هفتم حضرت موسى بن جعفر عليهماالسلام </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9" w:name="__RefHeading___Toc3387379_372815092"/>
      <w:bookmarkStart w:id="30" w:name="_Toc10"/>
      <w:bookmarkEnd w:id="29"/>
      <w:r>
        <w:rPr>
          <w:rtl w:val="true"/>
        </w:rPr>
        <w:t>نياكان</w:t>
      </w:r>
      <w:bookmarkEnd w:id="30"/>
    </w:p>
    <w:p>
      <w:pPr>
        <w:pStyle w:val="BookText"/>
        <w:rPr/>
      </w:pPr>
      <w:r>
        <w:rPr>
          <w:rFonts w:ascii="IRNazanin" w:hAnsi="IRNazanin" w:eastAsia="IRNazanin"/>
          <w:color w:val="111111"/>
          <w:sz w:val="28"/>
          <w:sz w:val="28"/>
          <w:szCs w:val="28"/>
          <w:rtl w:val="true"/>
          <w:lang w:bidi="fa-IR"/>
        </w:rPr>
        <w:t xml:space="preserve">نياكان حجّة الإسلام شفتى قدس‌سره بيشتر از دانشمندان محلّ خود بوده و كلمه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قاضى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دنباله نام يكى از آنها، نشانه مقام و موقعيّت اجتماعى اوست، كه نشان مى‌دهد در حدود قرن دهم و آغاز حكومت و سلطنت پادشاهان صفوى مى‌زيسته است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مرحوم حجّة الإسلام، مرحوم حاج سيّد محمّد 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يكى از روستاهاى زنجان، زندگى مى‌كرده و پيشوايى مردم آن سامان را عهده دار 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خصوصيّات زندگانى او هيچ گونه اطّلاعى در دست نيست، جز آن كه شايد قبل از سال </w:t>
      </w:r>
      <w:r>
        <w:rPr>
          <w:rFonts w:eastAsia="IRNazanin" w:cs="IRNazanin"/>
          <w:color w:val="111111"/>
          <w:sz w:val="28"/>
          <w:szCs w:val="28"/>
          <w:lang w:bidi="fa-IR"/>
        </w:rPr>
        <w:t>1192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در شفت وفات يافته </w:t>
      </w:r>
      <w:r>
        <w:rPr>
          <w:rStyle w:val="FootnoteAnchor"/>
          <w:rtl w:val="true"/>
        </w:rPr>
        <w:footnoteReference w:id="8"/>
      </w:r>
      <w:r>
        <w:rPr>
          <w:rFonts w:ascii="IRNazanin" w:hAnsi="IRNazanin" w:eastAsia="IRNazanin"/>
          <w:color w:val="111111"/>
          <w:sz w:val="28"/>
          <w:sz w:val="28"/>
          <w:szCs w:val="28"/>
          <w:rtl w:val="true"/>
          <w:lang w:bidi="fa-IR"/>
        </w:rPr>
        <w:t xml:space="preserve">؛ و ديگر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فرزند دانشمندى جز سيّد حجّة الإسلام داشته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زكى، كه بزرگتر از حجّة الإسلام بوده است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bookmarkStart w:id="31" w:name="pg7074_67005"/>
    </w:p>
    <w:p>
      <w:pPr>
        <w:pStyle w:val="Heading3"/>
        <w:numPr>
          <w:ilvl w:val="2"/>
          <w:numId w:val="1"/>
        </w:numPr>
        <w:rPr/>
      </w:pPr>
      <w:bookmarkStart w:id="32" w:name="__RefHeading___Toc3387381_372815092"/>
      <w:bookmarkStart w:id="33" w:name="_Toc11"/>
      <w:bookmarkEnd w:id="31"/>
      <w:bookmarkEnd w:id="32"/>
      <w:r>
        <w:rPr>
          <w:rtl w:val="true"/>
        </w:rPr>
        <w:t>تولّد</w:t>
      </w:r>
      <w:bookmarkEnd w:id="33"/>
    </w:p>
    <w:p>
      <w:pPr>
        <w:pStyle w:val="BookText"/>
        <w:rPr/>
      </w:pPr>
      <w:r>
        <w:rPr>
          <w:rFonts w:ascii="IRNazanin" w:hAnsi="IRNazanin" w:eastAsia="IRNazanin"/>
          <w:color w:val="111111"/>
          <w:sz w:val="28"/>
          <w:sz w:val="28"/>
          <w:szCs w:val="28"/>
          <w:rtl w:val="true"/>
          <w:lang w:bidi="fa-IR"/>
        </w:rPr>
        <w:t xml:space="preserve">مرحوم سيّد حجّة الاسلام، ضمنِ جواب مسأله‌اى شرعى كه از ايشان استفتاء شده، 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چنانچه از سوانح ايّام در سال فوت كريم خان، يا سال بعد از آن، خودم در سنّ چهارده يا كمتر، مدّتى در آنجا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قريه دستجرده از توابع طارم عليا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بنا به گفته تاريخ نويسان كه اتّفاق دارند بر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فوت كريم خان در سال </w:t>
      </w:r>
      <w:r>
        <w:rPr>
          <w:rFonts w:eastAsia="IRNazanin" w:cs="IRNazanin"/>
          <w:color w:val="111111"/>
          <w:sz w:val="28"/>
          <w:szCs w:val="28"/>
          <w:lang w:bidi="fa-IR"/>
        </w:rPr>
        <w:t>1193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رخ داده </w:t>
      </w:r>
      <w:r>
        <w:rPr>
          <w:rStyle w:val="FootnoteAnchor"/>
          <w:rtl w:val="true"/>
        </w:rPr>
        <w:footnoteReference w:id="11"/>
      </w:r>
      <w:r>
        <w:rPr>
          <w:rFonts w:ascii="IRNazanin" w:hAnsi="IRNazanin" w:eastAsia="IRNazanin"/>
          <w:color w:val="111111"/>
          <w:sz w:val="28"/>
          <w:sz w:val="28"/>
          <w:szCs w:val="28"/>
          <w:rtl w:val="true"/>
          <w:lang w:bidi="fa-IR"/>
        </w:rPr>
        <w:t xml:space="preserve">، پس سال تولّد سيّد حجّة الإسلام، بايد در سال </w:t>
      </w:r>
      <w:r>
        <w:rPr>
          <w:rFonts w:eastAsia="IRNazanin" w:cs="IRNazanin"/>
          <w:color w:val="111111"/>
          <w:sz w:val="28"/>
          <w:szCs w:val="28"/>
          <w:lang w:bidi="fa-IR"/>
        </w:rPr>
        <w:t>1179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lang w:bidi="fa-IR"/>
        </w:rPr>
        <w:t>1181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اتّفاق افتاده باشد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چنانچه مرحوم علاّمه حاج سيّد محمّد باقر خوانسارى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سيّد حجّة الاسلام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در كتابِ شريف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همين تاريخ اشاره نموده،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حجّة الإسلام در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يا نزديك به آن، در سنّ شانزده يا هفده سالگى به عتبات عاليات مشرّف گرديده است </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 xml:space="preserve">. </w:t>
      </w:r>
      <w:bookmarkStart w:id="34" w:name="pg7074_67006"/>
    </w:p>
    <w:p>
      <w:pPr>
        <w:pStyle w:val="Heading3"/>
        <w:numPr>
          <w:ilvl w:val="2"/>
          <w:numId w:val="1"/>
        </w:numPr>
        <w:rPr/>
      </w:pPr>
      <w:bookmarkStart w:id="35" w:name="__RefHeading___Toc3387383_372815092"/>
      <w:bookmarkStart w:id="36" w:name="_Toc12"/>
      <w:bookmarkEnd w:id="34"/>
      <w:bookmarkEnd w:id="35"/>
      <w:r>
        <w:rPr>
          <w:rtl w:val="true"/>
        </w:rPr>
        <w:t>زادگاه</w:t>
      </w:r>
      <w:bookmarkEnd w:id="36"/>
    </w:p>
    <w:p>
      <w:pPr>
        <w:pStyle w:val="BookText"/>
        <w:rPr/>
      </w:pPr>
      <w:r>
        <w:rPr>
          <w:rFonts w:ascii="IRNazanin" w:hAnsi="IRNazanin" w:eastAsia="IRNazanin"/>
          <w:color w:val="111111"/>
          <w:sz w:val="28"/>
          <w:sz w:val="28"/>
          <w:szCs w:val="28"/>
          <w:rtl w:val="true"/>
          <w:lang w:bidi="fa-IR"/>
        </w:rPr>
        <w:t xml:space="preserve">اين فقيه و عالم فرزانه در يكى از روستاهاى طارم علياى زنجان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چَرْزَه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كه در حدود پنجاه كيلومترى شهر زنجان، و شصت كيلومترى شهر شفت واقع است، در يك خانواده متوسّطِ اصيل و روحانى چشم به جهان گشود، و تا سنّ نزديك به هفت سالگى در همين روستا اقامت گزيد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چرزه از قراى طارم كه در هفت فرسنگى طرف شمال زنجان و هم از مضافات آن است، بوده و چون در اوائل امر خود براى تحصيل به شفت رفته و اندكى توقّف نموده، بدان منسوب شده،، چنان كه حاج شيخ جواد طارمى 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اثنى عشرية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تصريح نموده و ثقات اثبات نيز مرا چنين خبر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بنى اعمام وى هم از سادات حسينيه اينك در اين قريه موجوداند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bookmarkStart w:id="37" w:name="pg7074_67007"/>
    </w:p>
    <w:p>
      <w:pPr>
        <w:pStyle w:val="BookText"/>
        <w:rPr/>
      </w:pPr>
      <w:bookmarkEnd w:id="37"/>
      <w:r>
        <w:rPr>
          <w:rFonts w:ascii="IRNazanin" w:hAnsi="IRNazanin" w:eastAsia="IRNazanin"/>
          <w:color w:val="111111"/>
          <w:sz w:val="28"/>
          <w:sz w:val="28"/>
          <w:szCs w:val="28"/>
          <w:rtl w:val="true"/>
          <w:lang w:bidi="fa-IR"/>
        </w:rPr>
        <w:t xml:space="preserve">وى سپس به اتّفاق پدر و مادر و خانواده خويش به شفت، كه در جنوب غربى شهر رشت واقع است، مهاجرت نمود ؛ علّت اين مهاجرت معلوم نيست، ولى شايد بنا به دعوت مردم شفت از مرحوم آقا سيّد محمّد نقى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مرحوم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سرپرستى امور دينى و امامت جماعت و پيشوايى،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سيّد حجّة الاسلام در شفت تا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اقامت نمود، و در اين مدّت توانست مقدّمات علوم حوزه از صرف و نحو، و ديگر علوم مقدّماتى را نزد پدر عالم و فاضل خويش و استادان آن سامان، به خوبى فرا گيرد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3387385_372815092"/>
      <w:bookmarkStart w:id="39" w:name="_Toc13"/>
      <w:bookmarkEnd w:id="38"/>
      <w:r>
        <w:rPr>
          <w:rtl w:val="true"/>
        </w:rPr>
        <w:t>دوران تحصيل</w:t>
      </w:r>
      <w:bookmarkEnd w:id="39"/>
    </w:p>
    <w:p>
      <w:pPr>
        <w:pStyle w:val="BookText"/>
        <w:rPr/>
      </w:pPr>
      <w:r>
        <w:rPr>
          <w:rFonts w:ascii="IRNazanin" w:hAnsi="IRNazanin" w:eastAsia="IRNazanin"/>
          <w:color w:val="111111"/>
          <w:sz w:val="28"/>
          <w:sz w:val="28"/>
          <w:szCs w:val="28"/>
          <w:rtl w:val="true"/>
          <w:lang w:bidi="fa-IR"/>
        </w:rPr>
        <w:t xml:space="preserve">سيّد حجّة الاسلام پس از فرا گرفتن مقدّمات علوم، در سال </w:t>
      </w:r>
      <w:r>
        <w:rPr>
          <w:rFonts w:eastAsia="IRNazanin" w:cs="IRNazanin"/>
          <w:color w:val="111111"/>
          <w:sz w:val="28"/>
          <w:szCs w:val="28"/>
          <w:lang w:bidi="fa-IR"/>
        </w:rPr>
        <w:t>1197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سنّ شانزده يا هفده سالگى، جهت ادامه تحصيل و تكميل علوم خويش، رهسپار عتبات عاليات در عراق مى‌گردد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زمان توقّف ايشان در اعتاب مقدّسه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كربلا، نجف، و كاظمين، هشت سال به طول مى‌انجامد ؛ مدّت يك سال در شهر مقدّس كربلا به درس اساتيدِ طراز اول و مجتهدين بزرگى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وحيد بهبهانى، و مرحوم حاج سيّد </w:t>
      </w:r>
    </w:p>
    <w:p>
      <w:pPr>
        <w:pStyle w:val="BookText"/>
        <w:rPr/>
      </w:pPr>
      <w:r>
        <w:rPr>
          <w:rFonts w:ascii="IRNazanin" w:hAnsi="IRNazanin" w:eastAsia="IRNazanin"/>
          <w:color w:val="111111"/>
          <w:sz w:val="28"/>
          <w:sz w:val="28"/>
          <w:szCs w:val="28"/>
          <w:rtl w:val="true"/>
          <w:lang w:bidi="fa-IR"/>
        </w:rPr>
        <w:t xml:space="preserve">على طباطبائى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رياض المسائل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شده، پس از آن رهسپار شهر مقدّس و عالم پرورِ نجف مى‌گردد، و نزد استادانى 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بحرالعلوم، و مرحوم كاشف الغطاء، به كسب علم و دانش مى‌پردازد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سال </w:t>
      </w:r>
      <w:r>
        <w:rPr>
          <w:rFonts w:eastAsia="IRNazanin" w:cs="IRNazanin"/>
          <w:color w:val="111111"/>
          <w:sz w:val="28"/>
          <w:szCs w:val="28"/>
          <w:lang w:bidi="fa-IR"/>
        </w:rPr>
        <w:t>1204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علّت ابتلاء به بيمارى استسقاء، براى معالجه به شهر مقدّس كاظمين مهاجرت نموده، و در طول مدّت مداوا، در سنّ بيست و پنج سالگى يا كمتر، نخستين اثر تأليفى خود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الحلية اللاّمعة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شرحى است بسيار علمى و تحقيقى و مفصّل بر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البهجة المرضيّة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جلال الدين سيوطى، را به پايان مى‌رساند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در همين شهر مقدّس از محضر پر فيض علاّمه آقا سيّد محسن أعرجى، بهره‌مند مى‌گردد و در نزد ايشان بحث قضاء و شهادات را مى‌خواند و در همين راستا، دوّمين اثرِ علمى خود را به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به رشته تحرير در مى‌آورد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سرانجام حجّة الإسلام پس از هشت سال تحصيل در شهرهاى مقدّس عراق، در سال </w:t>
      </w:r>
      <w:r>
        <w:rPr>
          <w:rFonts w:eastAsia="IRNazanin" w:cs="IRNazanin"/>
          <w:color w:val="111111"/>
          <w:sz w:val="28"/>
          <w:szCs w:val="28"/>
          <w:lang w:bidi="fa-IR"/>
        </w:rPr>
        <w:t>1205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7"/>
      </w:r>
      <w:r>
        <w:rPr>
          <w:rFonts w:ascii="IRNazanin" w:hAnsi="IRNazanin" w:eastAsia="IRNazanin"/>
          <w:color w:val="111111"/>
          <w:sz w:val="28"/>
          <w:sz w:val="28"/>
          <w:szCs w:val="28"/>
          <w:rtl w:val="true"/>
          <w:lang w:bidi="fa-IR"/>
        </w:rPr>
        <w:t xml:space="preserve">به ايران باز مى‌گردد، و ابتدا مدّت شش ماه در شهر مقدّس قم توقّف كرده، و در اين مدّت كوتاه از محضر مرحوم ميرزاى قمّى قدس‌سره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از بزرگان علماء و مجتهدين آن زمان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بهره‌هاى فراوان مى‌برد </w:t>
      </w:r>
      <w:r>
        <w:rPr>
          <w:rFonts w:eastAsia="IRNazanin" w:cs="IRNazanin"/>
          <w:color w:val="111111"/>
          <w:sz w:val="28"/>
          <w:szCs w:val="28"/>
          <w:rtl w:val="true"/>
          <w:lang w:bidi="fa-IR"/>
        </w:rPr>
        <w:t xml:space="preserve">. </w:t>
      </w:r>
      <w:bookmarkStart w:id="40" w:name="pg7074_67009"/>
    </w:p>
    <w:p>
      <w:pPr>
        <w:pStyle w:val="BookText"/>
        <w:rPr/>
      </w:pPr>
      <w:bookmarkEnd w:id="40"/>
      <w:r>
        <w:rPr>
          <w:rFonts w:ascii="IRNazanin" w:hAnsi="IRNazanin" w:eastAsia="IRNazanin"/>
          <w:color w:val="111111"/>
          <w:sz w:val="28"/>
          <w:sz w:val="28"/>
          <w:szCs w:val="28"/>
          <w:rtl w:val="true"/>
          <w:lang w:bidi="fa-IR"/>
        </w:rPr>
        <w:t xml:space="preserve">او سپس راهى كاشان مى‌شود، و زمانى كوتاه به درس مرحوم ملاّ مهدى نراقى قدس‌سره حاضر مى‌شود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سرانجام پس از گذراندن مراحل دشوار تحصيلى و نيل به مقامات عالى علم و اجتهاد، با كوله بارى از دانش و معرفت و تقوا، در سال </w:t>
      </w:r>
      <w:r>
        <w:rPr>
          <w:rFonts w:eastAsia="IRNazanin" w:cs="IRNazanin"/>
          <w:color w:val="111111"/>
          <w:sz w:val="28"/>
          <w:szCs w:val="28"/>
          <w:lang w:bidi="fa-IR"/>
        </w:rPr>
        <w:t>1206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Style w:val="FootnoteAnchor"/>
          <w:rtl w:val="true"/>
        </w:rPr>
        <w:footnoteReference w:id="18"/>
      </w:r>
      <w:r>
        <w:rPr>
          <w:rFonts w:ascii="IRNazanin" w:hAnsi="IRNazanin" w:eastAsia="IRNazanin"/>
          <w:color w:val="111111"/>
          <w:sz w:val="28"/>
          <w:sz w:val="28"/>
          <w:szCs w:val="28"/>
          <w:rtl w:val="true"/>
          <w:lang w:bidi="fa-IR"/>
        </w:rPr>
        <w:t xml:space="preserve">قدم به شهر اصفهان گذاشته، و بالاخره پس از مدّتى تصميم مى‌گيرد كه در همين شهر سكونت كند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1" w:name="__RefHeading___Toc3387387_372815092"/>
      <w:bookmarkStart w:id="42" w:name="_Toc14"/>
      <w:bookmarkEnd w:id="41"/>
      <w:r>
        <w:rPr>
          <w:rtl w:val="true"/>
        </w:rPr>
        <w:t>استادان</w:t>
      </w:r>
      <w:bookmarkEnd w:id="4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استادان حجّة الإسلام شفتى قدس‌سره در كربلا، نجف، كاظمين، و سپس در قم و كاشان، عبارتند از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حاج ميرزا ابوالقاسم گيلانى قمّى</w:t>
      </w:r>
    </w:p>
    <w:p>
      <w:pPr>
        <w:pStyle w:val="BookText"/>
        <w:rPr/>
      </w:pPr>
      <w:r>
        <w:rPr>
          <w:rFonts w:ascii="IRNazanin" w:hAnsi="IRNazanin" w:eastAsia="IRNazanin"/>
          <w:color w:val="111111"/>
          <w:sz w:val="28"/>
          <w:sz w:val="28"/>
          <w:szCs w:val="28"/>
          <w:rtl w:val="true"/>
          <w:lang w:bidi="fa-IR"/>
        </w:rPr>
        <w:t xml:space="preserve">مدّت زمان تحصيل سيّد حجّة الإسلام نزد مرحوم ميرزاى قمّى شش ماه، و در شهر مقدّس قم بوده، ولى در همين مدّت كوتاه مرحوم حجّة الإسلام بهره‌هاى فراوانى از محضر ميرزاى قمّى مى‌برد، چنانچه به مرحوم علاّمه حاج سيّد محمّد باقر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خويش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 را اظهار داشته،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من در اين مدّت كم، به اندازه تمام مدّت تحصيلم در عتبات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هشت سال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ترقّى كامل حاصل گشت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علاّمه آقا محمّد باقر بهبهانى قدس‌سره</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سيّد حجّة الإسلام در ابتداى تحصيل، نزد مرحوم وحيد بهبهانى، علم اصول فقه را فرا مى‌گيرد ؛ چنانچه خود سيّد در بعضى از اجازه نامه‌هايى كه براى شاگردانش مرقوم فرموده، به اين مطلب تصريح كرده، مى‌فرمايد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ابتداى تحصيل، نزد مرحوم آقا محمّد باقر بهبهانى، كتاب ارزشمندِ 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الفوائد الحائريّة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خواندم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حاج شيخ جعفر نجفى رحمه‌الله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مرحوم حجّة الإسلام از محضر مرحوم كاشف الغطاء در نجف اشرف بسيار استفاده مى‌برد، و موفّق به كسب اجازه از وى نيز مى‌گردد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آخوند ملاّ على نورى مازندرانى رحمه‌الله</w:t>
      </w:r>
    </w:p>
    <w:p>
      <w:pPr>
        <w:pStyle w:val="BookText"/>
        <w:rPr/>
      </w:pPr>
      <w:r>
        <w:rPr>
          <w:rFonts w:ascii="IRNazanin" w:hAnsi="IRNazanin" w:eastAsia="IRNazanin"/>
          <w:color w:val="111111"/>
          <w:sz w:val="28"/>
          <w:sz w:val="28"/>
          <w:szCs w:val="28"/>
          <w:rtl w:val="true"/>
          <w:lang w:bidi="fa-IR"/>
        </w:rPr>
        <w:t xml:space="preserve">وى با ميرزاى قمّى كمال صداقت و ارادت داشته، و در اصفهان به حاجى كرباسى و سيّد حجّة الإسلام ارادت مى‌ورزيده، و پس از فوت ميرزاى قمّى، از سيّد حجّة الإسلام تقليد مى‌كرده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آخوند در ماه رجب سال </w:t>
      </w:r>
      <w:r>
        <w:rPr>
          <w:rFonts w:eastAsia="IRNazanin" w:cs="IRNazanin"/>
          <w:color w:val="111111"/>
          <w:sz w:val="28"/>
          <w:szCs w:val="28"/>
          <w:lang w:bidi="fa-IR"/>
        </w:rPr>
        <w:t>1246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در اصفهان وفات مى‌كند، و مرحوم حجّة الإسلام شفتى بر او نماز مى‌خواند و سپس بدن او به نجف اشرف منتقل، و در عتبه مقدّسه رواق مطهّر، به خاك سپرده مى‌شود </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تراجم نگاران اشاره‌اى به شاگردى مرحوم حجّة الإسلام نزد آخوند ملاّ على نورى نكرده‌اند، تنها 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قصص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سيّد و حاجى كرباسى در سوابق ايّام در خدمت آخوند درس خوانده بودند </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علاّمه حاج سيّد على طباطبائى قدس‌سره</w:t>
      </w:r>
    </w:p>
    <w:p>
      <w:pPr>
        <w:pStyle w:val="BookText"/>
        <w:rPr/>
      </w:pPr>
      <w:r>
        <w:rPr>
          <w:rFonts w:ascii="Amiri" w:hAnsi="Amiri" w:eastAsia="Amiri" w:cs="Amiri"/>
          <w:color w:val="111111"/>
          <w:sz w:val="28"/>
          <w:sz w:val="28"/>
          <w:szCs w:val="28"/>
          <w:rtl w:val="true"/>
          <w:lang w:bidi="ar-SA"/>
        </w:rPr>
        <w:t xml:space="preserve">سيّد حجّة الإسلام در كربلا به درس اين عالم فقيه حاضر شده و از وى بهره فراوان مى‌برد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آية اللّه حاج سيّد محسن اعرجى كاظمينى رحمه‌الله</w:t>
      </w:r>
    </w:p>
    <w:p>
      <w:pPr>
        <w:pStyle w:val="BookText"/>
        <w:rPr/>
      </w:pPr>
      <w:r>
        <w:rPr>
          <w:rFonts w:ascii="IRNazanin" w:hAnsi="IRNazanin" w:eastAsia="IRNazanin"/>
          <w:color w:val="111111"/>
          <w:sz w:val="28"/>
          <w:sz w:val="28"/>
          <w:szCs w:val="28"/>
          <w:rtl w:val="true"/>
          <w:lang w:bidi="fa-IR"/>
        </w:rPr>
        <w:t xml:space="preserve">مرحوم حجّة الإسلام در شهر مقدّس كاظمين، نزد اين عالم فاضل و فقيه زاهد، مبحث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قضاء و شهادات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مى‌خواند، و كتابى هم در اين موضوع، در شهر مقدّس كاظمين مى‌نگارد، كه علاّمه حاج شيخ آقا بزرگ تهرانى قدس‌سره در كتاب ارزشمندِ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الذريعة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نقل از مرحوم آقا سيّد حسن صدر كاظمينى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كتاب از تقريرات درس استادش مرحوم آقا سيّد محسن اعرجى است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علاّمه مجاهد آقا سيّد محمّد طباطبائى قدس‌سره</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كتب تراجم و رجال اشاره‌اى به شاگردى مرحوم سيّد حجّة الإسلام نزد سيّد مجاهد، و يا اجازه داشتن ايشان از وى نشده است، تنها مرحوم حاج سيّد </w:t>
      </w:r>
    </w:p>
    <w:p>
      <w:pPr>
        <w:pStyle w:val="BookText"/>
        <w:rPr/>
      </w:pPr>
      <w:r>
        <w:rPr>
          <w:rFonts w:ascii="IRNazanin" w:hAnsi="IRNazanin" w:eastAsia="IRNazanin"/>
          <w:color w:val="111111"/>
          <w:sz w:val="28"/>
          <w:sz w:val="28"/>
          <w:szCs w:val="28"/>
          <w:rtl w:val="true"/>
          <w:lang w:bidi="fa-IR"/>
        </w:rPr>
        <w:t xml:space="preserve">محمّد شفيع جاپلقى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متوفّى </w:t>
      </w:r>
      <w:r>
        <w:rPr>
          <w:rFonts w:eastAsia="IRNazanin" w:cs="IRNazanin"/>
          <w:color w:val="111111"/>
          <w:sz w:val="28"/>
          <w:szCs w:val="28"/>
          <w:lang w:bidi="fa-IR"/>
        </w:rPr>
        <w:t>1280</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از شاگردان سيّد حجّة الإسلام رحمه‌الله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اجازه نامه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الروضة البهيّة في الطرق الشفيعيّة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شرح حال حجّة الإسلام، نامِ استادان ايشان را آورده و مى‌نويسد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على السيّد الأستاد آقا سيّد محمّد أيضًا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علاّمه حاج سيّد محمّد مهدى طباطبائى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بحرالعلوم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مرحوم حجّة الإسلام شفتى در نجف اشرف به درس مرحوم سيّد بحرالعلوم حاضر مى‌شود، و مدّت زيادى از محضر او استفاده مى‌برد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اجازاتش به شاگردى خود نزد سيّد بحرالعلوم تصريح كرده و او را چنين ستوده است </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زبدة العلماء المحدّثين، و عمدة الفضلاء المتبحّرين، أعلم علماء الزمان، مربّي علماء الأعيان، سلطان العلماء العاملين، برهان أهل الحقّ واليقين، ناموس شريعة جدّه سيّد المرسلين، سيّدنا و أستادنا السيّد محمّد مهدي الطباطبائيّ النجفيّ مسكنًا و مدفنًا </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 xml:space="preserve">. </w:t>
      </w:r>
      <w:bookmarkStart w:id="43" w:name="pg7074_67014"/>
    </w:p>
    <w:p>
      <w:pPr>
        <w:pStyle w:val="BookText"/>
        <w:rPr/>
      </w:pPr>
      <w:bookmarkEnd w:id="43"/>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ملاّ محمّد مهدى نراقى</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معارف الرجال </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مى‌نويسد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مرحوم حجّة الإسلام شفتى در كاشان به درس مرحوم ملاّ محمّد مهدى نراقى حاضر شد </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3387389_372815092"/>
      <w:bookmarkStart w:id="45" w:name="_Toc15"/>
      <w:bookmarkEnd w:id="44"/>
      <w:r>
        <w:rPr>
          <w:rtl w:val="true"/>
        </w:rPr>
        <w:t>مشايخ اجازه</w:t>
      </w:r>
      <w:bookmarkEnd w:id="45"/>
    </w:p>
    <w:p>
      <w:pPr>
        <w:pStyle w:val="BookText"/>
        <w:rPr/>
      </w:pPr>
      <w:r>
        <w:rPr>
          <w:rFonts w:ascii="IRNazanin" w:hAnsi="IRNazanin" w:eastAsia="IRNazanin"/>
          <w:color w:val="111111"/>
          <w:sz w:val="28"/>
          <w:sz w:val="28"/>
          <w:szCs w:val="28"/>
          <w:rtl w:val="true"/>
          <w:lang w:bidi="fa-IR"/>
        </w:rPr>
        <w:t xml:space="preserve">مرحوم علاّمه حاج سيّد محمّد باقر خوانسارى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مبرّز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روضات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مى‌نويسد </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الإسلام به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روزگار كه به كسب كمال مى‌پرداختم، انگيزه‌اى براى گرفتن اجازه از اساتيدِ خود نداشتم، و مانند بعضى كه خواهان رياست بودند، در اين انديشه شب را به روز نمى‌آوردم، با آنكه روش برخورد استادان با من به گونه‌اى بود كه انتظار داشتند از آنان كسب اجازه نمايم، و آنها نيز بى‌درنگ و به محض اظهارِ من، خواسته مرا اجابت مى‌كردند ؛ به همين مناسبت از اجازه روايتِ مروّج بهبهانى، و ساير دانشمندان زمانِ او محروم ماندم، اى كاش چنان بى‌نيازى را در خود احساس </w:t>
      </w:r>
    </w:p>
    <w:p>
      <w:pPr>
        <w:pStyle w:val="BookText"/>
        <w:rPr/>
      </w:pPr>
      <w:r>
        <w:rPr>
          <w:rFonts w:ascii="IRNazanin" w:hAnsi="IRNazanin" w:eastAsia="IRNazanin"/>
          <w:color w:val="111111"/>
          <w:sz w:val="28"/>
          <w:sz w:val="28"/>
          <w:szCs w:val="28"/>
          <w:rtl w:val="true"/>
          <w:lang w:bidi="fa-IR"/>
        </w:rPr>
        <w:t xml:space="preserve">نمى‌كردم، و اين رويّه را سيره خود قرار نداده بودم، تا امروز اين گونه محروميّت نصيب من نمى‌شد </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هر صورت، حجّة الإسلام شفتى قدس‌سره از شش تن از مجتهدان بزرگ زمانِ خويش اجازه دريافت كرد، كه عبارتند از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مرحوم حاج ميرزا ابوالقاسم قمّى گيلانى</w:t>
      </w:r>
    </w:p>
    <w:p>
      <w:pPr>
        <w:pStyle w:val="BookText"/>
        <w:rPr/>
      </w:pPr>
      <w:r>
        <w:rPr>
          <w:rFonts w:ascii="IRNazanin" w:hAnsi="IRNazanin" w:eastAsia="IRNazanin"/>
          <w:color w:val="111111"/>
          <w:sz w:val="28"/>
          <w:sz w:val="28"/>
          <w:szCs w:val="28"/>
          <w:rtl w:val="true"/>
          <w:lang w:bidi="fa-IR"/>
        </w:rPr>
        <w:t xml:space="preserve">مرحوم محقّق قمّى در اجازه‌اى كه در چندين صفحه تنظيم شده، و نگارش آن شب عيد فطر سال </w:t>
      </w:r>
      <w:r>
        <w:rPr>
          <w:rFonts w:eastAsia="IRNazanin" w:cs="IRNazanin"/>
          <w:color w:val="111111"/>
          <w:sz w:val="28"/>
          <w:szCs w:val="28"/>
          <w:lang w:bidi="fa-IR"/>
        </w:rPr>
        <w:t>1215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پايان يافته، علاوه بر اجازه نقل روايت، گواهى بر اجتهاد، نبوغ علمى، و زهد و تقواى حجّة الإسلام نيز داده است </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سيّد محمّد مهدى موسوى شهرستانى</w:t>
      </w:r>
    </w:p>
    <w:p>
      <w:pPr>
        <w:pStyle w:val="BookText"/>
        <w:rPr/>
      </w:pPr>
      <w:r>
        <w:rPr>
          <w:rFonts w:ascii="Amiri" w:hAnsi="Amiri" w:eastAsia="Amiri" w:cs="Amiri"/>
          <w:color w:val="111111"/>
          <w:sz w:val="28"/>
          <w:sz w:val="28"/>
          <w:szCs w:val="28"/>
          <w:rtl w:val="true"/>
          <w:lang w:bidi="ar-SA"/>
        </w:rPr>
        <w:t xml:space="preserve">مرحوم شهرستانى در اجازه يك صفحه‌اى خود به سيّد حجّة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به تاريخِ اواخر رمضان سال </w:t>
      </w:r>
      <w:r>
        <w:rPr>
          <w:rFonts w:eastAsia="Amiri" w:cs="Amiri" w:ascii="Amiri" w:hAnsi="Amiri"/>
          <w:color w:val="111111"/>
          <w:sz w:val="28"/>
          <w:szCs w:val="28"/>
          <w:lang w:bidi="ar-SA"/>
        </w:rPr>
        <w:t>1211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مى‌باشد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وى را به اين اوصاف ستوده </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العالم الفاضل الجليل الكامل، مولانا الأكرم الأمجد، الولد الروحانيّ </w:t>
      </w:r>
    </w:p>
    <w:p>
      <w:pPr>
        <w:pStyle w:val="BookText"/>
        <w:rPr/>
      </w:pPr>
      <w:r>
        <w:rPr>
          <w:rFonts w:ascii="Amiri" w:hAnsi="Amiri" w:eastAsia="Amiri" w:cs="Amiri"/>
          <w:color w:val="111111"/>
          <w:sz w:val="28"/>
          <w:sz w:val="28"/>
          <w:szCs w:val="28"/>
          <w:rtl w:val="true"/>
          <w:lang w:bidi="ar-SA"/>
        </w:rPr>
        <w:t xml:space="preserve">السيّد محمّد باقر بن السيّد محمّد نقي الشفتيّ الجيلانيّ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آية اللّه شيخ جعفر نجفى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كاشف الغطاء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الإسلام شفتى قدس‌سره در اجازه‌اى كه براى سيّد قوام الدين قزوينى مرقوم فرموده، مرحوم نجفى را از مشايخ خود شمرده و در وصف او مى‌نويسد </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البحر الزاخر والبدر الباهر، الجامع للمحاسن والمفاخر، العالم العامل والفاضل الكامل، شيخنا المعظّم المكرم، ملاذ العرب والعجم، معدن الفضائل الجليلة، ناهج المناهج السويّة، بالغ المقاصد العليّة، مهذّب الأحكام الإلهيّة، ناشر المآثر الجعفريّة، باسط المحسّنات الدينيّة، شيخنا و عمادنا الشيخ جعفر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اللّه تعالى مرقده و أفاض على مضجعه المراحم الربّانيّة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أمير سيّد على طباطبائى حائرى</w:t>
      </w:r>
    </w:p>
    <w:p>
      <w:pPr>
        <w:pStyle w:val="BookText"/>
        <w:rPr/>
      </w:pPr>
      <w:r>
        <w:rPr>
          <w:rFonts w:ascii="Amiri" w:hAnsi="Amiri" w:eastAsia="Amiri" w:cs="Amiri"/>
          <w:color w:val="111111"/>
          <w:sz w:val="28"/>
          <w:sz w:val="28"/>
          <w:szCs w:val="28"/>
          <w:rtl w:val="true"/>
          <w:lang w:bidi="ar-SA"/>
        </w:rPr>
        <w:t xml:space="preserve">ايشان از مشايخ اجازه مرحوم سيّد حجّة الإسلام بوده، و سيّد در اجازات خود، وى را با اين اوصاف ستوده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شمس فلك الإفادة والإفاضة، بدر سماء المجد و العزّ و السعادة، محيي قواعد الشريعة الغرّاء، مقنّن قوانين الإجتهاد في الملّة البيضاء، فخر المجتهدين، ملاذ العلماء العاملين، ملجأ الفقهاء الكاملين، سيّدنا و أستاذنا العليّ العالي الأمير السيّد علي الطباطبائيّ الحائريّ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سيّد محسن أعرجى بغدادى</w:t>
      </w:r>
    </w:p>
    <w:p>
      <w:pPr>
        <w:pStyle w:val="BookText"/>
        <w:rPr/>
      </w:pPr>
      <w:r>
        <w:rPr>
          <w:rFonts w:ascii="IRNazanin" w:hAnsi="IRNazanin" w:eastAsia="IRNazanin"/>
          <w:color w:val="111111"/>
          <w:sz w:val="28"/>
          <w:sz w:val="28"/>
          <w:szCs w:val="28"/>
          <w:rtl w:val="true"/>
          <w:lang w:bidi="fa-IR"/>
        </w:rPr>
        <w:t xml:space="preserve">مرحوم حجّة الإسلام در اجازاتش، از وى چنين ياد مى‌كند </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سيّدنا التقي النقي الوفي الورع العابد العالم الزكي، قدوة العباد والزهّاد والنسّاك، مولانا العماد السيّد الجليل السعيد النبيل سيّدنا السيّد محسن البغداديّ </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 xml:space="preserve">. </w:t>
      </w:r>
      <w:bookmarkStart w:id="46" w:name="pg7074_67018"/>
    </w:p>
    <w:p>
      <w:pPr>
        <w:pStyle w:val="BookText"/>
        <w:rPr/>
      </w:pPr>
      <w:bookmarkEnd w:id="46"/>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شيخ سليمان عاملى كاظمينى</w:t>
      </w:r>
    </w:p>
    <w:p>
      <w:pPr>
        <w:pStyle w:val="BookText"/>
        <w:rPr/>
      </w:pPr>
      <w:r>
        <w:rPr>
          <w:rFonts w:ascii="IRNazanin" w:hAnsi="IRNazanin" w:eastAsia="IRNazanin"/>
          <w:color w:val="111111"/>
          <w:sz w:val="28"/>
          <w:sz w:val="28"/>
          <w:szCs w:val="28"/>
          <w:rtl w:val="true"/>
          <w:lang w:bidi="fa-IR"/>
        </w:rPr>
        <w:t xml:space="preserve">حجّة الإسلام شفتى در اجازه‌اى كه براى سيّد قوام الدين قزوينى نوشته، او را از مشايخ خود شمرده و از وى چنين ياد مى‌كند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العالم العامل الكامل شيخنا المعظّم المكرّم الشيخ سليمان بن الشيخ المعتوق العاملي </w:t>
      </w:r>
      <w:r>
        <w:rPr>
          <w:rFonts w:eastAsia="Amiri" w:cs="Amiri" w:ascii="Amiri" w:hAnsi="Amiri"/>
          <w:color w:val="111111"/>
          <w:sz w:val="28"/>
          <w:szCs w:val="28"/>
          <w:rtl w:val="true"/>
          <w:lang w:bidi="ar-SA"/>
        </w:rPr>
        <w:t xml:space="preserve">»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 w:name="__RefHeading___Toc3387391_372815092"/>
      <w:bookmarkStart w:id="48" w:name="_Toc16"/>
      <w:bookmarkEnd w:id="47"/>
      <w:r>
        <w:rPr>
          <w:rtl w:val="true"/>
        </w:rPr>
        <w:t>ويژگى‌هاى اخلاقى</w:t>
      </w:r>
      <w:bookmarkEnd w:id="48"/>
    </w:p>
    <w:p>
      <w:pPr>
        <w:pStyle w:val="BookText"/>
        <w:rPr/>
      </w:pPr>
      <w:r>
        <w:rPr>
          <w:rFonts w:ascii="IRNazanin" w:hAnsi="IRNazanin" w:eastAsia="IRNazanin"/>
          <w:color w:val="111111"/>
          <w:sz w:val="28"/>
          <w:sz w:val="28"/>
          <w:szCs w:val="28"/>
          <w:rtl w:val="true"/>
          <w:lang w:bidi="fa-IR"/>
        </w:rPr>
        <w:t xml:space="preserve">مرحوم علاّمه خوانسارى، از شاگردان مرحوم حجّة الإسلام، درباره خصوصيّات اخلاقى و رفتارى استاد خويش مى‌نويسد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نرمى و ملايمت آن قدر اخلاقش لطيف و ملايم بود كه من اخلاق او را هميشه به اخلاق جدّ بزرگوارش حضرت محمّد صلى‌الله‌عليه‌و‌آله تشبيه مى‌كردم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حلم و بردبارى او را حليم‌ترين افراد در مقام فرو بردن خشم و غيظِ خود ديدم </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صبر و تحمّل به گونه‌اى بود كه بيشتر از همه بر نفس خويش تسلّط داشت، و مانند كوهى مقابل اندوه‌ها و مشكلات پا بر جا بود، و هرگز تزلزل و ضعف در وجود او راه پيدا نمى‌كرد </w:t>
      </w:r>
      <w:r>
        <w:rPr>
          <w:rFonts w:eastAsia="IRNazanin" w:cs="IRNazanin"/>
          <w:color w:val="111111"/>
          <w:sz w:val="28"/>
          <w:szCs w:val="28"/>
          <w:rtl w:val="true"/>
          <w:lang w:bidi="fa-IR"/>
        </w:rPr>
        <w:t xml:space="preserve">. </w:t>
      </w:r>
      <w:bookmarkStart w:id="49" w:name="pg7074_67019"/>
    </w:p>
    <w:p>
      <w:pPr>
        <w:pStyle w:val="BookText"/>
        <w:rPr/>
      </w:pPr>
      <w:bookmarkEnd w:id="49"/>
      <w:r>
        <w:rPr>
          <w:rFonts w:ascii="IRNazanin" w:hAnsi="IRNazanin" w:eastAsia="IRNazanin"/>
          <w:color w:val="111111"/>
          <w:sz w:val="28"/>
          <w:sz w:val="28"/>
          <w:szCs w:val="28"/>
          <w:rtl w:val="true"/>
          <w:lang w:bidi="fa-IR"/>
        </w:rPr>
        <w:t xml:space="preserve">در صفاى نفس و وسعت نظر به گونه‌اى بود كه اگر بسيارى از اشخاص و يا بستگان و برادران او در مقام قطع ارتباط با او بودند، او هميشه در برقرارى روابط با آنها و احسان به آنها كوشا بود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توجّه و رعايت آداب عرفى و حسن معاشرت، يگانه روزگار بود، و همه در برابر بزرگوارى و خوش رفتارى او خاضع بودند </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3387393_372815092"/>
      <w:bookmarkStart w:id="51" w:name="_Toc17"/>
      <w:bookmarkEnd w:id="50"/>
      <w:r>
        <w:rPr>
          <w:rtl w:val="true"/>
        </w:rPr>
        <w:t>سخاوت</w:t>
      </w:r>
      <w:bookmarkEnd w:id="51"/>
    </w:p>
    <w:p>
      <w:pPr>
        <w:pStyle w:val="BookText"/>
        <w:rPr/>
      </w:pPr>
      <w:r>
        <w:rPr>
          <w:rFonts w:ascii="IRNazanin" w:hAnsi="IRNazanin" w:eastAsia="IRNazanin"/>
          <w:color w:val="111111"/>
          <w:sz w:val="28"/>
          <w:sz w:val="28"/>
          <w:szCs w:val="28"/>
          <w:rtl w:val="true"/>
          <w:lang w:bidi="fa-IR"/>
        </w:rPr>
        <w:t xml:space="preserve">سخن از سخاوت مرحوم حجّة الإسلام و بخشش‌هاى بسيار او، تنها به اين مختصر تمام نمى‌شود، بلكه نياز به تاليف كتابى جداگانه دارد، ولى براى نمونه در اينجا به سخن چند تن از بزرگان درباره كرم و بخشش سيّد حجّة الإسلام، و نيز نمونه‌اى از بخشش‌هاى وى اشاره مى‌كنيم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علاّمه حاج سيّد محمّد باقر خوانسارى در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روضات الجنّات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مى‌فرمايد </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حجّة الإسلام در جود و بخشش به پايه‌اى بود كه مى‌توان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موجودات در گرو احسانِ او بوده، و او از علم و مال و مقام نسبت به هيچ يك از نيازمندان دريغ نمى‌داشت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 xml:space="preserve">. </w:t>
      </w:r>
      <w:bookmarkStart w:id="52" w:name="pg7074_67020"/>
    </w:p>
    <w:p>
      <w:pPr>
        <w:pStyle w:val="BookText"/>
        <w:rPr/>
      </w:pPr>
      <w:bookmarkEnd w:id="52"/>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مرحوم ميرزا محمّد على مدرّس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فوائدى كه از وى به سادات و فقرا و طلاّب علوم دينيّه عائد مى‌گرديد، خارج از حدِّ احصا مى‌باشد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3387395_372815092"/>
      <w:bookmarkStart w:id="54" w:name="_Toc18"/>
      <w:bookmarkEnd w:id="53"/>
      <w:r>
        <w:rPr>
          <w:rtl w:val="true"/>
        </w:rPr>
        <w:t>عبادت</w:t>
      </w:r>
      <w:bookmarkEnd w:id="54"/>
    </w:p>
    <w:p>
      <w:pPr>
        <w:pStyle w:val="BookText"/>
        <w:rPr/>
      </w:pPr>
      <w:r>
        <w:rPr>
          <w:rFonts w:ascii="IRNazanin" w:hAnsi="IRNazanin" w:eastAsia="IRNazanin"/>
          <w:color w:val="111111"/>
          <w:sz w:val="28"/>
          <w:sz w:val="28"/>
          <w:szCs w:val="28"/>
          <w:rtl w:val="true"/>
          <w:lang w:bidi="fa-IR"/>
        </w:rPr>
        <w:t xml:space="preserve">عبادت حجّة الإسلام حاج سيّد محمّد باقر شفتى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گونه‌اى بود كه از نصف شب تا به صبح به گريه و زارى و تضرّع اشتغال داشته و در صحن كتابخانه‌اش مانند ديوانگان مى‌گرديد و دعا مى‌خواند، و تا صبح بر سر و سينه‌اش مى‌زد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وى در اواخر زندگانى آن قدر گريسته بود و ناله و بى‌قرارى كرده بود كه او را باد فتق عارض شده بود، و اطبّا هر چه معالجه كردند، مفيد واقع نشد، تا اينكه او را از گريه منع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بر تو حرام است، پس هر زمان كه به مسجد مى‌رفت، ذاكرين تا او نشسته بود بر بالاى منبر نمى‌رفتند، مگر زمانى كه از مسجد بيرون مى‌آمد </w:t>
      </w:r>
      <w:r>
        <w:rPr>
          <w:rFonts w:eastAsia="IRNazanin" w:cs="IRNazanin"/>
          <w:color w:val="111111"/>
          <w:sz w:val="28"/>
          <w:szCs w:val="28"/>
          <w:rtl w:val="true"/>
          <w:lang w:bidi="fa-IR"/>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مرحوم آية اللّه سيّد حسن صدر كاظمى از پدر خود نقل مى‌كند كه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گوشه‌هاى چشم حجّة الإسلام از اثر </w:t>
      </w:r>
      <w:bookmarkStart w:id="55" w:name="pg7074_67021"/>
    </w:p>
    <w:p>
      <w:pPr>
        <w:pStyle w:val="BookText"/>
        <w:rPr/>
      </w:pPr>
      <w:bookmarkEnd w:id="55"/>
      <w:r>
        <w:rPr>
          <w:rFonts w:ascii="IRNazanin" w:hAnsi="IRNazanin" w:eastAsia="IRNazanin"/>
          <w:color w:val="111111"/>
          <w:sz w:val="28"/>
          <w:sz w:val="28"/>
          <w:szCs w:val="28"/>
          <w:rtl w:val="true"/>
          <w:lang w:bidi="fa-IR"/>
        </w:rPr>
        <w:t xml:space="preserve">كثرت گريه كردن در مقام تهجّد مجروح شده بود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6" w:name="__RefHeading___Toc3387397_372815092"/>
      <w:bookmarkStart w:id="57" w:name="_Toc19"/>
      <w:bookmarkEnd w:id="56"/>
      <w:r>
        <w:rPr>
          <w:rtl w:val="true"/>
        </w:rPr>
        <w:t>شاگردان</w:t>
      </w:r>
      <w:bookmarkEnd w:id="57"/>
    </w:p>
    <w:p>
      <w:pPr>
        <w:pStyle w:val="BookText"/>
        <w:rPr/>
      </w:pPr>
      <w:r>
        <w:rPr>
          <w:rFonts w:ascii="IRNazanin" w:hAnsi="IRNazanin" w:eastAsia="IRNazanin"/>
          <w:color w:val="111111"/>
          <w:sz w:val="28"/>
          <w:sz w:val="28"/>
          <w:szCs w:val="28"/>
          <w:rtl w:val="true"/>
          <w:lang w:bidi="fa-IR"/>
        </w:rPr>
        <w:t xml:space="preserve">از ثمرات مجلس درس حجّة الإسلام شفتى، مى‌توان به تربيت و تعليم شاگردانى اشاره كرد كه هر يك مرجعِ عصر خويش گرديدند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محقّق نامدار مرحوم سيّد مصلح الدين مهدوى، در كتاب ارزشمندِ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بيان المفاخر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آن را در شرح زندگانى سيّد حجّة الإسلام نگاشته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و شرح زندگانى يكصد و چهل وهشت نفر از شاگردان سيّد حجّة الإسلام را آورده است</w:t>
      </w:r>
      <w:r>
        <w:rPr>
          <w:rFonts w:eastAsia="IRNazanin" w:cs="IRNazanin"/>
          <w:color w:val="111111"/>
          <w:sz w:val="28"/>
          <w:szCs w:val="28"/>
          <w:rtl w:val="true"/>
          <w:lang w:bidi="fa-IR"/>
        </w:rPr>
        <w:t>.</w:t>
      </w:r>
    </w:p>
    <w:p>
      <w:pPr>
        <w:pStyle w:val="Heading3"/>
        <w:numPr>
          <w:ilvl w:val="2"/>
          <w:numId w:val="1"/>
        </w:numPr>
        <w:rPr/>
      </w:pPr>
      <w:bookmarkStart w:id="58" w:name="__RefHeading___Toc3387399_372815092"/>
      <w:bookmarkStart w:id="59" w:name="_Toc20"/>
      <w:bookmarkEnd w:id="58"/>
      <w:r>
        <w:rPr>
          <w:rtl w:val="true"/>
        </w:rPr>
        <w:t>داورى</w:t>
      </w:r>
      <w:bookmarkEnd w:id="59"/>
    </w:p>
    <w:p>
      <w:pPr>
        <w:pStyle w:val="BookText"/>
        <w:rPr/>
      </w:pPr>
      <w:r>
        <w:rPr>
          <w:rFonts w:ascii="IRNazanin" w:hAnsi="IRNazanin" w:eastAsia="IRNazanin"/>
          <w:color w:val="111111"/>
          <w:sz w:val="28"/>
          <w:sz w:val="28"/>
          <w:szCs w:val="28"/>
          <w:rtl w:val="true"/>
          <w:lang w:bidi="fa-IR"/>
        </w:rPr>
        <w:t xml:space="preserve">سيّد حجّة الاسلام، چنان چه معاصر او مرحوم وفا زوّاره‌اى در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تذكره مآثر الباقريّة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 روز تشريف فرماى مَدْرَسِ مقدّس مى‌شوند ، روز دوشنبه را به مرافعه ، و روز چهارشنبه را به شنيدن اشعار شعرا اختصاص مى‌دادند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bookmarkStart w:id="60" w:name="pg7074_67022"/>
    </w:p>
    <w:p>
      <w:pPr>
        <w:pStyle w:val="BookText"/>
        <w:rPr/>
      </w:pPr>
      <w:bookmarkEnd w:id="60"/>
      <w:r>
        <w:rPr>
          <w:rFonts w:ascii="IRNazanin" w:hAnsi="IRNazanin" w:eastAsia="IRNazanin"/>
          <w:color w:val="111111"/>
          <w:sz w:val="28"/>
          <w:sz w:val="28"/>
          <w:szCs w:val="28"/>
          <w:rtl w:val="true"/>
          <w:lang w:bidi="fa-IR"/>
        </w:rPr>
        <w:t xml:space="preserve">حجّة الإسلام شفتى قدس‌سره در امور قضايى، از فراست عجيبى برخوردار بود ؛ به گونه‌اى كه حيله‌ها، تزويرها، و سند سازى‌هاى عجيب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آن زمان‌ها متداول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محضر وى كارگر نمى‌افتاد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ملاّ محمّد تنكابنى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شاگردان مرحوم حجّة الإسلام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قضاوت وى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احكامِ ايشان در نهايتِ اتقان و استوارى بود، و در حكم دادن بسيار دقّت مى‌فرمود، و مرافعات را طول مى‌داد، و گاهى اتّفاق مى‌افتاد كه يك مرافعه و نزاع ميانِ دو نفر را مدّت يك سال، يا كمتر و يا بيشتر، به تأخير مى‌انداخت، و تا يقين به حقيقتِ موضوعى حاصل نمى‌كرد، حكم صادر نمى‌فرمود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جناب در امرِ قضاوت فراست و زيركى عجيب داشت ؛ چنانكه فقها در كتابِ قضاوت، فراست را يكى از صفاتِ قاضى شمرده‌اند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1" w:name="__RefHeading___Toc3387401_372815092"/>
      <w:bookmarkStart w:id="62" w:name="_Toc21"/>
      <w:bookmarkEnd w:id="61"/>
      <w:r>
        <w:rPr>
          <w:rtl w:val="true"/>
        </w:rPr>
        <w:t>اجراى حدود الهى</w:t>
      </w:r>
      <w:bookmarkEnd w:id="6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مير سيّد على جناب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متوفّاى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درباره اجراى حدود توسط مرحوم حجّة الإسلام شفتى، مى‌نويسد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ديگر مسأله اجراى حدود او بوده است، كه مهمترين عبادات خود آن را مى‌دانسته، حتّى وقتى جهت استسقاء جمعيّت از شهر به منزل او رفته بودند، كه به اتّفاق بروند در مسجد مصلاّى تخت فولاد، سيّد مردم را به بهانه‌اى متفرّق مى‌كند و يك نفر سارق كه در آن وقت محكوم به بريده شدن دست بوده است، حاضر مى‌سازد و با قلم و مركّب حدّ بريدن را روى دستِ سارق معيّن كرده، به مباشر اين قبيل امور خود حكم مى‌كند تا مى‌بُرَد ؛ اتّفاقًا در آن نزديكى هم باران مى‌آيد و موافق مى‌شود با عقيده سيّد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حدود باعث نزول رحمت است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اينجا لازم به ذكر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اجراى حدّ شرعى به دست خودِ مرحوم حجّة الإسلام، تنها يك يا دو مرتبه گزارش شده، و بقيّه موارد را مباشرين و عاملانِ سيّد به عهده مى‌گرفتند </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چنانچه حكايت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حجّة الإسلام پس از اجراى حدّ، به پيروى از جدّ بزرگوارِ خود مولى الموحّدين حضرت أميرالمؤمنين على عليه‌السلام، بر جنازه و پيكرِ كشته شدگان، نماز مى‌خواند، و در حالِ نماز به راز و نياز با معبودِ خويش پرداخته، از براى آنها طلبِ عفو و بخشش مى‌نمود، و گاه هم در بينِ نماز از شدّت گريه غش مى‌كرد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 xml:space="preserve">. </w:t>
      </w:r>
      <w:bookmarkStart w:id="63" w:name="pg7074_67024"/>
    </w:p>
    <w:p>
      <w:pPr>
        <w:pStyle w:val="Heading3"/>
        <w:numPr>
          <w:ilvl w:val="2"/>
          <w:numId w:val="1"/>
        </w:numPr>
        <w:rPr/>
      </w:pPr>
      <w:bookmarkStart w:id="64" w:name="__RefHeading___Toc3387403_372815092"/>
      <w:bookmarkStart w:id="65" w:name="_Toc22"/>
      <w:bookmarkEnd w:id="63"/>
      <w:bookmarkEnd w:id="64"/>
      <w:r>
        <w:rPr>
          <w:rtl w:val="true"/>
        </w:rPr>
        <w:t>سفر به مكّه</w:t>
      </w:r>
      <w:bookmarkEnd w:id="65"/>
    </w:p>
    <w:p>
      <w:pPr>
        <w:pStyle w:val="BookText"/>
        <w:rPr/>
      </w:pPr>
      <w:r>
        <w:rPr>
          <w:rFonts w:ascii="Amiri" w:hAnsi="Amiri" w:eastAsia="Amiri" w:cs="Amiri"/>
          <w:color w:val="111111"/>
          <w:sz w:val="28"/>
          <w:sz w:val="28"/>
          <w:szCs w:val="28"/>
          <w:rtl w:val="true"/>
          <w:lang w:bidi="ar-SA"/>
        </w:rPr>
        <w:t xml:space="preserve">بنا به فرموده خودِ حجّة الإسلام قدس‌سره در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مناسك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ايشان در سال </w:t>
      </w:r>
      <w:r>
        <w:rPr>
          <w:rFonts w:eastAsia="Amiri" w:cs="Amiri" w:ascii="Amiri" w:hAnsi="Amiri"/>
          <w:color w:val="111111"/>
          <w:sz w:val="28"/>
          <w:szCs w:val="28"/>
          <w:lang w:bidi="ar-SA"/>
        </w:rPr>
        <w:t>1231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از راه دريا مشرّف به مكّه معظّمه شده </w:t>
      </w:r>
      <w:r>
        <w:rPr>
          <w:rStyle w:val="FootnoteAnchor"/>
          <w:rtl w:val="true"/>
        </w:rPr>
        <w:footnoteReference w:id="45"/>
      </w:r>
      <w:r>
        <w:rPr>
          <w:rFonts w:ascii="IRNazanin" w:hAnsi="IRNazanin" w:eastAsia="IRNazanin"/>
          <w:color w:val="111111"/>
          <w:sz w:val="28"/>
          <w:sz w:val="28"/>
          <w:szCs w:val="28"/>
          <w:rtl w:val="true"/>
          <w:lang w:bidi="fa-IR"/>
        </w:rPr>
        <w:t xml:space="preserve">، و پس از زيارتِ حرمين شريفين، به زيارت اعتاب مقدّسه ائمّه عليهم‌السلام در عراق مشرّف مى‌گردد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علماء و شعراى گيلان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زيارت حجّ ايشان معروف است كه دو هزار شيعه در ركابش به حجّ مشرّف شدند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مرحوم سيّد حجّة الاسلام در اين سفرِ روحانى، خدمات شايسته‌اى انجام مى‌دهد، كه عبارتند از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حدود طواف</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تعيين حدود عرفات</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 ستاندن زمين‌هاى فدك و واگذارى آن به سادات مدينه </w:t>
      </w:r>
      <w:bookmarkStart w:id="66" w:name="pg7074_67025"/>
    </w:p>
    <w:p>
      <w:pPr>
        <w:pStyle w:val="Heading3"/>
        <w:numPr>
          <w:ilvl w:val="2"/>
          <w:numId w:val="1"/>
        </w:numPr>
        <w:rPr/>
      </w:pPr>
      <w:bookmarkStart w:id="67" w:name="__RefHeading___Toc3387405_372815092"/>
      <w:bookmarkStart w:id="68" w:name="_Toc23"/>
      <w:bookmarkEnd w:id="66"/>
      <w:bookmarkEnd w:id="67"/>
      <w:r>
        <w:rPr>
          <w:rtl w:val="true"/>
        </w:rPr>
        <w:t>آثار علمى</w:t>
      </w:r>
      <w:bookmarkEnd w:id="68"/>
    </w:p>
    <w:p>
      <w:pPr>
        <w:pStyle w:val="BookText"/>
        <w:rPr/>
      </w:pPr>
      <w:r>
        <w:rPr>
          <w:rFonts w:ascii="IRNazanin" w:hAnsi="IRNazanin" w:eastAsia="IRNazanin"/>
          <w:color w:val="111111"/>
          <w:sz w:val="28"/>
          <w:sz w:val="28"/>
          <w:szCs w:val="28"/>
          <w:rtl w:val="true"/>
          <w:lang w:bidi="fa-IR"/>
        </w:rPr>
        <w:t xml:space="preserve">مرحوم حجّة الإسلام شفتى قدس‌سره آثار ارزشمندِ قلمى بسيارى از خود به يادگار گذاشت، كه به بيش از هفتاد عنوان كتاب و رساله در موضوعات مختلف مى‌رسد، كه تاكنون مورد استفاده و بهره بردارى دانشمندان علوم دينى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بعضى از تأليفات حجّة الإسلام شفتى قدس‌سره عبارتند از </w:t>
      </w:r>
      <w:r>
        <w:rPr>
          <w:rFonts w:eastAsia="Amiri" w:cs="Amiri" w:ascii="Amiri" w:hAnsi="Amiri"/>
          <w:color w:val="111111"/>
          <w:sz w:val="28"/>
          <w:szCs w:val="28"/>
          <w:rtl w:val="true"/>
          <w:lang w:bidi="ar-SA"/>
        </w:rPr>
        <w:t>:</w:t>
      </w:r>
    </w:p>
    <w:p>
      <w:pPr>
        <w:pStyle w:val="Heading3"/>
        <w:numPr>
          <w:ilvl w:val="2"/>
          <w:numId w:val="1"/>
        </w:numPr>
        <w:rPr/>
      </w:pPr>
      <w:bookmarkStart w:id="69" w:name="__RefHeading___Toc3387407_372815092"/>
      <w:bookmarkStart w:id="70" w:name="_Toc24"/>
      <w:bookmarkEnd w:id="69"/>
      <w:r>
        <w:rPr>
          <w:rtl w:val="true"/>
        </w:rPr>
        <w:t>فقه</w:t>
      </w:r>
      <w:bookmarkEnd w:id="70"/>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مَطَالِعُ الأَنْوَار في شَرحِ شَرَائِع الإِسْلام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تُحْفَةُ الأَبْرَار المُلْتَقط مِن آثَارِ الأئمَّةِ الأَطهَار</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المصباح الشارقة في الصلاة</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سؤال و جواب</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إقامة الحدود في زمن الغيبة</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نماز شب و فضيلت آن</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قضاء و شهادات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مناسك حجّ</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اشتراط القبض في الوقف</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اراضى خراجيه</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احكام غُساله</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القِدْرية</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تقليد از مجتهد ميّت</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 بر رساله تعيين سلام سوّم در نافله</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مقبوليّت قولِ زن در عدم وجود مانع براى ازدواج</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احكام شك و سهو در نماز</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جواز هبه ولى مدّت را در ازدواج موقّت</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شرحِ جوابِ بعضى از مسائل</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كيفيّت زيارت عاشورا</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حرمت محارمِ موطوء بر واطى</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حكم عقد با خواهر زوجه مطلّقه</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ثبوت زنا و لواط به اقرار نزد حاكم </w:t>
      </w:r>
      <w:bookmarkStart w:id="71" w:name="pg7074_67027"/>
    </w:p>
    <w:p>
      <w:pPr>
        <w:pStyle w:val="BookText"/>
        <w:rPr/>
      </w:pPr>
      <w:bookmarkEnd w:id="71"/>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ولايت حاكم بر بالغه غير رشيده</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نمازِ استيجارى</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تعيين آية الكرسى</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طهارت عرق جُنب از حرام</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حكم نماز در پوست دبّاغى شده مرده</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نمازِ جمعه</w:t>
      </w:r>
    </w:p>
    <w:p>
      <w:pPr>
        <w:pStyle w:val="Heading3"/>
        <w:numPr>
          <w:ilvl w:val="2"/>
          <w:numId w:val="1"/>
        </w:numPr>
        <w:rPr/>
      </w:pPr>
      <w:bookmarkStart w:id="72" w:name="__RefHeading___Toc3387409_372815092"/>
      <w:bookmarkStart w:id="73" w:name="_Toc25"/>
      <w:bookmarkEnd w:id="72"/>
      <w:r>
        <w:rPr>
          <w:rtl w:val="true"/>
        </w:rPr>
        <w:t>أصول فقه</w:t>
      </w:r>
      <w:bookmarkEnd w:id="73"/>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الزهرة البارقة لمعرفة أحوال المجاز والحقيقة</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رسالة في الاستصحاب</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اصول معالم الدين</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تهذيب الوصول</w:t>
      </w:r>
    </w:p>
    <w:p>
      <w:pPr>
        <w:pStyle w:val="Heading3"/>
        <w:numPr>
          <w:ilvl w:val="2"/>
          <w:numId w:val="1"/>
        </w:numPr>
        <w:rPr/>
      </w:pPr>
      <w:bookmarkStart w:id="74" w:name="__RefHeading___Toc3387411_372815092"/>
      <w:bookmarkStart w:id="75" w:name="_Toc26"/>
      <w:bookmarkEnd w:id="74"/>
      <w:r>
        <w:rPr>
          <w:rtl w:val="true"/>
        </w:rPr>
        <w:t>حديث</w:t>
      </w:r>
      <w:bookmarkEnd w:id="7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حاشيه بر فروع كافى </w:t>
      </w:r>
      <w:bookmarkStart w:id="76" w:name="pg7074_67028"/>
    </w:p>
    <w:p>
      <w:pPr>
        <w:pStyle w:val="BookText"/>
        <w:rPr/>
      </w:pPr>
      <w:bookmarkEnd w:id="76"/>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وافى</w:t>
      </w:r>
    </w:p>
    <w:p>
      <w:pPr>
        <w:pStyle w:val="Heading3"/>
        <w:numPr>
          <w:ilvl w:val="2"/>
          <w:numId w:val="1"/>
        </w:numPr>
        <w:rPr/>
      </w:pPr>
      <w:bookmarkStart w:id="77" w:name="__RefHeading___Toc3387413_372815092"/>
      <w:bookmarkStart w:id="78" w:name="_Toc27"/>
      <w:bookmarkEnd w:id="77"/>
      <w:r>
        <w:rPr>
          <w:rtl w:val="true"/>
        </w:rPr>
        <w:t>رجال</w:t>
      </w:r>
      <w:bookmarkEnd w:id="78"/>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أبان بن عثمان، و اصحاب اجماع</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إبراهيم بن هاشم</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أبو بصير</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أحمد بن محمّد بن خالد برقى</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أحمد بن محمّد بن عيسى قمّى</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إسحاق بن عمّار ساباطى</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حسين بن خالد</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حماد بن عيسى جهنى</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سهل بن زياد آدمى رازى</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بيانِ حكمِ رواياتِ شهاب بن عبد ربّه</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بررسى احوال عبدالحميد بن سالم عطار، و فرزندش محمّد</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تحقيق و بررسى احوال عمر بن يزيد </w:t>
      </w:r>
      <w:bookmarkStart w:id="79" w:name="pg7074_67029"/>
    </w:p>
    <w:p>
      <w:pPr>
        <w:pStyle w:val="BookText"/>
        <w:rPr/>
      </w:pPr>
      <w:bookmarkEnd w:id="79"/>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محمّد بن إسماعيل</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بررسى احوال محمّد بن أحمد، كه از عمركى روايت مى‌كند</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محمّد بن خالد برقى</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محمّد بن سنان</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محمّد بن الفضيل</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تحقيق و بررسى احوال محمّد بن عيسى يقطينى</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بررسى احوال اشخاص ملقّب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جيلويه</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اتّحاد معاوية بن شريح، با معاوية بن ميسره</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بيان مقصود از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عدّة من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بعضى اسانيد كافى</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كتاب فهرست</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حاشيه بر رجال شيخ طوسى</w:t>
      </w:r>
    </w:p>
    <w:p>
      <w:pPr>
        <w:pStyle w:val="Heading3"/>
        <w:numPr>
          <w:ilvl w:val="2"/>
          <w:numId w:val="1"/>
        </w:numPr>
        <w:rPr/>
      </w:pPr>
      <w:bookmarkStart w:id="80" w:name="__RefHeading___Toc3387415_372815092"/>
      <w:bookmarkStart w:id="81" w:name="_Toc28"/>
      <w:bookmarkEnd w:id="80"/>
      <w:r>
        <w:rPr>
          <w:rtl w:val="true"/>
        </w:rPr>
        <w:t>كلام</w:t>
      </w:r>
      <w:bookmarkEnd w:id="81"/>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اصول دين</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سؤال و جواب درباره شيخيّه </w:t>
      </w:r>
      <w:bookmarkStart w:id="82" w:name="pg7074_67030"/>
    </w:p>
    <w:p>
      <w:pPr>
        <w:pStyle w:val="Heading3"/>
        <w:numPr>
          <w:ilvl w:val="2"/>
          <w:numId w:val="1"/>
        </w:numPr>
        <w:rPr/>
      </w:pPr>
      <w:bookmarkStart w:id="83" w:name="__RefHeading___Toc3387417_372815092"/>
      <w:bookmarkStart w:id="84" w:name="_Toc29"/>
      <w:bookmarkEnd w:id="82"/>
      <w:bookmarkEnd w:id="83"/>
      <w:r>
        <w:rPr>
          <w:rtl w:val="true"/>
        </w:rPr>
        <w:t>نحو</w:t>
      </w:r>
      <w:bookmarkEnd w:id="84"/>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الحلية اللاّمعة للبهجة المرضيّة</w:t>
      </w:r>
    </w:p>
    <w:p>
      <w:pPr>
        <w:pStyle w:val="Heading3"/>
        <w:numPr>
          <w:ilvl w:val="2"/>
          <w:numId w:val="1"/>
        </w:numPr>
        <w:rPr/>
      </w:pPr>
      <w:bookmarkStart w:id="85" w:name="__RefHeading___Toc3387419_372815092"/>
      <w:bookmarkStart w:id="86" w:name="_Toc30"/>
      <w:bookmarkEnd w:id="85"/>
      <w:r>
        <w:rPr>
          <w:rtl w:val="true"/>
        </w:rPr>
        <w:t>ساخت مسجدى بزرگ</w:t>
      </w:r>
      <w:bookmarkEnd w:id="86"/>
    </w:p>
    <w:p>
      <w:pPr>
        <w:pStyle w:val="BookText"/>
        <w:rPr/>
      </w:pPr>
      <w:r>
        <w:rPr>
          <w:rFonts w:ascii="IRNazanin" w:hAnsi="IRNazanin" w:eastAsia="IRNazanin"/>
          <w:color w:val="111111"/>
          <w:sz w:val="28"/>
          <w:sz w:val="28"/>
          <w:szCs w:val="28"/>
          <w:rtl w:val="true"/>
          <w:lang w:bidi="fa-IR"/>
        </w:rPr>
        <w:t xml:space="preserve">يكى از آثار خير و خدمات مرحوم حجّة الإسلام شفتى، بناى تاريخى و بسيار بزرگ و زيباى مسجد سيّد اصفهان مى‌باشد، كه نويسندگان به مناسبت از عظمت و شكوهِ آن ياد نموده‌اند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مرحوم ميرزا حسن خان جابرى انصارى، درباره مسجد سيّد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بناى جامع بيدآباد، بر علوّ همّتش فرياد مى‌زند، زيرا مساجد بزرگ را شاهان متعدّد ساخته‌اند، و اين مسجد را آن پادشاهِ علماء به تنهايى كفالت فرمود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87" w:name="__RefHeading___Toc3387421_372815092"/>
      <w:bookmarkStart w:id="88" w:name="_Toc31"/>
      <w:bookmarkEnd w:id="87"/>
      <w:r>
        <w:rPr>
          <w:rtl w:val="true"/>
        </w:rPr>
        <w:t>فرزندان</w:t>
      </w:r>
      <w:bookmarkEnd w:id="88"/>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حجّة الإسلام شفتى داراى هشت پسر و چند دختر بوده، كه دو تن از </w:t>
      </w:r>
    </w:p>
    <w:p>
      <w:pPr>
        <w:pStyle w:val="BookText"/>
        <w:rPr/>
      </w:pPr>
      <w:r>
        <w:rPr>
          <w:rFonts w:ascii="Amiri" w:hAnsi="Amiri" w:eastAsia="Amiri" w:cs="Amiri"/>
          <w:color w:val="111111"/>
          <w:sz w:val="28"/>
          <w:sz w:val="28"/>
          <w:szCs w:val="28"/>
          <w:rtl w:val="true"/>
          <w:lang w:bidi="ar-SA"/>
        </w:rPr>
        <w:t xml:space="preserve">فرزندان او به نام‌هاى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آقا سيّد هاشم و آقا سيّد ابوالقاسم، در ايّام حياتِ وى از دنيا رخت بر مى‌بندند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شش فرزند ديگر سيّد عبارتند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مرحوم علاّمه حاج سيّد أسد اللّه</w:t>
      </w:r>
    </w:p>
    <w:p>
      <w:pPr>
        <w:pStyle w:val="BookText"/>
        <w:rPr/>
      </w:pPr>
      <w:r>
        <w:rPr>
          <w:rFonts w:ascii="IRNazanin" w:hAnsi="IRNazanin" w:eastAsia="IRNazanin"/>
          <w:color w:val="111111"/>
          <w:sz w:val="28"/>
          <w:sz w:val="28"/>
          <w:szCs w:val="28"/>
          <w:rtl w:val="true"/>
          <w:lang w:bidi="fa-IR"/>
        </w:rPr>
        <w:t>شرح زندگانى اين عالم فقيه و محقّق عالى قدر، در اينجا و به چند كلمه خلاصه نمى‌شود، بلكه شايسته است در اين زمينه كتابى جداگانه نگاشته شود</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شمّه‌اى از زندگى نامه او چنين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وى فرزند ششم از هشت فرزندِ حجّة الإسلام، و اعلم اولاد ايشان بوده، ولادتش در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1228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سال‌ها در نجف اشرف از محضر مرحوم حاج شيخ محمّد حسن نجفى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جواهر الكلام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كرده، و موفّق به كسب اجازه از وى مى‌شود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حجّة الإسلام اين بزرگوار را بسيار دوست مى‌داشته و مردم را به متابعت و تجليل او امر مى‌فرموده ، و او را از جهت قوّت نظر و قدرت استنباط بر فخرالمحقّقين فرزند علاّمه حلّى، ترجيح مى‌داده است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از مرحوم حاج سيّد اسد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معروف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تأليفات وتصنيفات بسيارى به جا مانده، كه در اينجا به نام تعدادى از آنها اشاره مى‌كنيم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كتابى در امامت </w:t>
      </w:r>
      <w:r>
        <w:rPr>
          <w:rStyle w:val="FootnoteAnchor"/>
          <w:rtl w:val="true"/>
        </w:rPr>
        <w:footnoteReference w:id="5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كتابى درباره امام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اللّه تعالى فرجه الشريف </w:t>
      </w:r>
      <w:r>
        <w:rPr>
          <w:rFonts w:eastAsia="Amiri" w:cs="Amiri" w:ascii="Amiri" w:hAnsi="Amiri"/>
          <w:color w:val="111111"/>
          <w:sz w:val="28"/>
          <w:szCs w:val="28"/>
          <w:rtl w:val="true"/>
          <w:lang w:bidi="ar-SA"/>
        </w:rPr>
        <w:t xml:space="preserve">- </w:t>
      </w:r>
      <w:r>
        <w:rPr>
          <w:rStyle w:val="FootnoteAnchor"/>
          <w:rtl w:val="true"/>
        </w:rPr>
        <w:footnoteReference w:id="5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تقليد</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رساله در تقليد ميّت</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حواشى بر نخبه مرحوم حاج محمّد ابراهيم كرباسى</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رسائل رجاليّه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رسائل فقهيّه</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شرح شرائع الإسلام</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رساله در احكام خمر و عصير </w:t>
      </w:r>
      <w:r>
        <w:rPr>
          <w:rStyle w:val="FootnoteAnchor"/>
          <w:rtl w:val="true"/>
        </w:rPr>
        <w:footnoteReference w:id="52"/>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رساله در استصحاب</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منتخب الصحاح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 xml:space="preserve">اين اثرِ ارزشمند در يك جلد، به سال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 توسّط انتشارات كتابخانه مسجد سيّد اصفهان، به چاپ رسيد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حواشى بر تحفة الأبرار پدر بزرگوارش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رمز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حاج سيّد اسداللّه سرانجام در شبِ يك شنبه، آخرِ ماه جمادي الثانية سال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كرند </w:t>
      </w:r>
      <w:r>
        <w:rPr>
          <w:rFonts w:eastAsia="Amiri" w:cs="Amiri" w:ascii="Amiri" w:hAnsi="Amiri"/>
          <w:color w:val="111111"/>
          <w:sz w:val="28"/>
          <w:szCs w:val="28"/>
          <w:rtl w:val="true"/>
          <w:lang w:bidi="ar-SA"/>
        </w:rPr>
        <w:t xml:space="preserve">» </w:t>
      </w:r>
      <w:r>
        <w:rPr>
          <w:rStyle w:val="FootnoteAnchor"/>
          <w:rtl w:val="true"/>
        </w:rPr>
        <w:footnoteReference w:id="54"/>
      </w:r>
      <w:r>
        <w:rPr>
          <w:rFonts w:ascii="IRNazanin" w:hAnsi="IRNazanin" w:eastAsia="IRNazanin"/>
          <w:color w:val="111111"/>
          <w:sz w:val="28"/>
          <w:sz w:val="28"/>
          <w:szCs w:val="28"/>
          <w:rtl w:val="true"/>
          <w:lang w:bidi="fa-IR"/>
        </w:rPr>
        <w:t xml:space="preserve">وفات يافته ؛ بدن آن بزرگوار را پس از انتقال به نجف اشرف، در اتاقِ سمت راستِ وارده شونده به صحن مطهّر حضرت أميرالمؤمنين علىّ عليه‌السلام از درب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مقابل قبر مرحوم علاّمه حاج شيخ مرتضى انصارى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خاك مى‌سپارند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مير محمّد مهدى</w:t>
      </w:r>
    </w:p>
    <w:p>
      <w:pPr>
        <w:pStyle w:val="BookText"/>
        <w:rPr/>
      </w:pPr>
      <w:r>
        <w:rPr>
          <w:rFonts w:ascii="Amiri" w:hAnsi="Amiri" w:eastAsia="Amiri" w:cs="Amiri"/>
          <w:color w:val="111111"/>
          <w:sz w:val="28"/>
          <w:sz w:val="28"/>
          <w:szCs w:val="28"/>
          <w:rtl w:val="true"/>
          <w:lang w:bidi="ar-SA"/>
        </w:rPr>
        <w:t xml:space="preserve">در تذكرة القبور مى‌نويسد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دم ارسى رو به مسجد كه قدرى بلند بسته است، قبر مير محمّد مهدى پسر بزرگ مرحوم حجّة الإسلام ، كه از اهل علم و فضل بوده ، مى‌باشد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آقا سيّد مؤمن</w:t>
      </w:r>
    </w:p>
    <w:p>
      <w:pPr>
        <w:pStyle w:val="BookText"/>
        <w:rPr/>
      </w:pPr>
      <w:r>
        <w:rPr>
          <w:rFonts w:ascii="IRNazanin" w:hAnsi="IRNazanin" w:eastAsia="IRNazanin"/>
          <w:color w:val="111111"/>
          <w:sz w:val="28"/>
          <w:sz w:val="28"/>
          <w:szCs w:val="28"/>
          <w:rtl w:val="true"/>
          <w:lang w:bidi="fa-IR"/>
        </w:rPr>
        <w:t xml:space="preserve">در تذكرة القبور گويد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اهل علم و فضل بوده و بعد از مرحوم حاج سيّد اسداللّه مرجع رياست بيدآباد و امام مسجد و پناه خلق به او مى‌رسد ؛ او تدريس هم داشته، و بعد از مرحوم حاج سيّد اسداللّه اعلم و افقه از ديگر فرزندان سيّد حجّة الإسلام بوده است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از شاگردان مرحوم علاّمه حاج شيخ مرتضى انصارى قدس‌سره بوده و از تأليفاتش كتابى است در فقه به 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الأقوال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آن را عالمانه و با </w:t>
      </w:r>
    </w:p>
    <w:p>
      <w:pPr>
        <w:pStyle w:val="BookText"/>
        <w:rPr/>
      </w:pPr>
      <w:r>
        <w:rPr>
          <w:rFonts w:ascii="IRNazanin" w:hAnsi="IRNazanin" w:eastAsia="IRNazanin"/>
          <w:color w:val="111111"/>
          <w:sz w:val="28"/>
          <w:sz w:val="28"/>
          <w:szCs w:val="28"/>
          <w:rtl w:val="true"/>
          <w:lang w:bidi="fa-IR"/>
        </w:rPr>
        <w:t xml:space="preserve">استدلال و بسيار مبسوط نوشته و در آن تنها به احكام نماز پرداخته است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وى سرانجام در دوّم ماه رمضان سال </w:t>
      </w:r>
      <w:r>
        <w:rPr>
          <w:rFonts w:eastAsia="IRNazanin" w:cs="IRNazanin"/>
          <w:color w:val="111111"/>
          <w:sz w:val="28"/>
          <w:szCs w:val="28"/>
          <w:lang w:bidi="fa-IR"/>
        </w:rPr>
        <w:t>1294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وفات يافت ؛ قبرِ وى طرف پائين پاى پدرش مرحوم حجّة الإسلام است، قدرى رو به جلو، و سنگ نشانى كمى بالاتر قرار گرفته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 سيّد محمّد على</w:t>
      </w:r>
    </w:p>
    <w:p>
      <w:pPr>
        <w:pStyle w:val="BookText"/>
        <w:rPr/>
      </w:pPr>
      <w:r>
        <w:rPr>
          <w:rFonts w:ascii="IRNazanin" w:hAnsi="IRNazanin" w:eastAsia="IRNazanin"/>
          <w:color w:val="111111"/>
          <w:sz w:val="28"/>
          <w:sz w:val="28"/>
          <w:szCs w:val="28"/>
          <w:rtl w:val="true"/>
          <w:lang w:bidi="fa-IR"/>
        </w:rPr>
        <w:t xml:space="preserve">تولّد وى سال </w:t>
      </w:r>
      <w:r>
        <w:rPr>
          <w:rFonts w:eastAsia="IRNazanin" w:cs="IRNazanin"/>
          <w:color w:val="111111"/>
          <w:sz w:val="28"/>
          <w:szCs w:val="28"/>
          <w:lang w:bidi="fa-IR"/>
        </w:rPr>
        <w:t>1227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بوده، چنانچه فرزندش مرحوم سيّد محمّد مهدى در كتابِ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غرقاب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ضمن شرح حال او مى‌نويسد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شعبانِ سال </w:t>
      </w:r>
      <w:r>
        <w:rPr>
          <w:rFonts w:eastAsia="IRNazanin" w:cs="IRNazanin"/>
          <w:color w:val="111111"/>
          <w:sz w:val="28"/>
          <w:szCs w:val="28"/>
          <w:lang w:bidi="fa-IR"/>
        </w:rPr>
        <w:t>1282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وفات يافت در حالى كه پنجاه و پنج سال داشت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وى را در كنارِ برادرش مرحوم مير محمّد مهدى، در مقبره مرحوم حجّة الاسلام به خاك مى‌سپارند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تذكرة القبور مى‌نويسد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اهل علم و فضل بوده و صبح در مسجد سيّد به اقامه جماعت مى‌پرداخته، و نقل عبادت و تقوى از او مى‌شود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در كتابخانه آيت اللّه مرعشى نجفى در قم، مجموعه‌اى به شماره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1995</w:t>
      </w:r>
      <w:r>
        <w:rPr>
          <w:rFonts w:eastAsia="Amiri" w:cs="Amiri" w:ascii="Amiri" w:hAnsi="Amiri"/>
          <w:color w:val="111111"/>
          <w:sz w:val="28"/>
          <w:szCs w:val="28"/>
          <w:rtl w:val="true"/>
          <w:lang w:bidi="ar-SA"/>
        </w:rPr>
        <w:t xml:space="preserve"> </w:t>
      </w:r>
      <w:r>
        <w:rPr>
          <w:rStyle w:val="FootnoteAnchor"/>
          <w:rtl w:val="true"/>
        </w:rPr>
        <w:footnoteReference w:id="60"/>
      </w:r>
      <w:r>
        <w:rPr>
          <w:rFonts w:ascii="IRNazanin" w:hAnsi="IRNazanin" w:eastAsia="IRNazanin"/>
          <w:color w:val="111111"/>
          <w:sz w:val="28"/>
          <w:sz w:val="28"/>
          <w:szCs w:val="28"/>
          <w:rtl w:val="true"/>
          <w:lang w:bidi="fa-IR"/>
        </w:rPr>
        <w:t xml:space="preserve">، مى‌باشد، كه شامل چهار رساله از تأليفات مرحوم حاج سيّد محمّد على بدين شرح است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إتلاف العبد مال المولى و جنايته عليه</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الصلاة في المكان المغصوب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الوصايا </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اللمعة الدمشقيّة </w:t>
      </w:r>
      <w:r>
        <w:rPr>
          <w:rStyle w:val="FootnoteAnchor"/>
          <w:rtl w:val="true"/>
        </w:rPr>
        <w:footnoteReference w:id="62"/>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آغاز اين مجموعه اجازه نامه مرحوم آية اللّه حاج شيخ محمّد حسن نجفى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جواهر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مرحوم حاج سيّد محمّد على، آمده است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حاج سيّد محمّد جعفر</w:t>
      </w:r>
    </w:p>
    <w:p>
      <w:pPr>
        <w:pStyle w:val="BookText"/>
        <w:rPr/>
      </w:pPr>
      <w:r>
        <w:rPr>
          <w:rFonts w:ascii="IRNazanin" w:hAnsi="IRNazanin" w:eastAsia="IRNazanin"/>
          <w:color w:val="111111"/>
          <w:sz w:val="28"/>
          <w:sz w:val="28"/>
          <w:szCs w:val="28"/>
          <w:rtl w:val="true"/>
          <w:lang w:bidi="fa-IR"/>
        </w:rPr>
        <w:t xml:space="preserve">وى از رؤساى انديشمند در محلّه بيدآباد اصفهان بوده، كه پس از فوتِ برادرِ عالمِ خود مرحوم آقا سيّد مؤمن، رياست و عنوان كلّى يافت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وى در مسجد سيّد تعميرات اساسى انجام داده و قسمت عمده كاشيكارى مسجد در زمان توليت ايشان بوده است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كتاب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معجم رجال الفكر والأدب </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 xml:space="preserve">، اين رساله‌ها از تأليفات وى شمرده شده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اجتماع امر و نهى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اصالة البراءة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التعادل والتراجيح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حجّيّة الاستصحاب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حجّيّة القطع والظنّ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وى در روز عاشوراء سال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 در مسافرت عتبات، در كربلا وفات يافته، در نجف اشرف در كنار برادرِ خود مرحوم علاّمه حاج سيّد اسد اللّه، مدفون گرديد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آقا سيّد زين العابدين</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عالم و فاضل بوده، و در شورش مردم اصفهان در سال </w:t>
      </w:r>
      <w:r>
        <w:rPr>
          <w:rFonts w:eastAsia="IRNazanin" w:cs="IRNazanin"/>
          <w:color w:val="111111"/>
          <w:sz w:val="28"/>
          <w:szCs w:val="28"/>
          <w:lang w:bidi="fa-IR"/>
        </w:rPr>
        <w:t>1265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كه مردمِ بى‌پناه به او پناه بردند، از دستگاه حكومت ظلم‌ها كشيده و ستم‌ها ديده است </w:t>
      </w:r>
      <w:r>
        <w:rPr>
          <w:rFonts w:eastAsia="IRNazanin" w:cs="IRNazanin"/>
          <w:color w:val="111111"/>
          <w:sz w:val="28"/>
          <w:szCs w:val="28"/>
          <w:rtl w:val="true"/>
          <w:lang w:bidi="fa-IR"/>
        </w:rPr>
        <w:t xml:space="preserve">. </w:t>
      </w:r>
      <w:bookmarkStart w:id="89" w:name="pg7074_67038"/>
    </w:p>
    <w:p>
      <w:pPr>
        <w:pStyle w:val="BookText"/>
        <w:rPr/>
      </w:pPr>
      <w:bookmarkEnd w:id="89"/>
      <w:r>
        <w:rPr>
          <w:rFonts w:ascii="Amiri" w:hAnsi="Amiri" w:eastAsia="Amiri" w:cs="Amiri"/>
          <w:color w:val="111111"/>
          <w:sz w:val="28"/>
          <w:sz w:val="28"/>
          <w:szCs w:val="28"/>
          <w:rtl w:val="true"/>
          <w:lang w:bidi="ar-SA"/>
        </w:rPr>
        <w:t xml:space="preserve">علاّمه تهرانى رحمه‌الله درباره او مى‌نويسد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اهل فضل و علم و كمال و شهرت و وجاهت و اعتبار بوده و قبل از برادرش حاج سيّد اسداللّه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وفات يافته است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قبر وى جلو قبر سيّد حجّة الاسلام، رو به دم ارسى قرار دارد </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90" w:name="__RefHeading___Toc3387423_372815092"/>
      <w:bookmarkStart w:id="91" w:name="_Toc32"/>
      <w:bookmarkEnd w:id="90"/>
      <w:r>
        <w:rPr>
          <w:rtl w:val="true"/>
        </w:rPr>
        <w:t>درگذشت</w:t>
      </w:r>
      <w:bookmarkEnd w:id="91"/>
    </w:p>
    <w:p>
      <w:pPr>
        <w:pStyle w:val="BookText"/>
        <w:rPr/>
      </w:pPr>
      <w:r>
        <w:rPr>
          <w:rFonts w:ascii="IRNazanin" w:hAnsi="IRNazanin" w:eastAsia="IRNazanin"/>
          <w:color w:val="111111"/>
          <w:sz w:val="28"/>
          <w:sz w:val="28"/>
          <w:szCs w:val="28"/>
          <w:rtl w:val="true"/>
          <w:lang w:bidi="fa-IR"/>
        </w:rPr>
        <w:t xml:space="preserve">سرانجام حجّة الاسلام پس از هشتاد و اندى سال عمر پر ثمر و پر خير و بركت، در بعد از ظهر روز يكشنبه، دوّم ماه ربيع الثاني </w:t>
      </w:r>
      <w:r>
        <w:rPr>
          <w:rStyle w:val="FootnoteAnchor"/>
          <w:rtl w:val="true"/>
        </w:rPr>
        <w:footnoteReference w:id="67"/>
      </w:r>
      <w:r>
        <w:rPr>
          <w:rFonts w:ascii="Amiri" w:hAnsi="Amiri" w:eastAsia="Amiri" w:cs="Amiri"/>
          <w:color w:val="111111"/>
          <w:sz w:val="28"/>
          <w:sz w:val="28"/>
          <w:szCs w:val="28"/>
          <w:rtl w:val="true"/>
          <w:lang w:bidi="ar-SA"/>
        </w:rPr>
        <w:t xml:space="preserve">سال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قمرى، مصادف با دوم فروردين ماه سال </w:t>
      </w:r>
      <w:r>
        <w:rPr>
          <w:rFonts w:eastAsia="Amiri" w:cs="Amiri" w:ascii="Amiri" w:hAnsi="Amiri"/>
          <w:color w:val="111111"/>
          <w:sz w:val="28"/>
          <w:szCs w:val="28"/>
          <w:lang w:bidi="ar-SA"/>
        </w:rPr>
        <w:t>1223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شمسى، بر اثر بيمارى استسقاء، در اصفهان ديده از جهان فرو بست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مرحوم ملاّ على اكبر خوانسارى، سيّد حجّة الإسلام را غسل داده و از آن </w:t>
      </w:r>
    </w:p>
    <w:p>
      <w:pPr>
        <w:pStyle w:val="BookText"/>
        <w:rPr/>
      </w:pPr>
      <w:r>
        <w:rPr>
          <w:rFonts w:ascii="IRNazanin" w:hAnsi="IRNazanin" w:eastAsia="IRNazanin"/>
          <w:color w:val="111111"/>
          <w:sz w:val="28"/>
          <w:sz w:val="28"/>
          <w:szCs w:val="28"/>
          <w:rtl w:val="true"/>
          <w:lang w:bidi="fa-IR"/>
        </w:rPr>
        <w:t xml:space="preserve">پس دست‌هاى مبارك آن جناب را بوسيده و كفن نمود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فرزند عالم و بزرگوارش مرحوم حاج سيّد اسداللّه، بر بدنِ پدر نماز گزارده، و سپس بدن آن بزرگوار را در روز چهارشنبه در مقبره‌اى كه خود قبلاً در كنار مسجد خويش مهيّا ساخته بود، به خاك سپردند </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2" w:name="pg7074_67041"/>
      <w:bookmarkStart w:id="93" w:name="pg7074_67041"/>
      <w:bookmarkEnd w:id="93"/>
    </w:p>
    <w:p>
      <w:pPr>
        <w:pStyle w:val="Heading2"/>
        <w:numPr>
          <w:ilvl w:val="1"/>
          <w:numId w:val="1"/>
        </w:numPr>
        <w:rPr/>
      </w:pPr>
      <w:bookmarkStart w:id="94" w:name="pg7074_67041"/>
      <w:bookmarkStart w:id="95" w:name="__RefHeading___Toc3387425_372815092"/>
      <w:bookmarkStart w:id="96" w:name="_Toc33"/>
      <w:bookmarkEnd w:id="94"/>
      <w:bookmarkEnd w:id="95"/>
      <w:r>
        <w:rPr>
          <w:rtl w:val="true"/>
        </w:rPr>
        <w:t xml:space="preserve">سؤال و جواب درباره </w:t>
      </w:r>
      <w:r>
        <w:rPr>
          <w:rtl w:val="true"/>
        </w:rPr>
        <w:t xml:space="preserve">: </w:t>
      </w:r>
      <w:r>
        <w:rPr>
          <w:rtl w:val="true"/>
        </w:rPr>
        <w:t>حكم عقد با خواهر زوجه مطلّقه</w:t>
      </w:r>
      <w:bookmarkEnd w:id="96"/>
    </w:p>
    <w:p>
      <w:pPr>
        <w:pStyle w:val="BookText"/>
        <w:rPr/>
      </w:pPr>
      <w:r>
        <w:rPr>
          <w:rFonts w:ascii="Amiri" w:hAnsi="Amiri" w:eastAsia="Amiri" w:cs="Amiri"/>
          <w:color w:val="111111"/>
          <w:sz w:val="28"/>
          <w:sz w:val="28"/>
          <w:szCs w:val="28"/>
          <w:rtl w:val="true"/>
          <w:lang w:bidi="ar-SA"/>
        </w:rPr>
        <w:t xml:space="preserve">تاليف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علاّمه فقيه و محقّق متتبّع حاج سيّد محمّد باقر شفتى قدس‌سره</w:t>
      </w:r>
    </w:p>
    <w:p>
      <w:pPr>
        <w:pStyle w:val="BookText"/>
        <w:rPr/>
      </w:pPr>
      <w:r>
        <w:rPr>
          <w:rFonts w:ascii="Amiri" w:hAnsi="Amiri" w:eastAsia="Amiri" w:cs="Amiri"/>
          <w:color w:val="111111"/>
          <w:sz w:val="28"/>
          <w:sz w:val="28"/>
          <w:szCs w:val="28"/>
          <w:rtl w:val="true"/>
          <w:lang w:bidi="ar-SA"/>
        </w:rPr>
        <w:t xml:space="preserve">مشهور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تحقيق سيّد مهدى شفتى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7074_67043"/>
      <w:bookmarkStart w:id="98" w:name="pg7074_67043"/>
      <w:bookmarkEnd w:id="98"/>
    </w:p>
    <w:p>
      <w:pPr>
        <w:pStyle w:val="Heading2"/>
        <w:numPr>
          <w:ilvl w:val="1"/>
          <w:numId w:val="1"/>
        </w:numPr>
        <w:rPr/>
      </w:pPr>
      <w:bookmarkStart w:id="99" w:name="pg7074_67043"/>
      <w:bookmarkStart w:id="100" w:name="__RefHeading___Toc3387427_372815092"/>
      <w:bookmarkStart w:id="101" w:name="_Toc34"/>
      <w:bookmarkEnd w:id="99"/>
      <w:bookmarkEnd w:id="100"/>
      <w:r>
        <w:rPr>
          <w:rtl w:val="true"/>
        </w:rPr>
        <w:t>[</w:t>
      </w:r>
      <w:r>
        <w:rPr>
          <w:rtl w:val="true"/>
        </w:rPr>
        <w:t xml:space="preserve">سؤال </w:t>
      </w:r>
      <w:r>
        <w:rPr>
          <w:rtl w:val="true"/>
        </w:rPr>
        <w:t>]</w:t>
      </w:r>
      <w:bookmarkEnd w:id="101"/>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زيد زوجه خود را طلاق خلعى گفت، آيا مى‌تواند در اثناى عدّه، خواهر مطلّقه مزبوره را عقد كند براى خود، يا نه ؟</w:t>
      </w:r>
    </w:p>
    <w:p>
      <w:pPr>
        <w:pStyle w:val="BookText"/>
        <w:rPr/>
      </w:pPr>
      <w:r>
        <w:rPr>
          <w:rFonts w:ascii="IRNazanin" w:hAnsi="IRNazanin" w:eastAsia="IRNazanin"/>
          <w:color w:val="111111"/>
          <w:sz w:val="28"/>
          <w:sz w:val="28"/>
          <w:szCs w:val="28"/>
          <w:rtl w:val="true"/>
          <w:lang w:bidi="fa-IR"/>
        </w:rPr>
        <w:t xml:space="preserve">و در صورتى كه تواند، آيا عكس مى‌تواند بكند، يعنى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جديده را طلاق بائن بگويد و در عدّه او، اخت او را كه مطلّقه اولى باشد عقد كند، يا نه ؟</w:t>
      </w:r>
    </w:p>
    <w:p>
      <w:pPr>
        <w:pStyle w:val="BookText"/>
        <w:rPr/>
      </w:pPr>
      <w:r>
        <w:rPr>
          <w:rFonts w:ascii="Amiri" w:hAnsi="Amiri" w:eastAsia="Amiri" w:cs="Amiri"/>
          <w:color w:val="111111"/>
          <w:sz w:val="28"/>
          <w:sz w:val="28"/>
          <w:szCs w:val="28"/>
          <w:rtl w:val="true"/>
          <w:lang w:bidi="ar-SA"/>
        </w:rPr>
        <w:t>آيا در اين باب، فرقى ميان عقد دائمى و انقطاعى هست، يا نه ؟</w:t>
      </w:r>
    </w:p>
    <w:p>
      <w:pPr>
        <w:pStyle w:val="Heading2"/>
        <w:numPr>
          <w:ilvl w:val="1"/>
          <w:numId w:val="1"/>
        </w:numPr>
        <w:rPr/>
      </w:pPr>
      <w:bookmarkStart w:id="102" w:name="__RefHeading___Toc3387429_372815092"/>
      <w:bookmarkStart w:id="103" w:name="_Toc35"/>
      <w:bookmarkEnd w:id="102"/>
      <w:r>
        <w:rPr>
          <w:rtl w:val="true"/>
        </w:rPr>
        <w:t>[</w:t>
      </w:r>
      <w:r>
        <w:rPr>
          <w:rtl w:val="true"/>
        </w:rPr>
        <w:t xml:space="preserve">جواب </w:t>
      </w:r>
      <w:r>
        <w:rPr>
          <w:rtl w:val="true"/>
        </w:rPr>
        <w:t>]</w:t>
      </w:r>
      <w:bookmarkEnd w:id="103"/>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سؤال مشتمل است بر سه مطلب </w:t>
      </w:r>
      <w:r>
        <w:rPr>
          <w:rFonts w:eastAsia="Amiri" w:cs="Amiri" w:ascii="Amiri" w:hAnsi="Amiri"/>
          <w:color w:val="111111"/>
          <w:sz w:val="28"/>
          <w:szCs w:val="28"/>
          <w:rtl w:val="true"/>
          <w:lang w:bidi="ar-SA"/>
        </w:rPr>
        <w:t xml:space="preserve">: </w:t>
      </w:r>
      <w:bookmarkStart w:id="104" w:name="pg7074_67044"/>
    </w:p>
    <w:p>
      <w:pPr>
        <w:pStyle w:val="Heading2"/>
        <w:numPr>
          <w:ilvl w:val="1"/>
          <w:numId w:val="1"/>
        </w:numPr>
        <w:rPr/>
      </w:pPr>
      <w:bookmarkStart w:id="105" w:name="__RefHeading___Toc3387431_372815092"/>
      <w:bookmarkStart w:id="106" w:name="_Toc36"/>
      <w:bookmarkEnd w:id="104"/>
      <w:bookmarkEnd w:id="105"/>
      <w:r>
        <w:rPr>
          <w:rtl w:val="true"/>
        </w:rPr>
        <w:t xml:space="preserve">[ </w:t>
      </w:r>
      <w:r>
        <w:rPr>
          <w:rtl w:val="true"/>
        </w:rPr>
        <w:t xml:space="preserve">مطلب اوّل </w:t>
      </w:r>
      <w:r>
        <w:rPr>
          <w:rtl w:val="true"/>
        </w:rPr>
        <w:t>]</w:t>
      </w:r>
      <w:bookmarkEnd w:id="106"/>
    </w:p>
    <w:p>
      <w:pPr>
        <w:pStyle w:val="Heading3"/>
        <w:numPr>
          <w:ilvl w:val="2"/>
          <w:numId w:val="1"/>
        </w:numPr>
        <w:rPr/>
      </w:pPr>
      <w:bookmarkStart w:id="107" w:name="__RefHeading___Toc3387433_372815092"/>
      <w:bookmarkStart w:id="108" w:name="_Toc37"/>
      <w:bookmarkEnd w:id="107"/>
      <w:r>
        <w:rPr>
          <w:rtl w:val="true"/>
        </w:rPr>
        <w:t>اشاره</w:t>
      </w:r>
      <w:bookmarkEnd w:id="108"/>
    </w:p>
    <w:p>
      <w:pPr>
        <w:pStyle w:val="BookText"/>
        <w:rPr/>
      </w:pPr>
      <w:r>
        <w:rPr>
          <w:rFonts w:ascii="Amiri" w:hAnsi="Amiri" w:eastAsia="Amiri" w:cs="Amiri"/>
          <w:color w:val="111111"/>
          <w:sz w:val="28"/>
          <w:sz w:val="28"/>
          <w:szCs w:val="28"/>
          <w:rtl w:val="true"/>
          <w:lang w:bidi="ar-SA"/>
        </w:rPr>
        <w:t xml:space="preserve">اوّل آن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كسى زوجه خود را مطلّقه كرد به طلاق خلعى، آيا مى‌تواند قبل از انقضاى عدّه، اخت او را عقد نمايد، يا نه ؟</w:t>
      </w:r>
    </w:p>
    <w:p>
      <w:pPr>
        <w:pStyle w:val="BookText"/>
        <w:rPr/>
      </w:pPr>
      <w:r>
        <w:rPr>
          <w:rFonts w:ascii="Amiri" w:hAnsi="Amiri" w:eastAsia="Amiri" w:cs="Amiri"/>
          <w:color w:val="111111"/>
          <w:sz w:val="28"/>
          <w:sz w:val="28"/>
          <w:szCs w:val="28"/>
          <w:rtl w:val="true"/>
          <w:lang w:bidi="ar-SA"/>
        </w:rPr>
        <w:t xml:space="preserve">جواب آن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مى‌تواند، بلكه حكمِ به جواز، اختصاص به خلع ندارد، بلكه ثابت است در مطلق طلاق بائن،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مطلّقه به طلاق خلع و مبارات و مطلّقه به ثلاث تطليقات، بلكه ثابت است در غير طلاق بائن، مثل آن كه فسخ عقد شده باشد بأحد أسباب مقتضيه فسخِ عقد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اين مصرّحٌ به در كلمات اصحاب است ؛ قال في المقنع </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الخلع، فلا يكون إلاّ من قبل المرأة، و هي أن تقول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أبرّ لك قسماً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قالت هذا لزوجها فقد حلّ له ما أخذ منها، وإن كان أكثر ممّا أعطاها من الصداق و قد بانت منه، و حلّت للزوج </w:t>
      </w:r>
      <w:r>
        <w:rPr>
          <w:rStyle w:val="FootnoteAnchor"/>
          <w:rtl w:val="true"/>
        </w:rPr>
        <w:footnoteReference w:id="68"/>
      </w:r>
      <w:r>
        <w:rPr>
          <w:rFonts w:ascii="IRNazanin" w:hAnsi="IRNazanin" w:eastAsia="IRNazanin"/>
          <w:color w:val="111111"/>
          <w:sz w:val="28"/>
          <w:sz w:val="28"/>
          <w:szCs w:val="28"/>
          <w:rtl w:val="true"/>
          <w:lang w:bidi="fa-IR"/>
        </w:rPr>
        <w:t xml:space="preserve">بعد </w:t>
      </w:r>
    </w:p>
    <w:p>
      <w:pPr>
        <w:pStyle w:val="BookText"/>
        <w:rPr/>
      </w:pPr>
      <w:r>
        <w:rPr>
          <w:rFonts w:ascii="Amiri" w:hAnsi="Amiri" w:eastAsia="Amiri" w:cs="Amiri"/>
          <w:color w:val="111111"/>
          <w:sz w:val="28"/>
          <w:sz w:val="28"/>
          <w:szCs w:val="28"/>
          <w:rtl w:val="true"/>
          <w:lang w:bidi="ar-SA"/>
        </w:rPr>
        <w:t xml:space="preserve">انقضاء عدّتها، و حلّ له أن يتزوّج اُختها من ساعته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المقنعة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كان عنده أربع زوجات، فطلّق واحدة منهنّ طلاق السنّة، تطليقةً واحدة يملك فيه الرجعة، لم يجز له أن يعقد على امرأة نكاحاً حتّى تخرج المطلّقة من العدّة، فإن خلع واحدة من الأربع، أو بارئها </w:t>
      </w:r>
      <w:r>
        <w:rPr>
          <w:rStyle w:val="FootnoteAnchor"/>
          <w:rtl w:val="true"/>
        </w:rPr>
        <w:footnoteReference w:id="70"/>
      </w:r>
      <w:r>
        <w:rPr>
          <w:rFonts w:ascii="Amiri" w:hAnsi="Amiri" w:eastAsia="Amiri" w:cs="Amiri"/>
          <w:color w:val="111111"/>
          <w:sz w:val="28"/>
          <w:sz w:val="28"/>
          <w:szCs w:val="28"/>
          <w:rtl w:val="true"/>
          <w:lang w:bidi="ar-SA"/>
        </w:rPr>
        <w:t xml:space="preserve">لم يحرم عليه العقد على امرأة اُخرى في الحال نكاحاً، لأنّه ليس له على المختلعة والمباراة 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إن كانت الّتي طلّقها لم يدخل بها جاز له العقد في الوقت على اُختها و غيرها من النساء، لأنّه لا عدّة له عليها ؛ و كذلك إن طلّقها طلاق العدّة ثلاثاً لم يحرم عليه العقد على غيرها، إذ لا رجعة له عليها حسب ما قدّمناه </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كانت عند الرجل امرأة قد دخل بها و طلّقها طلاق السنّة لم يجز له العقد على اُختها حتّى تخرج المطلّقة من عدّتها، فإن خلعها، أو بارئها، أو طلّقها للعدّة ثلاثاً، فلا حرج عليه أن يعقد على اُختها في الحال، إذ لا رجعة له عليها كما ذكرناه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109" w:name="pg7074_67046"/>
    </w:p>
    <w:p>
      <w:pPr>
        <w:pStyle w:val="Heading3"/>
        <w:numPr>
          <w:ilvl w:val="2"/>
          <w:numId w:val="1"/>
        </w:numPr>
        <w:rPr/>
      </w:pPr>
      <w:bookmarkStart w:id="110" w:name="__RefHeading___Toc3387435_372815092"/>
      <w:bookmarkStart w:id="111" w:name="_Toc38"/>
      <w:bookmarkEnd w:id="109"/>
      <w:bookmarkEnd w:id="110"/>
      <w:r>
        <w:rPr>
          <w:rtl w:val="true"/>
        </w:rPr>
        <w:t xml:space="preserve">و في المبسوط </w:t>
      </w:r>
      <w:r>
        <w:rPr>
          <w:rtl w:val="true"/>
        </w:rPr>
        <w:t>:</w:t>
      </w:r>
      <w:bookmarkEnd w:id="111"/>
    </w:p>
    <w:p>
      <w:pPr>
        <w:pStyle w:val="BookText"/>
        <w:rPr/>
      </w:pPr>
      <w:r>
        <w:rPr>
          <w:rFonts w:ascii="Amiri" w:hAnsi="Amiri" w:eastAsia="Amiri" w:cs="Amiri"/>
          <w:color w:val="111111"/>
          <w:sz w:val="28"/>
          <w:sz w:val="28"/>
          <w:szCs w:val="28"/>
          <w:rtl w:val="true"/>
          <w:lang w:bidi="ar-SA"/>
        </w:rPr>
        <w:t xml:space="preserve">و أمّا اُختها و عمّتها و خالتها فإنّما يحرمن تحريم جمع، فإن كان الطلاق رجعيّاً فالتحريم قائم، لأنّ الرجعيّة في حكم الزوجات، فلا يجمع بين المرأة و عمّتها، و كذلك بينها و بين خالتها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الطلاق بائناً أو خلعاً أو فسخاً جاز العقد على اُختها و عمّتها و خالتها قبل انقضاء عدّتها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كذلك إن كانت عنده واحدة فطلّقها جاز له العقد على أربع إن كان الطلاق بائناً، فإن كان رجعيّاً فليس له أن يعقد إلاّ على 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كانت عنده أربع فطلّقهنّ كلّهن كان له العقد على أربعٍ، أو أقلّ منهنّ إن كان بائناً ؛ و إن كان رجعيّاً لم يكن له أن يعقد على واحدةٍ حتّى يخرجن من العدّة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2" w:name="__RefHeading___Toc3387437_372815092"/>
      <w:bookmarkStart w:id="113" w:name="_Toc39"/>
      <w:bookmarkEnd w:id="112"/>
      <w:r>
        <w:rPr>
          <w:rtl w:val="true"/>
        </w:rPr>
        <w:t xml:space="preserve">و في الخلاف </w:t>
      </w:r>
      <w:r>
        <w:rPr>
          <w:rtl w:val="true"/>
        </w:rPr>
        <w:t>:</w:t>
      </w:r>
      <w:bookmarkEnd w:id="113"/>
    </w:p>
    <w:p>
      <w:pPr>
        <w:pStyle w:val="BookText"/>
        <w:rPr/>
      </w:pPr>
      <w:r>
        <w:rPr>
          <w:rFonts w:ascii="Amiri" w:hAnsi="Amiri" w:eastAsia="Amiri" w:cs="Amiri"/>
          <w:color w:val="111111"/>
          <w:sz w:val="28"/>
          <w:sz w:val="28"/>
          <w:szCs w:val="28"/>
          <w:rtl w:val="true"/>
          <w:lang w:bidi="ar-SA"/>
        </w:rPr>
        <w:t xml:space="preserve">إذا أبان زوجته بخلعٍ أو مبارات أو فسخٍ، جاز له أن يتزوّج باُختها و عمّتها و خالتها قبل أن تخرج من العدّة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قال زيد بن ثابت، والزهري، و مالك، والشافعي </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ذهب قوم إلى أنّه لا يجوز قبل الخروج من العدّة على كلّ حالٍ ؛ حكوا </w:t>
      </w:r>
      <w:bookmarkStart w:id="114" w:name="pg7074_67047"/>
    </w:p>
    <w:p>
      <w:pPr>
        <w:pStyle w:val="BookText"/>
        <w:rPr/>
      </w:pPr>
      <w:bookmarkEnd w:id="114"/>
      <w:r>
        <w:rPr>
          <w:rFonts w:ascii="Amiri" w:hAnsi="Amiri" w:eastAsia="Amiri" w:cs="Amiri"/>
          <w:color w:val="111111"/>
          <w:sz w:val="28"/>
          <w:sz w:val="28"/>
          <w:szCs w:val="28"/>
          <w:rtl w:val="true"/>
          <w:lang w:bidi="ar-SA"/>
        </w:rPr>
        <w:t xml:space="preserve">ذلك عن عليّ عليه‌السلام و ابن عبّاس ؛ و به قال الثوري و أبو حنيفة و أصحابه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الخلاف فيما إذا كان تحته أربع فطلّق واحدة، هل له نكاح اُخرى قبل انقضاء عدّة هذه، أم لا ؟ ولو طلّقهن كلّهن لم يكن له أن يتزوّج غيرهنّ، لا واحدةً و لا أربعاً حتّى تنقضي عدّتهنّ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لو كان له زوجة واحدة فطلّقها، كان له العقد على أربع سواها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الفرقة و أخبارهم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مقام بيان المحرّمات بالسبب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والاُختان معاً، سواء عقد عليهما عقد مقارنة، أو عقد متابعة، و عقد المتابعة يصحّ على من عقد عليه أوّل، فإن دخل بالثانية فرّق بينهما، ولم يرجع إلى الاولى بعد خروج الثانية من العدّة، و لا يجوز له ذلك إلاّ بعد مفارقة الاُولى منه بالموت، أو بالطلاق، فإن طلّقها رجعيّاً لم يجز له العقد على الاُخرى إلاّ بعد خروجها من العدّة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5" w:name="__RefHeading___Toc3387439_372815092"/>
      <w:bookmarkStart w:id="116" w:name="_Toc40"/>
      <w:bookmarkEnd w:id="115"/>
      <w:r>
        <w:rPr>
          <w:rtl w:val="true"/>
        </w:rPr>
        <w:t xml:space="preserve">و في المراسم </w:t>
      </w:r>
      <w:r>
        <w:rPr>
          <w:rtl w:val="true"/>
        </w:rPr>
        <w:t>:</w:t>
      </w:r>
      <w:bookmarkEnd w:id="116"/>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طلّق طلاقاً يملك فيه الرجعة و أراد العقد على اُخت المطلّقة، أو كانت رابعة و عنده ثلاث، فلا يجوز له حتّى تخرج من العدّة ؛ وأمّا في </w:t>
      </w:r>
      <w:bookmarkStart w:id="117" w:name="pg7074_67048"/>
    </w:p>
    <w:p>
      <w:pPr>
        <w:pStyle w:val="BookText"/>
        <w:rPr/>
      </w:pPr>
      <w:bookmarkEnd w:id="117"/>
      <w:r>
        <w:rPr>
          <w:rFonts w:ascii="IRNazanin" w:hAnsi="IRNazanin" w:eastAsia="IRNazanin"/>
          <w:color w:val="111111"/>
          <w:sz w:val="28"/>
          <w:sz w:val="28"/>
          <w:szCs w:val="28"/>
          <w:rtl w:val="true"/>
          <w:lang w:bidi="fa-IR"/>
        </w:rPr>
        <w:t xml:space="preserve">الطلاق البائن فجائز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8" w:name="__RefHeading___Toc3387441_372815092"/>
      <w:bookmarkStart w:id="119" w:name="_Toc41"/>
      <w:bookmarkEnd w:id="118"/>
      <w:r>
        <w:rPr>
          <w:rtl w:val="true"/>
        </w:rPr>
        <w:t xml:space="preserve">و في الكافي </w:t>
      </w:r>
      <w:r>
        <w:rPr>
          <w:rtl w:val="true"/>
        </w:rPr>
        <w:t>:</w:t>
      </w:r>
      <w:bookmarkEnd w:id="119"/>
    </w:p>
    <w:p>
      <w:pPr>
        <w:pStyle w:val="BookText"/>
        <w:rPr/>
      </w:pPr>
      <w:r>
        <w:rPr>
          <w:rFonts w:ascii="Amiri" w:hAnsi="Amiri" w:eastAsia="Amiri" w:cs="Amiri"/>
          <w:color w:val="111111"/>
          <w:sz w:val="28"/>
          <w:sz w:val="28"/>
          <w:szCs w:val="28"/>
          <w:rtl w:val="true"/>
          <w:lang w:bidi="ar-SA"/>
        </w:rPr>
        <w:t xml:space="preserve">الضرب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المحرّمات في حال دون حال ؛ الكافرة حتّى تسلم وإن اختلفت جهات كفرها، و أخت المعقود عليها حتّى يثبت حلّها بموت، أو ردة، أو لعان، أو طلاق بائن، أو تخرج عن عدّة الرجعيّ، وأخت الأمة الموطوءة حتّى تخرج عن الملك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3387443_372815092"/>
      <w:bookmarkStart w:id="121" w:name="_Toc42"/>
      <w:bookmarkEnd w:id="120"/>
      <w:r>
        <w:rPr>
          <w:rtl w:val="true"/>
        </w:rPr>
        <w:t xml:space="preserve">و في المهذّب </w:t>
      </w:r>
      <w:r>
        <w:rPr>
          <w:rtl w:val="true"/>
        </w:rPr>
        <w:t>:</w:t>
      </w:r>
      <w:bookmarkEnd w:id="121"/>
    </w:p>
    <w:p>
      <w:pPr>
        <w:pStyle w:val="BookText"/>
        <w:rPr/>
      </w:pPr>
      <w:r>
        <w:rPr>
          <w:rFonts w:ascii="Amiri" w:hAnsi="Amiri" w:eastAsia="Amiri" w:cs="Amiri"/>
          <w:color w:val="111111"/>
          <w:sz w:val="28"/>
          <w:sz w:val="28"/>
          <w:szCs w:val="28"/>
          <w:rtl w:val="true"/>
          <w:lang w:bidi="ar-SA"/>
        </w:rPr>
        <w:t xml:space="preserve">و مَن طلّق زوجة له طلاقاً رجعيّاً حرم عليه العقد على اُختها حتّى تنقضي عدّتها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إذا كان عند رجلٍ أربع زوجات و طلّق واحدة منهنّ طلاقاً يملك فيه الرجعة حرم عليه العقد على اُخرى حتّى تنقضي عدّة المطلّقة، فإن كان الطلاق بائناً جاز له العقد على الاُخرى في الحال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2" w:name="__RefHeading___Toc3387445_372815092"/>
      <w:bookmarkStart w:id="123" w:name="_Toc43"/>
      <w:bookmarkEnd w:id="122"/>
      <w:r>
        <w:rPr>
          <w:rtl w:val="true"/>
        </w:rPr>
        <w:t xml:space="preserve">و في الغنية </w:t>
      </w:r>
      <w:r>
        <w:rPr>
          <w:rtl w:val="true"/>
        </w:rPr>
        <w:t>:</w:t>
      </w:r>
      <w:bookmarkEnd w:id="123"/>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 يحرم العقد عليهنّ في حالٍ دون حالٍ فاُخت المعقود عليها </w:t>
      </w:r>
      <w:bookmarkStart w:id="124" w:name="pg7074_67049"/>
    </w:p>
    <w:p>
      <w:pPr>
        <w:pStyle w:val="BookText"/>
        <w:rPr/>
      </w:pPr>
      <w:bookmarkEnd w:id="124"/>
      <w:r>
        <w:rPr>
          <w:rFonts w:ascii="IRNazanin" w:hAnsi="IRNazanin" w:eastAsia="IRNazanin"/>
          <w:color w:val="111111"/>
          <w:sz w:val="28"/>
          <w:sz w:val="28"/>
          <w:szCs w:val="28"/>
          <w:rtl w:val="true"/>
          <w:lang w:bidi="fa-IR"/>
        </w:rPr>
        <w:t xml:space="preserve">بلا خلاف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الخامسة حتّى تنقضي الأربع بما يوجب البينونة والمطلّقة للعدّة ثلاثاً، أو للسنّة على ما نبيّنه حتّى تنكح زوجاً آخر وتبين منه ؛ و كذا كلّ مزوّجة والمعتدّة من الطلاق الرجعيّ حتّى تخرج من عدّتها، كلّ هذا بلا خلافٍ</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5" w:name="__RefHeading___Toc3387447_372815092"/>
      <w:bookmarkStart w:id="126" w:name="_Toc44"/>
      <w:bookmarkEnd w:id="125"/>
      <w:r>
        <w:rPr>
          <w:rtl w:val="true"/>
        </w:rPr>
        <w:t xml:space="preserve">و في السرائر </w:t>
      </w:r>
      <w:r>
        <w:rPr>
          <w:rtl w:val="true"/>
        </w:rPr>
        <w:t>:</w:t>
      </w:r>
      <w:bookmarkEnd w:id="126"/>
    </w:p>
    <w:p>
      <w:pPr>
        <w:pStyle w:val="BookText"/>
        <w:rPr/>
      </w:pPr>
      <w:r>
        <w:rPr>
          <w:rFonts w:ascii="Amiri" w:hAnsi="Amiri" w:eastAsia="Amiri" w:cs="Amiri"/>
          <w:color w:val="111111"/>
          <w:sz w:val="28"/>
          <w:sz w:val="28"/>
          <w:szCs w:val="28"/>
          <w:rtl w:val="true"/>
          <w:lang w:bidi="ar-SA"/>
        </w:rPr>
        <w:t xml:space="preserve">و إذا طلّق الرجل واحدة من الأربع طلاقاً يملك فيه الرجعة فلا يجوز له العقد على اُخرى حتّى تخرج تلك من العدّة، فإن كان طلاقاً لا يملك فيه الرجعة جاز له العقد على اُخرى في الحال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7" w:name="__RefHeading___Toc3387449_372815092"/>
      <w:bookmarkStart w:id="128" w:name="_Toc45"/>
      <w:bookmarkEnd w:id="127"/>
      <w:r>
        <w:rPr>
          <w:rtl w:val="true"/>
        </w:rPr>
        <w:t xml:space="preserve">و فيه أيضاً </w:t>
      </w:r>
      <w:r>
        <w:rPr>
          <w:rtl w:val="true"/>
        </w:rPr>
        <w:t>:</w:t>
      </w:r>
      <w:bookmarkEnd w:id="128"/>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متى عقد على امرأة ثمّ عقد على اُختها أو اُمّها أو بنتها بجهالةٍ فرّق بينهما، فإن وطئها و جاءت بولدٍ كان لاحقاً به ؛ و روي أنّه لا يقرب الزوجة الاُولى حتّى تنقضي عدّتها، فإن كانت التطليقة لا رجعة له عليها في تلك العدة، فبعد تلك التطليقة جاز له العقد على اُختها في الحال ؛ وكذلك كلّ عدّةٍ لا رجعة للزوج على الزوجة فيها يجوز له العقد على </w:t>
      </w:r>
      <w:bookmarkStart w:id="129" w:name="pg7074_67050"/>
    </w:p>
    <w:p>
      <w:pPr>
        <w:pStyle w:val="BookText"/>
        <w:rPr/>
      </w:pPr>
      <w:bookmarkEnd w:id="129"/>
      <w:r>
        <w:rPr>
          <w:rFonts w:ascii="Amiri" w:hAnsi="Amiri" w:eastAsia="Amiri" w:cs="Amiri"/>
          <w:color w:val="111111"/>
          <w:sz w:val="28"/>
          <w:sz w:val="28"/>
          <w:szCs w:val="28"/>
          <w:rtl w:val="true"/>
          <w:lang w:bidi="ar-SA"/>
        </w:rPr>
        <w:t xml:space="preserve">اُخت المعتدّة في الحال، متمتّعةً كانت، أو مفسوخاً نكاحها، أو مطلّقة، أو مباراة، أو مختلعة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3387451_372815092"/>
      <w:bookmarkStart w:id="131" w:name="_Toc46"/>
      <w:bookmarkEnd w:id="130"/>
      <w:r>
        <w:rPr>
          <w:rtl w:val="true"/>
        </w:rPr>
        <w:t xml:space="preserve">و في الجامع </w:t>
      </w:r>
      <w:r>
        <w:rPr>
          <w:rtl w:val="true"/>
        </w:rPr>
        <w:t>:</w:t>
      </w:r>
      <w:bookmarkEnd w:id="131"/>
    </w:p>
    <w:p>
      <w:pPr>
        <w:pStyle w:val="BookText"/>
        <w:rPr/>
      </w:pPr>
      <w:r>
        <w:rPr>
          <w:rFonts w:ascii="Amiri" w:hAnsi="Amiri" w:eastAsia="Amiri" w:cs="Amiri"/>
          <w:color w:val="111111"/>
          <w:sz w:val="28"/>
          <w:sz w:val="28"/>
          <w:szCs w:val="28"/>
          <w:rtl w:val="true"/>
          <w:lang w:bidi="ar-SA"/>
        </w:rPr>
        <w:t>وتحرم في حالٍ دون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الكافرة حتّى تسلم، والمرتدّة، وذات‌الزوج، والمعتدّة من زوجٍ عدّة رجعيّة، أو بائنة على غير مَن أبانها، والمطلّقة ثلاثاً في الحرّة، واثنتين في الأمة على مطلّقها في العدّة و على غيره، وبعد العدّة عليه خاصّة حتّى تنكح زوجاً غيره و يدخل بها و تبين منه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والجمع بين الاُختين في نكاحٍ غبطة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متعة نسباً، أو رضاعاً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أو بوطأ في المملوكتين، فإن جمع بينهما في العدّة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اختار أيّهما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شاء </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عقد على واحدةٍ، ثمّ على اُختها، فالاُولى حلّ والاُخرى فرّق بينهما، و لم يقرب الاُولى حتّى تخرج هذه من عدّتها، و كذلك في الاُمّ و بنتها سواء </w:t>
      </w:r>
      <w:r>
        <w:rPr>
          <w:rFonts w:eastAsia="Amiri" w:cs="Amiri" w:ascii="Amiri" w:hAnsi="Amiri"/>
          <w:color w:val="111111"/>
          <w:sz w:val="28"/>
          <w:szCs w:val="28"/>
          <w:rtl w:val="true"/>
          <w:lang w:bidi="ar-SA"/>
        </w:rPr>
        <w:t xml:space="preserve">. </w:t>
      </w:r>
      <w:bookmarkStart w:id="132" w:name="pg7074_67051"/>
    </w:p>
    <w:p>
      <w:pPr>
        <w:pStyle w:val="BookText"/>
        <w:rPr/>
      </w:pPr>
      <w:bookmarkEnd w:id="132"/>
      <w:r>
        <w:rPr>
          <w:rFonts w:ascii="Amiri" w:hAnsi="Amiri" w:eastAsia="Amiri" w:cs="Amiri"/>
          <w:color w:val="111111"/>
          <w:sz w:val="28"/>
          <w:sz w:val="28"/>
          <w:szCs w:val="28"/>
          <w:rtl w:val="true"/>
          <w:lang w:bidi="ar-SA"/>
        </w:rPr>
        <w:t xml:space="preserve">و إذا تمتّع بامرأة ثمّ بانت منها بعد الدخول بها لم يتزوّج اُختها إلاّ بعد انقضاء عدّتها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طلّق زوجته طلاقاً رجعيّاً لم يحلّ له التزويج باُختها حتّى تنقضي عدّتها، و لو كانت رابعةً فطلّقها رجعيّاً لم تحلّ له الاُخرى حتّى تنقضي العدّة، فإن طلّق بائناً حلّ له ذلك في المسألتين، و كذلك لو ماتت زوجته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3" w:name="__RefHeading___Toc3387453_372815092"/>
      <w:bookmarkStart w:id="134" w:name="_Toc47"/>
      <w:bookmarkEnd w:id="133"/>
      <w:r>
        <w:rPr>
          <w:rtl w:val="true"/>
        </w:rPr>
        <w:t xml:space="preserve">و في الشرائع </w:t>
      </w:r>
      <w:r>
        <w:rPr>
          <w:rtl w:val="true"/>
        </w:rPr>
        <w:t>:</w:t>
      </w:r>
      <w:bookmarkEnd w:id="134"/>
    </w:p>
    <w:p>
      <w:pPr>
        <w:pStyle w:val="BookText"/>
        <w:rPr/>
      </w:pPr>
      <w:r>
        <w:rPr>
          <w:rFonts w:ascii="Amiri" w:hAnsi="Amiri" w:eastAsia="Amiri" w:cs="Amiri"/>
          <w:color w:val="111111"/>
          <w:sz w:val="28"/>
          <w:sz w:val="28"/>
          <w:szCs w:val="28"/>
          <w:rtl w:val="true"/>
          <w:lang w:bidi="ar-SA"/>
        </w:rPr>
        <w:t xml:space="preserve">إذا طلّق واحدة من الأربع حرم عليه العقد على غيرها حتّى تنقضي عدّتها إن كان الطلاق رجعيّاً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 بائناً جاز له العقد على اُخري في الحال ؛ و كذا الحكم في نكاح اُخت الزوجة على كراهيّةٍ مع البينونة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5" w:name="__RefHeading___Toc3387455_372815092"/>
      <w:bookmarkStart w:id="136" w:name="_Toc48"/>
      <w:bookmarkEnd w:id="135"/>
      <w:r>
        <w:rPr>
          <w:rtl w:val="true"/>
        </w:rPr>
        <w:t xml:space="preserve">و في النافع </w:t>
      </w:r>
      <w:r>
        <w:rPr>
          <w:rtl w:val="true"/>
        </w:rPr>
        <w:t>:</w:t>
      </w:r>
      <w:bookmarkEnd w:id="136"/>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طلّق واحدة من الأربع حرم عليه ما زاد غبطةً و دواماً </w:t>
      </w:r>
      <w:r>
        <w:rPr>
          <w:rStyle w:val="FootnoteAnchor"/>
          <w:rtl w:val="true"/>
        </w:rPr>
        <w:footnoteReference w:id="81"/>
      </w:r>
      <w:r>
        <w:rPr>
          <w:rFonts w:ascii="Amiri" w:hAnsi="Amiri" w:eastAsia="Amiri" w:cs="Amiri"/>
          <w:color w:val="111111"/>
          <w:sz w:val="28"/>
          <w:sz w:val="28"/>
          <w:szCs w:val="28"/>
          <w:rtl w:val="true"/>
          <w:lang w:bidi="ar-SA"/>
        </w:rPr>
        <w:t xml:space="preserve">حتّى </w:t>
      </w:r>
      <w:bookmarkStart w:id="137" w:name="pg7074_67052"/>
    </w:p>
    <w:p>
      <w:pPr>
        <w:pStyle w:val="BookText"/>
        <w:rPr/>
      </w:pPr>
      <w:bookmarkEnd w:id="137"/>
      <w:r>
        <w:rPr>
          <w:rFonts w:ascii="Amiri" w:hAnsi="Amiri" w:eastAsia="Amiri" w:cs="Amiri"/>
          <w:color w:val="111111"/>
          <w:sz w:val="28"/>
          <w:sz w:val="28"/>
          <w:szCs w:val="28"/>
          <w:rtl w:val="true"/>
          <w:lang w:bidi="ar-SA"/>
        </w:rPr>
        <w:t xml:space="preserve">تخرج المطلّقة </w:t>
      </w:r>
      <w:r>
        <w:rPr>
          <w:rStyle w:val="FootnoteAnchor"/>
          <w:rtl w:val="true"/>
        </w:rPr>
        <w:footnoteReference w:id="82"/>
      </w:r>
      <w:r>
        <w:rPr>
          <w:rFonts w:ascii="Amiri" w:hAnsi="Amiri" w:eastAsia="Amiri" w:cs="Amiri"/>
          <w:color w:val="111111"/>
          <w:sz w:val="28"/>
          <w:sz w:val="28"/>
          <w:szCs w:val="28"/>
          <w:rtl w:val="true"/>
          <w:lang w:bidi="ar-SA"/>
        </w:rPr>
        <w:t xml:space="preserve">من العدّة، أو تكون المطلّقة بائنة ؛ و كذا لو طلّق امرأة وأراد نكاح اُختها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8" w:name="__RefHeading___Toc3387457_372815092"/>
      <w:bookmarkStart w:id="139" w:name="_Toc49"/>
      <w:bookmarkEnd w:id="138"/>
      <w:r>
        <w:rPr>
          <w:rtl w:val="true"/>
        </w:rPr>
        <w:t xml:space="preserve">و في القواعد </w:t>
      </w:r>
      <w:r>
        <w:rPr>
          <w:rtl w:val="true"/>
        </w:rPr>
        <w:t>:</w:t>
      </w:r>
      <w:bookmarkEnd w:id="139"/>
    </w:p>
    <w:p>
      <w:pPr>
        <w:pStyle w:val="BookText"/>
        <w:rPr/>
      </w:pPr>
      <w:r>
        <w:rPr>
          <w:rFonts w:ascii="Amiri" w:hAnsi="Amiri" w:eastAsia="Amiri" w:cs="Amiri"/>
          <w:color w:val="111111"/>
          <w:sz w:val="28"/>
          <w:sz w:val="28"/>
          <w:szCs w:val="28"/>
          <w:rtl w:val="true"/>
          <w:lang w:bidi="ar-SA"/>
        </w:rPr>
        <w:t xml:space="preserve">و لو طلّق رجعيّاً حرمت الاُخت حتّى تخرج العدّة ؛ ولو طلّق بائنًا، أو فسخ بسبب </w:t>
      </w:r>
      <w:r>
        <w:rPr>
          <w:rStyle w:val="FootnoteAnchor"/>
          <w:rtl w:val="true"/>
        </w:rPr>
        <w:footnoteReference w:id="84"/>
      </w:r>
      <w:r>
        <w:rPr>
          <w:rFonts w:ascii="Amiri" w:hAnsi="Amiri" w:eastAsia="Amiri" w:cs="Amiri"/>
          <w:color w:val="111111"/>
          <w:sz w:val="28"/>
          <w:sz w:val="28"/>
          <w:szCs w:val="28"/>
          <w:rtl w:val="true"/>
          <w:lang w:bidi="ar-SA"/>
        </w:rPr>
        <w:t xml:space="preserve">حلّت في الحال، على كراهيّة حتّى تخرج العدّة </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0" w:name="__RefHeading___Toc3387459_372815092"/>
      <w:bookmarkStart w:id="141" w:name="_Toc50"/>
      <w:bookmarkEnd w:id="140"/>
      <w:r>
        <w:rPr>
          <w:rtl w:val="true"/>
        </w:rPr>
        <w:t xml:space="preserve">و في التذكرة </w:t>
      </w:r>
      <w:r>
        <w:rPr>
          <w:rtl w:val="true"/>
        </w:rPr>
        <w:t>:</w:t>
      </w:r>
      <w:bookmarkEnd w:id="141"/>
    </w:p>
    <w:p>
      <w:pPr>
        <w:pStyle w:val="BookText"/>
        <w:rPr/>
      </w:pPr>
      <w:r>
        <w:rPr>
          <w:rFonts w:ascii="Amiri" w:hAnsi="Amiri" w:eastAsia="Amiri" w:cs="Amiri"/>
          <w:color w:val="111111"/>
          <w:sz w:val="28"/>
          <w:sz w:val="28"/>
          <w:szCs w:val="28"/>
          <w:rtl w:val="true"/>
          <w:lang w:bidi="ar-SA"/>
        </w:rPr>
        <w:t xml:space="preserve">و لو طلّق الاُولى طلاقاً بائناً بخلعٍ، أو مباراتٍ، أو فسخٍ، جاز له نكاح الثانية، لأنّه طلاق بائن، فجاز له العقد على اُختها، كما لو طلّقها قبل الدخول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لو كان الطلاق رجعيّاً لم يجز له نكاح اُختها ما لم ينقضي عدّتها، لأنّ الرجعيّة في حكم الزوجة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3387461_372815092"/>
      <w:bookmarkStart w:id="143" w:name="_Toc51"/>
      <w:bookmarkEnd w:id="142"/>
      <w:r>
        <w:rPr>
          <w:rtl w:val="true"/>
        </w:rPr>
        <w:t xml:space="preserve">و في الإرشاد </w:t>
      </w:r>
      <w:r>
        <w:rPr>
          <w:rtl w:val="true"/>
        </w:rPr>
        <w:t>:</w:t>
      </w:r>
      <w:bookmarkEnd w:id="143"/>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طلّق واحدة من كمال العدد بائناً جاز له نكاح غيرها و اُختها على </w:t>
      </w:r>
      <w:bookmarkStart w:id="144" w:name="pg7074_67053"/>
    </w:p>
    <w:p>
      <w:pPr>
        <w:pStyle w:val="BookText"/>
        <w:rPr/>
      </w:pPr>
      <w:bookmarkEnd w:id="144"/>
      <w:r>
        <w:rPr>
          <w:rFonts w:ascii="Amiri" w:hAnsi="Amiri" w:eastAsia="Amiri" w:cs="Amiri"/>
          <w:color w:val="111111"/>
          <w:sz w:val="28"/>
          <w:sz w:val="28"/>
          <w:szCs w:val="28"/>
          <w:rtl w:val="true"/>
          <w:lang w:bidi="ar-SA"/>
        </w:rPr>
        <w:t xml:space="preserve">كراهيّةٍ في الحال ؛ و لو كان رجعيّاً حرمت الاُخرى و الاُخت إلاّ بعد العدّة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5" w:name="__RefHeading___Toc3387463_372815092"/>
      <w:bookmarkStart w:id="146" w:name="_Toc52"/>
      <w:bookmarkEnd w:id="145"/>
      <w:r>
        <w:rPr>
          <w:rtl w:val="true"/>
        </w:rPr>
        <w:t xml:space="preserve">و في التبصرة </w:t>
      </w:r>
      <w:r>
        <w:rPr>
          <w:rtl w:val="true"/>
        </w:rPr>
        <w:t>:</w:t>
      </w:r>
      <w:bookmarkEnd w:id="146"/>
    </w:p>
    <w:p>
      <w:pPr>
        <w:pStyle w:val="BookText"/>
        <w:rPr/>
      </w:pPr>
      <w:r>
        <w:rPr>
          <w:rFonts w:ascii="Amiri" w:hAnsi="Amiri" w:eastAsia="Amiri" w:cs="Amiri"/>
          <w:color w:val="111111"/>
          <w:sz w:val="28"/>
          <w:sz w:val="28"/>
          <w:szCs w:val="28"/>
          <w:rtl w:val="true"/>
          <w:lang w:bidi="ar-SA"/>
        </w:rPr>
        <w:t xml:space="preserve">لو طلّق إحدى الأربع رجعيّاً لم يجز أن ينكح بدلها حتّى تخرج من العدّة، و يجوز في البائن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7" w:name="__RefHeading___Toc3387465_372815092"/>
      <w:bookmarkStart w:id="148" w:name="_Toc53"/>
      <w:bookmarkEnd w:id="147"/>
      <w:r>
        <w:rPr>
          <w:rtl w:val="true"/>
        </w:rPr>
        <w:t xml:space="preserve">و في اللمعة و شرحها </w:t>
      </w:r>
      <w:r>
        <w:rPr>
          <w:rtl w:val="true"/>
        </w:rPr>
        <w:t>:</w:t>
      </w:r>
      <w:bookmarkEnd w:id="1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الاُخت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فتحرم جمعاً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بينها و بينها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هذه الزوجة واُختها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فمتى فارق الاُولى بموتٍ، أو فسخ، أو طلاق بائنٍ، أو انقضت عدّتها حلّت الاُخرى </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احاطه به عبارات مذكوره، ظاهر مى‌شود اين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نفياً أو </w:t>
      </w:r>
      <w:r>
        <w:rPr>
          <w:rStyle w:val="FootnoteAnchor"/>
          <w:rtl w:val="true"/>
        </w:rPr>
        <w:footnoteReference w:id="89"/>
      </w:r>
      <w:r>
        <w:rPr>
          <w:rFonts w:ascii="Amiri" w:hAnsi="Amiri" w:eastAsia="Amiri" w:cs="Amiri"/>
          <w:color w:val="111111"/>
          <w:sz w:val="28"/>
          <w:sz w:val="28"/>
          <w:szCs w:val="28"/>
          <w:rtl w:val="true"/>
          <w:lang w:bidi="ar-SA"/>
        </w:rPr>
        <w:t xml:space="preserve">إثباتاً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جواز عقد اُخت مطلّقه به طلاق رجعى در اثناى عدّه، و جواز آن در غير طلاق رجعى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محلّ وفاق است ؛ والمستند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النصوص الآتية، فلا إشكال في المسألة </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9" w:name="pg7074_67055"/>
      <w:bookmarkStart w:id="150" w:name="pg7074_67055"/>
      <w:bookmarkEnd w:id="150"/>
    </w:p>
    <w:p>
      <w:pPr>
        <w:pStyle w:val="Heading2"/>
        <w:numPr>
          <w:ilvl w:val="1"/>
          <w:numId w:val="1"/>
        </w:numPr>
        <w:rPr/>
      </w:pPr>
      <w:bookmarkStart w:id="151" w:name="pg7074_67055"/>
      <w:bookmarkStart w:id="152" w:name="__RefHeading___Toc3387467_372815092"/>
      <w:bookmarkStart w:id="153" w:name="_Toc54"/>
      <w:bookmarkEnd w:id="151"/>
      <w:bookmarkEnd w:id="152"/>
      <w:r>
        <w:rPr>
          <w:rtl w:val="true"/>
        </w:rPr>
        <w:t>[</w:t>
      </w:r>
      <w:r>
        <w:rPr>
          <w:rtl w:val="true"/>
        </w:rPr>
        <w:t xml:space="preserve">مطلب دوّم </w:t>
      </w:r>
      <w:r>
        <w:rPr>
          <w:rtl w:val="true"/>
        </w:rPr>
        <w:t>]</w:t>
      </w:r>
      <w:bookmarkEnd w:id="153"/>
    </w:p>
    <w:p>
      <w:pPr>
        <w:pStyle w:val="BookText"/>
        <w:rPr/>
      </w:pPr>
      <w:r>
        <w:rPr>
          <w:rFonts w:ascii="Amiri" w:hAnsi="Amiri" w:eastAsia="Amiri" w:cs="Amiri"/>
          <w:color w:val="111111"/>
          <w:sz w:val="28"/>
          <w:sz w:val="28"/>
          <w:szCs w:val="28"/>
          <w:rtl w:val="true"/>
          <w:lang w:bidi="ar-SA"/>
        </w:rPr>
        <w:t xml:space="preserve">مطلب ثانى آن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آيا بعد از آن كه اُخت مطلّقه را در اثناء عدّه عقد نمود، مى‌تواند معقوده ثانيه را مطلّقه به طلاق خلع نمايد و در اثناى عدّه او، مطلّقه اولى را عقد نمايد ؟</w:t>
      </w:r>
    </w:p>
    <w:p>
      <w:pPr>
        <w:pStyle w:val="BookText"/>
        <w:rPr/>
      </w:pPr>
      <w:r>
        <w:rPr>
          <w:rFonts w:ascii="Amiri" w:hAnsi="Amiri" w:eastAsia="Amiri" w:cs="Amiri"/>
          <w:color w:val="111111"/>
          <w:sz w:val="28"/>
          <w:sz w:val="28"/>
          <w:szCs w:val="28"/>
          <w:rtl w:val="true"/>
          <w:lang w:bidi="ar-SA"/>
        </w:rPr>
        <w:t xml:space="preserve">جواب اين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نمى‌تواند، نظر به اين كه طلاق خلع به اختيار اين شخص نيست، بلكه در صورتى است كه كمال نفرت از جانب زوجه بوده باشد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گاه هست ضعيفه هرگز راضى به طلاق نيست، بلى هرگاه فرض شود كه شرط خلع متحقّق باشد البتّه مى‌تواند، پس مقصود اين است كه اين كلّيّت ندارد كه توان اين را حيله و تدبيرى قرار داد در تزويج اخت مطلّقه در اثناء عدّه او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است حال در طلاق به طريق مبارات، آن نيز به اختيار زوج نيست، بلكه در صورت تحقّق نفرت و كراهت است از طرف زوج و زوجه، اين نيز هرگاه فرض شود تحقّق آن، جواز آن نيز محلّ تأمّل نخواهد بود </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بلى مطلّقه به ثلاث تطليقات ممكن است، به اين معنى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معقوده ثانيه را سه طلاق گفت، در اين صورت تزويج اختِ او در اثناء عدّه جايز است، خواه مطلّقه اولى بوده باشد، يا اختِ ديگر او، لكن عود به عقد مطلّقه به ثلاث طلاق، مجوّز نخواهد بود، مگر بعد از تخلّل محلّل </w:t>
      </w:r>
      <w:r>
        <w:rPr>
          <w:rFonts w:eastAsia="IRNazanin" w:cs="IRNazanin"/>
          <w:color w:val="111111"/>
          <w:sz w:val="28"/>
          <w:szCs w:val="28"/>
          <w:rtl w:val="true"/>
          <w:lang w:bidi="fa-IR"/>
        </w:rPr>
        <w:t xml:space="preserve">. </w:t>
      </w:r>
      <w:bookmarkStart w:id="154" w:name="pg7074_67057"/>
    </w:p>
    <w:p>
      <w:pPr>
        <w:pStyle w:val="Heading2"/>
        <w:numPr>
          <w:ilvl w:val="1"/>
          <w:numId w:val="1"/>
        </w:numPr>
        <w:rPr/>
      </w:pPr>
      <w:bookmarkStart w:id="155" w:name="__RefHeading___Toc3387469_372815092"/>
      <w:bookmarkStart w:id="156" w:name="_Toc55"/>
      <w:bookmarkEnd w:id="154"/>
      <w:bookmarkEnd w:id="155"/>
      <w:r>
        <w:rPr>
          <w:rtl w:val="true"/>
        </w:rPr>
        <w:t>[</w:t>
      </w:r>
      <w:r>
        <w:rPr>
          <w:rtl w:val="true"/>
        </w:rPr>
        <w:t xml:space="preserve">مطلب سوّم </w:t>
      </w:r>
      <w:r>
        <w:rPr>
          <w:rtl w:val="true"/>
        </w:rPr>
        <w:t>]</w:t>
      </w:r>
      <w:bookmarkEnd w:id="156"/>
    </w:p>
    <w:p>
      <w:pPr>
        <w:pStyle w:val="BookText"/>
        <w:rPr/>
      </w:pPr>
      <w:r>
        <w:rPr>
          <w:rFonts w:ascii="Amiri" w:hAnsi="Amiri" w:eastAsia="Amiri" w:cs="Amiri"/>
          <w:color w:val="111111"/>
          <w:sz w:val="28"/>
          <w:sz w:val="28"/>
          <w:szCs w:val="28"/>
          <w:rtl w:val="true"/>
          <w:lang w:bidi="ar-SA"/>
        </w:rPr>
        <w:t xml:space="preserve">مطلب ثالث آن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آيا جايز است عقد اُخت متمتّع بها بعد از انقضاء اجل متعه و قبل از انقضاء عدّه آن، خواه عقدِ اُخت در اثناء عدّه به طريق دوام بوده باشد، يا انقطاع ؟</w:t>
      </w:r>
    </w:p>
    <w:p>
      <w:pPr>
        <w:pStyle w:val="BookText"/>
        <w:rPr/>
      </w:pPr>
      <w:r>
        <w:rPr>
          <w:rFonts w:ascii="Amiri" w:hAnsi="Amiri" w:eastAsia="Amiri" w:cs="Amiri"/>
          <w:color w:val="111111"/>
          <w:sz w:val="28"/>
          <w:sz w:val="28"/>
          <w:szCs w:val="28"/>
          <w:rtl w:val="true"/>
          <w:lang w:bidi="ar-SA"/>
        </w:rPr>
        <w:t xml:space="preserve">جواب اين مسأله، محلّ خلاف ما بين فقها است ؛ جماعتى از اعاظم فقها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اللّه تعالى أرواحهم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فرموده‌اند به عدم جواز آن ؛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w:t>
      </w:r>
    </w:p>
    <w:p>
      <w:pPr>
        <w:pStyle w:val="BookText"/>
        <w:rPr/>
      </w:pPr>
      <w:r>
        <w:rPr>
          <w:rFonts w:ascii="Amiri" w:hAnsi="Amiri" w:eastAsia="Amiri" w:cs="Amiri"/>
          <w:color w:val="111111"/>
          <w:sz w:val="28"/>
          <w:sz w:val="28"/>
          <w:szCs w:val="28"/>
          <w:rtl w:val="true"/>
          <w:lang w:bidi="ar-SA"/>
        </w:rPr>
        <w:t xml:space="preserve">الصدوق، قال في المقنع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تزوّجتَ بامرأة متعة إلى أجلٍ مسمّى، فلمّا انقضى أجلها أحببتَ أن تتزوّج اُختها، فلا تحلّ لك حتّى تنقضي عدّتها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الطائفة، فإنّ الظاهر منه في التهذيب و الاستبصار والخلاف ذلك ؛ قال في التهذيب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متى طلّق الرجل امرأته طلاقاً يملك رجعتها فيه، فلا يجوز له العقد على اُختها ؛ و متى طلّقها طلاقاً بائناً، أو ماتت عنه، أو بانت منه بأحد وجوه البينونة، فلا بأس عليه بالعقد على اُختها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أمّا المتعة </w:t>
      </w:r>
      <w:r>
        <w:rPr>
          <w:rStyle w:val="FootnoteAnchor"/>
          <w:rtl w:val="true"/>
        </w:rPr>
        <w:footnoteReference w:id="91"/>
      </w:r>
      <w:r>
        <w:rPr>
          <w:rFonts w:ascii="Amiri" w:hAnsi="Amiri" w:eastAsia="Amiri" w:cs="Amiri"/>
          <w:color w:val="111111"/>
          <w:sz w:val="28"/>
          <w:sz w:val="28"/>
          <w:szCs w:val="28"/>
          <w:rtl w:val="true"/>
          <w:lang w:bidi="ar-SA"/>
        </w:rPr>
        <w:t xml:space="preserve">فقد روي فيها أنّه إذا انقضى أجلها فلا يجوز العقد على أختها إلاّ بعد انقضاء عدّتها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أيضاً فيما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قدّمنا الخبر الّذي يتضمّن أنّ المتمتّعة إذا انقضى أجلها فليس لزوجها أن يتمتّع باُختها حتّى تنقضي عدّتها </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يقرب منه ما ذكره في النهاية،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متى طلّق الرجل امرأته طلاقاً يملك فيه الرجعة لم يجز له العقد على اُختها حتّى تنقضي عدّتها، فإن كانت تطليقة بائنة جاز له العقد على اُختها في الحال ؛ و قد روي في المتمتّعة إذا انقضى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العقد على اُختها في الحال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سمعت عبارته في الخلاف، و ستقف على كلامه في الاستبصار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الجامع،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تمتّع بامرأة، ثمّ بانت منه بعد الدخول بها، لم يتزوّج اُختها إلاّ بعد انقضاء عدّتها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أيضاً فيما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يجوز أن يتمتّع بامرأة مرارًا كثيرة، و إذا انقضى أجلها جاز له العقد عليها في عدّتها، و لا يجوز له العقد على أختها حتّى تخرج عدّتها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المدارك، قال في شرحه على النافع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المفيد رحمه‌الله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المتعة، فقد روي فيها أنّه إذا انقضى أجلها فلا يجوز على اُختها إلاّ بعد انقضاء عدّتها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أورد الشيخ في ذلك روايتين أوضحهما سنداً ما رواه في الصحيح 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رجلٍ إلى أبي الحسن الرضا عليه‌السلام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والعمل بهذه الرواية متّجهٌ، لصحّة سندها و سلامتها عن المعارض</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الوسائل، فإنّه صرّح بذلك في مواضع من وسائله </w:t>
      </w:r>
      <w:r>
        <w:rPr>
          <w:rFonts w:eastAsia="Amiri" w:cs="Amiri" w:ascii="Amiri" w:hAnsi="Amiri"/>
          <w:color w:val="111111"/>
          <w:sz w:val="28"/>
          <w:szCs w:val="28"/>
          <w:rtl w:val="true"/>
          <w:lang w:bidi="ar-SA"/>
        </w:rPr>
        <w:t xml:space="preserve">: </w:t>
      </w:r>
      <w:bookmarkStart w:id="157" w:name="pg7074_67060"/>
    </w:p>
    <w:p>
      <w:pPr>
        <w:pStyle w:val="BookText"/>
        <w:rPr/>
      </w:pPr>
      <w:bookmarkEnd w:id="157"/>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تمتّع بامرأة لم تحلّ له اُختها حتّى تنقضي عدّتها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أيضاً،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تحريم الجمع بين الاُختين في المتعة حتّى في العدّة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موضع آخر،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طلّق زوجته رجعيّاً لم يجز له تزويج اُختها حتّى تنقضي عدّتها ؛ و كذا المتعة إذا انقضت عدّتها ؛ و يجوز في العدّة من الطلاق البائن و من الوفاة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الكفاية،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انقضى أجل المتعة فلا يجوز العقد على اُخت المتمتّع بها حتّى تنقضي العدّة، عملاً بالنصّ الصحيح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58" w:name="__RefHeading___Toc3387471_372815092"/>
      <w:bookmarkStart w:id="159" w:name="_Toc56"/>
      <w:bookmarkEnd w:id="158"/>
      <w:r>
        <w:rPr>
          <w:rtl w:val="true"/>
        </w:rPr>
        <w:t>[</w:t>
      </w:r>
      <w:r>
        <w:rPr>
          <w:rtl w:val="true"/>
        </w:rPr>
        <w:t xml:space="preserve">المستند في عدم جواز العقد على اُخت المتمتّع بها قبل انقضاء العدّة </w:t>
      </w:r>
      <w:r>
        <w:rPr>
          <w:rtl w:val="true"/>
        </w:rPr>
        <w:t>]</w:t>
      </w:r>
      <w:bookmarkEnd w:id="159"/>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والمستند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الاستصحاب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 معتبرة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الجمع بين الاُختين، من نكاح الكافي، عن الحسين بن سعيد </w:t>
      </w:r>
      <w:r>
        <w:rPr>
          <w:rStyle w:val="FootnoteAnchor"/>
          <w:rtl w:val="true"/>
        </w:rPr>
        <w:footnoteReference w:id="100"/>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رجلٍ إلى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الرجل يتزوّج المرأة متعةً إلى أجلٍ مسمّى، فينقضي الأجل بينهما، هل له أن ينكح اُختها من قبل أن تنقضي عدّتها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له أن يتزوّجها حتّى تنقضي عدّتها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لا يخفي أنّ رواية ثقة الإسلام عن الحسين بن سعيد من غير واسطةٍ غيرُ ثابتة، بل المعهود روايته عنه بواسطتين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يحيى، و أحمد بن محمّد بن عيسى، فقد مشى هنا على غير عادته من ضبط الواسطة، أو الإحالة بما ذكره قبل ذلك بقليلٍ، لكنّ الظاهر أنّه أخذه من كتاب الحسين بن سعيد الثابت لديه أنّه من كتابه، فجهل الواسطة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تسليمه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مضرٍّ بالحكم بصحّة حديثه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ثقة الإسلام في الباب المذكور أيضاً، عن عليّ بن إبراهيم، عن أبيه، عن إسماعيل بن مرار، عن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كتاب رجلٍ إلى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إلى آخر الحديث المذكور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رواهما شيخ الطائفة في التهذيب عن ثقة الإسلام، فقال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فأمّا المتعة فقد روي فيها أنّه إذا انقضى أجلها فلا يجوز العقد على اُختها إلاّ بعد انقضاء عدّتها ؛ روى ذلك محمّد بن يعقوب عن عليّ بن إبراهيم، عن أبيه، عن إسماعيل بن مرار، عن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رجلٍ إلى أبي الحسن عليه‌السلام ؛ و روى الحسين بن سعيد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رجلٍ إلى أبي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متعةً إلى أجلٍ مسمّىً فينقضي الأجل بينهما، هل له أن ينكح اُختها قبل أن تنقضي عدّتها ؟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أن يزوّجها حتّى تنقضي عدّتها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بهذا النحو أورده ثقة الإسلام من غير تغييرٍ أصلاً، إلاّ في ذكر الرضا عليه‌السلام بعد ذكر أبي الحسن في الثاني، فإنّه غير مذكور في غالب نسخ الكافي، فعلى هذا ما في الوسائل و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إسنادهما الحسين بن سعيد إلى آخره، إلى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محمولٌ على ما ستقف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الحال يستدعي إيراد عين ما في الكافي والتهذيب والاستبصار، ثمّ الإشارة إلى المرام،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الكافي </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عليّ بن إبراهيم، عن أبيه، عن إسماعيل بن مرار، عن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رجلٍ إلى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روى الحسين بن سعيد </w:t>
      </w:r>
    </w:p>
    <w:p>
      <w:pPr>
        <w:pStyle w:val="BookText"/>
        <w:rPr/>
      </w:pPr>
      <w:r>
        <w:rPr>
          <w:rFonts w:ascii="Amiri" w:hAnsi="Amiri" w:eastAsia="Amiri" w:cs="Amiri"/>
          <w:color w:val="111111"/>
          <w:sz w:val="28"/>
          <w:sz w:val="28"/>
          <w:szCs w:val="28"/>
          <w:rtl w:val="true"/>
          <w:lang w:bidi="ar-SA"/>
        </w:rPr>
        <w:t xml:space="preserve">أيضاً </w:t>
      </w:r>
      <w:r>
        <w:rPr>
          <w:rStyle w:val="FootnoteAnchor"/>
          <w:rtl w:val="true"/>
        </w:rPr>
        <w:footnoteReference w:id="1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رجلٍ إلى أبي الحسن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متعةً إلى أجلٍ مسمّىً، فينقضي الأجل بينهما، هل له أن ينكح اُختها قبل أن تنقضي عدّتها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له أن يزوّجها </w:t>
      </w:r>
      <w:r>
        <w:rPr>
          <w:rStyle w:val="FootnoteAnchor"/>
          <w:rtl w:val="true"/>
        </w:rPr>
        <w:footnoteReference w:id="105"/>
      </w:r>
      <w:r>
        <w:rPr>
          <w:rFonts w:ascii="Amiri" w:hAnsi="Amiri" w:eastAsia="Amiri" w:cs="Amiri"/>
          <w:color w:val="111111"/>
          <w:sz w:val="28"/>
          <w:sz w:val="28"/>
          <w:szCs w:val="28"/>
          <w:rtl w:val="true"/>
          <w:lang w:bidi="ar-SA"/>
        </w:rPr>
        <w:t xml:space="preserve">حتّى تنقضي عدّتها </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انتهى عين ما في الكافي، و قد علمت ما في التهذيب نقلاً عنه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رواه محمّد بن يعقوب عن عليّ بن إبراهيم، عن أبيه، عن إسماعيل بن مرار، عن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رجلٍ إلى أبي الحسن الرضا عليه‌السلام، و روى الحسين بن سعيد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رجلٍ إلى أبي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متعةً إلى أجلٍ مسمّىً، فينقضي الأجل بينهما، هل له أن ينكح اُختها قبل أن تنقضي عدّتها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له أن يتزوّجها حتّى تنقضي عدّتها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فالوجه في هذا الخبر أحد شيئين،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يونس والحسين بن</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سعيد لم يرويا عن إمامٍ معصوم و لا عمّن رواه عن إمامٍ ؛ و إنّما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وجدنا في كتاب رجلٍ ؛ و ليس كلّما يوجد في الكتب يكون صحيحاً، </w:t>
      </w:r>
    </w:p>
    <w:p>
      <w:pPr>
        <w:pStyle w:val="BookText"/>
        <w:rPr/>
      </w:pPr>
      <w:r>
        <w:rPr>
          <w:rFonts w:ascii="Amiri" w:hAnsi="Amiri" w:eastAsia="Amiri" w:cs="Amiri"/>
          <w:color w:val="111111"/>
          <w:sz w:val="28"/>
          <w:sz w:val="28"/>
          <w:szCs w:val="28"/>
          <w:rtl w:val="true"/>
          <w:lang w:bidi="ar-SA"/>
        </w:rPr>
        <w:t xml:space="preserve">ولو سلّم لجاز لنا أن نخصّه بالمتعة، دون عقد الدوام </w:t>
      </w:r>
      <w:r>
        <w:rPr>
          <w:rStyle w:val="FootnoteAnchor"/>
          <w:rtl w:val="true"/>
        </w:rPr>
        <w:footnoteReference w:id="107"/>
      </w:r>
      <w:r>
        <w:rPr>
          <w:rFonts w:ascii="Amiri" w:hAnsi="Amiri" w:eastAsia="Amiri" w:cs="Amiri"/>
          <w:color w:val="111111"/>
          <w:sz w:val="28"/>
          <w:sz w:val="28"/>
          <w:szCs w:val="28"/>
          <w:rtl w:val="true"/>
          <w:lang w:bidi="ar-SA"/>
        </w:rPr>
        <w:t xml:space="preserve">، انتهى ما في الاستبصار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يخفى عليك أنّ الظاهر ممّا في التهذيب والاستبصار أنّ المحكيّ عن يونس والحسين بن سعيد كليهما حكاه شيخ الطائفة عن الكافي، فما في الوسائل والوافي غير جيّد، لكنّ الموجود في أكثر نسخ الكافي لا يساعده، لخلوّه عن ذكر الحسين بن سعيد، فإنّ الموجود في أكثر نسخه هكذا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بن إبراهيم، عن أبيه، عن إسماعيل بن مرار، عن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رجلٍ إلى 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يتزوّج المرأة متعةً إلى أجلٍ مسمّىً، فينقضي الأجل بينهما، هل له أن تنكح اُختها من قبل أن تنقضي عدّتها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لها أن يزوّجها حتّى تنقضي عدّتها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 في الوسائل والوافي مبنيّ عليه، لكنّ الظاهر أنّ ما في أكثر نسخ الكافي مبنيّ على السقط، فسقط من قلم الناسخ ما كان بعد أبي الحسن الأوّل،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أبي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ما كان بعد رجلٍ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 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كتاب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 فسرى النقصان إلى سائر النسخ لاستنساخها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والدليل على ذلك ما وجد في بعض النسخ كما نبّهنا عليه، لوضوح أولويّة الحمل على النقصان فيما إذا دار الأمر بينه و بين الزيادة ؛ و لأنّ التأمّل فيما في</w:t>
      </w:r>
    </w:p>
    <w:p>
      <w:pPr>
        <w:pStyle w:val="BookText"/>
        <w:rPr/>
      </w:pPr>
      <w:r>
        <w:rPr>
          <w:rFonts w:ascii="Amiri" w:hAnsi="Amiri" w:eastAsia="Amiri" w:cs="Amiri"/>
          <w:color w:val="111111"/>
          <w:sz w:val="28"/>
          <w:sz w:val="28"/>
          <w:szCs w:val="28"/>
          <w:rtl w:val="true"/>
          <w:lang w:bidi="ar-SA"/>
        </w:rPr>
        <w:t xml:space="preserve">التهذيب والاستبصار يرشدك إليه، كما لا يخفي على المتأمّل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باب المتعة من نكاح الفقيه باسناده إلى القاسم بن محمّد الجوهري، عن عليّ بن أبي حمزة،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في كتاب رجلٍ إلى أبي الحسن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تزوّج بامرأة متعةً إلى أجلٍ مسمّىً، فإذا انقضى الأجل بينهما هل يحلّ له أن يتزوّج باُختها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له حتّى تنقضي عدّتها </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المكاتبة المذكورة لكونها ممّا أخبر به الحسين بن سعيد تكون صحيحة ؛ و ممّا أخبر به يونس بن عبدالرحمان تكون معتبرة، لاشتمال السند على إسماعيل بن مرار الّذي يكون حديثه معتبراً عندي ؛ و لكونها ممّا أخبر به عليّ بن أبي حمزة تكون موثّقة، فهي في غاية القوّة، قد تلقّاها المشايخ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اللّه</w:t>
      </w:r>
    </w:p>
    <w:p>
      <w:pPr>
        <w:pStyle w:val="BookText"/>
        <w:rPr/>
      </w:pPr>
      <w:r>
        <w:rPr>
          <w:rFonts w:ascii="Amiri" w:hAnsi="Amiri" w:eastAsia="Amiri" w:cs="Amiri"/>
          <w:color w:val="111111"/>
          <w:sz w:val="28"/>
          <w:sz w:val="28"/>
          <w:szCs w:val="28"/>
          <w:rtl w:val="true"/>
          <w:lang w:bidi="ar-SA"/>
        </w:rPr>
        <w:t xml:space="preserve">تعالى مراقدهم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بالقبول، لإيرادهم إيّاها في الكافي و الفقيه والتهذيب، فهي صريحة في عدم جواز عقد الاُخت المتمتّع بها قبل انقضاء عدّتها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قد أفتى بمضمونها شيخنا الصدوق في المقنع، و الكيدري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حكاه العلاّمة في المختلف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صاحب المدارك، و شيخنا الحرّ العاملي، و صاحب الكفاية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 هو الظاهر من ثقة الإسلام لإيرادها في الكافي، و شيخنا الصدوق في الفقيه لذلك، و قد قال في أوّله ما قال ؛ و شيخ الطائفة على ما عرفت ؛ و هو الظاهر منه في الخلاف أيضاً، فلاحظ عبارته السالفة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الظاهر من المقنعة و الوسيلة و المراسم و الكافي والغنية والشرائع والنافع والقواعد والإرشاد والتبصرة واللمعة و شرحها جوازه، بناءً على أنّ المستفاد منها أنّ جواز العقد على اُخت المرأة في أثناء العدّة إنّما هو إذا كان للزوج عليها رجعة</w:t>
      </w:r>
    </w:p>
    <w:p>
      <w:pPr>
        <w:pStyle w:val="BookText"/>
        <w:rPr/>
      </w:pPr>
      <w:r>
        <w:rPr>
          <w:rFonts w:ascii="Amiri" w:hAnsi="Amiri" w:eastAsia="Amiri" w:cs="Amiri"/>
          <w:color w:val="111111"/>
          <w:sz w:val="28"/>
          <w:sz w:val="28"/>
          <w:szCs w:val="28"/>
          <w:rtl w:val="true"/>
          <w:lang w:bidi="ar-SA"/>
        </w:rPr>
        <w:t>فيها ؛ و أمّا إذا بانت منه ولم يكن له عليها رجعة فيها، فيجوز العقد على اُختها قبل</w:t>
      </w:r>
    </w:p>
    <w:p>
      <w:pPr>
        <w:pStyle w:val="BookText"/>
        <w:rPr/>
      </w:pPr>
      <w:r>
        <w:rPr>
          <w:rFonts w:ascii="IRNazanin" w:hAnsi="IRNazanin" w:eastAsia="IRNazanin"/>
          <w:color w:val="111111"/>
          <w:sz w:val="28"/>
          <w:sz w:val="28"/>
          <w:szCs w:val="28"/>
          <w:rtl w:val="true"/>
          <w:lang w:bidi="fa-IR"/>
        </w:rPr>
        <w:t xml:space="preserve">انقضاء عدّتها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نحن فيه من هذا القبيل، للقطع بأنّ بعد انقضاء أجل المتعة لايجوز له الرجوع عليها ؛ و قد أوردنا عباراتهم، فليلاحظ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المصرّح به في المهذّب والسرائر و التحرير و المختلف ؛ قال في المهذّب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انقضى أجل الزوجة المتمتّع بها جاز العقد على اُختها في الحال وقبل انقضاء عدّتها، و قد روي أنّ ذلك لا يجوز حتّى تنقضي العدّة، و هو أحوط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السرائر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 كانت المطلقة </w:t>
      </w:r>
      <w:r>
        <w:rPr>
          <w:rStyle w:val="FootnoteAnchor"/>
          <w:rtl w:val="true"/>
        </w:rPr>
        <w:footnoteReference w:id="111"/>
      </w:r>
      <w:r>
        <w:rPr>
          <w:rFonts w:ascii="Amiri" w:hAnsi="Amiri" w:eastAsia="Amiri" w:cs="Amiri"/>
          <w:color w:val="111111"/>
          <w:sz w:val="28"/>
          <w:sz w:val="28"/>
          <w:szCs w:val="28"/>
          <w:rtl w:val="true"/>
          <w:lang w:bidi="ar-SA"/>
        </w:rPr>
        <w:t xml:space="preserve">لا رجعة له عليها في تلك العدّة فبعد تلك التطليقة جاز له العقد على اُختها في الحال ؛ و كذلك كلّ عدّة لا رجعة للزوج على الزوجة يجوز له العقد على اُخت المعتدّة في الحال، متمتّعة كانت، أو مفسوخاً نكاحها، أو مطلّقة مبارية، أو مختلعة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روي في المتمتّعة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انقضى أجلها أنّه لا يجوز العقد على اُختها حتّى تنقضي عدّتها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هذه رواية شاذّة مخالفة لاُصول المذهب، لايلتفت إليها </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في التحرير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أن يعقد على امرأة عقد المتعة مرّات كثيرة، مرّة بعد اُخرى، إذا خرجت مدّة العقد الأوّل، و إن لم يخرج بعد من العدّة ؛ و كذا يجوز أن يعقد على اُختها بعد الأجل قبل خروج العدّة ؛ و لا يجوز لغيره العقد عليها إلاّ بعد خروج عدّتها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المختلف </w:t>
      </w:r>
      <w:r>
        <w:rPr>
          <w:rFonts w:eastAsia="Amiri" w:cs="Amiri" w:ascii="Amiri" w:hAnsi="Amiri"/>
          <w:color w:val="111111"/>
          <w:sz w:val="28"/>
          <w:szCs w:val="28"/>
          <w:rtl w:val="true"/>
          <w:lang w:bidi="ar-SA"/>
        </w:rPr>
        <w:t xml:space="preserve">: </w:t>
      </w:r>
      <w:bookmarkStart w:id="160" w:name="pg7074_67068"/>
    </w:p>
    <w:p>
      <w:pPr>
        <w:pStyle w:val="BookText"/>
        <w:rPr/>
      </w:pPr>
      <w:bookmarkEnd w:id="160"/>
      <w:r>
        <w:rPr>
          <w:rFonts w:ascii="Amiri" w:hAnsi="Amiri" w:eastAsia="Amiri" w:cs="Amiri"/>
          <w:color w:val="111111"/>
          <w:sz w:val="28"/>
          <w:sz w:val="28"/>
          <w:szCs w:val="28"/>
          <w:rtl w:val="true"/>
          <w:lang w:bidi="ar-SA"/>
        </w:rPr>
        <w:t xml:space="preserve">يجوز للرجل بعد انقضاء أجل المتعة الترويج باُختها و إن لم ينقض عدّتها على الأشهر بين علمائنا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انقضى أجلها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عبارته السالفة، ثمّ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تبعه الكيدري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فرقة بائنٍ، فأشبهت المطلّقة ثلاثاً و غيرها من البوائن، و لا تحلّ له حتّى يعقد عليها عقداً مستأنفاً، فساغ التزويج بالاُخت، كالنكاح الدائم </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61" w:name="__RefHeading___Toc3387473_372815092"/>
      <w:bookmarkStart w:id="162" w:name="_Toc57"/>
      <w:bookmarkEnd w:id="161"/>
      <w:r>
        <w:rPr>
          <w:rtl w:val="true"/>
        </w:rPr>
        <w:t>[</w:t>
      </w:r>
      <w:r>
        <w:rPr>
          <w:rtl w:val="true"/>
        </w:rPr>
        <w:t xml:space="preserve">المستند في جواز العقد على اُخت المرأة ولو قبل انقضاء العدّة </w:t>
      </w:r>
      <w:r>
        <w:rPr>
          <w:rtl w:val="true"/>
        </w:rPr>
        <w:t>]</w:t>
      </w:r>
      <w:bookmarkEnd w:id="162"/>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المستند في ذلك الكتاب والسنّة، أمّا الكتاب فآيات، أظهرها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لَكُمْ ما وَراءَ ذلِكُمْ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أنّه إشارة إلى المدلول عليه بقوله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أُمَّهاتُكُمْ وَ بَناتُكُمْ وَ أخواتُكُمْ وَ عَمّاتُكُمْ وَ خالاتُكُمْ وَ بَناتُ الأخِ وَ بَناتُ الأُخْتِ وَ أُمَّهاتُكُمُ الّلاتى أرْضَعْنَكُمْ وَ أخواتُكُمْ مِنَ الرَّضاعَةِ وَ أُمَّهاتُ نِسائِكُمْ وَ رَبائِبُكُمُ الّلاتى فى حُجُورِكُمْ مِنْ نِسائِكُمُ الّلاتي دَخَلْتُمْ بِهِنَّ فَإنْ لَمْ تَكُونُوا دَخَلْتُمْ بِهِنَّ فَلا جُناحَ عَلَيْكُمْ وَ حَلائِلُ أبْنائِكُمُ الّذينَ مِنْ أصْلابِكُمْ وَ أنْ </w:t>
      </w:r>
    </w:p>
    <w:p>
      <w:pPr>
        <w:pStyle w:val="BookText"/>
        <w:rPr/>
      </w:pPr>
      <w:r>
        <w:rPr>
          <w:rFonts w:ascii="Amiri" w:hAnsi="Amiri" w:eastAsia="Amiri" w:cs="Amiri"/>
          <w:color w:val="111111"/>
          <w:sz w:val="28"/>
          <w:sz w:val="28"/>
          <w:szCs w:val="28"/>
          <w:rtl w:val="true"/>
          <w:lang w:bidi="ar-SA"/>
        </w:rPr>
        <w:t xml:space="preserve">تَجْمَعُوا بَيْنَ الْأُخْتَيْنِ إلاّ ما قَدْ سَلَفَ إنَّ اللّه كانَ غَفُوراً رَحيماً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الُْمحْصَناتِ مِنَ النِّساءِ إلاّ ما مَلَكَتْ أيْمانُكُمْ كِتابَ اللّه عَلَيْكُمْ وَ أُحِلَّ لَكُمْ ماوَراءَ ذلِكُمْ أنْ تَبْتَغُوا بِأمْوالِكُمْ </w:t>
      </w:r>
      <w:r>
        <w:rPr>
          <w:rFonts w:eastAsia="Amiri" w:cs="Amiri" w:ascii="Amiri" w:hAnsi="Amiri"/>
          <w:color w:val="111111"/>
          <w:sz w:val="28"/>
          <w:szCs w:val="28"/>
          <w:rtl w:val="true"/>
          <w:lang w:bidi="ar-SA"/>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 بناءً على أنّ اُخت المتمّتع بها مغائرة لما اشتملت عليه الآية الشريفة، فيسوّغ التزويج بها و لو قبل انقضاء العدّة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فغير مفتقرة إلى البيان ؛ و أمّا الكبرى فلعموم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وَأُحِلَّ لَكُمْ ما وَراء ذلِكُمْ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السنّة، 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باب عدّة المختلعة و المباراة، من طلاق الكافي، 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اختلعت منه امرأته، أيحلّ له أن يخطب اُختها من قبل أن تنقضي عدّة المختلعة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برئت عصمتها منه و ليس له عليها رجعة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والصحيح المرويّ في باب الجمع بين الاُختين، من نكاح الكافي، عن الحلبي، عن أبي عبداللّه عليه‌السلام في رجل طلّق امرأته، أو اختلعت، أو بانت، أ له أن يتزوّج باُختها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برئت عصمتها و لم يكن له عليها رجعة فله أن يخطب </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الصحيح المرويّ في الباب المذكور، عن محمّد بن إسماعيل بن بزيع، عن محمّد بن الفضيل، عن أبي الصباح الكناني، عن أبي عبداللّه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bookmarkStart w:id="163" w:name="pg7074_67070"/>
    </w:p>
    <w:p>
      <w:pPr>
        <w:pStyle w:val="BookText"/>
        <w:rPr/>
      </w:pPr>
      <w:bookmarkEnd w:id="163"/>
      <w:r>
        <w:rPr>
          <w:rFonts w:ascii="Amiri" w:hAnsi="Amiri" w:eastAsia="Amiri" w:cs="Amiri"/>
          <w:color w:val="111111"/>
          <w:sz w:val="28"/>
          <w:sz w:val="28"/>
          <w:szCs w:val="28"/>
          <w:rtl w:val="true"/>
          <w:lang w:bidi="ar-SA"/>
        </w:rPr>
        <w:t xml:space="preserve">عن رجلٍ اختلعت منه امرأته، أيحلّ له أن يخطب أُختها قبل أن تنقضي عدّتها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برئت عصمتها ولم يكن له رجعة فقد حلّ له أن يخطب اُختها </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رواه عن محمّد بن يحيى، عن أحمد بن محمّد بن عيسى، عن محمّد بن إسماعيل بن بزيع، إلى آخره </w:t>
      </w:r>
      <w:r>
        <w:rPr>
          <w:rFonts w:eastAsia="Amiri" w:cs="Amiri" w:ascii="Amiri" w:hAnsi="Amiri"/>
          <w:color w:val="111111"/>
          <w:sz w:val="28"/>
          <w:szCs w:val="28"/>
          <w:rtl w:val="true"/>
          <w:lang w:bidi="ar-SA"/>
        </w:rPr>
        <w:t>.</w:t>
      </w:r>
    </w:p>
    <w:p>
      <w:pPr>
        <w:pStyle w:val="Heading2"/>
        <w:numPr>
          <w:ilvl w:val="1"/>
          <w:numId w:val="1"/>
        </w:numPr>
        <w:rPr/>
      </w:pPr>
      <w:bookmarkStart w:id="164" w:name="__RefHeading___Toc3387475_372815092"/>
      <w:bookmarkStart w:id="165" w:name="_Toc58"/>
      <w:bookmarkEnd w:id="164"/>
      <w:r>
        <w:rPr>
          <w:rtl w:val="true"/>
        </w:rPr>
        <w:t xml:space="preserve">[ </w:t>
      </w:r>
      <w:r>
        <w:rPr>
          <w:rtl w:val="true"/>
        </w:rPr>
        <w:t xml:space="preserve">وجوه الاستدلال لحلّيّة عقد اُخت المتمتّع بها في أثناء عدّتها </w:t>
      </w:r>
      <w:r>
        <w:rPr>
          <w:rtl w:val="true"/>
        </w:rPr>
        <w:t>]</w:t>
      </w:r>
      <w:bookmarkEnd w:id="165"/>
    </w:p>
    <w:p>
      <w:pPr>
        <w:pStyle w:val="BookText"/>
        <w:rPr/>
      </w:pPr>
      <w:r>
        <w:rPr>
          <w:rFonts w:ascii="IRNazanin" w:hAnsi="IRNazanin" w:eastAsia="IRNazanin"/>
          <w:color w:val="111111"/>
          <w:sz w:val="28"/>
          <w:sz w:val="28"/>
          <w:szCs w:val="28"/>
          <w:rtl w:val="true"/>
          <w:lang w:bidi="fa-IR"/>
        </w:rPr>
        <w:t xml:space="preserve">وجه الاستدلال 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التفرقة في النصوص المذكورة بين المطلّقة بالطلاق الرجعيّ والبائن، فالحكم بعدم جواز العقد على اُختها في أثناء العدّة في الاُولى و بجوازه في الثانية يرشد إلى أنّ المناط في الجواز إنّما هو البينونة ؛ و هي متحقّقة في المتعة</w:t>
      </w:r>
    </w:p>
    <w:p>
      <w:pPr>
        <w:pStyle w:val="BookText"/>
        <w:rPr/>
      </w:pPr>
      <w:r>
        <w:rPr>
          <w:rFonts w:ascii="Amiri" w:hAnsi="Amiri" w:eastAsia="Amiri" w:cs="Amiri"/>
          <w:color w:val="111111"/>
          <w:sz w:val="28"/>
          <w:sz w:val="28"/>
          <w:szCs w:val="28"/>
          <w:rtl w:val="true"/>
          <w:lang w:bidi="ar-SA"/>
        </w:rPr>
        <w:t xml:space="preserve">بعد انقضاء الأجل أيضاً، فينبغي الحكم بجواز العقد على اُختها و لو في أثناء العدّة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بانت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السائل في صحيحة الحلبي، عطفٌ على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طلّق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لمقابلته بالطلاق يرشد إلى أنّ المراد من البينونة هو البينونيّة </w:t>
      </w:r>
      <w:r>
        <w:rPr>
          <w:rStyle w:val="FootnoteAnchor"/>
          <w:rtl w:val="true"/>
        </w:rPr>
        <w:footnoteReference w:id="121"/>
      </w:r>
      <w:r>
        <w:rPr>
          <w:rFonts w:ascii="Amiri" w:hAnsi="Amiri" w:eastAsia="Amiri" w:cs="Amiri"/>
          <w:color w:val="111111"/>
          <w:sz w:val="28"/>
          <w:sz w:val="28"/>
          <w:szCs w:val="28"/>
          <w:rtl w:val="true"/>
          <w:lang w:bidi="ar-SA"/>
        </w:rPr>
        <w:t xml:space="preserve">الّتي في غير الطلاق، فإطلاقه يعمّ ما نحن فيه أيضاً </w:t>
      </w:r>
      <w:r>
        <w:rPr>
          <w:rFonts w:eastAsia="Amiri" w:cs="Amiri" w:ascii="Amiri" w:hAnsi="Amiri"/>
          <w:color w:val="111111"/>
          <w:sz w:val="28"/>
          <w:szCs w:val="28"/>
          <w:rtl w:val="true"/>
          <w:lang w:bidi="ar-SA"/>
        </w:rPr>
        <w:t xml:space="preserve">. </w:t>
      </w:r>
      <w:bookmarkStart w:id="166" w:name="pg7074_67071"/>
    </w:p>
    <w:p>
      <w:pPr>
        <w:pStyle w:val="BookText"/>
        <w:rPr/>
      </w:pPr>
      <w:bookmarkEnd w:id="166"/>
      <w:r>
        <w:rPr>
          <w:rFonts w:ascii="Amiri" w:hAnsi="Amiri" w:eastAsia="Amiri" w:cs="Amiri"/>
          <w:color w:val="111111"/>
          <w:sz w:val="28"/>
          <w:sz w:val="28"/>
          <w:szCs w:val="28"/>
          <w:rtl w:val="true"/>
          <w:lang w:bidi="ar-SA"/>
        </w:rPr>
        <w:t xml:space="preserve">والثالث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عليه‌السلام في النصوص المذكوره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ليس له عليها 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نحوه في قوّة التعليل، فالمستفاد منه قاعدة كلّيّة،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امرأة بانت من زوجها</w:t>
      </w:r>
    </w:p>
    <w:p>
      <w:pPr>
        <w:pStyle w:val="BookText"/>
        <w:rPr/>
      </w:pPr>
      <w:r>
        <w:rPr>
          <w:rFonts w:ascii="Amiri" w:hAnsi="Amiri" w:eastAsia="Amiri" w:cs="Amiri"/>
          <w:color w:val="111111"/>
          <w:sz w:val="28"/>
          <w:sz w:val="28"/>
          <w:szCs w:val="28"/>
          <w:rtl w:val="true"/>
          <w:lang w:bidi="ar-SA"/>
        </w:rPr>
        <w:t xml:space="preserve">ولم يكن له عليها رجعة، يجوز له العقد على اُختها في أثناء العدّة، فيشمل محلّ الكلام و غيره كما لا يخفى </w:t>
      </w:r>
      <w:r>
        <w:rPr>
          <w:rFonts w:eastAsia="Amiri" w:cs="Amiri" w:ascii="Amiri" w:hAnsi="Amiri"/>
          <w:color w:val="111111"/>
          <w:sz w:val="28"/>
          <w:szCs w:val="28"/>
          <w:rtl w:val="true"/>
          <w:lang w:bidi="ar-SA"/>
        </w:rPr>
        <w:t>.</w:t>
      </w:r>
    </w:p>
    <w:p>
      <w:pPr>
        <w:pStyle w:val="Heading2"/>
        <w:numPr>
          <w:ilvl w:val="1"/>
          <w:numId w:val="1"/>
        </w:numPr>
        <w:rPr/>
      </w:pPr>
      <w:bookmarkStart w:id="167" w:name="__RefHeading___Toc3387477_372815092"/>
      <w:bookmarkStart w:id="168" w:name="_Toc59"/>
      <w:bookmarkEnd w:id="167"/>
      <w:r>
        <w:rPr>
          <w:rtl w:val="true"/>
        </w:rPr>
        <w:t xml:space="preserve">[ </w:t>
      </w:r>
      <w:r>
        <w:rPr>
          <w:rtl w:val="true"/>
        </w:rPr>
        <w:t xml:space="preserve">الجواب عن مستند المجوّزين </w:t>
      </w:r>
      <w:r>
        <w:rPr>
          <w:rtl w:val="true"/>
        </w:rPr>
        <w:t>]</w:t>
      </w:r>
      <w:bookmarkEnd w:id="168"/>
    </w:p>
    <w:p>
      <w:pPr>
        <w:pStyle w:val="BookText"/>
        <w:rPr/>
      </w:pPr>
      <w:r>
        <w:rPr>
          <w:rFonts w:ascii="Amiri" w:hAnsi="Amiri" w:eastAsia="Amiri" w:cs="Amiri"/>
          <w:color w:val="111111"/>
          <w:sz w:val="28"/>
          <w:sz w:val="28"/>
          <w:szCs w:val="28"/>
          <w:rtl w:val="true"/>
          <w:lang w:bidi="ar-SA"/>
        </w:rPr>
        <w:t xml:space="preserve">والجواب أمّا عن الآية الشريفة،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العموم فيها و إن كان مسلّماً، لكن باعتبار الأشخاص، لا باعتبار الأحوال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الحال في ذلك يستدعي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المقصود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حُرّمَتْ عَلَيْكُمْ أُمَّهاتِكُمْ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أُحِلّ لَكُمْ ماوَراء ذلِكُمْ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إثبات التحريم على وجه التأبيد،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حرّمت عليكم اُمّهاتكم على وجه الدوام و التأبيد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هكذا الحال في البنات و الأخوات و العمّات والخالات و بنات الأخ و بنات الاُخت و اُمّهات النساء ؛ و لهذا قيّد الحكم في الربيبة، فقال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رَبائِبُكُمُ اللاّتى فى حُجُورِكُم مِن نِسائِكُمُ اللاّتى دَخَلْتُمْ بِهِنَّ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نِسائِكُمْ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قيدٌ لقوله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رَبائِبُكُمُ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الربيبة ممّن حرّمت عليكم على وجه الدوام والتأبيد إنّما هو إذا كانت الربيبة من النساء اللاّتي دخلتم بهنّ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وإثبات التحريم في الجملة لم يكن محتاجاً إلى ذكر القيد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فعلى هذا يكون المقصود من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أُحِلَّ لَكُمْ ما وَراء ذلِكُمْ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عدا المذكورات يجوز لكم العقد عليهنّ في الجملة ؛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خلوّها عن موانع النكاح، فتندرج تحته ذوات البعول و ذوات العدد و غيرهنّ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فالمتحصّل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المذكورات لا يتطرّق إليهنّ احتمال جواز العقد، بخلاف غيرها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كذوات البعول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يتطرّق إليهنّ تحليل العقد فيما إذا طلّقت و خرجت من العدّة مثلاً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فعلى هذا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الآية الشريفة أنّ اُخت المتمتّع بها ممّن يسوغ العقد عليها في الجملة،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فيما إذا خرجت اُختها من العدّة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ترى أنّه لا يمكن لأحدٍ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الآية دلّت على جواز العقد على اُخت المتمتّع بها مع كونها ذات بعل، فليكن بالإضافة إلى ما نحن فيه ؛ فالعموم في الآية الشريفة بالإضافة إلى الذوات، لا بالإضافة إلى الأحوال أيضاً، كما لا يخفى على المتأمّل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فالتمسّك بالآية الشريفة في إثبات الجواز في أخت المتمتّع بها غير مقرونٍ بالصواب والصحّة، كما لا يخفى على ذي فطنةٍ و دراية، و للّه الحمد و الشكر والمنّة </w:t>
      </w:r>
      <w:r>
        <w:rPr>
          <w:rFonts w:eastAsia="Amiri" w:cs="Amiri" w:ascii="Amiri" w:hAnsi="Amiri"/>
          <w:color w:val="111111"/>
          <w:sz w:val="28"/>
          <w:szCs w:val="28"/>
          <w:rtl w:val="true"/>
          <w:lang w:bidi="ar-SA"/>
        </w:rPr>
        <w:t xml:space="preserve">. </w:t>
      </w:r>
      <w:bookmarkStart w:id="169" w:name="pg7074_67073"/>
    </w:p>
    <w:p>
      <w:pPr>
        <w:pStyle w:val="Heading2"/>
        <w:numPr>
          <w:ilvl w:val="1"/>
          <w:numId w:val="1"/>
        </w:numPr>
        <w:rPr/>
      </w:pPr>
      <w:bookmarkStart w:id="170" w:name="__RefHeading___Toc3387479_372815092"/>
      <w:bookmarkStart w:id="171" w:name="_Toc60"/>
      <w:bookmarkEnd w:id="169"/>
      <w:bookmarkEnd w:id="170"/>
      <w:r>
        <w:rPr>
          <w:rtl w:val="true"/>
        </w:rPr>
        <w:t>[</w:t>
      </w:r>
      <w:r>
        <w:rPr>
          <w:rtl w:val="true"/>
        </w:rPr>
        <w:t xml:space="preserve">الجواب عن وجوه الاستدلال لحلّيّة عقد اُخت المتمتّع بها في أثناء عدّتها </w:t>
      </w:r>
      <w:r>
        <w:rPr>
          <w:rtl w:val="true"/>
        </w:rPr>
        <w:t>]</w:t>
      </w:r>
      <w:bookmarkEnd w:id="171"/>
    </w:p>
    <w:p>
      <w:pPr>
        <w:pStyle w:val="BookText"/>
        <w:rPr/>
      </w:pPr>
      <w:r>
        <w:rPr>
          <w:rFonts w:ascii="IRNazanin" w:hAnsi="IRNazanin" w:eastAsia="IRNazanin"/>
          <w:color w:val="111111"/>
          <w:sz w:val="28"/>
          <w:sz w:val="28"/>
          <w:szCs w:val="28"/>
          <w:rtl w:val="true"/>
          <w:lang w:bidi="fa-IR"/>
        </w:rPr>
        <w:t xml:space="preserve">و أمّا عن الوجه الأوّل من الوجوه </w:t>
      </w:r>
      <w:r>
        <w:rPr>
          <w:rStyle w:val="FootnoteAnchor"/>
          <w:rtl w:val="true"/>
        </w:rPr>
        <w:footnoteReference w:id="122"/>
      </w:r>
      <w:r>
        <w:rPr>
          <w:rFonts w:ascii="Amiri" w:hAnsi="Amiri" w:eastAsia="Amiri" w:cs="Amiri"/>
          <w:color w:val="111111"/>
          <w:sz w:val="28"/>
          <w:sz w:val="28"/>
          <w:szCs w:val="28"/>
          <w:rtl w:val="true"/>
          <w:lang w:bidi="ar-SA"/>
        </w:rPr>
        <w:t xml:space="preserve">المذكورة،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المناط مستنبط،</w:t>
      </w:r>
    </w:p>
    <w:p>
      <w:pPr>
        <w:pStyle w:val="BookText"/>
        <w:rPr/>
      </w:pPr>
      <w:r>
        <w:rPr>
          <w:rFonts w:ascii="Amiri" w:hAnsi="Amiri" w:eastAsia="Amiri" w:cs="Amiri"/>
          <w:color w:val="111111"/>
          <w:sz w:val="28"/>
          <w:sz w:val="28"/>
          <w:szCs w:val="28"/>
          <w:rtl w:val="true"/>
          <w:lang w:bidi="ar-SA"/>
        </w:rPr>
        <w:t>فهو من القياس الفاسد الأساس، فَلِمَ لايجوز أن يكون هناك خصوصيّة يكون مقتضية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فلأجل انتفائها في محلّ الكلام لا يمكن الحكم بالاشتراك، فلا يمكن التعدّي عن مورد النصّ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عن الوجه الثاني،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في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رجل طلّق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والمتبادر من قولك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المرأة امرأة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الدوام، فلا يمكن التمسّك به في إثبات الحكم في الانقطاع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عن الوجه الثالث،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الضمير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 أن يخطب اُختها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رجل طلّق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قد عرفت أنّ المتبادر من 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المعقودة بالعقد الدوام </w:t>
      </w:r>
      <w:r>
        <w:rPr>
          <w:rStyle w:val="FootnoteAnchor"/>
          <w:rtl w:val="true"/>
        </w:rPr>
        <w:footnoteReference w:id="123"/>
      </w:r>
      <w:r>
        <w:rPr>
          <w:rFonts w:ascii="Amiri" w:hAnsi="Amiri" w:eastAsia="Amiri" w:cs="Amiri"/>
          <w:color w:val="111111"/>
          <w:sz w:val="28"/>
          <w:sz w:val="28"/>
          <w:szCs w:val="28"/>
          <w:rtl w:val="true"/>
          <w:lang w:bidi="ar-SA"/>
        </w:rPr>
        <w:t xml:space="preserve">، فالمدلول عليه بهذا الكلام أنّ المعقودة بالعقد الدائمي الّتي بانت عن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كانت البينونة بالطلاق، أو </w:t>
      </w:r>
    </w:p>
    <w:p>
      <w:pPr>
        <w:pStyle w:val="BookText"/>
        <w:rPr/>
      </w:pPr>
      <w:r>
        <w:rPr>
          <w:rFonts w:ascii="Amiri" w:hAnsi="Amiri" w:eastAsia="Amiri" w:cs="Amiri"/>
          <w:color w:val="111111"/>
          <w:sz w:val="28"/>
          <w:sz w:val="28"/>
          <w:szCs w:val="28"/>
          <w:rtl w:val="true"/>
          <w:lang w:bidi="ar-SA"/>
        </w:rPr>
        <w:t xml:space="preserve">الخلع، أو الفسخ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لزوجها تزويج اُختها في أثناء العدّة ؛ و أين ذلك من الدلالة على تزويج اُخت المتمتّع بها قبل انقضاء عدّتها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فالنصوص الصريحة الدالّة على عدم حلّيّة عقد اُخت المتمتّع بها في أثناء عدّتها سالمةٌ عمّا يصلح للمعارضة، فيجب المصير إلى مقتضاها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يظهر الحال في صحيحة أبي بصير المرادي، لوضوح أنّ الضمير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 السائل عائدٌ إلى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اختلعت منه امرأته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عرفت في ذلك </w:t>
      </w:r>
      <w:r>
        <w:rPr>
          <w:rStyle w:val="FootnoteAnchor"/>
          <w:rtl w:val="true"/>
        </w:rPr>
        <w:footnoteReference w:id="124"/>
      </w:r>
      <w:r>
        <w:rPr>
          <w:rFonts w:ascii="Amiri" w:hAnsi="Amiri" w:eastAsia="Amiri" w:cs="Amiri"/>
          <w:color w:val="111111"/>
          <w:sz w:val="28"/>
          <w:sz w:val="28"/>
          <w:szCs w:val="28"/>
          <w:rtl w:val="true"/>
          <w:lang w:bidi="ar-SA"/>
        </w:rPr>
        <w:t xml:space="preserve">من أنّ المتبادر من هذا اللفظ المضاف إلى الرجل هو المعقودة بالعقد الدائمي، فالسؤال في قوّة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للرجل أن يخطب اُخت امرأته المعقودة بالعقد الدائمي فيما إذا اختلعت منه ؟</w:t>
      </w:r>
    </w:p>
    <w:p>
      <w:pPr>
        <w:pStyle w:val="BookText"/>
        <w:rPr/>
      </w:pPr>
      <w:r>
        <w:rPr>
          <w:rFonts w:ascii="Amiri" w:hAnsi="Amiri" w:eastAsia="Amiri" w:cs="Amiri"/>
          <w:color w:val="111111"/>
          <w:sz w:val="28"/>
          <w:sz w:val="28"/>
          <w:szCs w:val="28"/>
          <w:rtl w:val="true"/>
          <w:lang w:bidi="ar-SA"/>
        </w:rPr>
        <w:t xml:space="preserve">فعلى هذا يكون جوابه عليه‌السلام بنعم في قوّة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له العقد على اُخت الزوجة المختلعة قبل انقضاء عدّتها ؛ و أين ذلك من الدلالة على الجواز في محلّ الكلام ؟</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ذلك كلّه إنّما يتّجه إذا لم يوجد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ليس له عليها 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صحيحة المرادي،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عليها 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الحلبي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له 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الكناني ؛ و أمّا معه فلا، لكونه في قوّة التعليل، فكأنّه عليه‌السلامقال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ليس له عليها رجعة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فرقٌ بين التصريح بالعلّيّة في كلام المعصوم عليه‌السلام و بين ما يستنبط منه العلّيّة،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عليه‌السلام حكماً لموضوعٍ مشخّص، ثمّ أورد بعده كلاماً يظهر منه أنّ مقصوده عليه‌السلام هو التنبيه على علّة ذلك الحكم، و يكون في ذلك الكلام ما يربطه بذلك الموضوع، فحينئذٍ يمكن التعدّي عن ذلك الموضوع إلى ما شاركه في أفراده بل أصنافه، لاقتضاء </w:t>
      </w:r>
      <w:r>
        <w:rPr>
          <w:rStyle w:val="FootnoteAnchor"/>
          <w:rtl w:val="true"/>
        </w:rPr>
        <w:footnoteReference w:id="125"/>
      </w:r>
      <w:r>
        <w:rPr>
          <w:rFonts w:ascii="Amiri" w:hAnsi="Amiri" w:eastAsia="Amiri" w:cs="Amiri"/>
          <w:color w:val="111111"/>
          <w:sz w:val="28"/>
          <w:sz w:val="28"/>
          <w:szCs w:val="28"/>
          <w:rtl w:val="true"/>
          <w:lang w:bidi="ar-SA"/>
        </w:rPr>
        <w:t xml:space="preserve">العلّيّة لذلك ؛ و أمّا التعدّي عنه إلى ما شاركه في الجنس، أو النوع فمشكل، بل غير ممكن، لعدم ظهور مقتضيه، لأنّه حينئذٍ يكون التعدّي عن مورد النصّ مع عدم ظهور مسوّغٍ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الحال في إيراد المرام يستدعي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وقع السؤال في صحيحة المراديّ عن تزويج الرجل باُخت امرأته المختلعة قبل انقضاء عدّتها، فأجاب عليه‌السلام بالجواز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 عقّبه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قد برئت عصمتها و ليس له عليها رجعة </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من برائة عصمتها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الزوجيّة، لكن هذا الانقطاع قد يكون متزلزلاً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جاز للزوج الرجوع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يكون لازماً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إذا لم يجز للزوج الرجوع إليها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فالمدلول عليه بهذا الكلام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العلّة في جواز التزويج باُخت امرأتها المختلعة قبل انقضاء عدّتها انقطاع علاقة نكاحها و عدم إمكان رجوع الزوج إليها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فالقدر المتيقّن من العلّيّة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انقطاع علاقة النكاح من الزوجة الدائميّة و عدم إمكان الرجوع إليها، فيعلم من ذلك أنّ كلّ امرأة دائميّة إذا انقطعت عنها علاقة النكاح و لم يجز للزوج الرجوع إليها، يجوز له التزويج باُختها في أثناء عدّتها، كالمختلعة والمباراة و المطلّقة بثلاث تطليقات و المفسوخ عقدها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تعدّينا عن مورد السؤال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الزوجة الدائميّة المختلعة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ما شاركها في صنفها من المباراة والمطلّقة ثلاثاً و المفسوخة عقدها، لقوله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برئت عصمتها و ليس له عليها رجعة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الدالّة على أنّ العلّة في جواز تزويج الرجل باُخت زوجتها الدائميّة هو الأمران المذكوران، و هما متحقّقان في المباراة والمطلّقة بثلاث تطليقات والمفسوخة عقدها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المتمتّع بها بعد انقضاء أجلها، فهي و إن تحقّق فيها الأمران أيضاً، لكن لمّا كان المذكور في كلامه عليه‌السلام ضميرين عائدين إلى الزوجة الدائميّة، احتمل أن يكون انقطاع العلاقة في الدوام له مدخليّة في ذلك، فلا يطمئنّ النفس في التعدّي عن مورد النصّ إليها، لانتفاء الاطمئنان في وجود المقتضي لذلك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بخلاف ما لو كان التعليل مصرّحاً به في كلامه بأن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نعم، لأنّه ليس له عليها 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الضمير فيه و إن كان عائداً إلى الزوجة الدائميّة، لكنّ المدلول</w:t>
      </w:r>
    </w:p>
    <w:p>
      <w:pPr>
        <w:pStyle w:val="BookText"/>
        <w:rPr/>
      </w:pPr>
      <w:r>
        <w:rPr>
          <w:rFonts w:ascii="Amiri" w:hAnsi="Amiri" w:eastAsia="Amiri" w:cs="Amiri"/>
          <w:color w:val="111111"/>
          <w:sz w:val="28"/>
          <w:sz w:val="28"/>
          <w:szCs w:val="28"/>
          <w:rtl w:val="true"/>
          <w:lang w:bidi="ar-SA"/>
        </w:rPr>
        <w:t xml:space="preserve">العرفيّ من هذا الكلام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العلّة عدم التسلّط على الرجوع مطلقاً، فيتعدّي إلى</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المتمتّع بها أيضاً لذلك في قول الطبيب للمريض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تشرب الخلّ، لأنّه حامض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المدلول العرفيّ هو المنع عن شرب كلّ ما هو حامض، و إن كان الضمير في </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لأنّه حامض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عائداً إلى الخلّ المذكور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نجد التفرقة في ذكر علّة الحكم بين التصريح بالعلّيّة و عدمه على النحو المسطور، فيسوغ التعدّي في الأوّل إلى كلّ ما يوجد فيه العلّة ولو في غير النوع، بخلافه في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على فرض تسليم انتفاء التفرقة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في قوّة منصوص العلّة، و دلالته إنّما هو بعنوان العموم ؛ و معلوم أنّ حجّيّة الأدلّة العامّة مشروطة بانتفاء</w:t>
      </w:r>
    </w:p>
    <w:p>
      <w:pPr>
        <w:pStyle w:val="BookText"/>
        <w:rPr/>
      </w:pPr>
      <w:r>
        <w:rPr>
          <w:rFonts w:ascii="Amiri" w:hAnsi="Amiri" w:eastAsia="Amiri" w:cs="Amiri"/>
          <w:color w:val="111111"/>
          <w:sz w:val="28"/>
          <w:sz w:val="28"/>
          <w:szCs w:val="28"/>
          <w:rtl w:val="true"/>
          <w:lang w:bidi="ar-SA"/>
        </w:rPr>
        <w:t xml:space="preserve">المخصّص، والمخصّص فيما نحن فيه موجود، و هو النصوص المذكورة الصريحة في عدم جواز التزويج باُخت المتمتّع بها في أثناء عدّتها، فيخصّص عموم التعليل على فرض تسليمه لغير المتمتّع 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العموم لاعتضاده بالاشتهار بين الأصحاب يترجّح </w:t>
      </w:r>
      <w:r>
        <w:rPr>
          <w:rStyle w:val="FootnoteAnchor"/>
          <w:rtl w:val="true"/>
        </w:rPr>
        <w:footnoteReference w:id="126"/>
      </w:r>
      <w:r>
        <w:rPr>
          <w:rFonts w:ascii="Amiri" w:hAnsi="Amiri" w:eastAsia="Amiri" w:cs="Amiri"/>
          <w:color w:val="111111"/>
          <w:sz w:val="28"/>
          <w:sz w:val="28"/>
          <w:szCs w:val="28"/>
          <w:rtl w:val="true"/>
          <w:lang w:bidi="ar-SA"/>
        </w:rPr>
        <w:t xml:space="preserve">، قال في المختلف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للرجل بعد انقضاء أجل المتعة التزويج باُختها و إن لم تنقض عدّتها على الأشهر بين علمائنا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الدعوى و إن صدرت من العلاّمة في المختلف، لكنّها استنباطيّة ؛ لأنّا لم نجد مَن صرّح بجواز ذلك قبله، عدا ابن البرّاج و ابن إدريس، بل المصرّح </w:t>
      </w:r>
    </w:p>
    <w:p>
      <w:pPr>
        <w:pStyle w:val="BookText"/>
        <w:rPr/>
      </w:pPr>
      <w:r>
        <w:rPr>
          <w:rFonts w:ascii="Amiri" w:hAnsi="Amiri" w:eastAsia="Amiri" w:cs="Amiri"/>
          <w:color w:val="111111"/>
          <w:sz w:val="28"/>
          <w:sz w:val="28"/>
          <w:szCs w:val="28"/>
          <w:rtl w:val="true"/>
          <w:lang w:bidi="ar-SA"/>
        </w:rPr>
        <w:t xml:space="preserve">بعدم الجواز قبله أكثر من المصرّح بجوازه، لما عرفت من أنّ المصرّح بعدم الجواز قبله هو شيخنا الصدوق، والكيدري، و صاحب الجامع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عرفت أنّه الظاهر من شيخ الطائفة في التهذيب والاستبصار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هو الظاهر من ثقة الإسلام في الكافي، لأنّه أورد الرواية المانعة عن عقد اُخت المتمتّع بها في أثناء العدّة، ثمّ أورد رواية أبي الصباح الكناني الدالّة على</w:t>
      </w:r>
    </w:p>
    <w:p>
      <w:pPr>
        <w:pStyle w:val="BookText"/>
        <w:rPr/>
      </w:pPr>
      <w:r>
        <w:rPr>
          <w:rFonts w:ascii="Amiri" w:hAnsi="Amiri" w:eastAsia="Amiri" w:cs="Amiri"/>
          <w:color w:val="111111"/>
          <w:sz w:val="28"/>
          <w:sz w:val="28"/>
          <w:szCs w:val="28"/>
          <w:rtl w:val="true"/>
          <w:lang w:bidi="ar-SA"/>
        </w:rPr>
        <w:t xml:space="preserve">الجواز في اُخت المختلعة متّصلاً بالأوّل ؛ و معلوم أنّ الظاهر من هذا النحو من الترتيب ارتضاء صاحب الكتاب بمضمون الخبرين، كما لايخفى على المتأمّل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استبان من ذلك أنّ النصوص المانعة قد اقترنت بقول المشايخ العظام، أمّا ثقة الإسلام فلما عرفته ؛ و أمّا شيخنا الصدوق فلما علمت من الفتوى بمضمونها في المقنع </w:t>
      </w:r>
      <w:r>
        <w:rPr>
          <w:rStyle w:val="FootnoteAnchor"/>
          <w:rtl w:val="true"/>
        </w:rPr>
        <w:footnoteReference w:id="128"/>
      </w:r>
      <w:r>
        <w:rPr>
          <w:rFonts w:ascii="Amiri" w:hAnsi="Amiri" w:eastAsia="Amiri" w:cs="Amiri"/>
          <w:color w:val="111111"/>
          <w:sz w:val="28"/>
          <w:sz w:val="28"/>
          <w:szCs w:val="28"/>
          <w:rtl w:val="true"/>
          <w:lang w:bidi="ar-SA"/>
        </w:rPr>
        <w:t xml:space="preserve">، و إيراده رواية عليّ بن أبي حمزة في الفقيه </w:t>
      </w:r>
      <w:r>
        <w:rPr>
          <w:rStyle w:val="FootnoteAnchor"/>
          <w:rtl w:val="true"/>
        </w:rPr>
        <w:footnoteReference w:id="129"/>
      </w:r>
      <w:r>
        <w:rPr>
          <w:rFonts w:ascii="Amiri" w:hAnsi="Amiri" w:eastAsia="Amiri" w:cs="Amiri"/>
          <w:color w:val="111111"/>
          <w:sz w:val="28"/>
          <w:sz w:val="28"/>
          <w:szCs w:val="28"/>
          <w:rtl w:val="true"/>
          <w:lang w:bidi="ar-SA"/>
        </w:rPr>
        <w:t xml:space="preserve">، مع أنّه قال في أوّله ما قال ؛ و أمّا شيخ الطائفة فلما عرفته </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فممّا ذكر تبيّن أنّ ما صدر من ابن إدريس من نسبة الرواية إلى الشذوذ، كلامٌ صدر من غير تأمّلٍ، فلا اعتناء به،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القول بالمنع هو الظاهر من ثقة الإسلام في الكافي، و الصدوق في الفقيه، و شيخ الطائفة في التهذيب والاستبصار ؛ و المصرّح به في المقنع والجامع، والمحكيّ عن الكيدري، فمن أين </w:t>
      </w:r>
    </w:p>
    <w:p>
      <w:pPr>
        <w:pStyle w:val="BookText"/>
        <w:rPr/>
      </w:pPr>
      <w:r>
        <w:rPr>
          <w:rFonts w:ascii="Amiri" w:hAnsi="Amiri" w:eastAsia="Amiri" w:cs="Amiri"/>
          <w:color w:val="111111"/>
          <w:sz w:val="28"/>
          <w:sz w:val="28"/>
          <w:szCs w:val="28"/>
          <w:rtl w:val="true"/>
          <w:lang w:bidi="ar-SA"/>
        </w:rPr>
        <w:t>صار القول بالجواز مشهورًا بين الأصحاب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الظاهر أنّ الداعي لدعوى الاشتهار ملاحظة ما صرّحوا به في المطلّقة بالطلاق البائن من جواز العقد للمطلّق باُخت المطلّقة قبل انقضاء عدّتها، فيُتوهّم من ذلك جوازه في اُخت المتمتّع بها في أثناء العدّة، لتحقّق البينونة و عدم جواز الرجوع، بل بطريقٍ أولى، لكنّك قد علمت الحال في ذلك بما لا مزيد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يرشدك إلى صحّة ما نبّهنا عليه ملاحظة كلام شيخ الطائفة في التهذيب،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متى طلّق الرجل امرأته طلاقاً يملك رجعتها فيه، فلا يجوز له العقد على اُختها ؛ و متى طلّقها طلاقاً بائناً، أو بانت منه </w:t>
      </w:r>
      <w:r>
        <w:rPr>
          <w:rStyle w:val="FootnoteAnchor"/>
          <w:rtl w:val="true"/>
        </w:rPr>
        <w:footnoteReference w:id="130"/>
      </w:r>
      <w:r>
        <w:rPr>
          <w:rFonts w:ascii="Amiri" w:hAnsi="Amiri" w:eastAsia="Amiri" w:cs="Amiri"/>
          <w:color w:val="111111"/>
          <w:sz w:val="28"/>
          <w:sz w:val="28"/>
          <w:szCs w:val="28"/>
          <w:rtl w:val="true"/>
          <w:lang w:bidi="ar-SA"/>
        </w:rPr>
        <w:t xml:space="preserve">، أو بانت منه بأحد وجوه البينونة، فلا بأس عليه بالعقد على اُختها في الحال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استدلّ لذلك بصحيحة الحلبي و مقبولته، بل صحيحة أبي الصباح السالفتين،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المتعة، فقد روي فيها أنّه إذا انقضى أجلها فلا يجوز العقد على اُختها إلاّ بعد انقضاء عدّتها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آخر ما سلف منه </w:t>
      </w:r>
      <w:r>
        <w:rPr>
          <w:rFonts w:eastAsia="IRNazanin" w:cs="IRNazanin"/>
          <w:color w:val="111111"/>
          <w:sz w:val="28"/>
          <w:szCs w:val="28"/>
          <w:rtl w:val="true"/>
          <w:lang w:bidi="fa-IR"/>
        </w:rPr>
        <w:t xml:space="preserve">. </w:t>
      </w:r>
      <w:bookmarkStart w:id="172" w:name="pg7074_67080"/>
    </w:p>
    <w:p>
      <w:pPr>
        <w:pStyle w:val="BookText"/>
        <w:rPr/>
      </w:pPr>
      <w:bookmarkEnd w:id="172"/>
      <w:r>
        <w:rPr>
          <w:rFonts w:ascii="Amiri" w:hAnsi="Amiri" w:eastAsia="Amiri" w:cs="Amiri"/>
          <w:color w:val="111111"/>
          <w:sz w:val="28"/>
          <w:sz w:val="28"/>
          <w:szCs w:val="28"/>
          <w:rtl w:val="true"/>
          <w:lang w:bidi="ar-SA"/>
        </w:rPr>
        <w:t xml:space="preserve">و من هذا الكلام يظهر أنّه ينكر الأولويّة و وحدة المناط في المقامين، كما هو في الواقع، و إن كانتا متوهّمتين في بادئ النظر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الداعي لعدم تعرّض مَن تأخّر عن شيخ الطائفة للمسألة هو الإشكال فيها، حيث انّ الحكم من جواز العقد على اُخت المطلّقة بالطلاق البائن في أثناء العدّة مسلّم، دون المطلّقة بالطلاق الرجعيّ، فيتوهّم من ذلك ثبوته في اُخت المتمتّع بها في أثنائها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قبل ملاحظة النصوص المانعة، و أمّا بعد الالتفات إلى النصوص المصرّحة بعدم الجواز في اُخت المتمتّع بها، فيشكل الأمر في النظر، سيّما بعد ملاحظة ما صدر من شيخ الطائفة ممّا سمعته آنفاً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هذا هو الداعي لعدم تعرّضهم للمسألة، فمن أين يعلم أنّ الحكم بالجواز هو الأشهر بين علمائنا، مع ما علمت ممّا فصّلنا ؟</w:t>
      </w:r>
      <w:r>
        <w:rPr>
          <w:rFonts w:eastAsia="Amiri" w:cs="Amiri" w:ascii="Amiri" w:hAnsi="Amiri"/>
          <w:color w:val="111111"/>
          <w:sz w:val="28"/>
          <w:szCs w:val="28"/>
          <w:rtl w:val="true"/>
          <w:lang w:bidi="ar-SA"/>
        </w:rPr>
        <w:t>!</w:t>
      </w:r>
    </w:p>
    <w:p>
      <w:pPr>
        <w:pStyle w:val="Heading2"/>
        <w:numPr>
          <w:ilvl w:val="1"/>
          <w:numId w:val="1"/>
        </w:numPr>
        <w:rPr/>
      </w:pPr>
      <w:bookmarkStart w:id="173" w:name="__RefHeading___Toc3387481_372815092"/>
      <w:bookmarkStart w:id="174" w:name="_Toc61"/>
      <w:bookmarkEnd w:id="173"/>
      <w:r>
        <w:rPr>
          <w:rtl w:val="true"/>
        </w:rPr>
        <w:t xml:space="preserve">[ </w:t>
      </w:r>
      <w:r>
        <w:rPr>
          <w:rtl w:val="true"/>
        </w:rPr>
        <w:t xml:space="preserve">مختار المصنّف قدس‌سره في المسألة </w:t>
      </w:r>
      <w:r>
        <w:rPr>
          <w:rtl w:val="true"/>
        </w:rPr>
        <w:t>]</w:t>
      </w:r>
      <w:bookmarkEnd w:id="174"/>
    </w:p>
    <w:p>
      <w:pPr>
        <w:pStyle w:val="BookText"/>
        <w:rPr/>
      </w:pPr>
      <w:r>
        <w:rPr>
          <w:rFonts w:ascii="Amiri" w:hAnsi="Amiri" w:eastAsia="Amiri" w:cs="Amiri"/>
          <w:color w:val="111111"/>
          <w:sz w:val="28"/>
          <w:sz w:val="28"/>
          <w:szCs w:val="28"/>
          <w:rtl w:val="true"/>
          <w:lang w:bidi="ar-SA"/>
        </w:rPr>
        <w:t xml:space="preserve">فالمختار عدم الجواز، وفاقاً لما يظهر من الكافي والفقيه و الخلاف و التهذيب والاستبصار ؛ و المصرّح به في المقنع، والجامع، و شرح النافع لصاحب المدارك، والوسائل، و الكفاية، و المحكيّ عن الكيدري </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خلافاً للمهذّب والسرائر والمختلف والتحرير، فنسبة المنع إلى الأكثر أقرب </w:t>
      </w:r>
    </w:p>
    <w:p>
      <w:pPr>
        <w:pStyle w:val="BookText"/>
        <w:rPr/>
      </w:pPr>
      <w:r>
        <w:rPr>
          <w:rFonts w:ascii="Amiri" w:hAnsi="Amiri" w:eastAsia="Amiri" w:cs="Amiri"/>
          <w:color w:val="111111"/>
          <w:sz w:val="28"/>
          <w:sz w:val="28"/>
          <w:szCs w:val="28"/>
          <w:rtl w:val="true"/>
          <w:lang w:bidi="ar-SA"/>
        </w:rPr>
        <w:t xml:space="preserve">بالصواب من نسبة الجواز إليهم ؛ و إن كنت في ريبٍ ممّا تلوناه عليك، فاستمع لما أتلو عليك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بكون جواز العقد على اُخت المتمتّع بها في أثناء عدّتها مشهوراً بين علمائنا إمّا مستندٌ إلى تصريحهم بذلك، أو من باب الاستنباط ؛ و كلاهما غير تمامٍ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فلما علمت من أنّ المصرّح بذلك قبل العلاّمة غير ظاهرٍ، عدا ابن البرّاج و ابن إدريس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فلعدم ظهور ما يستنبط ذلك منه من كلماتهم، عدا ما صرّحوا به من جواز العقد على اُخت المطلّقة بالطلاق البائن قبل انقضاء عدّتها، لعدم الفرق بين المطلّقة بالطلاق البائن والمتمتّع بها بعد انقضاء أجلها، فمَن صرّح بجواز العقد</w:t>
      </w:r>
    </w:p>
    <w:p>
      <w:pPr>
        <w:pStyle w:val="BookText"/>
        <w:rPr/>
      </w:pPr>
      <w:r>
        <w:rPr>
          <w:rFonts w:ascii="Amiri" w:hAnsi="Amiri" w:eastAsia="Amiri" w:cs="Amiri"/>
          <w:color w:val="111111"/>
          <w:sz w:val="28"/>
          <w:sz w:val="28"/>
          <w:szCs w:val="28"/>
          <w:rtl w:val="true"/>
          <w:lang w:bidi="ar-SA"/>
        </w:rPr>
        <w:t>على اُخت المطلّقة بالطلاق البائن قبل انقضاء العدّة يقول بجوازه على اُخت المتمتّع بها قبل انقضائها ؛ و معلومٌ أنّ الحكم في الاُولى مشهورٌ، بل لم يظهر فيها</w:t>
      </w:r>
    </w:p>
    <w:p>
      <w:pPr>
        <w:pStyle w:val="BookText"/>
        <w:rPr/>
      </w:pPr>
      <w:r>
        <w:rPr>
          <w:rFonts w:ascii="Amiri" w:hAnsi="Amiri" w:eastAsia="Amiri" w:cs="Amiri"/>
          <w:color w:val="111111"/>
          <w:sz w:val="28"/>
          <w:sz w:val="28"/>
          <w:szCs w:val="28"/>
          <w:rtl w:val="true"/>
          <w:lang w:bidi="ar-SA"/>
        </w:rPr>
        <w:t xml:space="preserve">مخالف، فيكون الأمر في الثانية كذلك </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هو غير تمامٍ، لأنّ الحكم بجواز العقد على اُخت المطلّقة بالطلاق البائن قبل انقضاء العدّة كما صدر ممّن صدر منه الحكم بجواز العقد على اُخت المتمتّع بها قبل انقضاء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كابن البرّاج وابن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صدر ممّن قضى بعدم جوازه على اُخت المتمتّع بها إلاّ بعد انقضاء عدّتها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كشيخنا الصدوق في المقنع، و شيخنا يحيى بن سعيد في الجامع، و غيرهما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المقنع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الخلع فلا يكون إلاّ من قبل المرأة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هذا لزوجها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حلّ له ما أخذ منها و إن كان أكثر ممّا أعطاها من الصداق، و قد بانت منه، و حلّت للزواج بعد انقضاء عدّتها، و حلّ له أن يتزوّج اُختها من ساعته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أنّك قد علمت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تزوّجتَ بامرأة متعةً إلى أجلٍ مسمّىً، فلمّا انقضى أجلها أحببتَ أن تتزوّج اُختها، فلا تحلّ لك حتّى تنقضي عدّتها </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الجامع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تحرم في حالٍ دون 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الكافرة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والجمع بين الاُختين في نكاحٍ غبطةً أو متعة نسباً و رضاعاً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إذا طلّق زوجته طلاقاً رجعيّاً لم يحلّ له التزويج باُختها حتّى تنقضي عدّتها، و لو كانت رابعة فطلّقها رجعيّاً لم تحلّ له الاُخرى حتّى تنقضي العدّة، فإن طلّق بائناً حلّ له ذلك في المسألتين، </w:t>
      </w:r>
    </w:p>
    <w:p>
      <w:pPr>
        <w:pStyle w:val="BookText"/>
        <w:rPr/>
      </w:pPr>
      <w:r>
        <w:rPr>
          <w:rFonts w:ascii="Amiri" w:hAnsi="Amiri" w:eastAsia="Amiri" w:cs="Amiri"/>
          <w:color w:val="111111"/>
          <w:sz w:val="28"/>
          <w:sz w:val="28"/>
          <w:szCs w:val="28"/>
          <w:rtl w:val="true"/>
          <w:lang w:bidi="ar-SA"/>
        </w:rPr>
        <w:t xml:space="preserve">وكذلك لو ماتت زوجته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أنّه صرّح قبله متّصلاً 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تمتّع بامرأة ثمّ بانت منه بعد الدخول بها لم يتزوّج اُختها إلاّ بعد انقضاء عدّتها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هكذا الحال في ثقة الإسلام، فإنّك قد عرفت أنّه أورد أوّلاً الرواية الدالّة على عدم حلّيّة العقد على اُخت المتمتّع بها إلاّ بعد انقضاء عدّتها، ثمّ أورد رواية أبي</w:t>
      </w:r>
    </w:p>
    <w:p>
      <w:pPr>
        <w:pStyle w:val="BookText"/>
        <w:rPr/>
      </w:pPr>
      <w:r>
        <w:rPr>
          <w:rFonts w:ascii="IRNazanin" w:hAnsi="IRNazanin" w:eastAsia="IRNazanin"/>
          <w:color w:val="111111"/>
          <w:sz w:val="28"/>
          <w:sz w:val="28"/>
          <w:szCs w:val="28"/>
          <w:rtl w:val="true"/>
          <w:lang w:bidi="fa-IR"/>
        </w:rPr>
        <w:t xml:space="preserve">الصباح </w:t>
      </w:r>
      <w:r>
        <w:rPr>
          <w:rStyle w:val="FootnoteAnchor"/>
          <w:rtl w:val="true"/>
        </w:rPr>
        <w:footnoteReference w:id="133"/>
      </w:r>
      <w:r>
        <w:rPr>
          <w:rFonts w:ascii="Amiri" w:hAnsi="Amiri" w:eastAsia="Amiri" w:cs="Amiri"/>
          <w:color w:val="111111"/>
          <w:sz w:val="28"/>
          <w:sz w:val="28"/>
          <w:szCs w:val="28"/>
          <w:rtl w:val="true"/>
          <w:lang w:bidi="ar-SA"/>
        </w:rPr>
        <w:t xml:space="preserve">الدالّة على جواز ذلك في اُخت المطلّقة بالطلاق البائن متّصلاً بالأوّل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شيخ الطائفة قد صدر منه كلامٌ في التهذيب والنهاية والاستبصار والمبسوط ؛ و نحن و إن أوردنا الجميع في المباحث السالفة، لكنّا أعدناه هنا إحكاماً للمرام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التهذيب </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متى طلّق الرجل امرأته طلاقاً يملك رجعتها فيه، فلا يجوز له العقد على اُختها ؛ و متى طلّقها طلاقاً بائناً، أو ماتت عنه، أو بانت منه بأحد وجوه البينونة، فلا بأس عليه بالعقد على اُختها في الحال، فأمّا المتعة فقد روي فيها أنّه إذا انقضى أجلها فلا يجوز العقد على اُختها إلاّ بعد </w:t>
      </w:r>
      <w:bookmarkStart w:id="175" w:name="pg7074_67084"/>
    </w:p>
    <w:p>
      <w:pPr>
        <w:pStyle w:val="BookText"/>
        <w:rPr/>
      </w:pPr>
      <w:bookmarkEnd w:id="175"/>
      <w:r>
        <w:rPr>
          <w:rFonts w:ascii="IRNazanin" w:hAnsi="IRNazanin" w:eastAsia="IRNazanin"/>
          <w:color w:val="111111"/>
          <w:sz w:val="28"/>
          <w:sz w:val="28"/>
          <w:szCs w:val="28"/>
          <w:rtl w:val="true"/>
          <w:lang w:bidi="fa-IR"/>
        </w:rPr>
        <w:t xml:space="preserve">انقضاء عدّتها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يقرب منه ما في النهاية </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176" w:name="__RefHeading___Toc3387483_372815092"/>
      <w:bookmarkStart w:id="177" w:name="_Toc62"/>
      <w:bookmarkEnd w:id="176"/>
      <w:r>
        <w:rPr>
          <w:rtl w:val="true"/>
        </w:rPr>
        <w:t xml:space="preserve">و في الاستبصار </w:t>
      </w:r>
      <w:r>
        <w:rPr>
          <w:rtl w:val="true"/>
        </w:rPr>
        <w:t>:</w:t>
      </w:r>
      <w:bookmarkEnd w:id="177"/>
    </w:p>
    <w:p>
      <w:pPr>
        <w:pStyle w:val="BookText"/>
        <w:rPr/>
      </w:pPr>
      <w:r>
        <w:rPr>
          <w:rFonts w:ascii="Amiri" w:hAnsi="Amiri" w:eastAsia="Amiri" w:cs="Amiri"/>
          <w:color w:val="111111"/>
          <w:sz w:val="28"/>
          <w:sz w:val="28"/>
          <w:szCs w:val="28"/>
          <w:rtl w:val="true"/>
          <w:lang w:bidi="ar-SA"/>
        </w:rPr>
        <w:t xml:space="preserve">باب أنّه إذا طلّق الرجل امرأته تطليقة باينة جاز له العقد على اُختها في الحال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فأمّا ما رواه محمّد بن يعقوب، عن عليّ بن إبراهيم، عن أبيه، عن إسماعيل بن مرار، عن يونس،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رجلٍ إلى أبي الحسن الرضا عليه‌السلام، و روى الحسين بن سعيد أيضاً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 في كتاب رجلٍ إلى أبي الحسن الرضا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يتزوّج المرأة متعةً إلى أجلٍ مسمّىً، فينقضي</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الأجل بينهما، هل له أن ينكح اُختها قبل أن تنقضي عدّتها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أن يتزوّجها حتّى تنقضي عدّتها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فالوجه في هذا الخبر أحد شيئين،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يونس و الحسين بن سعيد لم يرويا عن إمامٍ معصوم و لا عمّن رواه عن إمامٍ، و إنّما قالا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وجدنا في كتاب رجلٍ، و ليس كلّما يوجد في الكتب يكون صحيحاً، ولو سلّم لجاز لنا أن نخصّه بالمتعة، دون عقد الدوام </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قال في المبسوط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كان الطلاق بائناً أو خلعاً أو فسخاً جاز العقد على اُختها </w:t>
      </w:r>
      <w:r>
        <w:rPr>
          <w:rStyle w:val="FootnoteAnchor"/>
          <w:rtl w:val="true"/>
        </w:rPr>
        <w:footnoteReference w:id="137"/>
      </w:r>
      <w:r>
        <w:rPr>
          <w:rFonts w:ascii="IRNazanin" w:hAnsi="IRNazanin" w:eastAsia="IRNazanin"/>
          <w:color w:val="111111"/>
          <w:sz w:val="28"/>
          <w:sz w:val="28"/>
          <w:szCs w:val="28"/>
          <w:rtl w:val="true"/>
          <w:lang w:bidi="fa-IR"/>
        </w:rPr>
        <w:t xml:space="preserve">، إلى آخر ما سلف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عبّر في غير المبسوط من الكتب الثلاثة المذكورة بكلامٍ يدلّ على مغائرة اُخت المتمتّع بها لاُخت المطلّقة بطلاقٍ بائن، فمن أين يمكن أن يدّعي أنّ مراده في المبسوط أنّ اُخت المتمتّع بها مماثلة لاُخت المطلّقة بالطلاق البائن فيما ذكر، مع ما علمت منه في الكتب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الظنّ القويّ حاصلٌ بأنّه لو كان مراده المماثلة لنبّه عليه، لئلاّ يذهب الوهم إلى ما دلّت عليه النصوص السالفة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ممّا ذكر يظهر الحال في كلمات مَن تأخّر عن شيخ الطائفة، فإنّ مَن لاحظ كلام الشيخ 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كأنّ فتواه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 اُخت المتمتّع بها مماثلة لاُخت المطلّقة بالطلاق البائن فيما ذكر، نبّه على ذلك </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الظاهر أنّ سكوتهم عن الفتوى بالجواز والعدم إنّما هو للتحيّر في ذلك، بناءً </w:t>
      </w:r>
    </w:p>
    <w:p>
      <w:pPr>
        <w:pStyle w:val="BookText"/>
        <w:rPr/>
      </w:pPr>
      <w:r>
        <w:rPr>
          <w:rFonts w:ascii="Amiri" w:hAnsi="Amiri" w:eastAsia="Amiri" w:cs="Amiri"/>
          <w:color w:val="111111"/>
          <w:sz w:val="28"/>
          <w:sz w:val="28"/>
          <w:szCs w:val="28"/>
          <w:rtl w:val="true"/>
          <w:lang w:bidi="ar-SA"/>
        </w:rPr>
        <w:t xml:space="preserve">على أنّ ثبوت الحكم في المطلّقة بالطلاق البائن يرشد إلى ثبوته في اُخت المتمتّع بها ؛ و الالتفات إلى النصوص المصرّحة بخلافه يوجب خلافه، فحصل لهم التحيّر في المسألة، فسكتوا عن ذلك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ممّا فصّلنا و أبرزنا </w:t>
      </w:r>
      <w:r>
        <w:rPr>
          <w:rStyle w:val="FootnoteAnchor"/>
          <w:rtl w:val="true"/>
        </w:rPr>
        <w:footnoteReference w:id="138"/>
      </w:r>
      <w:r>
        <w:rPr>
          <w:rFonts w:ascii="Amiri" w:hAnsi="Amiri" w:eastAsia="Amiri" w:cs="Amiri"/>
          <w:color w:val="111111"/>
          <w:sz w:val="28"/>
          <w:sz w:val="28"/>
          <w:szCs w:val="28"/>
          <w:rtl w:val="true"/>
          <w:lang w:bidi="ar-SA"/>
        </w:rPr>
        <w:t xml:space="preserve">في المقام ظهر ظهوراً بيّناً أنّ دعوى الاشتهار عريّة عن الاعتبار، فله الحمد دائماً متوالياً دوام الليل و النهار </w:t>
      </w:r>
      <w:r>
        <w:rPr>
          <w:rFonts w:eastAsia="Amiri" w:cs="Amiri" w:ascii="Amiri" w:hAnsi="Amiri"/>
          <w:color w:val="111111"/>
          <w:sz w:val="28"/>
          <w:szCs w:val="28"/>
          <w:rtl w:val="true"/>
          <w:lang w:bidi="ar-SA"/>
        </w:rPr>
        <w:t xml:space="preserve">. </w:t>
      </w:r>
      <w:bookmarkStart w:id="178" w:name="pg7074_67087"/>
    </w:p>
    <w:p>
      <w:pPr>
        <w:pStyle w:val="Heading2"/>
        <w:numPr>
          <w:ilvl w:val="1"/>
          <w:numId w:val="1"/>
        </w:numPr>
        <w:rPr/>
      </w:pPr>
      <w:bookmarkStart w:id="179" w:name="__RefHeading___Toc3387485_372815092"/>
      <w:bookmarkStart w:id="180" w:name="_Toc63"/>
      <w:bookmarkEnd w:id="178"/>
      <w:bookmarkEnd w:id="179"/>
      <w:r>
        <w:rPr>
          <w:rtl w:val="true"/>
        </w:rPr>
        <w:t>[</w:t>
      </w:r>
      <w:r>
        <w:rPr>
          <w:rtl w:val="true"/>
        </w:rPr>
        <w:t xml:space="preserve">التنبيه على أمرين </w:t>
      </w:r>
      <w:r>
        <w:rPr>
          <w:rtl w:val="true"/>
        </w:rPr>
        <w:t>]</w:t>
      </w:r>
      <w:bookmarkEnd w:id="180"/>
    </w:p>
    <w:p>
      <w:pPr>
        <w:pStyle w:val="Heading3"/>
        <w:numPr>
          <w:ilvl w:val="2"/>
          <w:numId w:val="1"/>
        </w:numPr>
        <w:rPr/>
      </w:pPr>
      <w:bookmarkStart w:id="181" w:name="__RefHeading___Toc3387487_372815092"/>
      <w:bookmarkStart w:id="182" w:name="_Toc64"/>
      <w:bookmarkEnd w:id="181"/>
      <w:r>
        <w:rPr>
          <w:rtl w:val="true"/>
        </w:rPr>
        <w:t>اشاره</w:t>
      </w:r>
      <w:bookmarkEnd w:id="182"/>
    </w:p>
    <w:p>
      <w:pPr>
        <w:pStyle w:val="BookText"/>
        <w:rPr/>
      </w:pPr>
      <w:r>
        <w:rPr>
          <w:rFonts w:ascii="Amiri" w:hAnsi="Amiri" w:eastAsia="Amiri" w:cs="Amiri"/>
          <w:color w:val="111111"/>
          <w:sz w:val="28"/>
          <w:sz w:val="28"/>
          <w:szCs w:val="28"/>
          <w:rtl w:val="true"/>
          <w:lang w:bidi="ar-SA"/>
        </w:rPr>
        <w:t xml:space="preserve">إذا علمت ذلك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 ممّا ذكر أنّ المطلّقة بالطلاق البائن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كالمختلعة والمباراة و المطلّقة بثلاث تطليقات والمرأة الّتي فسخ عقدها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للزوج التزويج باُختها قبل انقضاء عدّتها، كما أنّ المطلّقة بالطلاق الرجعيّ لا يجوز له ذلك إلاّ بعد انقضاء عدّتها ؛ و هذا ممّا لا كلام فيه </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الكلام في هذا المقام في أمرين ينبغي التنبيه عليهما </w:t>
      </w:r>
      <w:r>
        <w:rPr>
          <w:rFonts w:eastAsia="Amiri" w:cs="Amiri" w:ascii="Amiri" w:hAnsi="Amiri"/>
          <w:color w:val="111111"/>
          <w:sz w:val="28"/>
          <w:szCs w:val="28"/>
          <w:rtl w:val="true"/>
          <w:lang w:bidi="ar-SA"/>
        </w:rPr>
        <w:t xml:space="preserve">: </w:t>
      </w:r>
      <w:bookmarkStart w:id="183" w:name="pg7074_67088"/>
    </w:p>
    <w:p>
      <w:pPr>
        <w:pStyle w:val="Heading3"/>
        <w:numPr>
          <w:ilvl w:val="2"/>
          <w:numId w:val="1"/>
        </w:numPr>
        <w:rPr/>
      </w:pPr>
      <w:bookmarkStart w:id="184" w:name="__RefHeading___Toc3387489_372815092"/>
      <w:bookmarkStart w:id="185" w:name="_Toc65"/>
      <w:bookmarkEnd w:id="183"/>
      <w:bookmarkEnd w:id="184"/>
      <w:r>
        <w:rPr>
          <w:rtl w:val="true"/>
        </w:rPr>
        <w:t>[</w:t>
      </w:r>
      <w:r>
        <w:rPr>
          <w:rtl w:val="true"/>
        </w:rPr>
        <w:t xml:space="preserve">الأمر الأوّل </w:t>
      </w:r>
      <w:r>
        <w:rPr>
          <w:rtl w:val="true"/>
        </w:rPr>
        <w:t xml:space="preserve">: ] </w:t>
      </w:r>
      <w:r>
        <w:rPr>
          <w:rtl w:val="true"/>
        </w:rPr>
        <w:t>في أنّ عدم جواز العقد على اُخت المطلّقة بالطلاق الرجعيّ</w:t>
      </w:r>
      <w:r>
        <w:rPr>
          <w:rtl w:val="true"/>
        </w:rPr>
        <w:t>...</w:t>
      </w:r>
      <w:bookmarkEnd w:id="185"/>
    </w:p>
    <w:p>
      <w:pPr>
        <w:pStyle w:val="Heading4"/>
        <w:numPr>
          <w:ilvl w:val="3"/>
          <w:numId w:val="1"/>
        </w:numPr>
        <w:rPr/>
      </w:pPr>
      <w:bookmarkStart w:id="186" w:name="__RefHeading___Toc3387491_372815092"/>
      <w:bookmarkStart w:id="187" w:name="_Toc66"/>
      <w:bookmarkEnd w:id="186"/>
      <w:r>
        <w:rPr>
          <w:rtl w:val="true"/>
        </w:rPr>
        <w:t>اشاره</w:t>
      </w:r>
      <w:bookmarkEnd w:id="187"/>
    </w:p>
    <w:p>
      <w:pPr>
        <w:pStyle w:val="BookText"/>
        <w:rPr/>
      </w:pPr>
      <w:r>
        <w:rPr>
          <w:rFonts w:ascii="Amiri" w:hAnsi="Amiri" w:eastAsia="Amiri" w:cs="Amiri"/>
          <w:color w:val="111111"/>
          <w:sz w:val="28"/>
          <w:sz w:val="28"/>
          <w:szCs w:val="28"/>
          <w:rtl w:val="true"/>
          <w:lang w:bidi="ar-SA"/>
        </w:rPr>
        <w:t>في أنّ عدم جواز العقد على اُخت المطلّقة بالطلاق الرجعيّ</w:t>
      </w:r>
    </w:p>
    <w:p>
      <w:pPr>
        <w:pStyle w:val="BookText"/>
        <w:rPr/>
      </w:pPr>
      <w:r>
        <w:rPr>
          <w:rFonts w:ascii="Amiri" w:hAnsi="Amiri" w:eastAsia="Amiri" w:cs="Amiri"/>
          <w:color w:val="111111"/>
          <w:sz w:val="28"/>
          <w:sz w:val="28"/>
          <w:szCs w:val="28"/>
          <w:rtl w:val="true"/>
          <w:lang w:bidi="ar-SA"/>
        </w:rPr>
        <w:t>لم يكن مختصّاً بما إذا لم يسقط حقّ رجوعه إليها، بل يعمّ صورة</w:t>
      </w:r>
    </w:p>
    <w:p>
      <w:pPr>
        <w:pStyle w:val="BookText"/>
        <w:rPr/>
      </w:pPr>
      <w:r>
        <w:rPr>
          <w:rFonts w:ascii="Amiri" w:hAnsi="Amiri" w:eastAsia="Amiri" w:cs="Amiri"/>
          <w:color w:val="111111"/>
          <w:sz w:val="28"/>
          <w:sz w:val="28"/>
          <w:szCs w:val="28"/>
          <w:rtl w:val="true"/>
          <w:lang w:bidi="ar-SA"/>
        </w:rPr>
        <w:t>الإسقاط أيضاً بالمصالحة و غيرها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من عدم جواز العقد على اُخت المطلّقة بالطلاق الرجعيّ هل يكون مختصّاً بما إذا لم يسقط حقّ رجوعه إليها، أو لا، بل يعمّ صورة الإسقاط أيضاً بالمصالحة و غيرها ؟</w:t>
      </w:r>
    </w:p>
    <w:p>
      <w:pPr>
        <w:pStyle w:val="BookText"/>
        <w:rPr/>
      </w:pPr>
      <w:r>
        <w:rPr>
          <w:rFonts w:ascii="Amiri" w:hAnsi="Amiri" w:eastAsia="Amiri" w:cs="Amiri"/>
          <w:color w:val="111111"/>
          <w:sz w:val="28"/>
          <w:sz w:val="28"/>
          <w:szCs w:val="28"/>
          <w:rtl w:val="true"/>
          <w:lang w:bidi="ar-SA"/>
        </w:rPr>
        <w:t xml:space="preserve">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بعد الإسقاط يصدق أنّها ممّن لايجوز له الرجوع إليها، و كلّ مَن لايجوز الرجوع إليها يجوز له العقد على اُختها قبل انقضاء عدّتها ؛ أمّا الصغرى، فلأنّ المفروض أنّه أسقط حقّ رجوعه إليها ؛ و أمّا الكبرى فللعموم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لم يكن له عليها رجعة </w:t>
      </w:r>
      <w:r>
        <w:rPr>
          <w:rFonts w:eastAsia="Amiri" w:cs="Amiri" w:ascii="Amiri" w:hAnsi="Amiri"/>
          <w:color w:val="111111"/>
          <w:sz w:val="28"/>
          <w:szCs w:val="28"/>
          <w:rtl w:val="true"/>
          <w:lang w:bidi="ar-SA"/>
        </w:rPr>
        <w:t>»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أنّه يصدق عليها أنّها مطلّقة بالطلاق الرجعيّ، و كلّ مَن كان كذلك لايجوز العقد على اُختها قبل انقضاء عدّتها ؛ أمّا الصغرى فظاهرة ؛ و أمّا الكبرى فلأنّها الظاهرة من كلمات الأصحاب </w:t>
      </w:r>
      <w:r>
        <w:rPr>
          <w:rFonts w:eastAsia="Amiri" w:cs="Amiri" w:ascii="Amiri" w:hAnsi="Amiri"/>
          <w:color w:val="111111"/>
          <w:sz w:val="28"/>
          <w:szCs w:val="28"/>
          <w:rtl w:val="true"/>
          <w:lang w:bidi="ar-SA"/>
        </w:rPr>
        <w:t xml:space="preserve">. </w:t>
      </w:r>
      <w:bookmarkStart w:id="188" w:name="pg7074_67089"/>
    </w:p>
    <w:p>
      <w:pPr>
        <w:pStyle w:val="Heading4"/>
        <w:numPr>
          <w:ilvl w:val="3"/>
          <w:numId w:val="1"/>
        </w:numPr>
        <w:rPr/>
      </w:pPr>
      <w:bookmarkStart w:id="189" w:name="__RefHeading___Toc3387493_372815092"/>
      <w:bookmarkStart w:id="190" w:name="_Toc67"/>
      <w:bookmarkEnd w:id="188"/>
      <w:bookmarkEnd w:id="189"/>
      <w:r>
        <w:rPr>
          <w:rtl w:val="true"/>
        </w:rPr>
        <w:t>[</w:t>
      </w:r>
      <w:r>
        <w:rPr>
          <w:rtl w:val="true"/>
        </w:rPr>
        <w:t xml:space="preserve">مختار المصنّف قدس‌سره في المسألة </w:t>
      </w:r>
      <w:r>
        <w:rPr>
          <w:rtl w:val="true"/>
        </w:rPr>
        <w:t>]</w:t>
      </w:r>
      <w:bookmarkEnd w:id="190"/>
    </w:p>
    <w:p>
      <w:pPr>
        <w:pStyle w:val="BookText"/>
        <w:rPr/>
      </w:pPr>
      <w:r>
        <w:rPr>
          <w:rFonts w:ascii="Amiri" w:hAnsi="Amiri" w:eastAsia="Amiri" w:cs="Amiri"/>
          <w:color w:val="111111"/>
          <w:sz w:val="28"/>
          <w:sz w:val="28"/>
          <w:szCs w:val="28"/>
          <w:rtl w:val="true"/>
          <w:lang w:bidi="ar-SA"/>
        </w:rPr>
        <w:t xml:space="preserve">و المختار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والجواب عن وجه الإشكال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قبل إسقاط حقّ الرجعة كان له عليها رجعة قطعاً، فلا تكون مندرجة تحت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يكن له عليها 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لوضوح أنّ 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تقلب المضارع ماضياً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جواز خطبة العقد على الاُخت في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فله أن يخطب اُختها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معلّقٌ بقوله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برئت عصمتها و لم يكن له عليها 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فالحكم بالجواز معلّقٌ بأمرين، الظاهر أنّ الثاني قيدٌ للأوّل ؛ و مقتضى تعليق الحكم على الشرط انتفاؤه عند انتفاء الشرط، فمقتضاه انتفاء جواز العقد على اُخت المطلّقة في أثناء العدّة فيما إذا برئت عصمتها و كان له عليها 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نحن فيه كذلك، و إن انتفى حقّ الرجوع فيما بعد بإسقاطه </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الحال في ذيل صحيحة أبي بصير المراديّ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برئت عصمتها وليس له عليها رجعة </w:t>
      </w:r>
      <w:r>
        <w:rPr>
          <w:rFonts w:eastAsia="Amiri" w:cs="Amiri" w:ascii="Amiri" w:hAnsi="Amiri"/>
          <w:color w:val="111111"/>
          <w:sz w:val="28"/>
          <w:szCs w:val="28"/>
          <w:rtl w:val="true"/>
          <w:lang w:bidi="ar-SA"/>
        </w:rPr>
        <w:t xml:space="preserve">». </w:t>
      </w:r>
      <w:bookmarkStart w:id="191" w:name="pg7074_67090"/>
    </w:p>
    <w:p>
      <w:pPr>
        <w:pStyle w:val="Heading3"/>
        <w:numPr>
          <w:ilvl w:val="2"/>
          <w:numId w:val="1"/>
        </w:numPr>
        <w:rPr/>
      </w:pPr>
      <w:bookmarkStart w:id="192" w:name="__RefHeading___Toc3387495_372815092"/>
      <w:bookmarkStart w:id="193" w:name="_Toc68"/>
      <w:bookmarkEnd w:id="191"/>
      <w:bookmarkEnd w:id="192"/>
      <w:r>
        <w:rPr>
          <w:rtl w:val="true"/>
        </w:rPr>
        <w:t xml:space="preserve">[ </w:t>
      </w:r>
      <w:r>
        <w:rPr>
          <w:rtl w:val="true"/>
        </w:rPr>
        <w:t xml:space="preserve">الأمر الثاني </w:t>
      </w:r>
      <w:r>
        <w:rPr>
          <w:rtl w:val="true"/>
        </w:rPr>
        <w:t xml:space="preserve">: ] </w:t>
      </w:r>
      <w:r>
        <w:rPr>
          <w:rtl w:val="true"/>
        </w:rPr>
        <w:t>في أنّ جواز العقد على اُخت المطلّقة المختلعة</w:t>
      </w:r>
      <w:bookmarkEnd w:id="193"/>
    </w:p>
    <w:p>
      <w:pPr>
        <w:pStyle w:val="Heading4"/>
        <w:numPr>
          <w:ilvl w:val="3"/>
          <w:numId w:val="1"/>
        </w:numPr>
        <w:rPr/>
      </w:pPr>
      <w:bookmarkStart w:id="194" w:name="__RefHeading___Toc3387497_372815092"/>
      <w:bookmarkStart w:id="195" w:name="_Toc69"/>
      <w:bookmarkEnd w:id="194"/>
      <w:r>
        <w:rPr>
          <w:rtl w:val="true"/>
        </w:rPr>
        <w:t>اشاره</w:t>
      </w:r>
      <w:bookmarkEnd w:id="195"/>
    </w:p>
    <w:p>
      <w:pPr>
        <w:pStyle w:val="BookText"/>
        <w:rPr/>
      </w:pPr>
      <w:r>
        <w:rPr>
          <w:rFonts w:ascii="Amiri" w:hAnsi="Amiri" w:eastAsia="Amiri" w:cs="Amiri"/>
          <w:color w:val="111111"/>
          <w:sz w:val="28"/>
          <w:sz w:val="28"/>
          <w:szCs w:val="28"/>
          <w:rtl w:val="true"/>
          <w:lang w:bidi="ar-SA"/>
        </w:rPr>
        <w:t>في أنّ جواز العقد على اُخت المطلّقة المختلعة</w:t>
      </w:r>
    </w:p>
    <w:p>
      <w:pPr>
        <w:pStyle w:val="BookText"/>
        <w:rPr/>
      </w:pPr>
      <w:r>
        <w:rPr>
          <w:rFonts w:ascii="Amiri" w:hAnsi="Amiri" w:eastAsia="Amiri" w:cs="Amiri"/>
          <w:color w:val="111111"/>
          <w:sz w:val="28"/>
          <w:sz w:val="28"/>
          <w:szCs w:val="28"/>
          <w:rtl w:val="true"/>
          <w:lang w:bidi="ar-SA"/>
        </w:rPr>
        <w:t>مختصّ بما إذا لم ترجع المطلّقة عن البذل</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علمتَ أنّ المطلّقة المختلعة يجوز للمطلّق الزوج العقد على اُختها ولو في أثناء عدّتها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الكلام في هذا المقام في أنّ ذلك مختصّ بما إذا لم ترجع المطلّقة عن البذل، أو لا، بل يعمّ و لو فيما إذا رجعت عن بذلها ؟</w:t>
      </w:r>
    </w:p>
    <w:p>
      <w:pPr>
        <w:pStyle w:val="BookText"/>
        <w:rPr/>
      </w:pPr>
      <w:r>
        <w:rPr>
          <w:rFonts w:ascii="Amiri" w:hAnsi="Amiri" w:eastAsia="Amiri" w:cs="Amiri"/>
          <w:color w:val="111111"/>
          <w:sz w:val="28"/>
          <w:sz w:val="28"/>
          <w:szCs w:val="28"/>
          <w:rtl w:val="true"/>
          <w:lang w:bidi="ar-SA"/>
        </w:rPr>
        <w:t xml:space="preserve">فيه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بعد رجوعها عن بذلها يجوز للزوج الرجوع إليها، فإذا جاز للزوج الرجوع إليها لم يجز له العقد على اُختها، لكون المطلّقة حينئذٍ بمنزلة زوجته </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 قوله عليه‌السلام في صحيحة المرادي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برئت عصمتها و ليس له عليها 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بناءً على ما عرفت من كون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ليس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قيداً و حالاً، لكونه في قوّة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العقد على اُخت المختلعة، لأنّها برئت </w:t>
      </w:r>
      <w:bookmarkStart w:id="196" w:name="pg7074_67091"/>
    </w:p>
    <w:p>
      <w:pPr>
        <w:pStyle w:val="BookText"/>
        <w:rPr/>
      </w:pPr>
      <w:bookmarkEnd w:id="196"/>
      <w:r>
        <w:rPr>
          <w:rFonts w:ascii="Amiri" w:hAnsi="Amiri" w:eastAsia="Amiri" w:cs="Amiri"/>
          <w:color w:val="111111"/>
          <w:sz w:val="28"/>
          <w:sz w:val="28"/>
          <w:szCs w:val="28"/>
          <w:rtl w:val="true"/>
          <w:lang w:bidi="ar-SA"/>
        </w:rPr>
        <w:t xml:space="preserve">عصمتها في الحالة الّتي ليس له عليها رجعة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معلومٌ أنّه بعد رجوعها عن البذل و جواز رجوعه إليها حينئذٍ يصدق عليها أنّها طلّقت في تلك الحالة، فينبغي الحكم بجواز العقد على الاُخت قبل انقضاء العدّة و لو مع جواز رجوعه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أيضاً انّها مطلّقة بالطلاق الخلعيّ، و كلّ مطلّقة كذلك يجوز لزوجها العقد على اُختها في العدّة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الصغرى، لوضوح أنّ الرجوع عن البذل لايخرج الطلاق عن كونه خلعاً ؛ وأمّا الكبرى، فلعدم التفصيل في النصّ و كلمات الأصحاب، و لترك الاستفصال في النصوص المعتبرة السالفة </w:t>
      </w:r>
      <w:r>
        <w:rPr>
          <w:rFonts w:eastAsia="Amiri" w:cs="Amiri" w:ascii="Amiri" w:hAnsi="Amiri"/>
          <w:color w:val="111111"/>
          <w:sz w:val="28"/>
          <w:szCs w:val="28"/>
          <w:rtl w:val="true"/>
          <w:lang w:bidi="ar-SA"/>
        </w:rPr>
        <w:t>.</w:t>
      </w:r>
    </w:p>
    <w:p>
      <w:pPr>
        <w:pStyle w:val="Heading4"/>
        <w:numPr>
          <w:ilvl w:val="3"/>
          <w:numId w:val="1"/>
        </w:numPr>
        <w:rPr/>
      </w:pPr>
      <w:bookmarkStart w:id="197" w:name="__RefHeading___Toc3387499_372815092"/>
      <w:bookmarkStart w:id="198" w:name="_Toc70"/>
      <w:bookmarkEnd w:id="197"/>
      <w:r>
        <w:rPr>
          <w:rtl w:val="true"/>
        </w:rPr>
        <w:t>[</w:t>
      </w:r>
      <w:r>
        <w:rPr>
          <w:rtl w:val="true"/>
        </w:rPr>
        <w:t xml:space="preserve">مختار المصنّف قدس‌سره في المسألة </w:t>
      </w:r>
      <w:r>
        <w:rPr>
          <w:rtl w:val="true"/>
        </w:rPr>
        <w:t>]</w:t>
      </w:r>
      <w:bookmarkEnd w:id="198"/>
    </w:p>
    <w:p>
      <w:pPr>
        <w:pStyle w:val="BookText"/>
        <w:rPr/>
      </w:pPr>
      <w:r>
        <w:rPr>
          <w:rFonts w:ascii="Amiri" w:hAnsi="Amiri" w:eastAsia="Amiri" w:cs="Amiri"/>
          <w:color w:val="111111"/>
          <w:sz w:val="28"/>
          <w:sz w:val="28"/>
          <w:szCs w:val="28"/>
          <w:rtl w:val="true"/>
          <w:lang w:bidi="ar-SA"/>
        </w:rPr>
        <w:t xml:space="preserve">و المختار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وفاقاً للعلاّمة في القواعد، قال </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المختلعة ما لم ترجع في البذل، فإن رجعت في العدّة انقلبت رجعيّاً، بمعنى أنّ للزوج الرجوع في البضع ؛ و هل يتبعه وجوب الإنفاق وتحريم الرابعة و الاُخت ؟ الأقرب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 xml:space="preserve">] </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والجواب عمّا ذكر في الثاني، أمّا عن قوله عليه‌السلام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برئت عصمتها و ليس له عليها رجعة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فلأنّه ليس المراد منه أن تحقّق برائة العصمة ؛ و عدم جواز الرجعة في وقتٍ يكفي في جواز العقد على الاُخت في أثناء العدّة، و إلاّ يلزم فيما إذا طلّقت المرأة بطريق الخلع، ثمّ عقد عليها، ثمّ طلّقها بالطلاق الرجعيّ أن يحكم بجواز العقد على الاُخت في أثناء العدّة حينئذٍ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المراد أنّ جواز العقد على اُخت المطلّقة قبل انقضاء عدّتها مشروطةٌ ببراءة عصمتها و عدم جواز الرجوع إليها في وقت إرادة التزويج على اُختها ؛ و معلومٌ أنّه بعد رجوع المختلعة عن بذلها انتفي عدم جواز الرجوع، لتحقّق جواز الرجوع إليها، فلا يجوز التزويج على الاُخت حينئذٍ، لانتفاء شرطه، و هو المطلوب </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منه يظهر الجواب عن الثاني، لما علم ممّا ذكرناه من منع العموم في الكبرى ؛ و كذا الحال في التمسّك بترك الاستفصال، إذ مقتضى قوله عليه‌السلام ما نبّهنا عليه، فهو عين التفصيل </w:t>
      </w:r>
      <w:r>
        <w:rPr>
          <w:rFonts w:eastAsia="Amiri" w:cs="Amiri" w:ascii="Amiri" w:hAnsi="Amiri"/>
          <w:color w:val="111111"/>
          <w:sz w:val="28"/>
          <w:szCs w:val="28"/>
          <w:rtl w:val="true"/>
          <w:lang w:bidi="ar-SA"/>
        </w:rPr>
        <w:t xml:space="preserve">. </w:t>
      </w:r>
      <w:bookmarkStart w:id="199" w:name="pg7074_67093"/>
    </w:p>
    <w:p>
      <w:pPr>
        <w:pStyle w:val="Heading2"/>
        <w:numPr>
          <w:ilvl w:val="1"/>
          <w:numId w:val="1"/>
        </w:numPr>
        <w:rPr/>
      </w:pPr>
      <w:bookmarkStart w:id="200" w:name="__RefHeading___Toc3387501_372815092"/>
      <w:bookmarkStart w:id="201" w:name="_Toc71"/>
      <w:bookmarkEnd w:id="199"/>
      <w:bookmarkEnd w:id="200"/>
      <w:r>
        <w:rPr>
          <w:rtl w:val="true"/>
        </w:rPr>
        <w:t>فهرس مصادر التحقيق</w:t>
      </w:r>
      <w:bookmarkEnd w:id="20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الأذهان إلى أحكام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الحسن بن يوسف بن المطهّر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فارس الحسّون، مؤسسة النشر الإسلامي التابعة لجماعة المدرسين،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فيما اختلف من الأخبار ، لشيخ الطائفة محمّد بن الحسن الطوسي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السيّد حسن الخرسان، دار الكتب الإسلاميّة تهران،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الجامعة لدرر أخبار الأئمّة الأطهار عليهم‌السلام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محمّد باقر بن محمّد تقي المجلسي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مؤسسة الوفاء، بيروت،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الشرعيّة على مذهب الإماميّة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جمال الدّين حسن بن يوسف بن المطهّر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الشيخ إبراهيم البهادري، قم،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الأبرار، للحاج السيّد محمّد باقر حجّة الإسلام الشفتي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تحقيق السيّد مهدي الرجائي، نشر مكتبة مسجد السيّد باصفهان، مطبعة سيّد الشهداء، قم،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جمال الدّين 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آل البيت عليهم‌السلام لإحياء التراث،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شيخ الطائفة محمّد بن الحسن 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حسن الموسوي الخرسان، دار الكتب الإسلامية، تهران،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للشرائع، لنجيب الدّين يحيى بن أحمد بن سعيد الحلّي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601</w:t>
      </w:r>
      <w:r>
        <w:rPr>
          <w:rFonts w:eastAsia="Amiri" w:cs="Amiri" w:ascii="Amiri" w:hAnsi="Amiri"/>
          <w:color w:val="111111"/>
          <w:sz w:val="28"/>
          <w:szCs w:val="28"/>
          <w:rtl w:val="true"/>
          <w:lang w:bidi="ar-SA"/>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لجنة التحقيق بإشراف الشيخ السبحاني، المطبعة العلمية،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مسائل الخلاف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لأبي جعفر شيخ الطائفة محمّد بن الحسن المعروف</w:t>
      </w:r>
    </w:p>
    <w:p>
      <w:pPr>
        <w:pStyle w:val="BookText"/>
        <w:rPr/>
      </w:pPr>
      <w:r>
        <w:rPr>
          <w:rFonts w:ascii="Amiri" w:hAnsi="Amiri" w:eastAsia="Amiri" w:cs="Amiri"/>
          <w:color w:val="111111"/>
          <w:sz w:val="28"/>
          <w:sz w:val="28"/>
          <w:szCs w:val="28"/>
          <w:rtl w:val="true"/>
          <w:lang w:bidi="ar-SA"/>
        </w:rPr>
        <w:t xml:space="preserve">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علي الخراساني والسيّد جواد الشهرستاني و الشيخ مهدي نجف، مؤسسة النشر الإسلامي،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الرسائل الرجاليّة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باقر بن محمّد نقي الشفتي المشهور بحجّة الإسلام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نشر مكتبة مسجد السيّد بإصفهان،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الروضة البهيّة في شرح اللمعة الدمشقيّة ، للشهيد الثاني زين الدّين بن عليّ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منشورات جامعة النجف الدينيّة،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الحاوي لتحرير 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منصور بن أحمد بن إدريس العجلي</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في مسائل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الشيخ أبي القاسم جعفر بن حسن بن يحيى بن سعيد الهذلي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تعليق السيّد صادق الشيرازي، نشر الاستقلال، طهران،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تاج اللغة وصحاح العربيّة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لإسماعيل بن حمّاد الجوهري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أحمد بن عبدالغفور عطار، دار العلم للملايين، بيروت،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غنية النزوع إلى علمي الأصول والفروع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المكارم السيّد حمزة بن عليّ بن زهرة الحسيني، المعروف بابن زهرة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إبراهيم البهادري، لمؤسّسة الإمام الصادق عليه‌السلام بإشراف الشيخ جعفر السبحاني، قم،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طاهر مجد الدّين محمّد بن يعقوب الفيروزآبادي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دار العلم، بيروت،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في معرفة الحلال والحرام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الحلّي الحسن بن يوسف بن المطهّر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ثقة الإسلام محمّد بن يعقوب بن إسحاق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دار الكتب الإسلاميّة، طهران،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الصلاح الحلبي تقي الدّين بن نجم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تحقيق</w:t>
      </w:r>
    </w:p>
    <w:p>
      <w:pPr>
        <w:pStyle w:val="BookText"/>
        <w:rPr/>
      </w:pPr>
      <w:r>
        <w:rPr>
          <w:rFonts w:ascii="Amiri" w:hAnsi="Amiri" w:eastAsia="Amiri" w:cs="Amiri"/>
          <w:color w:val="111111"/>
          <w:sz w:val="28"/>
          <w:sz w:val="28"/>
          <w:szCs w:val="28"/>
          <w:rtl w:val="true"/>
          <w:lang w:bidi="ar-SA"/>
        </w:rPr>
        <w:t xml:space="preserve">الشيخ رضا الأستادي، مكتبة أمير المؤمنين عليه‌السلام، إصفهان،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محمّد بن عليّ بن الحسين بن بابويه القمّي المعروف بالشيخ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علي أكبر الغفاري، نشر جامعة المدرّسين، قم،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الأحكام، للعلاّمة محمّد باقر بن محمّد مؤمن السبزواري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1090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تحقيق الشيخ مرتضى الواعظي الأراكي، مؤسّسة النشر الإسلاميّ، قم، </w:t>
      </w:r>
      <w:r>
        <w:rPr>
          <w:rFonts w:eastAsia="Amiri" w:cs="Amiri" w:ascii="Amiri" w:hAnsi="Amiri"/>
          <w:color w:val="111111"/>
          <w:sz w:val="28"/>
          <w:szCs w:val="28"/>
          <w:lang w:bidi="ar-SA"/>
        </w:rPr>
        <w:t>1423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 </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لجمال الدّين محمّد بن مكرم بن منظور المصري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نشر أدب الحوزة، قم،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الطائفة محمّد بن الحسن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محمّد تقي الكشفي، نشر المكتبة المرتضوية، طهران،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الحلّي نجم الدّين جعفر بن حسن بن يحيى بن سعيد الهذلي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بإشراف الشيخ القمي، نشر مؤسسة البعثة، طهران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طبع دار التقريب، قاهرة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في أحكام الشريعة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الحسن بن يوسف بن المطهّر</w:t>
      </w:r>
    </w:p>
    <w:p>
      <w:pPr>
        <w:pStyle w:val="BookText"/>
        <w:rPr/>
      </w:pP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لجنة التحقيق، مؤسسة النشر الإسلامي التابعة لجماعة المدرسين، قم،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المراسم النبويّة والأحكام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لسلاّر بن عبدالعزيز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السيّد محسن الحسينيالأميني، نشر المعاونية الثقافية للمجمع العالمي،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مطالع الأنوار، للحاجّ السيّد محمّد باقر الشفتي، المعروف بحجّة الإسلام على الإطلاق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طبع الأفست، مكتبة مسجد السيّد، نشاط، اصفهان </w:t>
      </w:r>
      <w:r>
        <w:rPr>
          <w:rFonts w:eastAsia="Amiri" w:cs="Amiri" w:ascii="Amiri" w:hAnsi="Amiri"/>
          <w:color w:val="111111"/>
          <w:sz w:val="28"/>
          <w:szCs w:val="28"/>
          <w:lang w:bidi="ar-SA"/>
        </w:rPr>
        <w:t>1366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و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 لأبي جعفر محمّد بن عليّ بن الحسين بن بابويه القمّي، المعروف بالشيخ </w:t>
      </w:r>
    </w:p>
    <w:p>
      <w:pPr>
        <w:pStyle w:val="BookText"/>
        <w:rPr/>
      </w:pPr>
      <w:r>
        <w:rPr>
          <w:rFonts w:ascii="Amiri" w:hAnsi="Amiri" w:eastAsia="Amiri" w:cs="Amiri"/>
          <w:color w:val="111111"/>
          <w:sz w:val="28"/>
          <w:sz w:val="28"/>
          <w:szCs w:val="28"/>
          <w:rtl w:val="true"/>
          <w:lang w:bidi="ar-SA"/>
        </w:rPr>
        <w:t xml:space="preserve">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لجنة التحقيق التابعة لمؤسسة الإمام الهادي عليه‌السلام، قم،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محمّد بن محمّد بن النعمان البغدادي، المعروف بالشيخ المفيد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و نشر مؤسسة النشر الإسلامي،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الأحكام في معرفة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الحلّي الحسن بن يوسف بن المطهّر</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السيّد مهدي الرجائي، مؤسسة إسماعيليان، قم،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مجرّد الفقه والفتاوي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جعفر شيخ الطائفة محمّد بن الحسن</w:t>
      </w:r>
    </w:p>
    <w:p>
      <w:pPr>
        <w:pStyle w:val="BookText"/>
        <w:rPr/>
      </w:pPr>
      <w:r>
        <w:rPr>
          <w:rFonts w:ascii="Amiri" w:hAnsi="Amiri" w:eastAsia="Amiri" w:cs="Amiri"/>
          <w:color w:val="111111"/>
          <w:sz w:val="28"/>
          <w:sz w:val="28"/>
          <w:szCs w:val="28"/>
          <w:rtl w:val="true"/>
          <w:lang w:bidi="ar-SA"/>
        </w:rPr>
        <w:t xml:space="preserve">المعروف بالشيخ الطوسي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طبعة دار الأندلس، بيروت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نهاية المرام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للسيّد محمّد بن علي الموسوي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تحقيق</w:t>
      </w:r>
    </w:p>
    <w:p>
      <w:pPr>
        <w:pStyle w:val="BookText"/>
        <w:rPr/>
      </w:pPr>
      <w:r>
        <w:rPr>
          <w:rFonts w:ascii="IRNazanin" w:hAnsi="IRNazanin" w:eastAsia="IRNazanin"/>
          <w:color w:val="111111"/>
          <w:sz w:val="28"/>
          <w:sz w:val="28"/>
          <w:szCs w:val="28"/>
          <w:rtl w:val="true"/>
          <w:lang w:bidi="fa-IR"/>
        </w:rPr>
        <w:t xml:space="preserve">الحاج آغا مجتبى العراقي، الشيخ علي پناه الاشتهاردي، آقا حسين اليزدي، نشر مؤسّسة النشر الإسلامي، قم،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تفصيل وسائل الشيعة إلى تحصيل مسائل الشريعة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للشيخ محمّد بن الحسن الحرّ العاملي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تحقيق و نشر مؤسّسة آل البيت عليهم‌السلام لإحياء التراث، 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إلى نيل الفضيلة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لعماد الدّين أبي جعفر محمّد بن علي الطوسي، المعروف بابن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تحقيق الشيخ محمّد الحسّون، نشر مكتبة السيّد المرعشي، 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ى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الينابيع الفقهيّة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أصغر المرواريد، دار التراث، بيروت،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bookmarkStart w:id="202" w:name="pg7074_67101"/>
    </w:p>
    <w:p>
      <w:pPr>
        <w:pStyle w:val="Heading2"/>
        <w:numPr>
          <w:ilvl w:val="1"/>
          <w:numId w:val="1"/>
        </w:numPr>
        <w:rPr/>
      </w:pPr>
      <w:bookmarkStart w:id="203" w:name="__RefHeading___Toc3387503_372815092"/>
      <w:bookmarkStart w:id="204" w:name="_Toc72"/>
      <w:bookmarkEnd w:id="202"/>
      <w:bookmarkEnd w:id="203"/>
      <w:r>
        <w:rPr>
          <w:rtl w:val="true"/>
        </w:rPr>
        <w:t>فهرس المحتويات</w:t>
      </w:r>
      <w:bookmarkEnd w:id="204"/>
    </w:p>
    <w:p>
      <w:pPr>
        <w:pStyle w:val="BookText"/>
        <w:rPr/>
      </w:pPr>
      <w:r>
        <w:rPr>
          <w:rFonts w:ascii="Amiri" w:hAnsi="Amiri" w:eastAsia="Amiri" w:cs="Amiri"/>
          <w:color w:val="111111"/>
          <w:sz w:val="28"/>
          <w:sz w:val="28"/>
          <w:szCs w:val="28"/>
          <w:rtl w:val="true"/>
          <w:lang w:bidi="ar-SA"/>
        </w:rPr>
        <w:t>مقدّمه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ascii="IRNazanin" w:hAnsi="IRNazanin" w:eastAsia="IRNazanin"/>
          <w:color w:val="111111"/>
          <w:sz w:val="28"/>
          <w:sz w:val="28"/>
          <w:szCs w:val="28"/>
          <w:rtl w:val="true"/>
          <w:lang w:bidi="fa-IR"/>
        </w:rPr>
        <w:t>توضيحى پيرامون رساله حاضر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زندگى نامه مؤلّف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شهرت</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از نگاه ديگران</w:t>
      </w:r>
      <w:r>
        <w:rPr>
          <w:rFonts w:eastAsia="IRNazanin" w:cs="IRNazanin"/>
          <w:color w:val="111111"/>
          <w:sz w:val="28"/>
          <w:szCs w:val="28"/>
          <w:rtl w:val="true"/>
          <w:lang w:bidi="fa-IR"/>
        </w:rPr>
        <w:t xml:space="preserve">...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نسب</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نياكان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تولّد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زادگاه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Amiri" w:hAnsi="Amiri" w:eastAsia="Amiri" w:cs="Amiri"/>
          <w:color w:val="111111"/>
          <w:sz w:val="28"/>
          <w:sz w:val="28"/>
          <w:szCs w:val="28"/>
          <w:rtl w:val="true"/>
          <w:lang w:bidi="ar-SA"/>
        </w:rPr>
        <w:t>دوران تحصيل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استادان</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مشايخ اجازه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p>
    <w:p>
      <w:pPr>
        <w:pStyle w:val="BookText"/>
        <w:rPr/>
      </w:pPr>
      <w:r>
        <w:rPr>
          <w:rFonts w:ascii="IRNazanin" w:hAnsi="IRNazanin" w:eastAsia="IRNazanin"/>
          <w:color w:val="111111"/>
          <w:sz w:val="28"/>
          <w:sz w:val="28"/>
          <w:szCs w:val="28"/>
          <w:rtl w:val="true"/>
          <w:lang w:bidi="fa-IR"/>
        </w:rPr>
        <w:t>ويژگى‌هاى اخلاقى</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سخاوت</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شاگردان</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داورى</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اجراى حدود الهى</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Amiri" w:hAnsi="Amiri" w:eastAsia="Amiri" w:cs="Amiri"/>
          <w:color w:val="111111"/>
          <w:sz w:val="28"/>
          <w:sz w:val="28"/>
          <w:szCs w:val="28"/>
          <w:rtl w:val="true"/>
          <w:lang w:bidi="ar-SA"/>
        </w:rPr>
        <w:t>سفر به مكّه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آثار علمى</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ساخت مسجدى بزرگ</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فرزندان</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درگذشت</w:t>
      </w:r>
      <w:r>
        <w:rPr>
          <w:rFonts w:eastAsia="IRNazanin" w:cs="IRNazanin"/>
          <w:color w:val="111111"/>
          <w:sz w:val="28"/>
          <w:szCs w:val="28"/>
          <w:rtl w:val="true"/>
          <w:lang w:bidi="fa-IR"/>
        </w:rPr>
        <w:t xml:space="preserve">...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سؤال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 xml:space="preserve">جواب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ascii="Amiri" w:hAnsi="Amiri" w:eastAsia="Amiri" w:cs="Amiri"/>
          <w:color w:val="111111"/>
          <w:sz w:val="28"/>
          <w:sz w:val="28"/>
          <w:szCs w:val="28"/>
          <w:rtl w:val="true"/>
          <w:lang w:bidi="ar-SA"/>
        </w:rPr>
        <w:t xml:space="preserve">مطلب اوّل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كسى كه زوجه خود را مطلّقه كرد به طلاق خلعى، مى‌تواند قبل از انقضاى عدّه، اخت او را عقد نمايد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مطلب دوّم</w:t>
      </w:r>
    </w:p>
    <w:p>
      <w:pPr>
        <w:pStyle w:val="BookText"/>
        <w:rPr/>
      </w:pPr>
      <w:r>
        <w:rPr>
          <w:rFonts w:ascii="Amiri" w:hAnsi="Amiri" w:eastAsia="Amiri" w:cs="Amiri"/>
          <w:color w:val="111111"/>
          <w:sz w:val="28"/>
          <w:sz w:val="28"/>
          <w:szCs w:val="28"/>
          <w:rtl w:val="true"/>
          <w:lang w:bidi="ar-SA"/>
        </w:rPr>
        <w:t>زوج بعد از آن كه اُخت زوجه مطلّقه خود را در اثناء عدّه عقد نمود، نمى‌تواند معقوده ثانيه را مطلّقه به طلاق خلع نمايد و در اثناى عدّه او، مطلّقه اولى را عقد نمايد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Amiri" w:hAnsi="Amiri" w:eastAsia="Amiri" w:cs="Amiri"/>
          <w:color w:val="111111"/>
          <w:sz w:val="28"/>
          <w:sz w:val="28"/>
          <w:szCs w:val="28"/>
          <w:rtl w:val="true"/>
          <w:lang w:bidi="ar-SA"/>
        </w:rPr>
        <w:t>مطلب سوّم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آيا جايز است عقد اُخت متمتّع بها بعد از انقضاء اجل متعه و قبل از انقضاء عدّه آن، خواه عقدِ اُخت در اثناء عدّه به طريق دوام بوده باشد، يا انقطاع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المستند في عدم جواز العقد على اُخت المتمتّع بها قبل انقضاء العدّة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المستند في جواز العقد على اُخت المرأة ولو قبل انقضاء العدّة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وجوه الاستدلال لحلّيّة عقد اُخت المتمتّع بها في أثناء عدّتها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الجواب عن مستند المجوّزين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81</w:t>
      </w:r>
    </w:p>
    <w:p>
      <w:pPr>
        <w:pStyle w:val="BookText"/>
        <w:rPr/>
      </w:pPr>
      <w:r>
        <w:rPr>
          <w:rFonts w:ascii="Amiri" w:hAnsi="Amiri" w:eastAsia="Amiri" w:cs="Amiri"/>
          <w:color w:val="111111"/>
          <w:sz w:val="28"/>
          <w:sz w:val="28"/>
          <w:szCs w:val="28"/>
          <w:rtl w:val="true"/>
          <w:lang w:bidi="ar-SA"/>
        </w:rPr>
        <w:t>الجواب عن وجوه الاستدلال لحلّيّة عقد اُخت المتمتّع بها فيأثناء عدّتها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مختار المصنّف قدس‌سره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 xml:space="preserve">التنبيه على أمرين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أنّ عدم جواز العقد على اُخت المطلّقة بالطلاق الرجعيّ لم يكن مختصّاً بما إذا لم يسقط حقّ رجوعه إليها، بل يعمّ صورة الإسقاط أيضاً بالمصالحة و غيرها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مختار المصنّف قدس‌سره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أنّ جواز العقد على اُخت المطلّقة المختلعة مختصّ بما إذا لم ترجع المطلّقة عن البذل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مختار المصنّف قدس‌سره في المسألة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فهرس 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2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2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رساله كاريزيه، تأليف حجّة الإسلام شفتى مخطوط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هديّة الأحباب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مطالع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برگ نخست نسخه‌اى خطّى از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هداية الأمّة إلى أحكام الأئمّة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تأليف شيخ حرّ عاملى قدس‌سره، كه در كتابخانه جامع گوهرشاد نگهدارى مى‌شود، يادداشتى از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سيّد محمّد زكى بن محمّد نقى موسوى، به چشم مى‌خورد به اين مضمون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در اصل از آن وى بوده و به برادرش سيّد محمّد باقر حجّة الاسلام رشتى، هديه كرده است، با مهر بيضى شكل با سجع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عبده محمّد زكي الموسويّ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مهر بيضى شكل ديگرى نيز به چشم مى‌خورد با سجع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عبده محمّد باقر بن محمّد نقي الموسويّ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كه مهر مرحوم حجّة الإسلام شفتى است فهرست نسخه‌هاى خطّى كتابخانه جامع گوهرشاد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كتابخانه مرحوم آية اللّه حاج سيّد محمّد على روضاتى </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روضة الصفاى ناصرى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7208</w:t>
      </w:r>
      <w:r>
        <w:rPr>
          <w:rFonts w:eastAsia="IRNazanin" w:cs="IRNazanin"/>
          <w:b w:val="false"/>
          <w:bCs w:val="false"/>
          <w:i w:val="false"/>
          <w:iCs w:val="false"/>
          <w:color w:val="333333"/>
          <w:sz w:val="20"/>
          <w:szCs w:val="20"/>
          <w:rtl w:val="true"/>
        </w:rPr>
        <w:t xml:space="preserve"> .</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چَرْزَه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بفتح اول و سوم و سكون دوم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مرآة البلدان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قريه‌اى است قديم النسق از قراى طارم واقع در ميان كوه، 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خانوار سكنه دارد، كه به زبان فرس قديم تكلّم مى‌كنند، هوايش معتدل، زراعتش از آب رودخانه مشروب مى‌شود، و گردنه‌اى ناهموار و صعب العبور دارد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فرهنگ جغرافيايى ايران آمده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دهى است جزء دهستان طارم بالا بخش سيردان شهرستان زنجان كه در چهل و دو هزار گزى شمال باختر سيردان و ده هزار گزى راه مال رو عمومى واقع است، كوهستانى و سردسير است و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 سكنه دارد، آبش از چشمه، محصولش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غلات، فندق، گردو، عسل ؛ شغل اهالى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زراعت، مكارى، بافتن گليم، جاجيم، شال ؛ و راهش مال رو و صعب العبور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لغت نامه دهخدا </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علماء زنجان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نوشته كه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سيّد حجّة الإسلام اصلاً از قريه</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تاريخ بنا به گفته خود مرحوم حجّة الإسلام است كه در حاشيه بعضى از اجازاتش مى‌نويسد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حرمنا من مجاورة العتبات العاليات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مشرفها آلاف التحيّة والصلوات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وانتقلنا منها إلى ديار العجم في خمس و مائتين بعد الألف من الهجرة المباركة 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تاريخ بنا به گفته خود مرحوم حجّة الإسلام است كه در حاشيه بعضى از اجازاتش مى‌نويسد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انتقل المرحوم مير عبدالباقي في أوايل ورودي في اصبهان في سنة سبع و مائتين بعد الألف من الهجرة 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 به فرموده صاحب روضات قدس‌سره، سيّد حجّة الإسلام در حدود سال </w:t>
      </w:r>
      <w:r>
        <w:rPr>
          <w:rFonts w:eastAsia="IRNazanin" w:cs="IRNazanin"/>
          <w:b w:val="false"/>
          <w:bCs w:val="false"/>
          <w:i w:val="false"/>
          <w:iCs w:val="false"/>
          <w:color w:val="333333"/>
          <w:sz w:val="20"/>
          <w:szCs w:val="20"/>
        </w:rPr>
        <w:t>1216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Pr>
        <w:t>1217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تصميم مى‌گيرد اصفهان را وطن خويش قرار دهد و در آنجا سكونت اختيار كند ؛ عبارت ايشان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چنين است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عزم على التوطن باصبهان في حدود ستّ أو سبع عشرة بعد مائتين و ألف </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تكمله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تصوير كاملِ اصل اين اجازه نامه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صفحه‌اى، در ضميمه مجلّد اول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كتب خطّى كتابخانه‌هاى اصفهان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چاپ رسيده است چاپ اصفهان،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اجازه مختصر به خطّ شريف مرحوم شهرستانى، در آخر نسخه‌اى خطّى از كتاب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موجود است فهرست نسخه‌هاى خطّى مركز احياء تراث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1083</w:t>
      </w:r>
      <w:r>
        <w:rPr>
          <w:rFonts w:eastAsia="IRNazanin" w:cs="IRNazanin"/>
          <w:b w:val="false"/>
          <w:bCs w:val="false"/>
          <w:i w:val="false"/>
          <w:iCs w:val="false"/>
          <w:color w:val="333333"/>
          <w:sz w:val="20"/>
          <w:szCs w:val="20"/>
          <w:rtl w:val="true"/>
        </w:rPr>
        <w:t xml:space="preserve"> .</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اجازات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ريحانة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تكمله أمل الآمل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تذكره مآثر الباقريّة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العلماء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ومشاهير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ايشان در كتاب مناسك 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چنين است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تقريبًا دو ساعت به غروب مانده روز هفتم شهر ذي الحجّة الحرام سنه هزار و دويست و سى و يك وارد مكّه معظّمه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شديم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علما و شعراى گيلان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اصفهان و 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حال وى در اين كتاب‌ها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مكارم الآثار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أعيان الشيعة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معارف الرجال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لباب الألقاب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هدية الاحباب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ريحانة 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الكنى والالقاب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ماضى النجف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الفوايد الرضويّة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اعلام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دانشمندان و بزرگان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موسوعة طبقات الفقهاء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أحسن الوديعة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تاريخ اصفهان و 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رجال و مشاهير اصفهان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مرآة الشرق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ارزشمند با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يك جلد، با تحقيق حجّة الإسلام والمسلمين حاج سيّد مهدى رجائى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دامت بركاته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سال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توسّط انتشارات كتابخانه مسجد سيّد اصفهان، به چاپ رسيد </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ارزشمند با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كتاب الغيبة في الإمام الثاني عشر عليه‌السلام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دو جلد، با تحقيق صاحب اين قلم، به سال </w:t>
      </w:r>
      <w:r>
        <w:rPr>
          <w:rFonts w:eastAsia="IRNazanin" w:cs="IRNazanin"/>
          <w:b w:val="false"/>
          <w:bCs w:val="false"/>
          <w:i w:val="false"/>
          <w:iCs w:val="false"/>
          <w:color w:val="333333"/>
          <w:sz w:val="20"/>
          <w:szCs w:val="20"/>
        </w:rPr>
        <w:t>1427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 توسّط انتشارات كتابخانه مسجد سيّد اصفهان، به چاپ رسيد </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اثر با عنوان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العصيريّة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يك جلد، با تحقيق صاحب اين قلم، به سال </w:t>
      </w:r>
      <w:r>
        <w:rPr>
          <w:rFonts w:eastAsia="IRNazanin" w:cs="IRNazanin"/>
          <w:b w:val="false"/>
          <w:bCs w:val="false"/>
          <w:i w:val="false"/>
          <w:iCs w:val="false"/>
          <w:color w:val="333333"/>
          <w:sz w:val="20"/>
          <w:szCs w:val="20"/>
        </w:rPr>
        <w:t>1426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توسّط انتشارات كتابخانه مسجد سيّد اصفهان، به چاپ رسيد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مؤلّف قدس‌سره مطالب آن را از اين كتاب‌ها انتخاب كرده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الطرائف، تأليف سيّد بن طاوس ؛ شرح نهج البلاغه، تأليف ابن أبي الحديد معتزلى ؛ الصواعق المحرقة، تأليف ابن حجر هيتمى ؛ و صحيحين، يعنى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و صحيح بخارى الذريعة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كرند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توابع كرمانشاه است </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آية اللّه مرعشى قدس‌سره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2799</w:t>
      </w:r>
      <w:r>
        <w:rPr>
          <w:rFonts w:eastAsia="IRNazanin" w:cs="IRNazanin"/>
          <w:b w:val="false"/>
          <w:bCs w:val="false"/>
          <w:i w:val="false"/>
          <w:iCs w:val="false"/>
          <w:color w:val="333333"/>
          <w:sz w:val="20"/>
          <w:szCs w:val="20"/>
          <w:rtl w:val="true"/>
        </w:rPr>
        <w:t xml:space="preserve"> .</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غرقاب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نسخه خطّى </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نسخه‌هاى خطّى كتابخانه آية اللّه مرعشى نجفى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جلد ديگرى از شرح مزجى وى بر شرائع الإسلام، در كتابخانه مسجد اعظم قم نگهدارى مى‌شود فهرست نسخه‌هاى خطّى كتابخانه مسجد اعظم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كتاب به خطّ مؤلّف قدس‌سره است و شرح مزجى مفصّلى بر فصل سوم كتاب الصلاة لمعه مى‌باشد </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اجازه كه در چند صفحه مى‌باشد، به خطّ صاحب جواهر نيست، ولى مهر شريف وى در پايان اجازه به چشم مى‌خورد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الفكر والأدب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الكرام البررة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القبور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بيشتر نوشته‌ها ربيع الأوّل ثبت شده، و اين اشتباه ناشى از نوشته مرحوم علاّمه خوانسارى در 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روضات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فوت حجّة الإسلام يقينًا در دوم ماه ربيع الأوّل نبوده، زيرا اجازه‌اى كه مرحوم حجّة الإسلام براى شخصى به نام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آخوند ملاّ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برگ نخست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سؤال و جواب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به تاريخ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ربيع الأوّل </w:t>
      </w:r>
      <w:r>
        <w:rPr>
          <w:rFonts w:eastAsia="IRNazanin" w:cs="IRNazanin"/>
          <w:b w:val="false"/>
          <w:bCs w:val="false"/>
          <w:i w:val="false"/>
          <w:iCs w:val="false"/>
          <w:color w:val="333333"/>
          <w:sz w:val="20"/>
          <w:szCs w:val="20"/>
        </w:rPr>
        <w:t>1260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مى‌باشد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 خطّى كتابخانه مجلس شوراى اسلامى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4924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بيان المفاخر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للزواج </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باراها </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المراسم العلويّة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في الفقه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دوامًا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المطلّقة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المختصر النافع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بعيب </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البهية في شرح اللمعة الدمشقية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بعضى نسخه‌ها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المتمتعة </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عليّ بن إبراهيم، عن أبيه، عن إسماعيل بن مرار، عن يونس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قرأت في كتاب رجل، الحديث </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روى الحسين بن سعيد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في المصدر </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يتزوّجها </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4603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التطليقة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ما يحرم بالمصاهرة،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إصباح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الينابيع الفقهيّة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البينونة </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الأوجه </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الدائميّ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عرفت ما في ذلك </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لاقتضائه </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مترجّح ؛ و في بعضها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ترجّح </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ماتت عنه </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أورد الرواية لأبي الصباح </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تهذيب‌الاحكام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النهايه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ممّا فصّلناه و أبرزناه </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الاحكام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image" Target="media/image2.jpeg"/><Relationship Id="rId122" Type="http://schemas.openxmlformats.org/officeDocument/2006/relationships/image" Target="media/image2.jpeg"/><Relationship Id="rId123" Type="http://schemas.openxmlformats.org/officeDocument/2006/relationships/footer" Target="footer116.xml"/><Relationship Id="rId124" Type="http://schemas.openxmlformats.org/officeDocument/2006/relationships/footnotes" Target="footnotes.xml"/><Relationship Id="rId125" Type="http://schemas.openxmlformats.org/officeDocument/2006/relationships/numbering" Target="numbering.xml"/><Relationship Id="rId126" Type="http://schemas.openxmlformats.org/officeDocument/2006/relationships/fontTable" Target="fontTable.xml"/><Relationship Id="rId127" Type="http://schemas.openxmlformats.org/officeDocument/2006/relationships/settings" Target="settings.xml"/><Relationship Id="rId12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120</Pages>
  <Words>17956</Words>
  <Characters>65850</Characters>
  <CharactersWithSpaces>83051</CharactersWithSpaces>
  <Paragraphs>1075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2026-08-27T07:40:05Z</dcterms:created>
  <dc:creator>ghaemiyeh.com</dc:creator>
  <dc:description/>
  <dc:language>en-US</dc:language>
  <cp:lastModifiedBy/>
  <dcterms:modified xsi:type="dcterms:W3CDTF">2026-08-27T11:10:09Z</dcterms:modified>
  <cp:revision>1</cp:revision>
  <dc:subject/>
  <dc:title>سؤال و جواب درباره حکم عقد با خواهر زوجه مطلقه</dc:title>
</cp:coreProperties>
</file>

<file path=docProps/custom.xml><?xml version="1.0" encoding="utf-8"?>
<Properties xmlns="http://schemas.openxmlformats.org/officeDocument/2006/custom-properties" xmlns:vt="http://schemas.openxmlformats.org/officeDocument/2006/docPropsVTypes"/>
</file>