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الاساءة الی القائم لیست أول قارورة کسرت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016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4016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40166_372815092">
            <w:r>
              <w:rPr>
                <w:webHidden/>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2140168_372815092">
            <w:r>
              <w:rPr>
                <w:webHidden/>
                <w:rStyle w:val="IndexLink"/>
                <w:rtl w:val="true"/>
              </w:rPr>
              <w:t>الضرورة التكوينية لحكم الصالحين</w:t>
            </w:r>
            <w:r>
              <w:rPr>
                <w:rStyle w:val="IndexLink"/>
                <w:rtl w:val="true"/>
              </w:rPr>
              <w:t>:</w:t>
              <w:tab/>
            </w:r>
            <w:r>
              <w:rPr>
                <w:rStyle w:val="IndexLink"/>
              </w:rPr>
              <w:t>7</w:t>
            </w:r>
          </w:hyperlink>
        </w:p>
        <w:p>
          <w:pPr>
            <w:pStyle w:val="Contents2"/>
            <w:tabs>
              <w:tab w:val="clear" w:pos="8743"/>
              <w:tab w:val="right" w:pos="9026" w:leader="dot"/>
            </w:tabs>
            <w:rPr/>
          </w:pPr>
          <w:hyperlink w:anchor="__RefHeading___Toc2140170_372815092">
            <w:r>
              <w:rPr>
                <w:webHidden/>
                <w:rStyle w:val="IndexLink"/>
                <w:rtl w:val="true"/>
              </w:rPr>
              <w:t>الإمكان والولادة والحياة</w:t>
            </w:r>
            <w:r>
              <w:rPr>
                <w:rStyle w:val="IndexLink"/>
                <w:rtl w:val="true"/>
              </w:rPr>
              <w:t>:</w:t>
              <w:tab/>
            </w:r>
            <w:r>
              <w:rPr>
                <w:rStyle w:val="IndexLink"/>
              </w:rPr>
              <w:t>10</w:t>
            </w:r>
          </w:hyperlink>
        </w:p>
        <w:p>
          <w:pPr>
            <w:pStyle w:val="Contents2"/>
            <w:tabs>
              <w:tab w:val="clear" w:pos="8743"/>
              <w:tab w:val="right" w:pos="9026" w:leader="dot"/>
            </w:tabs>
            <w:rPr/>
          </w:pPr>
          <w:hyperlink w:anchor="__RefHeading___Toc2140172_372815092">
            <w:r>
              <w:rPr>
                <w:webHidden/>
                <w:rStyle w:val="IndexLink"/>
                <w:rtl w:val="true"/>
              </w:rPr>
              <w:t>فائدة الإمام مع الغيبة</w:t>
            </w:r>
            <w:r>
              <w:rPr>
                <w:rStyle w:val="IndexLink"/>
                <w:rtl w:val="true"/>
              </w:rPr>
              <w:t>:</w:t>
              <w:tab/>
            </w:r>
            <w:r>
              <w:rPr>
                <w:rStyle w:val="IndexLink"/>
              </w:rPr>
              <w:t>17</w:t>
            </w:r>
          </w:hyperlink>
        </w:p>
        <w:p>
          <w:pPr>
            <w:pStyle w:val="Contents2"/>
            <w:tabs>
              <w:tab w:val="clear" w:pos="8743"/>
              <w:tab w:val="right" w:pos="9026" w:leader="dot"/>
            </w:tabs>
            <w:rPr/>
          </w:pPr>
          <w:hyperlink w:anchor="__RefHeading___Toc2140174_372815092">
            <w:r>
              <w:rPr>
                <w:webHidden/>
                <w:rStyle w:val="IndexLink"/>
                <w:rtl w:val="true"/>
              </w:rPr>
              <w:t xml:space="preserve">مقامه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2140176_372815092">
            <w:r>
              <w:rPr>
                <w:webHidden/>
                <w:rStyle w:val="IndexLink"/>
                <w:rtl w:val="true"/>
              </w:rPr>
              <w:t>الإمامة في السنّ المبكر</w:t>
            </w:r>
            <w:r>
              <w:rPr>
                <w:rStyle w:val="IndexLink"/>
                <w:rtl w:val="true"/>
              </w:rPr>
              <w:t>:</w:t>
              <w:tab/>
            </w:r>
            <w:r>
              <w:rPr>
                <w:rStyle w:val="IndexLink"/>
              </w:rPr>
              <w:t>23</w:t>
            </w:r>
          </w:hyperlink>
        </w:p>
        <w:p>
          <w:pPr>
            <w:pStyle w:val="Contents2"/>
            <w:tabs>
              <w:tab w:val="clear" w:pos="8743"/>
              <w:tab w:val="right" w:pos="9026" w:leader="dot"/>
            </w:tabs>
            <w:rPr/>
          </w:pPr>
          <w:hyperlink w:anchor="__RefHeading___Toc2140178_372815092">
            <w:r>
              <w:rPr>
                <w:webHidden/>
                <w:rStyle w:val="IndexLink"/>
                <w:rtl w:val="true"/>
              </w:rPr>
              <w:t>الغيبتان وخصائصهما</w:t>
            </w:r>
            <w:r>
              <w:rPr>
                <w:rStyle w:val="IndexLink"/>
                <w:rtl w:val="true"/>
              </w:rPr>
              <w:t>:</w:t>
              <w:tab/>
            </w:r>
            <w:r>
              <w:rPr>
                <w:rStyle w:val="IndexLink"/>
              </w:rPr>
              <w:t>23</w:t>
            </w:r>
          </w:hyperlink>
        </w:p>
        <w:p>
          <w:pPr>
            <w:pStyle w:val="Contents2"/>
            <w:tabs>
              <w:tab w:val="clear" w:pos="8743"/>
              <w:tab w:val="right" w:pos="9026" w:leader="dot"/>
            </w:tabs>
            <w:rPr/>
          </w:pPr>
          <w:hyperlink w:anchor="__RefHeading___Toc2140180_372815092">
            <w:r>
              <w:rPr>
                <w:webHidden/>
                <w:rStyle w:val="IndexLink"/>
                <w:rtl w:val="true"/>
              </w:rPr>
              <w:t xml:space="preserve">الغيبة من أسرار الله </w:t>
            </w:r>
            <w:r>
              <w:rPr>
                <w:rStyle w:val="IndexLink"/>
                <w:rtl w:val="true"/>
              </w:rPr>
              <w:t>(</w:t>
            </w:r>
            <w:r>
              <w:rPr>
                <w:rStyle w:val="IndexLink"/>
                <w:rtl w:val="true"/>
              </w:rPr>
              <w:t>عزّ وجلّ</w:t>
            </w:r>
            <w:r>
              <w:rPr>
                <w:rStyle w:val="IndexLink"/>
                <w:rtl w:val="true"/>
              </w:rPr>
              <w:t>):</w:t>
              <w:tab/>
            </w:r>
            <w:r>
              <w:rPr>
                <w:rStyle w:val="IndexLink"/>
              </w:rPr>
              <w:t>26</w:t>
            </w:r>
          </w:hyperlink>
        </w:p>
        <w:p>
          <w:pPr>
            <w:pStyle w:val="Contents2"/>
            <w:tabs>
              <w:tab w:val="clear" w:pos="8743"/>
              <w:tab w:val="right" w:pos="9026" w:leader="dot"/>
            </w:tabs>
            <w:rPr/>
          </w:pPr>
          <w:hyperlink w:anchor="__RefHeading___Toc2140182_372815092">
            <w:r>
              <w:rPr>
                <w:webHidden/>
                <w:rStyle w:val="IndexLink"/>
                <w:rtl w:val="true"/>
              </w:rPr>
              <w:t>خصائص الغيبة الصغرى</w:t>
            </w:r>
            <w:r>
              <w:rPr>
                <w:rStyle w:val="IndexLink"/>
                <w:rtl w:val="true"/>
              </w:rPr>
              <w:t>:</w:t>
              <w:tab/>
            </w:r>
            <w:r>
              <w:rPr>
                <w:rStyle w:val="IndexLink"/>
              </w:rPr>
              <w:t>27</w:t>
            </w:r>
          </w:hyperlink>
        </w:p>
        <w:p>
          <w:pPr>
            <w:pStyle w:val="Contents2"/>
            <w:tabs>
              <w:tab w:val="clear" w:pos="8743"/>
              <w:tab w:val="right" w:pos="9026" w:leader="dot"/>
            </w:tabs>
            <w:rPr/>
          </w:pPr>
          <w:hyperlink w:anchor="__RefHeading___Toc2140184_372815092">
            <w:r>
              <w:rPr>
                <w:webHidden/>
                <w:rStyle w:val="IndexLink"/>
                <w:rtl w:val="true"/>
              </w:rPr>
              <w:t>خصائص الغيبة الكبرى</w:t>
            </w:r>
            <w:r>
              <w:rPr>
                <w:rStyle w:val="IndexLink"/>
                <w:rtl w:val="true"/>
              </w:rPr>
              <w:t>:</w:t>
              <w:tab/>
            </w:r>
            <w:r>
              <w:rPr>
                <w:rStyle w:val="IndexLink"/>
              </w:rPr>
              <w:t>28</w:t>
            </w:r>
          </w:hyperlink>
        </w:p>
        <w:p>
          <w:pPr>
            <w:pStyle w:val="Contents2"/>
            <w:tabs>
              <w:tab w:val="clear" w:pos="8743"/>
              <w:tab w:val="right" w:pos="9026" w:leader="dot"/>
            </w:tabs>
            <w:rPr/>
          </w:pPr>
          <w:hyperlink w:anchor="__RefHeading___Toc2140186_372815092">
            <w:r>
              <w:rPr>
                <w:webHidden/>
                <w:rStyle w:val="IndexLink"/>
                <w:rtl w:val="true"/>
              </w:rPr>
              <w:t>حقيقة الغيبة</w:t>
            </w:r>
            <w:r>
              <w:rPr>
                <w:rStyle w:val="IndexLink"/>
                <w:rtl w:val="true"/>
              </w:rPr>
              <w:t>:</w:t>
              <w:tab/>
            </w:r>
            <w:r>
              <w:rPr>
                <w:rStyle w:val="IndexLink"/>
              </w:rPr>
              <w:t>29</w:t>
            </w:r>
          </w:hyperlink>
        </w:p>
        <w:p>
          <w:pPr>
            <w:pStyle w:val="Contents2"/>
            <w:tabs>
              <w:tab w:val="clear" w:pos="8743"/>
              <w:tab w:val="right" w:pos="9026" w:leader="dot"/>
            </w:tabs>
            <w:rPr/>
          </w:pPr>
          <w:hyperlink w:anchor="__RefHeading___Toc2140188_372815092">
            <w:r>
              <w:rPr>
                <w:webHidden/>
                <w:rStyle w:val="IndexLink"/>
                <w:rtl w:val="true"/>
              </w:rPr>
              <w:t>علامات الظهور</w:t>
            </w:r>
            <w:r>
              <w:rPr>
                <w:rStyle w:val="IndexLink"/>
                <w:rtl w:val="true"/>
              </w:rPr>
              <w:t>:</w:t>
              <w:tab/>
            </w:r>
            <w:r>
              <w:rPr>
                <w:rStyle w:val="IndexLink"/>
              </w:rPr>
              <w:t>31</w:t>
            </w:r>
          </w:hyperlink>
        </w:p>
        <w:p>
          <w:pPr>
            <w:pStyle w:val="Contents2"/>
            <w:tabs>
              <w:tab w:val="clear" w:pos="8743"/>
              <w:tab w:val="right" w:pos="9026" w:leader="dot"/>
            </w:tabs>
            <w:rPr/>
          </w:pPr>
          <w:hyperlink w:anchor="__RefHeading___Toc2140190_372815092">
            <w:r>
              <w:rPr>
                <w:webHidden/>
                <w:rStyle w:val="IndexLink"/>
                <w:rtl w:val="true"/>
              </w:rPr>
              <w:t>ما بعد الظهور</w:t>
            </w:r>
            <w:r>
              <w:rPr>
                <w:rStyle w:val="IndexLink"/>
                <w:rtl w:val="true"/>
              </w:rPr>
              <w:t>:</w:t>
              <w:tab/>
            </w:r>
            <w:r>
              <w:rPr>
                <w:rStyle w:val="IndexLink"/>
              </w:rPr>
              <w:t>36</w:t>
            </w:r>
          </w:hyperlink>
        </w:p>
        <w:p>
          <w:pPr>
            <w:pStyle w:val="Contents2"/>
            <w:tabs>
              <w:tab w:val="clear" w:pos="8743"/>
              <w:tab w:val="right" w:pos="9026" w:leader="dot"/>
            </w:tabs>
            <w:rPr/>
          </w:pPr>
          <w:hyperlink w:anchor="__RefHeading___Toc2140192_372815092">
            <w:r>
              <w:rPr>
                <w:webHidden/>
                <w:rStyle w:val="IndexLink"/>
                <w:rtl w:val="true"/>
              </w:rPr>
              <w:t>المناهج المعرفية في قراءة القضيّة المهدوية</w:t>
            </w:r>
            <w:r>
              <w:rPr>
                <w:rStyle w:val="IndexLink"/>
                <w:rtl w:val="true"/>
              </w:rPr>
              <w:t>:</w:t>
              <w:tab/>
            </w:r>
            <w:r>
              <w:rPr>
                <w:rStyle w:val="IndexLink"/>
              </w:rPr>
              <w:t>38</w:t>
            </w:r>
          </w:hyperlink>
        </w:p>
        <w:p>
          <w:pPr>
            <w:pStyle w:val="Contents3"/>
            <w:tabs>
              <w:tab w:val="clear" w:pos="8459"/>
              <w:tab w:val="right" w:pos="9026" w:leader="dot"/>
            </w:tabs>
            <w:rPr/>
          </w:pPr>
          <w:hyperlink w:anchor="__RefHeading___Toc2140194_37281509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140196_372815092">
            <w:r>
              <w:rPr>
                <w:webHidden/>
                <w:rStyle w:val="IndexLink"/>
              </w:rPr>
              <w:t>1</w:t>
            </w:r>
            <w:r>
              <w:rPr>
                <w:rStyle w:val="IndexLink"/>
                <w:rtl w:val="true"/>
              </w:rPr>
              <w:t xml:space="preserve"> _ </w:t>
            </w:r>
            <w:r>
              <w:rPr>
                <w:rStyle w:val="IndexLink"/>
                <w:rtl w:val="true"/>
              </w:rPr>
              <w:t>المنهج الروائي</w:t>
            </w:r>
            <w:r>
              <w:rPr>
                <w:rStyle w:val="IndexLink"/>
                <w:rtl w:val="true"/>
              </w:rPr>
              <w:t>:</w:t>
              <w:tab/>
            </w:r>
            <w:r>
              <w:rPr>
                <w:rStyle w:val="IndexLink"/>
              </w:rPr>
              <w:t>39</w:t>
            </w:r>
          </w:hyperlink>
        </w:p>
        <w:p>
          <w:pPr>
            <w:pStyle w:val="Contents3"/>
            <w:tabs>
              <w:tab w:val="clear" w:pos="8459"/>
              <w:tab w:val="right" w:pos="9026" w:leader="dot"/>
            </w:tabs>
            <w:rPr/>
          </w:pPr>
          <w:hyperlink w:anchor="__RefHeading___Toc2140198_372815092">
            <w:r>
              <w:rPr>
                <w:webHidden/>
                <w:rStyle w:val="IndexLink"/>
              </w:rPr>
              <w:t>2</w:t>
            </w:r>
            <w:r>
              <w:rPr>
                <w:rStyle w:val="IndexLink"/>
                <w:rtl w:val="true"/>
              </w:rPr>
              <w:t xml:space="preserve"> _ </w:t>
            </w:r>
            <w:r>
              <w:rPr>
                <w:rStyle w:val="IndexLink"/>
                <w:rtl w:val="true"/>
              </w:rPr>
              <w:t>المنهج العقلي</w:t>
            </w:r>
            <w:r>
              <w:rPr>
                <w:rStyle w:val="IndexLink"/>
                <w:rtl w:val="true"/>
              </w:rPr>
              <w:t>:</w:t>
              <w:tab/>
            </w:r>
            <w:r>
              <w:rPr>
                <w:rStyle w:val="IndexLink"/>
              </w:rPr>
              <w:t>39</w:t>
            </w:r>
          </w:hyperlink>
        </w:p>
        <w:p>
          <w:pPr>
            <w:pStyle w:val="Contents2"/>
            <w:tabs>
              <w:tab w:val="clear" w:pos="8743"/>
              <w:tab w:val="right" w:pos="9026" w:leader="dot"/>
            </w:tabs>
            <w:rPr/>
          </w:pPr>
          <w:hyperlink w:anchor="__RefHeading___Toc2140200_372815092">
            <w:r>
              <w:rPr>
                <w:webHidden/>
                <w:rStyle w:val="IndexLink"/>
                <w:rtl w:val="true"/>
              </w:rPr>
              <w:t>أهمّ شبهات المنكرين</w:t>
            </w:r>
            <w:r>
              <w:rPr>
                <w:rStyle w:val="IndexLink"/>
                <w:rtl w:val="true"/>
              </w:rPr>
              <w:t>:</w:t>
              <w:tab/>
            </w:r>
            <w:r>
              <w:rPr>
                <w:rStyle w:val="IndexLink"/>
              </w:rPr>
              <w:t>40</w:t>
            </w:r>
          </w:hyperlink>
        </w:p>
        <w:p>
          <w:pPr>
            <w:pStyle w:val="Contents2"/>
            <w:tabs>
              <w:tab w:val="clear" w:pos="8743"/>
              <w:tab w:val="right" w:pos="9026" w:leader="dot"/>
            </w:tabs>
            <w:rPr/>
          </w:pPr>
          <w:hyperlink w:anchor="__RefHeading___Toc2140202_372815092">
            <w:r>
              <w:rPr>
                <w:webHidden/>
                <w:rStyle w:val="IndexLink"/>
                <w:rtl w:val="true"/>
              </w:rPr>
              <w:t xml:space="preserve">خصوصيات الإمام المهدي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2140204_372815092">
            <w:r>
              <w:rPr>
                <w:webHidden/>
                <w:rStyle w:val="IndexLink"/>
                <w:rtl w:val="true"/>
              </w:rPr>
              <w:t xml:space="preserve">الإساءة إلى فكرة المهدي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2140206_372815092">
            <w:r>
              <w:rPr>
                <w:webHidden/>
                <w:rStyle w:val="IndexLink"/>
                <w:rtl w:val="true"/>
              </w:rPr>
              <w:t>مناشئ الادّعاءات الباطلة</w:t>
            </w:r>
            <w:r>
              <w:rPr>
                <w:rStyle w:val="IndexLink"/>
                <w:rtl w:val="true"/>
              </w:rPr>
              <w:t>:</w:t>
              <w:tab/>
            </w:r>
            <w:r>
              <w:rPr>
                <w:rStyle w:val="IndexLink"/>
              </w:rPr>
              <w:t>56</w:t>
            </w:r>
          </w:hyperlink>
        </w:p>
        <w:p>
          <w:pPr>
            <w:pStyle w:val="Contents2"/>
            <w:tabs>
              <w:tab w:val="clear" w:pos="8743"/>
              <w:tab w:val="right" w:pos="9026" w:leader="dot"/>
            </w:tabs>
            <w:rPr/>
          </w:pPr>
          <w:hyperlink w:anchor="__RefHeading___Toc2140208_372815092">
            <w:r>
              <w:rPr>
                <w:webHidden/>
                <w:rStyle w:val="IndexLink"/>
                <w:rtl w:val="true"/>
              </w:rPr>
              <w:t>نتائج البحث</w:t>
            </w:r>
            <w:r>
              <w:rPr>
                <w:rStyle w:val="IndexLink"/>
                <w:rtl w:val="true"/>
              </w:rPr>
              <w:t>:</w:t>
              <w:tab/>
            </w:r>
            <w:r>
              <w:rPr>
                <w:rStyle w:val="IndexLink"/>
              </w:rPr>
              <w:t>58</w:t>
            </w:r>
          </w:hyperlink>
        </w:p>
        <w:p>
          <w:pPr>
            <w:pStyle w:val="Contents2"/>
            <w:tabs>
              <w:tab w:val="clear" w:pos="8743"/>
              <w:tab w:val="right" w:pos="9026" w:leader="dot"/>
            </w:tabs>
            <w:rPr/>
          </w:pPr>
          <w:hyperlink w:anchor="__RefHeading___Toc2140210_372815092">
            <w:r>
              <w:rPr>
                <w:webHidden/>
                <w:rStyle w:val="IndexLink"/>
                <w:rtl w:val="true"/>
              </w:rPr>
              <w:t>مصادر التحقيق</w:t>
            </w:r>
            <w:r>
              <w:rPr>
                <w:rStyle w:val="IndexLink"/>
                <w:rtl w:val="true"/>
              </w:rPr>
              <w:tab/>
            </w:r>
            <w:r>
              <w:rPr>
                <w:rStyle w:val="IndexLink"/>
              </w:rPr>
              <w:t>61</w:t>
            </w:r>
          </w:hyperlink>
        </w:p>
        <w:p>
          <w:pPr>
            <w:pStyle w:val="Contents2"/>
            <w:tabs>
              <w:tab w:val="clear" w:pos="8743"/>
              <w:tab w:val="right" w:pos="9026" w:leader="dot"/>
            </w:tabs>
            <w:rPr/>
          </w:pPr>
          <w:hyperlink w:anchor="__RefHeading___Toc2140212_372815092">
            <w:r>
              <w:rPr>
                <w:webHidden/>
                <w:rStyle w:val="IndexLink"/>
                <w:rtl w:val="true"/>
              </w:rPr>
              <w:t>فهرست الموضوعات</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0_52484"/>
      <w:bookmarkStart w:id="1" w:name="pg6950_52484"/>
      <w:bookmarkEnd w:id="1"/>
    </w:p>
    <w:p>
      <w:pPr>
        <w:pStyle w:val="Heading2"/>
        <w:numPr>
          <w:ilvl w:val="1"/>
          <w:numId w:val="1"/>
        </w:numPr>
        <w:rPr/>
      </w:pPr>
      <w:bookmarkStart w:id="2" w:name="pg6950_52484"/>
      <w:bookmarkStart w:id="3" w:name="__RefHeading___Toc214016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الإساءة الی القائم علیه السلام ليست أوّل قارورة كسرت في الإسلام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الإشكوري</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الإساءة الی القائم</w:t>
      </w:r>
    </w:p>
    <w:p>
      <w:pPr>
        <w:pStyle w:val="BookText"/>
        <w:rPr/>
      </w:pPr>
      <w:r>
        <w:rPr>
          <w:rFonts w:ascii="IRNazanin" w:hAnsi="IRNazanin" w:eastAsia="IRNazanin"/>
          <w:color w:val="111111"/>
          <w:sz w:val="28"/>
          <w:sz w:val="28"/>
          <w:szCs w:val="28"/>
          <w:rtl w:val="true"/>
          <w:lang w:bidi="fa-IR"/>
        </w:rPr>
        <w:t>السیّد أحمد الإشکوری</w:t>
      </w:r>
    </w:p>
    <w:p>
      <w:pPr>
        <w:pStyle w:val="BookText"/>
        <w:rPr/>
      </w:pPr>
      <w:r>
        <w:rPr>
          <w:rFonts w:ascii="IRNazanin" w:hAnsi="IRNazanin" w:eastAsia="IRNazanin"/>
          <w:color w:val="111111"/>
          <w:sz w:val="28"/>
          <w:sz w:val="28"/>
          <w:szCs w:val="28"/>
          <w:rtl w:val="true"/>
          <w:lang w:bidi="fa-IR"/>
        </w:rPr>
        <w:t>تقدیم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العداد</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جميع الحقوق محفوظة للمرکز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0164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الإساءة الی القائم علیه السلام</w:t>
      </w:r>
    </w:p>
    <w:p>
      <w:pPr>
        <w:pStyle w:val="BookText"/>
        <w:rPr/>
      </w:pPr>
      <w:r>
        <w:rPr>
          <w:rFonts w:ascii="Amiri" w:hAnsi="Amiri" w:eastAsia="Amiri" w:cs="Amiri"/>
          <w:color w:val="111111"/>
          <w:sz w:val="28"/>
          <w:sz w:val="28"/>
          <w:szCs w:val="28"/>
          <w:rtl w:val="true"/>
          <w:lang w:bidi="ar-SA"/>
        </w:rPr>
        <w:t>ليست أوّل قارورة كسرت في الإسلام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الإشكوري</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IRNazanin" w:hAnsi="IRNazanin" w:eastAsia="IRNazanin"/>
          <w:color w:val="111111"/>
          <w:sz w:val="28"/>
          <w:sz w:val="28"/>
          <w:szCs w:val="28"/>
          <w:rtl w:val="true"/>
          <w:lang w:bidi="fa-IR"/>
        </w:rPr>
        <w:t>جميع الحقوق محفوظة للمرکز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 w:name="pg6950_52486"/>
    </w:p>
    <w:p>
      <w:pPr>
        <w:pStyle w:val="Heading2"/>
        <w:numPr>
          <w:ilvl w:val="1"/>
          <w:numId w:val="1"/>
        </w:numPr>
        <w:rPr/>
      </w:pPr>
      <w:bookmarkStart w:id="8" w:name="__RefHeading___Toc2140166_372815092"/>
      <w:bookmarkStart w:id="9" w:name="_Toc3"/>
      <w:bookmarkEnd w:id="7"/>
      <w:bookmarkEnd w:id="8"/>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زلنا بحاجة إلى بذل الوسع لفهم العقائد الحقّة، ممَّا يستدعي تنوير وإضاءة الموقف علمياً وعملياً، وتحليل الصورة بشكلها الدقيق دفعاً للخرافة والبدعة، واحترازاً عن الجهل والمغالطة، وابتعاداً عن الاستغلال والتلاعب بالعقول، وتخوّفاً من الاختراق وتسييس العقائد، وزجّ الناس في المآرب والمقاصد الذاتية، أو تشويه الصورة فتصير مدعاة للطعن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أخطر الحروب الفكرية وأهمّها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مرَّت بأطوار شتّى، وعاشت طرفي النقيضين، واستغلت واُسيئ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استمرار الترشيد على صعيد الجوانح والجوارح، وعلى مستوى العقل والقلب والعمل، لتحيى النفس بتجاذبها مع معاملة الحقيقة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نقترب من واقع العقيدة ونستوحي فلسفة الإصلاح العالمي لا بدَّ لنا من التأكيد على عدَّة عناوين ونتكلَّم عنها على نحو الإجمال والإشارة، وللتفصيل مجاله الخاصّ</w:t>
      </w:r>
      <w:r>
        <w:rPr>
          <w:rFonts w:eastAsia="Amiri" w:cs="Amiri" w:ascii="Amiri" w:hAnsi="Amiri"/>
          <w:color w:val="111111"/>
          <w:sz w:val="28"/>
          <w:szCs w:val="28"/>
          <w:rtl w:val="true"/>
          <w:lang w:bidi="ar-SA"/>
        </w:rPr>
        <w:t xml:space="preserve">. </w:t>
      </w:r>
      <w:bookmarkStart w:id="10" w:name="pg6950_52487"/>
    </w:p>
    <w:p>
      <w:pPr>
        <w:pStyle w:val="Heading2"/>
        <w:numPr>
          <w:ilvl w:val="1"/>
          <w:numId w:val="1"/>
        </w:numPr>
        <w:rPr/>
      </w:pPr>
      <w:bookmarkStart w:id="11" w:name="__RefHeading___Toc2140168_372815092"/>
      <w:bookmarkStart w:id="12" w:name="_Toc4"/>
      <w:bookmarkEnd w:id="10"/>
      <w:bookmarkEnd w:id="11"/>
      <w:r>
        <w:rPr>
          <w:rtl w:val="true"/>
        </w:rPr>
        <w:t>الضرورة التكوينية لحكم الصالحين</w:t>
      </w:r>
      <w:r>
        <w:rPr>
          <w:rtl w:val="true"/>
        </w:rPr>
        <w:t>:</w:t>
      </w:r>
      <w:bookmarkEnd w:id="12"/>
    </w:p>
    <w:p>
      <w:pPr>
        <w:pStyle w:val="BookText"/>
        <w:rPr/>
      </w:pPr>
      <w:r>
        <w:rPr>
          <w:rFonts w:ascii="Amiri" w:hAnsi="Amiri" w:eastAsia="Amiri" w:cs="Amiri"/>
          <w:color w:val="111111"/>
          <w:sz w:val="28"/>
          <w:sz w:val="28"/>
          <w:szCs w:val="28"/>
          <w:rtl w:val="true"/>
          <w:lang w:bidi="ar-SA"/>
        </w:rPr>
        <w:t xml:space="preserve">إنَّ حكم الصالحين قانون تكويني، لأنَّ حكومات الظالمين على خلاف نواميس الخلقة، والمجتمع البدائي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متقدّماً تكنولوجياً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أنَّه يحكمه الظلم والظالم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تكامل وسار في طريق العدالة الاجتماعية على المستوى التنظيري والأيدلوجي اقترب إلى حكومة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يقتضيه النهج التكاملي والرقي بالمجتمع تقنيناً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هناك خير وكمال، والمجتمع بتكامله ونضجه العلمي والفطري يسير نحو الخير، من هنا لا بدَّ للحركة التكاملية من غاية جمالية يرتسمها ويسير نحوها وفق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قانون تكويني قبل أن يكون وعداً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الكتب السماوية كافّة من قبل أنَّ الصالحين سيرثون الأرض ويسكنون فيها، فإنَّ عالم الوجود والخلق محكوم بقانون النظم، ولا مجال للفوضى فيه مطلقاً، ووجود نظام الخلقة سيكون دليلاً على قبول نظام اجتماعي صحيح في مستقبل عالم الإنسانية، 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 الهدف النهائي هو حكومة عادلة راسخة الأسس ينتشر فيها الحقّ والأمن والاطمئنان، وتكون ذات تحصينات أسسها العبودية إلاَّ أنَّها عبادة لا يحتاج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وهدفها تربية البشر وتسامي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تتلاقح العبودية والربوبية، فهي خالية من شوائب الرذائل والأهواء، ولا يمكن أن تتحقَّق هذه الغاية إلاَّ بتشكيل حكومة </w:t>
      </w:r>
    </w:p>
    <w:p>
      <w:pPr>
        <w:pStyle w:val="BookText"/>
        <w:rPr/>
      </w:pPr>
      <w:r>
        <w:rPr>
          <w:rFonts w:ascii="Amiri" w:hAnsi="Amiri" w:eastAsia="Amiri" w:cs="Amiri"/>
          <w:color w:val="111111"/>
          <w:sz w:val="28"/>
          <w:sz w:val="28"/>
          <w:szCs w:val="28"/>
          <w:rtl w:val="true"/>
          <w:lang w:bidi="ar-SA"/>
        </w:rPr>
        <w:t>عادلة يقودها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جميع ما في الكون يكون صالحاً، لأنَّ الإنسان خُلق حرّاً ومجال الانحراف فيه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فكرة التعايش السلمي في ظلّ الحكومة المنشودة فلأهل الكتاب مكان واسع وحرّية كاملة وعلى جميع الآفاق، ثمّ إنَّ هذه الضرورة التكوينية قد نطقت بها الآثار النقلية أيضاً فقد ورد في رواية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 هذا أمر من أمر الله وسرّ من سرّ الله، مطوي عن عباد الله، فإيّاك والشكّ فيه، فإنَّ الشكّ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نستعرض جملة من الآيات القرآنية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 أنَّ هذه الآيات فيها دلالة واضحة على أنَّ مصير الكون سيكون بيد الصالحين، وأنَّ حركة المجتمع لا بدَّ أن تصل إلى هدفها وغايتها المرسومة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حكومة الصالحين وأن يسود العدل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وعد إلهي وسُنّة كونية وأمر فطري 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التي رواها السُنّة والشيعة ففيها من الدلالة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التزاماً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فكرة المنقذ العالمي والمصلح، وإن اختلفت المدارس الدينية في تحديد هويَّته هل هو المسيح أم غيره؟ هل هو موجود أم سيولد؟ هل هو مبهم أم معيَّن؟ وسنكتفي بالإشارة إليه في ضمن الروايات الإسلاميّة، فإنَّه في هذا المضمار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البشارة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أهل بيت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أولاد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من أولاد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يملؤ الأرض قسطاً وعدلاً،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له غيبة 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يعمّر عمراً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الإسلام يعمُّ العالم كلّه بعد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bookmarkStart w:id="13" w:name="pg6950_52490"/>
    </w:p>
    <w:p>
      <w:pPr>
        <w:pStyle w:val="BookText"/>
        <w:rPr/>
      </w:pPr>
      <w:bookmarkEnd w:id="1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الروايات الواردة حول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المهدي تجسيداً لعقيدة إسلاميّة ذات طابع ديني فحسب، بل هو عنوان لطموح اتَّجهت إليه البشرية، وصياغة لإلهام فطري، فالكلّ آمن في وجدانه بهذه الصياغة وهذا الطموح مع تنوّع عقائدهم ووسائلهم إلى الغيب، بل لم يقتصر الشعور بهذا اليوم الغيبي والمستقبل المنتظر على المؤمنين دينياً بالغيب، بل امتدَّ إلى غيرهم أيضاً، وانعكس حتَّى على أشدّ الأيدلوجيات بعداً عن ما وراء المادّة كالشيوعية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الإنسان اليوم قد سحق الفضائل والمنابع المعنوية، وإن كان قد سخَّر البحر والفضاء والصحراء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أنَّه لا يمكن إقرار العدالة بالقوَّة ولا يمكن تضمين سعادة البشرية بالإنجازات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للإنسانية من التحرّك نحو الإيمان والأخلاق لتنجي نفسها من دوامة الخطر بقيادة مصلح عالمي عظيم ذي خصال فريدة قادر على إدارة هذا المشروع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وللقضيّة المهدوية مؤشّرات إيجابية أخرى كإعطاء الأمل للمؤمنين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140170_372815092"/>
      <w:bookmarkStart w:id="15" w:name="_Toc5"/>
      <w:bookmarkEnd w:id="14"/>
      <w:r>
        <w:rPr>
          <w:rtl w:val="true"/>
        </w:rPr>
        <w:t>الإمكان والولادة والحياة</w:t>
      </w:r>
      <w:r>
        <w:rPr>
          <w:rtl w:val="true"/>
        </w:rPr>
        <w:t>:</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المسلمون بشكل عامّ قد سلَّموا بأصل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دلالة على أنَّ هذا الشخص مولود بالفعل، بل يمكن دعوى التواتر على أصل الفكرة، وممَّن ارتضى ذلك ابن </w:t>
      </w:r>
    </w:p>
    <w:p>
      <w:pPr>
        <w:pStyle w:val="BookText"/>
        <w:rPr/>
      </w:pPr>
      <w:r>
        <w:rPr>
          <w:rFonts w:ascii="Amiri" w:hAnsi="Amiri" w:eastAsia="Amiri" w:cs="Amiri"/>
          <w:color w:val="111111"/>
          <w:sz w:val="28"/>
          <w:sz w:val="28"/>
          <w:szCs w:val="28"/>
          <w:rtl w:val="true"/>
          <w:lang w:bidi="ar-SA"/>
        </w:rPr>
        <w:t>تيمية</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عبد العزيز بن باز</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روى عشرون راوياً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كعثمان بن عفّان، وعلي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وطلحة بن عبيد الله، وعبد الرحمن بن عوف، وقرّة بن إياس، وعبد الله بن الحارث، وأبو هريرة، وحذيفة بن اليمان، وجابر بن عبد الله، وأبو أمامة، وجابر بن ماجد، وعبد الله بن عمر، وأنس بن مالك، وعمران بن الحصين، واُمّ سَلَمة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أقوال الصحابة ففي الصحاح والمسانيد والسنن، كسنن أبي داود</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وسنن الترمذي</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والداني</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يعلى</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والبزّاز</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الحاكم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ومعجم الطبراني الكبير</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والأوسط</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نعيم في أربعينه</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رسائل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أبي نعيم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 الهيثمي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والشوكاني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وإدريس العراقي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والمنكر يعدُّ شاذّاً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بانياً على نظريَّته في علم الاجتماع مع كونه معترفاً لبعض الآثار، وأبي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رشيد رضا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اُلّفت كتب للردّ على ابن خلدون، كأبي العبّاس بن عبد المؤمن المغربي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 المكنون في الردّ على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أحمد حمد صدّيق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بعض أهل السُنّة ردّاً لمزعمة ابن خلدون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المشكلة ليست مشكلة حديث أو حديثين أو رواية أو روايتين، إنَّها مجموعة من الأحاديث والآثار تبلغ الثمانين تقريباً اجتمع على تناقلها مئات الرواة وأكثر من صاحب كتاب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فلماذا نردّ كلّ هذه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فاسدة؟ لو صحَّ هذا الحكم لانهار الدين، ثمّ إنّي لا أجد خلافاً حول ظهور المهدي أو حول حاجة العالم إليه، وإنَّما الخلاف حول من هو؟ حسني أو حسيني؟ سيكون في آخر الزمان أو موجود الآن؟ ولا عبرة بالمدَّعين الكاذبين؟ فليس لهم اعتبار، وإذا نظرنا إلى ظهور المهدي نظرة مجرَّدة فإنَّنا لا نجد حرجاً من قبولها وتصديقها، أو على الأقلّ عدم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الآيات القرآنية الدالّة على المهدي كشواهد التنزيل للحسكاني حنفي، وإلزام الناصب للحائري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ولادته فيمكن اتّباعها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المتواتر والمشهور بين العامّة والخاصّة،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يدلُّ على أنَّ العترة الطاهرة مستمرّة مع الكتاب، وهذا الاستمرار لا يمكن تصوّره إلاَّ بافتراض أنَّ الإمام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خليفة المتَّفق عليه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ظاهراً حتَّى يمضي اثنا عشر خليفة 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500/9</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كعدَّة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498/7</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عثمان العمري، عن أبيه،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روى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على خلقه إلى يوم القيامة، وأنَّ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الحجّة والإمام بعدك؟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فالرواية مطلقة ولسانها عامّ شامل لكلّ الأفراد في جميع الأزمنة، وتدلُّ على أنَّ الإمام موجود في كلّ عصر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قد ثبتت صحَّته من كتب العامّة والخاصّة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ورؤية بعض الشيعة للإمام، والذي يقرأ التاريخ ويقرأ الروايات يفهم أنَّ الشيعة من الزمان الأوّل كانوا يتداولون فكرة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يغيب، وقضيّة السفراء وخروج التوقيعات بواسطتهم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كاملة عاشت تجربة طولها سبعين عاماً هي تجربة النوّاب الأربعة وهذه التجربة تمتاز بوحدة فكر، وحدة خطاب، وحدة انقياد، وحدة تسليم لاسيّما من العلماء الذي شأنهم التشكيك فقد وقفوا خاضعين أمام هذه التجربة ولم يكذّبوها ولا شكَّكوا فيها، ولمزيد من الوجوه لإثبات الولادة نحيل القارئ إلى </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مكتفياً بالعناوين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التاسع من صلب الحسين، وتحديده بالأسماء والعدد والصفات والشخص، وبشائر الإمام العسكري بولادة المهدي، وتعمّده تكثير العقيقة عن ابنه، وشهادة القابلة واُمّ الإمام، وهجوم السلطة على دار العسكري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تعميره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لم يحصل لغيره من الأنام حتَّى تنكره الأفهام أو يعترض فيه الشكّ والأوهام، وأنَّ السؤال عن إمكان طول العمر يعرب عن عدم التعرّف على سعة قدرة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حياته وغيبته برعاية الله فما المشكلة في امتداد عمره؟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الطويلة إمَّا ممكنة في حدّ ذاتها، أو ممتنعة، والثاني لم يقل به أحد حتَّى الحسّيين، فتعيَّن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حصل للأنبياء والأولياء والأشقياء ولكثير من الأمم كتعمير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وكعمر آدم أبي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وعاش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وكذا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المعمّرين الدجّال على ما قيل، والخضر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6" w:name="pg6950_52497"/>
    </w:p>
    <w:p>
      <w:pPr>
        <w:pStyle w:val="BookText"/>
        <w:rPr/>
      </w:pPr>
      <w:bookmarkEnd w:id="16"/>
      <w:r>
        <w:rPr>
          <w:rFonts w:ascii="Amiri" w:hAnsi="Amiri" w:eastAsia="Amiri" w:cs="Amiri"/>
          <w:color w:val="111111"/>
          <w:sz w:val="28"/>
          <w:sz w:val="28"/>
          <w:szCs w:val="28"/>
          <w:rtl w:val="true"/>
          <w:lang w:bidi="ar-SA"/>
        </w:rPr>
        <w:t>بل هناك مجموعة من المشتركات بين ظاهرة الإمام والأنبياء في القرآن منها استتار الولادة كموسى، ومنها طول عمره كنوح والخضر، ومنها الاختلاف في بقاءه كعيسى، ومنها إمامته المبكرة كيحيى، ومنها الغيبة كالخضر وذي القرنين، ومنها عموم ملكه كداود وذي القرنين وسليمان بناءاً على كون ذي القرنين نبيّاً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140172_372815092"/>
      <w:bookmarkStart w:id="18" w:name="_Toc6"/>
      <w:bookmarkEnd w:id="17"/>
      <w:r>
        <w:rPr>
          <w:rtl w:val="true"/>
        </w:rPr>
        <w:t>فائدة الإمام مع الغيبة</w:t>
      </w:r>
      <w:r>
        <w:rPr>
          <w:rtl w:val="true"/>
        </w:rPr>
        <w:t>:</w:t>
      </w:r>
      <w:bookmarkEnd w:id="18"/>
    </w:p>
    <w:p>
      <w:pPr>
        <w:pStyle w:val="BookText"/>
        <w:rPr/>
      </w:pPr>
      <w:r>
        <w:rPr>
          <w:rFonts w:ascii="Amiri" w:hAnsi="Amiri" w:eastAsia="Amiri" w:cs="Amiri"/>
          <w:color w:val="111111"/>
          <w:sz w:val="28"/>
          <w:sz w:val="28"/>
          <w:szCs w:val="28"/>
          <w:rtl w:val="true"/>
          <w:lang w:bidi="ar-SA"/>
        </w:rPr>
        <w:t>الهدف من تعيين الإمام لا ينحصر في إدارة الأمور السياسية في المجتمع، والحفظ الظاهري للدين وتبيين أحكام الشريعة بالمباشرة فقط، بل هو مضافاً إلى ذلك واسطة الفيض واللطف الإلهي، وهو العلَّة الغائية العظمى في نظام الكون، وقد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التوقيع الصادر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الوجود والهداية وهو العلَّة الغائية لإيجاد الخلق، وبه تكشف البلايا عنهم، فلولاه لاستحقَّ الخلق بقبائح أعمالهم أنواع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فإيصال العباد إلى </w:t>
      </w:r>
    </w:p>
    <w:p>
      <w:pPr>
        <w:pStyle w:val="BookText"/>
        <w:rPr/>
      </w:pPr>
      <w:r>
        <w:rPr>
          <w:rFonts w:ascii="Amiri" w:hAnsi="Amiri" w:eastAsia="Amiri" w:cs="Amiri"/>
          <w:color w:val="111111"/>
          <w:sz w:val="28"/>
          <w:sz w:val="28"/>
          <w:szCs w:val="28"/>
          <w:rtl w:val="true"/>
          <w:lang w:bidi="ar-SA"/>
        </w:rPr>
        <w:t>المطلوب والغاية التي عيّنت لهم في علم الله تعالى وهي الهداية والولاية التكوينية بإذن الله تعالى،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ظهوره وإن كان لطفاً، ولكن الغاية التي من أجلها وجد أيضاً ضرورية، ولم يفترض في صاحب الزمان إقامة الحكومة بنحو الإعجاز وإنَّما لا بدَّ من تكوينها على يده وفقاً لسير الأحداث بشكلها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إنَّ عدم علمنا بفائدة وجوده في زمان غيبته لا يدلُّ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الغيبة لا تلازم عدم التصرّف في الأمر مطلقاً، بل قد دلَّت الروايات على وجه الانتفاع في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الانتفاع بي في غيبتي فكالانتفاع بالشمس إذا غيَّبتها عن الأبصار السحاب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 يدفع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عن أهلي وشيعتي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9" w:name="pg6950_52499"/>
    </w:p>
    <w:p>
      <w:pPr>
        <w:pStyle w:val="Heading2"/>
        <w:numPr>
          <w:ilvl w:val="1"/>
          <w:numId w:val="1"/>
        </w:numPr>
        <w:rPr/>
      </w:pPr>
      <w:bookmarkStart w:id="20" w:name="__RefHeading___Toc2140174_372815092"/>
      <w:bookmarkStart w:id="21" w:name="_Toc7"/>
      <w:bookmarkEnd w:id="19"/>
      <w:bookmarkEnd w:id="20"/>
      <w:r>
        <w:rPr>
          <w:rtl w:val="true"/>
        </w:rPr>
        <w:t xml:space="preserve">مقامه </w:t>
      </w:r>
      <w:r>
        <w:rPr>
          <w:rtl w:val="true"/>
        </w:rPr>
        <w:t>(</w:t>
      </w:r>
      <w:r>
        <w:rPr>
          <w:rtl w:val="true"/>
        </w:rPr>
        <w:t>عليه السلام</w:t>
      </w:r>
      <w:r>
        <w:rPr>
          <w:rtl w:val="true"/>
        </w:rPr>
        <w:t>):</w:t>
      </w:r>
      <w:bookmarkEnd w:id="21"/>
    </w:p>
    <w:p>
      <w:pPr>
        <w:pStyle w:val="BookText"/>
        <w:rPr/>
      </w:pPr>
      <w:r>
        <w:rPr>
          <w:rFonts w:ascii="Amiri" w:hAnsi="Amiri" w:eastAsia="Amiri" w:cs="Amiri"/>
          <w:color w:val="111111"/>
          <w:sz w:val="28"/>
          <w:sz w:val="28"/>
          <w:szCs w:val="28"/>
          <w:rtl w:val="true"/>
          <w:lang w:bidi="ar-SA"/>
        </w:rPr>
        <w:t>أمَّا مقامه فيمكن وبنحو الاختصار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عيسى بن مريم فيقول أميرهم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من الله لهذه الأمّة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نزل فيكم ابن مريم وإمامكم منكم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)_»(</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اتَّفق العامّة والخاصّة، مع الالتفات إلى قضيّة إمامة الجماعة بناءً على أنَّ بيان الرواية لهذه الواقعة لها مدلول آخر، وهو أنَّ النبيّ يصلّي خلفه، فليست الرواية في صدد الإخبار عن واقعة ستتحقَّق من دون أن يكون لها مدلول التزامي، بل هي في صدد بيان أنَّ النبيّ يصلّي خلفه، ممَّا يعني أنَّ الإمام هو الأفضل، خصوصاً إذا علمنا أنَّها تكون للأفضل،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من أولي العزم من الرسل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تمنّي بعض الأنبياء مقام ومنزلة المهدي، أو أن يكون هو أو من ذرّيته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ستصيبهم فتنة عظيمة من بعد أحمد حتَّى يعبد بعضهم بعضاً ويبرأ بعضهم من بعض، حتَّى يصيبهم النكال، وحتَّى يجحدوا ما أمرهم به نبيّهم، ثمّ يصلح الله أمرهم برجل من ذرّية أحمد،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 من ذرّيتي،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من ذرّية أحمد وعترته، أصلح به أمر الناس، وهو المهدي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الإمام خليفة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وعلى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الخلافة من المفاهيم الإضافية المتقوّمة بالخليفة والمستخلف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تختلف شؤون الخلافة ومرتبة الخليفة باختلاف مقام من يستخلف عنه، فإذا كان المستخلف </w:t>
      </w:r>
    </w:p>
    <w:p>
      <w:pPr>
        <w:pStyle w:val="BookText"/>
        <w:rPr/>
      </w:pPr>
      <w:r>
        <w:rPr>
          <w:rFonts w:ascii="Amiri" w:hAnsi="Amiri" w:eastAsia="Amiri" w:cs="Amiri"/>
          <w:color w:val="111111"/>
          <w:sz w:val="28"/>
          <w:sz w:val="28"/>
          <w:szCs w:val="28"/>
          <w:rtl w:val="true"/>
          <w:lang w:bidi="ar-SA"/>
        </w:rPr>
        <w:t>عنه كلّ كمال بما لا يتناهى وهو الذي ليس لعظمته حدّ محدود فيكون الذي استخلفه الله لنفسه وأقامه مقامه وأنابه منابه أعلى شأناً وأجلُّ قدراً من أن تنال العقول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إضافة الخليفة إلى اسم الله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لجميع 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اسم الله موضع لجميع أسماء الله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مقامه يعلم من مقام أصحابه، وقد ورد الأثر في بيان صفات ومقام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هذه الآية في المفتقدين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أحاطوا بما بين الخافقين، فليس من شيء إلاَّ وهو مطيع لهم حتَّى سباع الأرض وسباع الطير، يطلب رضاهم في كلّ شيء، حتَّى تفخر الأرض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اليوم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فاعتمدت على يدي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هذا الأمر وبي قوَّة،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عدوَّكم يقتل بعضهم بعضاً وأنتم آمنون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قد كان ذلك اُعطي الرجل منكم قوَّة أربعين رجلاً وجُعلت قلوبكم كزبر الحديد، لو قذف بها الجبال لقلعتها، وكنتم قوّام الأرض وخزّانها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قائمنا أذهب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أهل الكهف والخضر وإلياس من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في البحر وإلياس في البرّ، يجتمعان كلّ ليلة عند الردم الذي بناه ذو القرنين بين الناس وبين يأجوج ومأجوج، ويحجّان ويعتمران كلّ عام، ويشربان من زمزم شربة تكفيهما إلى قابل</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طعامهما ذلك</w:t>
      </w:r>
      <w:r>
        <w:rPr>
          <w:rFonts w:eastAsia="Amiri" w:cs="Amiri" w:ascii="Amiri" w:hAnsi="Amiri"/>
          <w:color w:val="111111"/>
          <w:sz w:val="28"/>
          <w:szCs w:val="28"/>
          <w:rtl w:val="true"/>
          <w:lang w:bidi="ar-SA"/>
        </w:rPr>
        <w:t xml:space="preserve">. </w:t>
      </w:r>
      <w:bookmarkStart w:id="22" w:name="pg6950_52503"/>
    </w:p>
    <w:p>
      <w:pPr>
        <w:pStyle w:val="BookText"/>
        <w:rPr/>
      </w:pPr>
      <w:bookmarkEnd w:id="2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تحدّثه الملائكة</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قد أخَذَ الميثاق من الخلق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ترافقه غمامة تظلّه وفيها ملك</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معجزات الأنبياء تظهر على يده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2140176_372815092"/>
      <w:bookmarkStart w:id="24" w:name="_Toc8"/>
      <w:bookmarkEnd w:id="23"/>
      <w:r>
        <w:rPr>
          <w:rtl w:val="true"/>
        </w:rPr>
        <w:t>الإمامة في السنّ المبكر</w:t>
      </w:r>
      <w:r>
        <w:rPr>
          <w:rtl w:val="true"/>
        </w:rPr>
        <w:t>:</w:t>
      </w:r>
      <w:bookmarkEnd w:id="24"/>
    </w:p>
    <w:p>
      <w:pPr>
        <w:pStyle w:val="BookText"/>
        <w:rPr/>
      </w:pPr>
      <w:r>
        <w:rPr>
          <w:rFonts w:ascii="Amiri" w:hAnsi="Amiri" w:eastAsia="Amiri" w:cs="Amiri"/>
          <w:color w:val="111111"/>
          <w:sz w:val="28"/>
          <w:sz w:val="28"/>
          <w:szCs w:val="28"/>
          <w:rtl w:val="true"/>
          <w:lang w:bidi="ar-SA"/>
        </w:rPr>
        <w:t>أمَّا مسألة السنّ المبكر فقد نصَّ القرآن على ثبوت النبوّة للسنّ المبكر،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 كلّ من الإمام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الثمانية والسبعة،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السادسة أو الثامنة، وأمَّا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 الخامسة نال درجة الإمامة</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2140178_372815092"/>
      <w:bookmarkStart w:id="26" w:name="_Toc9"/>
      <w:bookmarkEnd w:id="25"/>
      <w:r>
        <w:rPr>
          <w:rtl w:val="true"/>
        </w:rPr>
        <w:t>الغيبتان وخصائصهما</w:t>
      </w:r>
      <w:r>
        <w:rPr>
          <w:rtl w:val="true"/>
        </w:rPr>
        <w:t>:</w:t>
      </w:r>
      <w:bookmarkEnd w:id="26"/>
    </w:p>
    <w:p>
      <w:pPr>
        <w:pStyle w:val="BookText"/>
        <w:rPr/>
      </w:pPr>
      <w:r>
        <w:rPr>
          <w:rFonts w:ascii="Amiri" w:hAnsi="Amiri" w:eastAsia="Amiri" w:cs="Amiri"/>
          <w:color w:val="111111"/>
          <w:sz w:val="28"/>
          <w:sz w:val="28"/>
          <w:szCs w:val="28"/>
          <w:rtl w:val="true"/>
          <w:lang w:bidi="ar-SA"/>
        </w:rPr>
        <w:t xml:space="preserve">بداية الغيبة الصغرى من مولده، بعدما كان المقصود من الغيبة هو غيبة الهويّة،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الولادة قد غيّبت هويَّته، لا من ابتداء إمامته إلى حين وفاة السفير الأخير، وأمَّا الكبرى فبعد الأولى إلى ظهوره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الغيبة التي هي سُنّة الأنبياء، فقد 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الغيبة الأولى لا يعلم بمكانه فيها إلاَّ خاصّة شيعته، والأخرى لا يعلم بمكانه فيها إلاَّ خاصّة مواليه في دينه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منها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 أحد من وليّ ولا غيره إلاَّ المولى الذي يلى أمره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ونشير إلى فوائد من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كلّ ما ورد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عبارة عن عملية تعبئة نفسية للأمّة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المراد من الرجوع إلى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الفارق بين الغيبتين بلحاظ الإمام،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ثمّ ظهر، ثمّ غاب، بل لم يظهر الإمام في كلتا الغيبتين وفي تمام الفترتين، وهكذا الفاصل بين الفترتين، كما ليس المراد بلحاظ قصر الزمان وطوله، بل المراد طبيعة ارتباط الإمام مع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الصغرى عن طريق السفراء الأربعة، أمَّا في الكبرى لم يكن هناك سفراء، فكان الاتّصال بالإمام في أيّام الغيبة الصغرى متيسّراً بنوع ما حتَّى لغير نوّابه الخاصّين، بخلاف الغيبة الكبرى فهي غير متيسّرة، ولعلَّ الغيبة الصغرى وقعت على ما لها من نوع ارتباط خاصّ بين نوّابه الخاصّين وبين الشيعة تمهيداً لوقوع الغيبة الكبرى، مضافاً إلى أنَّ فائدة الغيبة الصغرى إحراز وجود الإمام وتولّده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المفكّر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لوحظ أنَّ هذه الغيبة إذا جاءت مفاجئة حقَّقت صدمة كبيرة للقواعد الشعبية للإمامة في الأمّة الإسلاميّة، لأنَّ هذه القواعد كانت معتادة على </w:t>
      </w:r>
      <w:bookmarkStart w:id="27" w:name="pg6950_52506"/>
    </w:p>
    <w:p>
      <w:pPr>
        <w:pStyle w:val="BookText"/>
        <w:rPr/>
      </w:pPr>
      <w:bookmarkEnd w:id="27"/>
      <w:r>
        <w:rPr>
          <w:rFonts w:ascii="Amiri" w:hAnsi="Amiri" w:eastAsia="Amiri" w:cs="Amiri"/>
          <w:color w:val="111111"/>
          <w:sz w:val="28"/>
          <w:sz w:val="28"/>
          <w:szCs w:val="28"/>
          <w:rtl w:val="true"/>
          <w:lang w:bidi="ar-SA"/>
        </w:rPr>
        <w:t>الاتّصال بالإمام في كلّ عصر، والتفاعل معه والرجوع إليه في حلّ المشاكل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 الإمام عن شيعته فجأة وشعروا بالانقطاع عن قيادتهم الروحية والفكرية، سبَّب هذه الغيبة المفاجئة الإحساس بفراغ دفعي هائل قد يعصف بالكيان كلّه ويشتّت شمله، فكان لا بدَّ من تمهيد لهذه الغيبة لكي تألفها هذه القواعد بالتدريج، وتكيّف نفسها شيئاً فشيئاً على أساسها، وكان هذا التمهيد هو الغيبة الصغرى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فتخلَّص أنَّ أسباب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عليه، والامتحان والاختبار، وعدم بيعته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بطنه وعنقه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المنتظر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أبوه مات ولا عقب له،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قبل وفاة أبيه بسنتين،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2140180_372815092"/>
      <w:bookmarkStart w:id="29" w:name="_Toc10"/>
      <w:bookmarkEnd w:id="28"/>
      <w:r>
        <w:rPr>
          <w:rtl w:val="true"/>
        </w:rPr>
        <w:t xml:space="preserve">الغيبة من أسرار الله </w:t>
      </w:r>
      <w:r>
        <w:rPr>
          <w:rtl w:val="true"/>
        </w:rPr>
        <w:t>(</w:t>
      </w:r>
      <w:r>
        <w:rPr>
          <w:rtl w:val="true"/>
        </w:rPr>
        <w:t>عزّ وجلّ</w:t>
      </w:r>
      <w:r>
        <w:rPr>
          <w:rtl w:val="true"/>
        </w:rPr>
        <w:t>):</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لا بدَّ منها، يرتاب فيها </w:t>
      </w:r>
      <w:bookmarkStart w:id="30" w:name="pg6950_52507"/>
    </w:p>
    <w:p>
      <w:pPr>
        <w:pStyle w:val="BookText"/>
        <w:rPr/>
      </w:pPr>
      <w:bookmarkEnd w:id="30"/>
      <w:r>
        <w:rPr>
          <w:rFonts w:ascii="Amiri" w:hAnsi="Amiri" w:eastAsia="Amiri" w:cs="Amiri"/>
          <w:color w:val="111111"/>
          <w:sz w:val="28"/>
          <w:sz w:val="28"/>
          <w:szCs w:val="28"/>
          <w:rtl w:val="true"/>
          <w:lang w:bidi="ar-SA"/>
        </w:rPr>
        <w:t>كلّ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الحكمة في غيبته وجه الحكمة في غيبات من تقدَّم من حجج الله تعالى ذكره، إنَّ وجه الحكمة في ذلك لا ينكشف إلاَّ بعد ظهوره، كما لم ينكشف وجه الحكمة لما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2140182_372815092"/>
      <w:bookmarkStart w:id="32" w:name="_Toc11"/>
      <w:bookmarkEnd w:id="31"/>
      <w:r>
        <w:rPr>
          <w:rtl w:val="true"/>
        </w:rPr>
        <w:t>خصائص الغيبة الصغرى</w:t>
      </w:r>
      <w:r>
        <w:rPr>
          <w:rtl w:val="true"/>
        </w:rPr>
        <w:t>:</w:t>
      </w:r>
      <w:bookmarkEnd w:id="3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ظاهرة النوّاب الأربعة المعروفين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التوقيعات الصادرة منه، وكان خطّه في الكتابة معروفاً مع اختلاف النوّاب وأذواقهم، فإنَّ الخطّ جاء على نسق واحد وبأسلوب خاصّ، عند ملاحظة المجموع يُذعن الخبير كونه صادراً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كثير من التوقيعات مقروناً بالإعجاز والإخبار عن المغيّبات يصدّق بها صدورها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عدد الأخبار سبعة وخمسين خبراً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صدر من النوّاب لم يكن عن اجتهاد، وإنَّما كانوا وسائط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bookmarkStart w:id="33" w:name="pg6950_52508"/>
    </w:p>
    <w:p>
      <w:pPr>
        <w:pStyle w:val="Heading2"/>
        <w:numPr>
          <w:ilvl w:val="1"/>
          <w:numId w:val="1"/>
        </w:numPr>
        <w:rPr/>
      </w:pPr>
      <w:bookmarkStart w:id="34" w:name="__RefHeading___Toc2140184_372815092"/>
      <w:bookmarkStart w:id="35" w:name="_Toc12"/>
      <w:bookmarkEnd w:id="33"/>
      <w:bookmarkEnd w:id="34"/>
      <w:r>
        <w:rPr>
          <w:rtl w:val="true"/>
        </w:rPr>
        <w:t>خصائص الغيبة الكبرى</w:t>
      </w:r>
      <w:r>
        <w:rPr>
          <w:rtl w:val="true"/>
        </w:rPr>
        <w:t>:</w:t>
      </w:r>
      <w:bookmarkEnd w:id="35"/>
    </w:p>
    <w:p>
      <w:pPr>
        <w:pStyle w:val="BookText"/>
        <w:rPr/>
      </w:pPr>
      <w:r>
        <w:rPr>
          <w:rFonts w:ascii="Amiri" w:hAnsi="Amiri" w:eastAsia="Amiri" w:cs="Amiri"/>
          <w:color w:val="111111"/>
          <w:sz w:val="28"/>
          <w:sz w:val="28"/>
          <w:szCs w:val="28"/>
          <w:rtl w:val="true"/>
          <w:lang w:bidi="ar-SA"/>
        </w:rPr>
        <w:t>قال الصدوق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شيعتي من يدَّعي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بدعوى المشاهدة هي المشاهدة على نحو ما وقع للسفراء الأربعة، وبهذا الوجه ونحوه كما سيأتي لا تنافي بين هذا التوقيع وبين الوقائع الكثيرة المذكورة في كتب عديدة كالبحار والنجم الثاقب ودار السلام للعراقي وغيرها الدالّة على وقوع المشاهدة في زمان الغيبة الكبرى لكثير من المؤمنين الذين فازوا بشرف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انقطاع النيابة الخاصّة في الغيبة الثانية أنَّ </w:t>
      </w:r>
      <w:bookmarkStart w:id="36" w:name="pg6950_52509"/>
    </w:p>
    <w:p>
      <w:pPr>
        <w:pStyle w:val="BookText"/>
        <w:rPr/>
      </w:pPr>
      <w:bookmarkEnd w:id="36"/>
      <w:r>
        <w:rPr>
          <w:rFonts w:ascii="Amiri" w:hAnsi="Amiri" w:eastAsia="Amiri" w:cs="Amiri"/>
          <w:color w:val="111111"/>
          <w:sz w:val="28"/>
          <w:sz w:val="28"/>
          <w:szCs w:val="28"/>
          <w:rtl w:val="true"/>
          <w:lang w:bidi="ar-SA"/>
        </w:rPr>
        <w:t xml:space="preserve">هذه المسألة عامّة البلوى، ولم ينقل أحد من علمائنا من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بخبر واحد يدلُّ تصريحاً أو تلويحاً أو إشعاراً على وقوع النيابة الخاصّة في الغيبة الكبرى، مع دقَّة العلماء وكثرة التتبّع واهتمامهم بنقل الأحاديث وتدوينها وروايتها، حتَّى ضبطوا الأخبار المشتملة على المطالب الجزئية، فعليه فإنَّ من ضروريات مذهب الإمامية كذب مدَّعي 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المعتمد في زمن الغيبة هم العلماء العاملون الحافظون لحدود الله كما في التوقيع الصادر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140186_372815092"/>
      <w:bookmarkStart w:id="38" w:name="_Toc13"/>
      <w:bookmarkEnd w:id="37"/>
      <w:r>
        <w:rPr>
          <w:rtl w:val="true"/>
        </w:rPr>
        <w:t>حقيقة الغيبة</w:t>
      </w:r>
      <w:r>
        <w:rPr>
          <w:rtl w:val="true"/>
        </w:rPr>
        <w:t>:</w:t>
      </w:r>
      <w:bookmarkEnd w:id="38"/>
    </w:p>
    <w:p>
      <w:pPr>
        <w:pStyle w:val="BookText"/>
        <w:rPr/>
      </w:pPr>
      <w:r>
        <w:rPr>
          <w:rFonts w:ascii="Amiri" w:hAnsi="Amiri" w:eastAsia="Amiri" w:cs="Amiri"/>
          <w:color w:val="111111"/>
          <w:sz w:val="28"/>
          <w:sz w:val="28"/>
          <w:szCs w:val="28"/>
          <w:rtl w:val="true"/>
          <w:lang w:bidi="ar-SA"/>
        </w:rPr>
        <w:t>المستفاد من الأدلَّة أنَّ الإمام ليس له غيبة بنحو غياب الشخص،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 بدَّ له أن يعيش بمعزل عن البشر، وأنَّه ممنوع الرؤيا، وأنَّ نمط حياته يختلف عن سائر البشر، بل الظاهر أنَّ الإمام بشخصه موجود في المجتمع، ويحضر المجالس، ونذكر هنا روايتين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القائم سُنّة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 ذلك هذه الأمّة أشباه الخنازير، إنَّ إخوة يوسف كانوا أسباطاً أولاد أنبياء، تاجروا يوسف وبايعوه وهم إخوته وهو أخوهم، فلم يعرفوه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يُوسُفُ وَهذا </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يريد أن يستر حجَّته عنهم، لقد كان يوسف يوماً ملك مصر، وكان بينه وبين ولده مسيرة ثمانية عشر يوماً، فلو أراد الله تبارك وتعالى أن يعرّفه مكانه لقدر على ذلك، والله لقد سار يعقوب وولده عند البشارة في تسعة أيّام إلى مصر،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بحجَّته ما فعل بيوسف أن يكون يسير فيما بينهم ويمشي في أسواقهم ويطأ بسطهم وهم لا يعرفونه،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يعرّفهم 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فالمراد من الغيبة هو غياب الهويّة، أي لا يعلمون أنَّه هو المهدي مع أنَّه موجود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متزوّج أم لا؟ وهل له ذرّية أم 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وإن ورد في بعض الأخبار والأدعية ما ربَّما يستفاد منه الزواج وله ذرّية، لكن بعد الإغماض عن سندها ليس في هذه الآثار ما يظهر منها أنَّ لهذه الذرّية مزيّة تؤثّر في المسار العامّ </w:t>
      </w:r>
      <w:bookmarkStart w:id="39" w:name="pg6950_52511"/>
    </w:p>
    <w:p>
      <w:pPr>
        <w:pStyle w:val="BookText"/>
        <w:rPr/>
      </w:pPr>
      <w:bookmarkEnd w:id="39"/>
      <w:r>
        <w:rPr>
          <w:rFonts w:ascii="Amiri" w:hAnsi="Amiri" w:eastAsia="Amiri" w:cs="Amiri"/>
          <w:color w:val="111111"/>
          <w:sz w:val="28"/>
          <w:sz w:val="28"/>
          <w:szCs w:val="28"/>
          <w:rtl w:val="true"/>
          <w:lang w:bidi="ar-SA"/>
        </w:rPr>
        <w:t>الشيعي، نعم قد يتصيَّد البعض نحو تكريم لهذه الذرّية وسعى في تطبيقها على الخارج، إلاَّ أنَّ هذا منافٍ لما هو المتَّفق عليه عند علمائنا من سدّ باب النيابة والوكالة الخاصّة والارتباط الخاصّ به، مضافاً إلى انحراف ظاهرة التطبيق</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140188_372815092"/>
      <w:bookmarkStart w:id="41" w:name="_Toc14"/>
      <w:bookmarkEnd w:id="40"/>
      <w:r>
        <w:rPr>
          <w:rtl w:val="true"/>
        </w:rPr>
        <w:t>علامات الظهور</w:t>
      </w:r>
      <w:r>
        <w:rPr>
          <w:rtl w:val="true"/>
        </w:rPr>
        <w:t>:</w:t>
      </w:r>
      <w:bookmarkEnd w:id="41"/>
    </w:p>
    <w:p>
      <w:pPr>
        <w:pStyle w:val="BookText"/>
        <w:rPr/>
      </w:pPr>
      <w:r>
        <w:rPr>
          <w:rFonts w:ascii="Amiri" w:hAnsi="Amiri" w:eastAsia="Amiri" w:cs="Amiri"/>
          <w:color w:val="111111"/>
          <w:sz w:val="28"/>
          <w:sz w:val="28"/>
          <w:szCs w:val="28"/>
          <w:rtl w:val="true"/>
          <w:lang w:bidi="ar-SA"/>
        </w:rPr>
        <w:t>الظاهر أنَّ المقصود من العلامات المذكورة في الروايات الإشارة إلى حتمية وجود الإمام، ولابدّية خروجه، وبيان أهداف نهضته، وإفلاس المدارس الفكرية عن تحقيق الأهداف المنشودة، والتأكيد على فكرة الانتظار، فهو مستحبّ نفسي لا غيري؛ وذلك لما ورد من إمكان نسخ جل هذه العلامات، وأنَّ هذه العلامات لم تتحقَّق دفعة واحدة، بل بعضها تحقَّق في زماننا، فيلزم لغوية العلامة في زماننا، فلا ينبغي حصر العلامة بفائدة واحدة، إذ مع الانحصار عند تحقّق العلامة تفقد الأثر من حيث هي علامة ذا أثر منحصر</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لو كان للعلامة أكثر من فائدة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فحتَّى مع تحقّقها تبقى ذات فائدة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العلامات فيها من السعة والكلّية حتَّى يمكن تطبيق بعضها في جميع الأزمنة لتحصيل الهدف، وهو الخوف والرجاء، وللتنظير الاستعانة بالعلامات القرآنية المحدّثة </w:t>
      </w:r>
    </w:p>
    <w:p>
      <w:pPr>
        <w:pStyle w:val="BookText"/>
        <w:rPr/>
      </w:pPr>
      <w:r>
        <w:rPr>
          <w:rFonts w:ascii="Amiri" w:hAnsi="Amiri" w:eastAsia="Amiri" w:cs="Amiri"/>
          <w:color w:val="111111"/>
          <w:sz w:val="28"/>
          <w:sz w:val="28"/>
          <w:szCs w:val="28"/>
          <w:rtl w:val="true"/>
          <w:lang w:bidi="ar-SA"/>
        </w:rPr>
        <w:t xml:space="preserve">عن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سورة التكوير والانفطار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يتعقَّل لها أثر، العلاقة الموضوعية إنَّما هي للتنبيه على قيام الساعة، أو نظير البشائر المذكورة في الكتب السماوية لظهور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نشير إلى بعض تلك 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انتشار الظلم، وشيوع الجور، وانعدام الأمن والاستقرار، وشيوع الحرب والخسوف والكسوف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يروي أبو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بكم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يولد في الفتنة والجور من لا يعرف غيرها حتَّى يملأ الأرض جوراً، فلا يقدر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منّي ومن عترتي، فيملأ الأرض عدلاً كما ملأها من كان قبله جوراً، وتُخرج له الأرض أفلاذ كبدها، ويحثو المال حثواً ولا يعدّه عدّاً، وذلك حين يضرب الإسلام بجرانه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بأمّتي في آخر الزمان بلاء شديد من سلطانهم لم يسمع بلاء أشدّ منه، حتَّى تضيق عنهم الأرض الرحبة، وحتَّى تملأ الأرض جوراً وظلماً، لا يجد المؤمن ملجأ يلتجئ إليه من الظلم، فيبعث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w:t>
      </w:r>
    </w:p>
    <w:p>
      <w:pPr>
        <w:pStyle w:val="BookText"/>
        <w:rPr/>
      </w:pPr>
      <w:r>
        <w:rPr>
          <w:rFonts w:ascii="Amiri" w:hAnsi="Amiri" w:eastAsia="Amiri" w:cs="Amiri"/>
          <w:color w:val="111111"/>
          <w:sz w:val="28"/>
          <w:sz w:val="28"/>
          <w:szCs w:val="28"/>
          <w:rtl w:val="true"/>
          <w:lang w:bidi="ar-SA"/>
        </w:rPr>
        <w:t xml:space="preserve">صبَّه الله عليهم مدراراً، يعيش فيهم سبع سنين أو ثمان أو تسع، تتمنّى الأحياء الأموات ممَّا 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الأرض من خيره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أنَّ مظاهر البلاء والظلم يتمثَّل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امتلاء الأرض بالظلم والجور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الحرب والطاعون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تظافرت الأخبار بحتمية ظهوره، ولقد حذَّر الأنبياء أجمعهم من فتنة الدجّال وإغرائه ودعواه الكاذبة التي تصد عن الحقّ وتلقي الناس في شرّ عظيم، ومن أبرز خصائصه يأتي الناس بالطعام لإغرائهم وصدّهم عن سبيل الله، وتسخير الكنوز له، واتّباع اليهود له، ويسخّر آفاق الأرض وهو آخر الأئمّة المضلّين وقائد الفئة المضلَّة، ويظهر من بعض الآثار أنَّ التحالف بين النواصب واليهود سيبلغ أوجه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نهاية النواصب أن يرتدّوا عن الإسلام ويتبعوا الدجّال زعيم اليهود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خاتم ألف نبيّ وأكثر، ما بعث نبيّ يُتَّبع إلاَّ قد حذَّر أمّته الدجّال، وإنّي قد بُيّن لي من أمره ما لم </w:t>
      </w:r>
    </w:p>
    <w:p>
      <w:pPr>
        <w:pStyle w:val="BookText"/>
        <w:rPr/>
      </w:pPr>
      <w:r>
        <w:rPr>
          <w:rFonts w:ascii="Amiri" w:hAnsi="Amiri" w:eastAsia="Amiri" w:cs="Amiri"/>
          <w:color w:val="111111"/>
          <w:sz w:val="28"/>
          <w:sz w:val="28"/>
          <w:szCs w:val="28"/>
          <w:rtl w:val="true"/>
          <w:lang w:bidi="ar-SA"/>
        </w:rPr>
        <w:t xml:space="preserve">يُبيَّن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كلّ لسان، ومعه صورة الجنّة خضراء يجرى فيها الماء، وصورة النار سوداء تداخن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هل أنَّه شخص، أم أسرة، أم فكرة؟ وهكذا الكلام في العلامة السابقة، وقد أسلفنا أنَّ الهدف المتوخّى من هذه العلامات الإشارة إلى التحذير في الوقوع في مدارس الضلال والانحراف ومدارس الازدواجية الفكرية والمدارس الالتقاطية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بالتعرّض للحركات الممهّدة قبل الظهور والحركات المناوئة قبل الظهور وحين الظهور على المستوى التنظيمي والشخصي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الرايات السود التي تخرج من خراسان أو من المشرق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الرايات السود قد </w:t>
      </w:r>
    </w:p>
    <w:p>
      <w:pPr>
        <w:pStyle w:val="BookText"/>
        <w:rPr/>
      </w:pPr>
      <w:r>
        <w:rPr>
          <w:rFonts w:ascii="Amiri" w:hAnsi="Amiri" w:eastAsia="Amiri" w:cs="Amiri"/>
          <w:color w:val="111111"/>
          <w:sz w:val="28"/>
          <w:sz w:val="28"/>
          <w:szCs w:val="28"/>
          <w:rtl w:val="true"/>
          <w:lang w:bidi="ar-SA"/>
        </w:rPr>
        <w:t>أقبلت من خراسان فائتوها ولو حبواً على الثلج،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الرايات السود التي تخرج من خراسان إلى الكوفة، فإذا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ملك السماء يبشّر بظهور الإمام ويدعو الناس إلى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كسوف الشمس والقمر قبل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والقمر تنكسفان في شهر رمضان في غير ما جرت به العادة قبل خروج المهدي، ففي 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لمهدينا آيتين لم تكونا منذ خلق السماوات والأرض، ينكسف القمر لأوّل ليلة من رمضان، وتنكسف الشمس في النصف منه، ولم تكونا منذ خلق الله السماوات والأرض</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علامات أخرى يمكن مراجعتها في كتاب 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المصادر</w:t>
      </w:r>
      <w:r>
        <w:rPr>
          <w:rFonts w:eastAsia="Amiri" w:cs="Amiri" w:ascii="Amiri" w:hAnsi="Amiri"/>
          <w:color w:val="111111"/>
          <w:sz w:val="28"/>
          <w:szCs w:val="28"/>
          <w:rtl w:val="true"/>
          <w:lang w:bidi="ar-SA"/>
        </w:rPr>
        <w:t xml:space="preserve">. </w:t>
      </w:r>
      <w:bookmarkStart w:id="42" w:name="pg6950_52516"/>
    </w:p>
    <w:p>
      <w:pPr>
        <w:pStyle w:val="Heading2"/>
        <w:numPr>
          <w:ilvl w:val="1"/>
          <w:numId w:val="1"/>
        </w:numPr>
        <w:rPr/>
      </w:pPr>
      <w:bookmarkStart w:id="43" w:name="__RefHeading___Toc2140190_372815092"/>
      <w:bookmarkStart w:id="44" w:name="_Toc15"/>
      <w:bookmarkEnd w:id="42"/>
      <w:bookmarkEnd w:id="43"/>
      <w:r>
        <w:rPr>
          <w:rtl w:val="true"/>
        </w:rPr>
        <w:t>ما بعد الظهور</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يملؤ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الدولة العالمية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السابعة، ومنها إلى سدرة المنتهى، ومن السدرة إلى حجب النور، ناداني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وأنا ربّك، فلي فاخضع، وإيّاي فاعبد، وعليَّ فتوكَّل، وبي فثق، فإنّي قد رضيت بك عبداً وحبيباً ورسولاً ونبيّاً، وبأخيك علي خليفةً وباباً، فهو حجَّتي على عبادي، وإمام لخلقي، به يُعرف أوليائي من أعدائي، وبه يُميَّز حزب الشيطان من حزبي، وبه يقام ديني، وتحفظ حدودي، وتنفذ أحكامي، وبك وبه وبالأئمّة من ولده أرحم عبادي وإمائي، وبالقائم منكم اُعمّر أرضي بتسبيحي وتهليلي وتقديسي وتكبيري وتمجيدي، وبه اُطهّر الأرض من أعدائي وأورثها أوليائي، وبه أجعل كلمة الذين كفروا بي السفلى وكلمتي العليا، وبه اُحيي عبادي وبلادي بعلمي، وله أظهر الكنوز والذخائر بمشيئتي، وإيّاه أظهر على الأسرار والضمائر بإرادتي، </w:t>
      </w:r>
    </w:p>
    <w:p>
      <w:pPr>
        <w:pStyle w:val="BookText"/>
        <w:rPr/>
      </w:pPr>
      <w:r>
        <w:rPr>
          <w:rFonts w:ascii="Amiri" w:hAnsi="Amiri" w:eastAsia="Amiri" w:cs="Amiri"/>
          <w:color w:val="111111"/>
          <w:sz w:val="28"/>
          <w:sz w:val="28"/>
          <w:szCs w:val="28"/>
          <w:rtl w:val="true"/>
          <w:lang w:bidi="ar-SA"/>
        </w:rPr>
        <w:t>وأمدّه بملائكتي لتؤيّده على إنفاذ أمري، وإعلان ديني، ذلك وليّي حقّاً ومهدي عبادي صدقاً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عهد الكفاية والرخاء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تنعم أمّتي في زمن المهدي نعمة لم ينعموا مثلها قطّ، تُرسل السماء عليهم مدراراً، ولا تدع الأرض شيئاً من النبات إلاَّ أخرجته، والمال كدوس، يقوم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الله تعالى يظهر بالإمام المهدي دين الإسلام على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ولا مشرك بالإمام إلاَّ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سكّان الأرض والسماء يحبّون المهدي ويرضون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وجهه كالقمر الدرّي، اللون لون عربي، والجسم جسم </w:t>
      </w:r>
      <w:bookmarkStart w:id="45" w:name="pg6950_52518"/>
    </w:p>
    <w:p>
      <w:pPr>
        <w:pStyle w:val="BookText"/>
        <w:rPr/>
      </w:pPr>
      <w:bookmarkEnd w:id="45"/>
      <w:r>
        <w:rPr>
          <w:rFonts w:ascii="Amiri" w:hAnsi="Amiri" w:eastAsia="Amiri" w:cs="Amiri"/>
          <w:color w:val="111111"/>
          <w:sz w:val="28"/>
          <w:sz w:val="28"/>
          <w:szCs w:val="28"/>
          <w:rtl w:val="true"/>
          <w:lang w:bidi="ar-SA"/>
        </w:rPr>
        <w:t>إسرائيلي، يملأ الأرض عدلاً كما ملئت جوراً، يرضى بخلافته أهل السماوات والأرض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يلهم الله الإمام العلوم حتَّى العلوم الطبيعية، ويتَّصل أهل الأرض بأهل الكواكب الأخرى، وتتطوَّر الحياة في عصره، ورؤية المؤمنين للملائكة، وإحياء الموتى، ويحيي الله الأرض، ويحثو المال للناس حثياً بدون عدّ، ويسع عدله والرخاء في عصره البرَّ والفاجر، وتحقّق الضمان الاجتماعي والاقتصادي، وتعميم الثقافة والعمران، وارتقاء الوضع الصحّي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هناك بحوث أخرى، وهو عمر حكومة الإمام وخصوصياتها، وما بعد حكومة الإمام، وبحث الرجعة، وأصحاب الإمام، والخصوصيات الفكرية والذاتية لهم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140192_372815092"/>
      <w:bookmarkStart w:id="47" w:name="_Toc16"/>
      <w:bookmarkEnd w:id="46"/>
      <w:r>
        <w:rPr>
          <w:rtl w:val="true"/>
        </w:rPr>
        <w:t>المناهج المعرفية في قراءة القضيّة المهدوية</w:t>
      </w:r>
      <w:r>
        <w:rPr>
          <w:rtl w:val="true"/>
        </w:rPr>
        <w:t>:</w:t>
      </w:r>
      <w:bookmarkEnd w:id="47"/>
    </w:p>
    <w:p>
      <w:pPr>
        <w:pStyle w:val="Heading3"/>
        <w:numPr>
          <w:ilvl w:val="2"/>
          <w:numId w:val="1"/>
        </w:numPr>
        <w:rPr/>
      </w:pPr>
      <w:bookmarkStart w:id="48" w:name="__RefHeading___Toc2140194_372815092"/>
      <w:bookmarkStart w:id="49" w:name="_Toc17"/>
      <w:bookmarkEnd w:id="48"/>
      <w:r>
        <w:rPr>
          <w:rtl w:val="true"/>
        </w:rPr>
        <w:t>اشارة</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علم إلاَّ وله معايير معرفية ومناهج فكرية، وليس هناك معيار معرفي واحد في جميع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تنفضّ الخصومة إلاَّ على وفق المعيار والملاك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تقسيم الفنون على وفق المعايير، فالمعيار للعلوم الإنسانية غير المعيار للعلوم التجريبية، وغير المعيار للعلوم السمعية والنقلية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التحقيق وتحديد الموقف في آليته التنفيذية، فالعلم اللساني لا بدَّ له من التحقيق في بحث الصدوري والدلالي والجهتي</w:t>
      </w:r>
      <w:r>
        <w:rPr>
          <w:rFonts w:eastAsia="Amiri" w:cs="Amiri" w:ascii="Amiri" w:hAnsi="Amiri"/>
          <w:color w:val="111111"/>
          <w:sz w:val="28"/>
          <w:szCs w:val="28"/>
          <w:rtl w:val="true"/>
          <w:lang w:bidi="ar-SA"/>
        </w:rPr>
        <w:t xml:space="preserve">. </w:t>
      </w:r>
      <w:bookmarkStart w:id="50" w:name="pg6950_52519"/>
    </w:p>
    <w:p>
      <w:pPr>
        <w:pStyle w:val="BookText"/>
        <w:rPr/>
      </w:pPr>
      <w:bookmarkEnd w:id="50"/>
      <w:r>
        <w:rPr>
          <w:rFonts w:ascii="Amiri" w:hAnsi="Amiri" w:eastAsia="Amiri" w:cs="Amiri"/>
          <w:color w:val="111111"/>
          <w:sz w:val="28"/>
          <w:sz w:val="28"/>
          <w:szCs w:val="28"/>
          <w:rtl w:val="true"/>
          <w:lang w:bidi="ar-SA"/>
        </w:rPr>
        <w:t>وهل له معارض؟ وكيف يمكن فكّ التعارض؟ وما الغاية من العلم؟ وموسوعة الإمام المهدي هي منظومة فكرية تتَّكئ على الرواية من الزاوية العقائدية، وعلى السجل التاريخي، وعلى المنهج الاستقرائي، وعلى مباني عقائدية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فيما يلي نموذجين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140196_372815092"/>
      <w:bookmarkStart w:id="52" w:name="_Toc18"/>
      <w:bookmarkEnd w:id="51"/>
      <w:r>
        <w:rPr/>
        <w:t>1</w:t>
      </w:r>
      <w:r>
        <w:rPr>
          <w:rtl w:val="true"/>
        </w:rPr>
        <w:t xml:space="preserve"> _ </w:t>
      </w:r>
      <w:r>
        <w:rPr>
          <w:rtl w:val="true"/>
        </w:rPr>
        <w:t>المنهج الروائي</w:t>
      </w:r>
      <w:r>
        <w:rPr>
          <w:rtl w:val="true"/>
        </w:rPr>
        <w:t>:</w:t>
      </w:r>
      <w:bookmarkEnd w:id="52"/>
    </w:p>
    <w:p>
      <w:pPr>
        <w:pStyle w:val="BookText"/>
        <w:rPr/>
      </w:pPr>
      <w:r>
        <w:rPr>
          <w:rFonts w:ascii="Amiri" w:hAnsi="Amiri" w:eastAsia="Amiri" w:cs="Amiri"/>
          <w:color w:val="111111"/>
          <w:sz w:val="28"/>
          <w:sz w:val="28"/>
          <w:szCs w:val="28"/>
          <w:rtl w:val="true"/>
          <w:lang w:bidi="ar-SA"/>
        </w:rPr>
        <w:t xml:space="preserve">ونحيل القارئ إلى دراسة الباحث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أهمّ الأمور التي تعرَّض إليها تحليل فكرة الاعتقاد بالمهدي، ومناقشة ابن خلدون، ونقله أكثر من ثمان وخمسين شهادة وتصريح بصحَّة أحاديث المهدي وتواترها، ثمّ مناقشته لمن أنكر الولادة، وإبرازه لأدلَّة واعترافات من أهل السُنّة بدءاً من القرن الرابع الهجري وحتَّى قرننا الحالي بولادة الإمام المهدي، ومناقشة لفرية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ونحيل أيضاً إلى دراسة عبد المحسن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الأولى</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140198_372815092"/>
      <w:bookmarkStart w:id="54" w:name="_Toc19"/>
      <w:bookmarkEnd w:id="53"/>
      <w:r>
        <w:rPr/>
        <w:t>2</w:t>
      </w:r>
      <w:r>
        <w:rPr>
          <w:rtl w:val="true"/>
        </w:rPr>
        <w:t xml:space="preserve"> _ </w:t>
      </w:r>
      <w:r>
        <w:rPr>
          <w:rtl w:val="true"/>
        </w:rPr>
        <w:t>المنهج العقلي</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يعتمد المؤلّف تتبّع القضيّة في كتب التفسير والرواية أو المناقشة في الأسانيد، وإنَّما سلك مسلكاً آخر، فبدأ بطرح التساؤلات والإشكالات ممَّا قيل ويقال، ثمّ بدأ بالمناقشة بالدليل العقلي، وإليك معالم الدليل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إعطاء تصوّر لفكرة المهدي في التراث الديني والإنساني والإسلامي، وليست مجرَّد فكرة وأمل يداعب الشعور </w:t>
      </w:r>
      <w:bookmarkStart w:id="55" w:name="pg6950_52520"/>
    </w:p>
    <w:p>
      <w:pPr>
        <w:pStyle w:val="BookText"/>
        <w:rPr/>
      </w:pPr>
      <w:bookmarkEnd w:id="55"/>
      <w:r>
        <w:rPr>
          <w:rFonts w:ascii="Amiri" w:hAnsi="Amiri" w:eastAsia="Amiri" w:cs="Amiri"/>
          <w:color w:val="111111"/>
          <w:sz w:val="28"/>
          <w:sz w:val="28"/>
          <w:szCs w:val="28"/>
          <w:rtl w:val="true"/>
          <w:lang w:bidi="ar-SA"/>
        </w:rPr>
        <w:t>حتَّى يتخلَّص من التوتّر النفسي، وإنَّما المهدي إنسان معيَّن حيّ يعيش مع الناس ويشاركهم همومهم وآلامهم ويترقَّب مثلهم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يثير إثارات مصرّحة وجيهة، مقدّرة أو مضمرة لمشكلة العمر، وكيف ينزل مع القوانين الطبيعية التي تحتّم مروره بمرحلة الشيخوخة والهرم، ومهَّد للجواب من بيان أنواع الإمكان من العملي والعلمي والمنطقي، أو الفلسفي،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افترضنا أنَّ قانون الشيخوخة قانون صارم، وإطالة العمر خلاف القوانين الطبيعية التي دلَّنا عليها الاستقراء؟</w:t>
      </w:r>
    </w:p>
    <w:p>
      <w:pPr>
        <w:pStyle w:val="BookText"/>
        <w:rPr/>
      </w:pPr>
      <w:r>
        <w:rPr>
          <w:rFonts w:ascii="Amiri" w:hAnsi="Amiri" w:eastAsia="Amiri" w:cs="Amiri"/>
          <w:color w:val="111111"/>
          <w:sz w:val="28"/>
          <w:sz w:val="28"/>
          <w:szCs w:val="28"/>
          <w:rtl w:val="true"/>
          <w:lang w:bidi="ar-SA"/>
        </w:rPr>
        <w:t>وجوابه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قبيل المعجزة، وهي بمفهومها الديني أصبحت في ضوء المنطق العلمي الحديث مفهومة بدرجة أكبر ممَّا كانت عليه</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140200_372815092"/>
      <w:bookmarkStart w:id="57" w:name="_Toc20"/>
      <w:bookmarkEnd w:id="56"/>
      <w:r>
        <w:rPr>
          <w:rtl w:val="true"/>
        </w:rPr>
        <w:t>أهمّ شبهات المنكرين</w:t>
      </w:r>
      <w:r>
        <w:rPr>
          <w:rtl w:val="true"/>
        </w:rPr>
        <w:t>:</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الشيعة وقعوا في اضطراب بعد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إلى أربع عشرة فرقة في مسألة الإمام بعد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أمر الإمام المهدي واضحاً لما جاز الاختلاف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الروايات التي تتحدَّث عن هويّة الإمام ضعيفة وموضوعة، سواء ما يتعلَّق باسم اُمّه، أم بتاريخ ولادته، أم بما لابس ولادته، أم بغيبته وسفرائه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على هذه الإشكالات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الغموض في تحديد هويّة الإمام لو صحَّ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صوَّره الخصم وضخَّمه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دليل عليهم،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تحديد الهويّة والإصرار على بقاء الأمر سرّاً دليل على وجود الإمام والخوف عليه من الأعداء لا على عدم وجوده،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الروايات لم يريدوا الكشف عن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بطنه وعنقه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المنتظر الذي يشكُّ الناس في ولادته، فمنهم من يقول إذا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ولا عقب له،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قبل وفات أبيه بسنتين،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وقولهم بضعف الروايات واختلافها مردود بالروايات المتواترة عن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الاختلاف والتفرّق يكون سبباً إلى نفي أصل فكرة الإمام الذي يستلزم أن تنكر الإسلام، بل من أهل السُنّة من اعترفوا بأنَّ الإمام الموعود هو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باقٍ إلى الآن، فمنهم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bookmarkStart w:id="58" w:name="pg6950_52522"/>
    </w:p>
    <w:p>
      <w:pPr>
        <w:pStyle w:val="BookText"/>
        <w:rPr/>
      </w:pPr>
      <w:bookmarkEnd w:id="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محمّد المشهور بابن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سبط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المعقود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عقائد الأكابر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والستّين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علي بن طوطون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هؤلاء، وكيفما كان فقد نجد في القرون الماضية وفي قرننا الحالي من أنكر وشكَّك فيه إمَّا تأثّراً بمناهج مادّية، أو بسبب عصبية مذهبية، أو لجهل ما أودع في الصحاح والمسانيد والسنن من مئات الروايات، أو عدم الإيمان بالغيب، أو لأجل الإساءة ونحو ذلك</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2140202_372815092"/>
      <w:bookmarkStart w:id="60" w:name="_Toc21"/>
      <w:bookmarkEnd w:id="59"/>
      <w:r>
        <w:rPr>
          <w:rtl w:val="true"/>
        </w:rPr>
        <w:t xml:space="preserve">خصوصيات الإمام المهدي </w:t>
      </w:r>
      <w:r>
        <w:rPr>
          <w:rtl w:val="true"/>
        </w:rPr>
        <w:t>(</w:t>
      </w:r>
      <w:r>
        <w:rPr>
          <w:rtl w:val="true"/>
        </w:rPr>
        <w:t>عليه السلام</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في رواياتنا أنَّ حكومة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كحكومة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يأخذ بالقواعد والأحكام الظاهرية، وإنَّما يحكم طبق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الرواية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وعليهم السلام حكم بين الناس بحكم داود لا يحتاج إلى بيّنة، يلهمه الله تعالى فيحكم بعلمه، ويخبر كلّ قوم بما استبطنوه، ويعرف وليّه من عدوّه بالتوسّم،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داود وسليمان، لا يسأل بيّنة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أنصار المهدي وأعوانه هم اُسُد في النهار رهبان في الليل، لم يسبقهم الأوّلون ولا يدركهم الآخرون، أسماؤهم في الأرض مجهولة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وولي الأمر خير أمّة محمّد فالحقوا بمكّة، فيخرج </w:t>
      </w:r>
    </w:p>
    <w:p>
      <w:pPr>
        <w:pStyle w:val="BookText"/>
        <w:rPr/>
      </w:pPr>
      <w:r>
        <w:rPr>
          <w:rFonts w:ascii="Amiri" w:hAnsi="Amiri" w:eastAsia="Amiri" w:cs="Amiri"/>
          <w:color w:val="111111"/>
          <w:sz w:val="28"/>
          <w:sz w:val="28"/>
          <w:szCs w:val="28"/>
          <w:rtl w:val="true"/>
          <w:lang w:bidi="ar-SA"/>
        </w:rPr>
        <w:t>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بإسناده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المهدي،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عقد بيده سبعاً،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قتل، فيجمع الله تعالى له قوماً قزع</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كقزع السحاب، يؤلّف الله بين قلوبهم، لا يستوحشون إلى أحد</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يفرحون بأحد، يدخل فيهم على عدَّة أصحاب بدر، لم يسبقهم الأوّلون، ولا يدركهم الآخرون، وعلى عدد أصحاب طالوت الذين جاوزوا معه النهر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أمر النهروان، فذكر طرفاً من الملاحم،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ابن حرّة</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متى تنتظر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بنصر قريب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فويل للمتكبّرين، عند حصاد الحاصدين، وقتل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ذي العرش العظيم، فبأبي واُمّي من عِدَّة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أسماؤهم في </w:t>
      </w:r>
    </w:p>
    <w:p>
      <w:pPr>
        <w:pStyle w:val="BookText"/>
        <w:rPr/>
      </w:pPr>
      <w:r>
        <w:rPr>
          <w:rFonts w:ascii="Amiri" w:hAnsi="Amiri" w:eastAsia="Amiri" w:cs="Amiri"/>
          <w:color w:val="111111"/>
          <w:sz w:val="28"/>
          <w:sz w:val="28"/>
          <w:szCs w:val="28"/>
          <w:rtl w:val="true"/>
          <w:lang w:bidi="ar-SA"/>
        </w:rPr>
        <w:t>الأرض مجهولة، قد دان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ظهورهم، ولو شئت لأخبرتكم بما يأتي ويكون من حوادث دهركم ونوائب زمانكم، وبلايا أيّامكم، وغمرات ساعاتكم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أسماءهم مجهولة، فلا مجال لتطبيقهم على مصاديق خارجية، ومن الانحراف المبادرة إلى عملية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كالتوقيت منهيٌّ عنها وإساءة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الملائكة من أعوان المهدي وأنصاره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يبقَ من الدنيا إلاَّ يوم واحد لطوَّل الله ذلك اليوم حتَّى يأتيهم رجل من أهل بيتي، تكون الملائكة بين يديه ويظهر الإسلام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يبايع بين الركن والمقام، ويخرج متوجّهاً إلى الشام وجبرئيل على مقدمته، وميكائيل على ساقته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الإمام يثبّت الواقع العالمي ويفكّك فساده بنفس الأدوات التي تؤمن بها المجتمعات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الكوفة عاصمة له كجدّه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كأنّي أرى نزول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السهلة بأهله وعياله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bookmarkStart w:id="61" w:name="pg6950_52526"/>
    </w:p>
    <w:p>
      <w:pPr>
        <w:pStyle w:val="BookText"/>
        <w:rPr/>
      </w:pPr>
      <w:bookmarkEnd w:id="61"/>
      <w:r>
        <w:rPr>
          <w:rFonts w:ascii="Amiri" w:hAnsi="Amiri" w:eastAsia="Amiri" w:cs="Amiri"/>
          <w:color w:val="111111"/>
          <w:sz w:val="28"/>
          <w:sz w:val="28"/>
          <w:szCs w:val="28"/>
          <w:rtl w:val="true"/>
          <w:lang w:bidi="ar-SA"/>
        </w:rPr>
        <w:t>منزله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كان فيه منزل إدريس، وكان منزل إبراهيم خليل الرحمن، وما بعث الله نبيّاً إلاَّ وقد صلّى فيه، وفيه مسكن الخضر، والمقيم فيه كالمقيم في فسطاط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البقاع التي أحبَّ الله أن يُدعى فيها، وما من يوم ولا ليلة إلاَّ والملائكة تزور هذا المسجد يعبدون الله فيه، أمَا إنّي لو كنت بالقرب منكم ما صلَّيت صلاةً إلاَّ فيه، يا أبا محمّد ولو لم يكن له من الفضل إلاَّ نزول الملائكة والأنبياء فيه لكان كثيراً، فكيف وهذا الفضل؟ وما لم أصف لك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يزال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من بعده إلى انقضاء الخلق</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140204_372815092"/>
      <w:bookmarkStart w:id="63" w:name="_Toc22"/>
      <w:bookmarkEnd w:id="62"/>
      <w:r>
        <w:rPr>
          <w:rtl w:val="true"/>
        </w:rPr>
        <w:t xml:space="preserve">الإساءة إلى فكرة المهدي </w:t>
      </w:r>
      <w:r>
        <w:rPr>
          <w:rtl w:val="true"/>
        </w:rPr>
        <w:t>(</w:t>
      </w:r>
      <w:r>
        <w:rPr>
          <w:rtl w:val="true"/>
        </w:rPr>
        <w:t>عليه السلام</w:t>
      </w:r>
      <w:r>
        <w:rPr>
          <w:rtl w:val="true"/>
        </w:rPr>
        <w:t>):</w:t>
      </w:r>
      <w:bookmarkEnd w:id="63"/>
    </w:p>
    <w:p>
      <w:pPr>
        <w:pStyle w:val="BookText"/>
        <w:rPr/>
      </w:pPr>
      <w:r>
        <w:rPr>
          <w:rFonts w:ascii="Amiri" w:hAnsi="Amiri" w:eastAsia="Amiri" w:cs="Amiri"/>
          <w:color w:val="111111"/>
          <w:sz w:val="28"/>
          <w:sz w:val="28"/>
          <w:szCs w:val="28"/>
          <w:rtl w:val="true"/>
          <w:lang w:bidi="ar-SA"/>
        </w:rPr>
        <w:t>فقد ورد عن علي بن عاصم، عن عطاء بن السائب،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الحسن بن علي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قبله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قد اُسيء للفكرة المهدوية على مرّ التاريخ من أصحاب الهوى وعبّاد النفس، بين مدَّعي أنَّه المهدي، وبين مدَّعي النيابة والبابية، وبين الارتباط النسبي، وبين اللقاءات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نصف هؤلاء أنَّهم مغفَّلون وضالّون في عصر الغيبة،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هلال الكرخي، كان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وتقليد محمّد بن عثمان النيابة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على ذلك، وقد خرج توقيع بلعنه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الحسن الشريعي، كان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ادَّعى لنفسه النيابة عن الإمام، ونسب إلى الأئمّة الطاهرين ما لا يليق بهم، ثمّ كفر، وخرج توقيع بلعنه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الحسن بن منصور الحلاَّج، ادَّعى النيابة عن الإمام المنتظر، وأخذ يراسل أعيان الشيعة بذلك، فراسل أبا سهل النوبختي، وأراد منه الانضمام إليه، ووعده بما يريد من المال، فقال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اُحبّ الجواري وأصبو إليهنَّ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الشيب يبعدني عنهنَّ، وأحتاج أن أخضبه في كلّ جمعة، وأتحمَّل منه مشقة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واُريد أن تعينني عن الخضاب وتكفيني مؤنته، وتجعل لحيتي سوداء، فبهت الحلاَّج وانتشرت قصَّته وصار اُضحوكة الجميع</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مستقيم الطريق، حمله الحسد فترك مذهبه واعتنق المذاهب الرديئة، وكان من مذهبه ترك العبادات كلّها وإباحة الفروج من ذوي الرحم، وأنَّه لا بدَّ للفاضل أن ينكح المفضول ليولج منه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التوقيع بالبراءة منه والتكفير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نصير النميري،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الإمام، ادَّعى أنَّه نائب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وفضحه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فضحه الله بما ظهر منه من الإلحاد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لعنه محمّد بن عثمان العمري وتبرَّأ منه واحتجب عنه، فبلغه ذلك فقصد محمّد بن عثمان ليعطف بقلبه عليه، أو يعتذر إليه فلم يأذن له وحجبه وردَّه خائباً، وكان يقول بالتناسخ، ويغلو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 بالربوبية، ويقول بالإباحة بالمحارم وتحليل نكاح الرجال بعضهم بعضاً في أدبارهم، ويزعم أنَّ ذلك من التواضع والتذلّل في المفعول به، وإنَّه من الفاعل إحدى الشهوات والطيّبات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طاهر محمّد بن علي بن بلال، وقصَّته معروفة فيما جرى بينه وبين أبي جعفر محمّد بن عثمان العمري نضَّر الله وجهه، وتمسّكه بالأموال التي كانت عنده للإمام، وامتناعه من </w:t>
      </w:r>
    </w:p>
    <w:p>
      <w:pPr>
        <w:pStyle w:val="BookText"/>
        <w:rPr/>
      </w:pPr>
      <w:r>
        <w:rPr>
          <w:rFonts w:ascii="Amiri" w:hAnsi="Amiri" w:eastAsia="Amiri" w:cs="Amiri"/>
          <w:color w:val="111111"/>
          <w:sz w:val="28"/>
          <w:sz w:val="28"/>
          <w:szCs w:val="28"/>
          <w:rtl w:val="true"/>
          <w:lang w:bidi="ar-SA"/>
        </w:rPr>
        <w:t xml:space="preserve">تسليمها، وادّعائه أنَّه الوكيل، حتَّى تبرَّأت الجماعة منه ولعنوه، وخرج فيه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معروف</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بن أبي الحسين، وهو وارث النميري، لمَّا اعتلَّ محمّد بن نصير العلة التي توفّي فيها، قيل له وهو مثقل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 فقال بلسان ضعيف ملجلج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فلم يدروا من هو، فافترقوا بعده ثلاث فِرَق،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ابنه،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موسى بن الفرات،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بن أبي الحسين بن بشر بن يزيد، فتفرَّقوا، فلا يرجعون إلى شيء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هناك فِرَقاً أخرى حتَّى 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أنَّ محمّد بن الحنفية هو المهدي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الشيخ الصدوق عن السيّد الحميري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ضللت في ذلك زماناً، فمَنَّ الله عليَّ بالصادق جعفر بن محمّد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أنَّ محمّد بن عبد الله بن الحسن هو المهدي الغائب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الباقرية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أن الباقر هو المهدي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أنَّ محمّد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وتدَّعي هذه الفرقة أنَّ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وكان الإمام بعده محمّد بن جعفر واعتلّوا في ذلك بحديث تعلَّقوا به، وهو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زعموا كان في داره جالساً فدخل عليه محمّد وهو صبي صغير فعدا إليه فكبا في قميصه ووقع لوجهه، فقام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ومسح التراب عن وجهه وضمَّه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لك ولد يشبهني فسمّه باسمي، وهذا الولد شبيهي وشبيه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سُنّته وشبيه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الفرقة تسمّى الشمطية بنسبتها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الشمط</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فرقة من الإسماعيلية، قالوا بإمامة </w:t>
      </w:r>
    </w:p>
    <w:p>
      <w:pPr>
        <w:pStyle w:val="BookText"/>
        <w:rPr/>
      </w:pPr>
      <w:r>
        <w:rPr>
          <w:rFonts w:ascii="Amiri" w:hAnsi="Amiri" w:eastAsia="Amiri" w:cs="Amiri"/>
          <w:color w:val="111111"/>
          <w:sz w:val="28"/>
          <w:sz w:val="28"/>
          <w:szCs w:val="28"/>
          <w:rtl w:val="true"/>
          <w:lang w:bidi="ar-SA"/>
        </w:rPr>
        <w:t xml:space="preserve">محمّد بن إسماعيل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الإمام القائم المهدي، وهو حيّ لم يمت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لنا التاريخ من ادّعاها في الغيبة الكبرى فنذكر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مهدي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اليمن، واتَّبعه فريق من الأعراب واستطاع القضاء على دولة الحمدانيين في صنعاء، وعلى دولة النجاحية وأعقبه حفيده عبد النبيّ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مؤسّس الدولة الفاطمية عبد الله ادَّعى أنَّه المهدي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مؤسس دولة الموحّدين محمّد بن تومرت ادَّعى أنَّه المهدي،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ظهر في أيّام الدولة المرينية بفاس رجل يُدعى التويزدي واجتمع حوله رؤساء صنهاجة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قام رجل اسمه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الريف من المغرب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نماذج في عصورنا الحديثة أمثال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مهدي السودان، حسني من جهة الأب، عبّاسي من </w:t>
      </w:r>
    </w:p>
    <w:p>
      <w:pPr>
        <w:pStyle w:val="BookText"/>
        <w:rPr/>
      </w:pPr>
      <w:r>
        <w:rPr>
          <w:rFonts w:ascii="Amiri" w:hAnsi="Amiri" w:eastAsia="Amiri" w:cs="Amiri"/>
          <w:color w:val="111111"/>
          <w:sz w:val="28"/>
          <w:sz w:val="28"/>
          <w:szCs w:val="28"/>
          <w:rtl w:val="true"/>
          <w:lang w:bidi="ar-SA"/>
        </w:rPr>
        <w:t>جهة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أحد المنجّمين فخرَّ على الأرض،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أنوار المهدية على وجهه، وقد أذاع أحد مشايخ السودان ظهور المهدي وعلامته أنَّه سوف يشيّد قبّة على ضريحي ويختن أولادي، وبعد وفاته قام المهدي بكلا الأمرين، وكانت بداية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بالدعوة تلامذته الذين كان يغدق عليهم المال، ممَّا سبَّب تهالكهم للدعوة إليه، وقال في رسالة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العبد المفتقر إلى الله محمّد المهدي بن عبد الله إلى أحبّائه المؤمنين بالله وبكتابه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فلا يخفى تغيّر الزمن وترك السنن، ولا يرضى بذلك ذوو الإيمان والفطن، بل أحقّ أن يترك لذلك الأوطار والوطن لإقامة الدين والسنن، ولا يتوانى عن ذلك عاقل، لأنَّ غيرة الإسلام للمؤمن تجبره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أحبّائي كما أراد الله في أزله وقضائه، تفضَّل على عبده الحقير الذليل بالخلافة الكبرى من الله ورسوله، وأخبرني سيّد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أخبرني سيّد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جعل لي على المهدية علامة وهي الخال على خدّي الأيمن، وكذلك جعل لي علامة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راية من نور وتكون معي في حالة الحرب يحملها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يحبّ الدنيا فاتَّهموه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كتبه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عنّي عالماً أسكره حبّ الدنيا فيصدّك عن طريق محبَّتي، فأولئك قطّاع الطريق على عبادي، ولمَّا حصل لي يا أحبابي من الله ورسوله أمر الخلافة الكبرى أمرني سيّد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إلى ماسة بجبل قدير، وأمرني أن اُكاتب بها جميع </w:t>
      </w:r>
    </w:p>
    <w:p>
      <w:pPr>
        <w:pStyle w:val="BookText"/>
        <w:rPr/>
      </w:pPr>
      <w:r>
        <w:rPr>
          <w:rFonts w:ascii="Amiri" w:hAnsi="Amiri" w:eastAsia="Amiri" w:cs="Amiri"/>
          <w:color w:val="111111"/>
          <w:sz w:val="28"/>
          <w:sz w:val="28"/>
          <w:szCs w:val="28"/>
          <w:rtl w:val="true"/>
          <w:lang w:bidi="ar-SA"/>
        </w:rPr>
        <w:t>المكلَّفين أمراً عامّاً، فكاتبنا بذلك الأمراء ومشايخ الدين، فأنكر الأشقياء، وصدَّق الصدّيقون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أخبرني سيّد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شكَّ في مهديتك فقد كفر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خالٍ من الموانع الشرعية، لا بنوم، ولا جذب، ولا سكر، ولا جنونٌ، بل متَّصف بصفات العقل، أقفوا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وخاض معارك فاز فيها وانقادت السودان كلّها للمهدي، وأظهر عداءه للانكليز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مهدي السنغال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السنغال رجل ادَّعى أنَّه المهدي المنتظر، ورفع راية الثورة على الحكم القائم، إلاَّ أنَّه فشل وقتل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مهدي السوس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قرى مدن 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كثيرون من الغوغاء، وقبل أن يتمَّ دعوته وينشر مبادئه وأهدافه قتل غيلة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مهدي الصومال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محمّد بن عبد الله أنَّه الإمام المنتظر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نفوذ واسع في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حارب البريطانيين والإيطاليين والأحباش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حتَّى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ثورة عراج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رجل في السودان اسمه جاسم محمّد أحمد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أنَّه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القاديانية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القادياني مضطرب الأفكار مبتلى بأنواع من الأمراض والأسقام، كما كان يعاني الكثير من المشاكل الاقتصادية، وكان مثل هذا الرجل صالحاً لأن يقع فريسة في أيدي الانكليز، وقد تظاهر الرجل في أوّل أمره بالدفاع عن الإسلام، وحاز ثقة كثير من العامّة والخاصّة، ولكنَّه لم يلبث أن أعلن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مجدّد للإسلام،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أنَّه المهدي الموعود، وقد ألَّف عدَّة كتب سمّى نفسه فيها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المهدي، لوح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مات ألَّف ابنه بشير أحمد سيرة أبيه وسمّاه سيرة المهدي، وكذلك ألَّف أحد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القادياني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 وقد تنبَّأ هذا المسكين تنبّؤات لا تعدُّ ولا تحصى وادَّعى المباهلة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من الصعب جدّاً إحصاء عدد الذين ادَّعوا المهدوية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منهم لم يحالفهم الحظّ فانتهت دعوتهم عليهم أو على بعض الأتباع الخاملين، ولم تحصل لهم قوَّة ولا شوكة فبقيت أمانيّهم وأحلامهم مدفونة في صدورهم، ولذلك لم ينعكس في التاريخ، فمنها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محمّد علي باب بن ميرزا رضا البزّاز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محمّداً كان فتى جاهلاً لم يكن يعرف من العلم شيئاً ولا يفقه ماذا يقول، ولكنَّه </w:t>
      </w:r>
    </w:p>
    <w:p>
      <w:pPr>
        <w:pStyle w:val="BookText"/>
        <w:rPr/>
      </w:pPr>
      <w:r>
        <w:rPr>
          <w:rFonts w:ascii="Amiri" w:hAnsi="Amiri" w:eastAsia="Amiri" w:cs="Amiri"/>
          <w:color w:val="111111"/>
          <w:sz w:val="28"/>
          <w:sz w:val="28"/>
          <w:szCs w:val="28"/>
          <w:rtl w:val="true"/>
          <w:lang w:bidi="ar-SA"/>
        </w:rPr>
        <w:t>كان ميّالاً إلى الغلوّ في الزهد والعبادة، فاستغلَّه الملاَّ حسن البشروئي أحد تلاميذ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البشروئي على اتّصال وثيق مع أحد الجواسيس الروسيين في السفارة الروسية في إيران ويسمّى كنيازد الكوركي، وكان البشروئي يواصل الاجتماع مع هذا الشاب المغترّ وأصبح يوحي إليه أنَّه سيكون له شأن وأنَّ ظهور المهدي المنتظر قد دنى أجله، حتَّى أعلن علي محمّد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باب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الخامسة والعشرين من عمره، ونصَّب البشروئي نفسه باباً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مدَّة طويلة حتَّى سوَّل له البشروئي أن يعلن بأنَّه هو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سجن الباب في ماكو</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 جماعته في الصحراء وقرَّروا فيه نسخ دين الإسلام وشيوع المرأة والمال وإلغاء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قراراتهم على الباب في سجنه فوافقهم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موته انقسم البابيون إلى 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أتباع يحيى علي المازندراني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أزل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آخرون اتَّبعوا حسين علي الملقَّب ببهاء الدين الذي بسببه نشأت البهائية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محمّد بن عبد الله القرشي حيث سيطر أنصاره على الحرم المكّي، وأذاع معاونه جهيمان من داخله بياناً </w:t>
      </w:r>
      <w:bookmarkStart w:id="64" w:name="pg6950_52536"/>
    </w:p>
    <w:p>
      <w:pPr>
        <w:pStyle w:val="BookText"/>
        <w:rPr/>
      </w:pPr>
      <w:bookmarkEnd w:id="64"/>
      <w:r>
        <w:rPr>
          <w:rFonts w:ascii="Amiri" w:hAnsi="Amiri" w:eastAsia="Amiri" w:cs="Amiri"/>
          <w:color w:val="111111"/>
          <w:sz w:val="28"/>
          <w:sz w:val="28"/>
          <w:szCs w:val="28"/>
          <w:rtl w:val="true"/>
          <w:lang w:bidi="ar-SA"/>
        </w:rPr>
        <w:t>دعا فيه المسلمين إلى بيعة القرشي، وقد استمرَّ احتلالهم للحرم أيّاماً ولم تستطع الحكومة السعودية أن تتغلَّب عليهم إلاَّ بعد أن استدعت فرقة كوماندوز خاصّة من فرنسا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ممَّا لا يتَّسع البحث لذكرهم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ضالّون مدَّعون أنَّهم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قضيّة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مدَّعون أنَّهم هم النفس الزكية، أو مدَّعون كونهم اليماني، أو أصحاب الرايات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هذه العناوين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التحفّظ في تطبيقها على أزمنة خاصّة، أو أفراد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شاهد صدقٍ على الإساءة في عالم التطبيق</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2140206_372815092"/>
      <w:bookmarkStart w:id="66" w:name="_Toc23"/>
      <w:bookmarkEnd w:id="65"/>
      <w:r>
        <w:rPr>
          <w:rtl w:val="true"/>
        </w:rPr>
        <w:t>مناشئ الادّعاءات الباطلة</w:t>
      </w:r>
      <w:r>
        <w:rPr>
          <w:rtl w:val="true"/>
        </w:rPr>
        <w:t>:</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تنشأ هذه الظواهر المغرضة إمَّا في المجتمع المفلس والمضطهد من نير الظلم والفقر والاضطهاد والاحتلال، وعدم وجود الملجأ والمأوى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القائد يريد لنفسه المشروعية وكثرة النصرة وتسكين ما سيحلُّ عليهم من أضرار المواجهة، فيتوسَّل بمثل هذه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الدعاوى بشكل عامّ تجرُّ نفعاً لأصحابها، فتكون الدعاوى دكّاناً للتكسّب وتحصيل الوجاهة، سيّما إذا كان أصحابها نكرات أو أصحاب أمراض نفسية، وإمَّا أنَّ هذه الدعاوى حركات مسيَّسة </w:t>
      </w:r>
    </w:p>
    <w:p>
      <w:pPr>
        <w:pStyle w:val="BookText"/>
        <w:rPr/>
      </w:pPr>
      <w:r>
        <w:rPr>
          <w:rFonts w:ascii="Amiri" w:hAnsi="Amiri" w:eastAsia="Amiri" w:cs="Amiri"/>
          <w:color w:val="111111"/>
          <w:sz w:val="28"/>
          <w:sz w:val="28"/>
          <w:szCs w:val="28"/>
          <w:rtl w:val="true"/>
          <w:lang w:bidi="ar-SA"/>
        </w:rPr>
        <w:t>يدفعها الحبر 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فالساسة يختلقون هذه الحركات لشغل المسلمين بينهم ولتمزيق صفّ الأمّة، وإمَّا لتحصيل الورقة الخضراء للتسويغ في ارتكاب المعاصي والمحرَّمات، وكيفما كان فإنَّ أدلَّة هذه الدعاوى تتراوح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الاستعانة بالتراث غير الثابت والأدلَّة الواهية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 الاعتماد على بعض العلامات العامّة المذكورة في الروايات والسعي إلى تطبيقها، كما مرَّ علينا في دعوى مهدي السودان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 التعويل على العلوم الغريبة والمبهمات والفنون الشاذّة المحرَّمة بنظر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 محاربة العلماء وطريقتهم، والاستعانة بالطرق الروحية الصوفية الهندوسية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 إقامة الأدلَّة السطحية التي تنطلي على جمع من البشر، إذ ما من مدَّع إلاَّ وله أدلَّة، لاسيّما أدلَّة الكشف والشهود والمنامات والإلهامات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تلك الأدلَّة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الأولي غير الفاحص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أدلَّة 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يقيسون أدلَّتهم على أدلَّة الأنبياء والأوصياء، وأنَّ الطعن في أدلَّتهم طعن في أدلَّة الأنبياء والأوصياء، لكن بالنظر الفاحص والرجوع إلى المتخصّص يظهر البون الشاسع بين الدليلين، وعليه لا بدَّ من مواكبة المتخصّص والتعويل عليه للتشخيص والتطبيق في كلّ خطوات الدليل</w:t>
      </w:r>
      <w:r>
        <w:rPr>
          <w:rFonts w:eastAsia="Amiri" w:cs="Amiri" w:ascii="Amiri" w:hAnsi="Amiri"/>
          <w:color w:val="111111"/>
          <w:sz w:val="28"/>
          <w:szCs w:val="28"/>
          <w:rtl w:val="true"/>
          <w:lang w:bidi="ar-SA"/>
        </w:rPr>
        <w:t xml:space="preserve">. </w:t>
      </w:r>
      <w:bookmarkStart w:id="67" w:name="pg6950_52538"/>
    </w:p>
    <w:p>
      <w:pPr>
        <w:pStyle w:val="BookText"/>
        <w:rPr/>
      </w:pPr>
      <w:bookmarkEnd w:id="67"/>
      <w:r>
        <w:rPr>
          <w:rFonts w:ascii="Amiri" w:hAnsi="Amiri" w:eastAsia="Amiri" w:cs="Amiri"/>
          <w:color w:val="111111"/>
          <w:sz w:val="28"/>
          <w:sz w:val="28"/>
          <w:szCs w:val="28"/>
          <w:rtl w:val="true"/>
          <w:lang w:bidi="ar-SA"/>
        </w:rPr>
        <w:t>ألم يدَّع الربوبية؟ ألم يقم الدليل على ذلك؟ ألم يكن هناك أنصار لها؟ فإنَّ الهمج الرعاء ينعقون مع كلّ ناعق، ألم يسجّل التاريخ آلاف الدعاوى الفاسدة والمذاهب الضالّة؟ فليس بغريب دعوى المهدوية أو البابية أو المهديون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الموجب لتلك الدعاوى هو الموجب لهذه الدعاوى، وإنَّ المعالج لتلك الدعاوى هو المعالج لمثل هذه الدعاوى</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2140208_372815092"/>
      <w:bookmarkStart w:id="69" w:name="_Toc24"/>
      <w:bookmarkEnd w:id="68"/>
      <w:r>
        <w:rPr>
          <w:rtl w:val="true"/>
        </w:rPr>
        <w:t>نتائج البحث</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شكَّ في وجود الدعاوى الباطلة والواهية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بقليلة وصدرت في مختلف الأماكن والأزمان، ولم يمرّ زمن إلاَّ وفيه دعاوى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ظاهرة الانحراف مستحدثة، بل هي موجودة على مرّ الأزمان، كما أنَّه لا شكَّ في أنَّ أصحاب هذه الدعاوى لكسب المقبولية يتشبَّثون بالأدلَّة والاستعانة بظاهرة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الانحراف بإرجاع الأمّة والقواعد الجماهيرية إلى العلماء الرواة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إنَّ الذين أوصلوا لنا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ظاهرة الإمام المهدي هم الذين حدَّثونا عن معالجات فترة الغيبة الكبرى، وهم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عندنا أنَّ كلّ من ادَّعى بعد السمري البابية فهو ضالّ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قول جعفر بن محمّد بن قولويه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الذين نقلوا لنا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الرؤية في زمن الغيبة الكبرى فلا تصدّقوه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كيف يمكن الجمع بين هذه الرواية وبين ما هو المسجَّل في أسفار القوم من التشرّف برؤية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الرؤية مع السفارة والنيابة، أي من ادَّعى الرؤيا على سبيل النيابة الخاصّة فلا تصدّقوه، لأنَّ المفروض أنَّه في زمن الغيبة الكبرى لا توجد نيابة شخصية، نعم الثابت النيابة العامّة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بالرؤية التي يراد منها ترتيب آثار معيَّنة على قول الرائي، لأنَّ هذا أمر مشكل، وهو أن يأتي إنسان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فتحنا الباب أمام هذا المعنى يعني أن نصدّق كلّ من يدَّعي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يولّد إرباكاً كبيراً في العقائد وفي الأحكام، ومن هنا ذكر العرفاء أنَّ مدَّعي المكاشفة لا يصدَّق، بل كما أنَّ العلوم الحصولية بحاجة إلى ميزان لصحَّتها، كذلك العلوم الحضورية لا بدَّ لها من ميزان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مدَّعي الرؤية وإلاَّ 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مدَّعي الرؤية يدَّعون أحياناً التكاذب والتكفير والقتل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أنَّ المقصود من النائب في زماننا هو عبارة عن </w:t>
      </w:r>
    </w:p>
    <w:p>
      <w:pPr>
        <w:pStyle w:val="BookText"/>
        <w:rPr/>
      </w:pPr>
      <w:r>
        <w:rPr>
          <w:rFonts w:ascii="Amiri" w:hAnsi="Amiri" w:eastAsia="Amiri" w:cs="Amiri"/>
          <w:color w:val="111111"/>
          <w:sz w:val="28"/>
          <w:sz w:val="28"/>
          <w:szCs w:val="28"/>
          <w:rtl w:val="true"/>
          <w:lang w:bidi="ar-SA"/>
        </w:rPr>
        <w:t xml:space="preserve">الفقيه العادل الجامع للشرائط الذي يقوم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أحكام الدين، وفي إدارة شؤون المسلمين وحفظ بيضة الإسلام، ولا يحقُّ للنائب أن ينقل عن الإمام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عندنا نائب اليوم من النوّاب ينقل مباشرة عن الإمام، وإنَّما نرى علماءنا من بداية عصر الغيبة إلى يومنا يدَّعون الإجماع والاتّفاق على نفي النيابة الخاصّة في عصر الغيبة الكبرى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المستفاد من الروايات حسب الرؤية المذهبية وما سوى ذلك لم يثبت أنَّه من المذهب</w:t>
      </w:r>
      <w:r>
        <w:rPr>
          <w:rFonts w:eastAsia="Amiri" w:cs="Amiri" w:ascii="Amiri" w:hAnsi="Amiri"/>
          <w:color w:val="111111"/>
          <w:sz w:val="28"/>
          <w:szCs w:val="28"/>
          <w:rtl w:val="true"/>
          <w:lang w:bidi="ar-SA"/>
        </w:rPr>
        <w:t>.</w:t>
      </w:r>
      <w:bookmarkStart w:id="70" w:name="pg6950_52541"/>
    </w:p>
    <w:p>
      <w:pPr>
        <w:pStyle w:val="Heading2"/>
        <w:numPr>
          <w:ilvl w:val="1"/>
          <w:numId w:val="1"/>
        </w:numPr>
        <w:rPr/>
      </w:pPr>
      <w:bookmarkStart w:id="71" w:name="__RefHeading___Toc2140210_372815092"/>
      <w:bookmarkStart w:id="72" w:name="_Toc25"/>
      <w:bookmarkEnd w:id="70"/>
      <w:bookmarkEnd w:id="71"/>
      <w:r>
        <w:rPr>
          <w:rtl w:val="true"/>
        </w:rPr>
        <w:t>مصادر التحقيق</w:t>
      </w:r>
      <w:bookmarkEnd w:id="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رشاد سالم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bookmarkStart w:id="73" w:name="pg6950_52545"/>
    </w:p>
    <w:p>
      <w:pPr>
        <w:pStyle w:val="Heading2"/>
        <w:numPr>
          <w:ilvl w:val="1"/>
          <w:numId w:val="1"/>
        </w:numPr>
        <w:rPr/>
      </w:pPr>
      <w:bookmarkStart w:id="74" w:name="__RefHeading___Toc2140212_372815092"/>
      <w:bookmarkStart w:id="75" w:name="_Toc26"/>
      <w:bookmarkEnd w:id="73"/>
      <w:bookmarkEnd w:id="74"/>
      <w:r>
        <w:rPr>
          <w:rtl w:val="true"/>
        </w:rPr>
        <w:t>فهرست الموضوعات</w:t>
      </w:r>
      <w:bookmarkEnd w:id="75"/>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الضرورة التكوينية لحكم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الإمكان والولادة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فائدة الإمام مع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الإمامة في السنّ المبكر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الغيبتان وخصائصهما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الغيبة من أسرار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خصائص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خصائص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حقيقة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ما بعد الظهور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المناهج المعرفية في قراءة القضيّة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المنهج الروائي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المنهج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 شبهات المنكرين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خصوصيات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الإساءة إلى 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مناشئ الادّعاءات الباطلة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مجلَّة الجامعة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 المهدي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أربعون حديثاً في المهدي رواها عن الصحابة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والعامّة بألفاظ مختلفة متَّحدة المعنى،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ذكر خلفاء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اثنا عشر في عدَّة 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ثابت بن دينار، عن سيّد العابدين علي بن الحسين، عن سيّد الشهداء الحسين بن علي، عن سيّد الأوصياء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من بعدي اثنا عشر، أوّلهم أنت يا علي، وآخرهم القائم الذي يفتح الله تعالى ذكره على يديه مشارق الأرض ومغاربها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الخاصّة والعامّة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عرف الحقّ من أهل البيت ومن 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للمعمّرين، وألَّف كلّ من أبي حاتم السجستاني والعلاَّمة الكراجكي رسالة خاصّة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المعمّرون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والعامّة بألفاظ مختلفة متَّحدة المعنى،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لابن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الشيعة الاثني عشرية عن الشبهات الواهية لأبي طالب التجليل التبريزي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يكون فيها دلالة على الغيب فقط، بينما نريد أن تبقى محافظة على دلالتها على الظهور، وهي باقية حتَّى مع حدوثها، بل هي آكدة في هذا المقصود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روايتنا عن رواية العامّة في شرح أحوال الدجّال، وقد ضخَّموه وجعلوا له قدرة خيالية وأسطورية، ووصف الدجّال بالمسيح وهو وصف لم يصرّح في مصادرنا، وإنَّما هو منقول عن اليهود لشدَّة عدائهم للمسيح، وقد رُوي في بعض كتب العامّة أنَّ الدجّال عربي وأنَّ المهدي لا يحقّق هدفه بل يُقتل على يد الروم، وأنَّ الكعبة تُهدم ومكّة تُخرب وتنتهي الدنيا بعد الدجّال وتقوم القيامة، وفي كلّ هذا تأمّل واضح، فما ورد مقبولاً أنَّ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مرحلة جديدة في حياة الناس على الأرض، وأنَّ الحياة تستمرُّ في ظلّه إلى ما شاء الله حتَّى يوم القيامة، وخروج الدجّال إنَّما هو حدث في أوائل ظهور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ونزول المسيح يتمُّ الانتصار عليه، ثمّ يكون بعده اثنا عشر مهدياً، ثمّ بحث الرجعة، ولا عودة للظلم إلى الأرض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يقال من أنَّ الإمام لماذا لم يحكم بحكم الإسلام وإنَّما يحكم بحكم داود وسليمان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فمردود لأنَّ إثبات شيء لشيء لا يدلُّ نفيه عمَّا عداه، بل قد أكَّدنا سابقاً على أنَّ الإمام يحكم بسُنّة الرسول ويجيء معالم الدين الإسلامي لا أنَّه يأتي بشريعة ودين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لماذا لا يسأل عن البيّنة؟ فلأنَّ البيّنة أمارة شرعية تعبّدية ظاهرية عند انسداد باب معرفة الواقع، ومع تكامل العلوم وازدياد الشواهد والقرائن لا تصل النوبة إلى البيّنة، بل يمكن معرفة الواقع عن طرق علمية للتكامل العلمي وسعته كما كان عليه في زمن داود وسليمان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السحاب رقيقة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قزع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يستوحشون على أحد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شرح نهج البلاغة لابن أبي الحديد، وفي 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خيرة الإماء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المصدرين، ويحتمل أنَّه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12810</w:t>
      </w:r>
      <w:r>
        <w:rPr>
          <w:rFonts w:ascii="IRNazanin" w:hAnsi="IRNazanin" w:eastAsia="IRNazanin"/>
          <w:b w:val="false"/>
          <w:b w:val="false"/>
          <w:bCs w:val="false"/>
          <w:i w:val="false"/>
          <w:i w:val="false"/>
          <w:iCs w:val="false"/>
          <w:color w:val="333333"/>
          <w:sz w:val="20"/>
          <w:sz w:val="20"/>
          <w:szCs w:val="20"/>
          <w:rtl w:val="true"/>
        </w:rPr>
        <w:t>؛ العطر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على ما في معجم أحاديث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على ما في معجم أحاديث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الدجيل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ضوء الأحاديث والآثار الصحيحة لعبد العليم البستوي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في أذربيجان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ضوء الأحاديث والآثار الصحيحة لعبد العليم البستوي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11520</Words>
  <Characters>53051</Characters>
  <CharactersWithSpaces>64130</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2026-08-27T06:52:13Z</dcterms:created>
  <dc:creator>ghaemiyeh.com</dc:creator>
  <dc:description/>
  <dc:language>en-US</dc:language>
  <cp:lastModifiedBy/>
  <dcterms:modified xsi:type="dcterms:W3CDTF">2026-08-27T10:22:16Z</dcterms:modified>
  <cp:revision>1</cp:revision>
  <dc:subject/>
  <dc:title>الاساءة الی القائم لیست أول قارورة کسرت فی الاسلام</dc:title>
</cp:coreProperties>
</file>

<file path=docProps/custom.xml><?xml version="1.0" encoding="utf-8"?>
<Properties xmlns="http://schemas.openxmlformats.org/officeDocument/2006/custom-properties" xmlns:vt="http://schemas.openxmlformats.org/officeDocument/2006/docPropsVTypes"/>
</file>