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شناخت نامه کلینی و الکافی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1653_1878427129">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651655_1878427129">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651657_1878427129">
            <w:r>
              <w:rPr>
                <w:webHidden/>
                <w:rStyle w:val="IndexLink"/>
                <w:rtl w:val="true"/>
              </w:rPr>
              <w:t>علم الأئمة فی الکافی</w:t>
            </w:r>
            <w:r>
              <w:rPr>
                <w:rStyle w:val="IndexLink"/>
                <w:rtl w:val="true"/>
              </w:rPr>
              <w:tab/>
            </w:r>
            <w:r>
              <w:rPr>
                <w:rStyle w:val="IndexLink"/>
              </w:rPr>
              <w:t>17</w:t>
            </w:r>
          </w:hyperlink>
        </w:p>
        <w:p>
          <w:pPr>
            <w:pStyle w:val="Contents3"/>
            <w:tabs>
              <w:tab w:val="clear" w:pos="8459"/>
              <w:tab w:val="right" w:pos="9026" w:leader="dot"/>
            </w:tabs>
            <w:rPr/>
          </w:pPr>
          <w:hyperlink w:anchor="__RefHeading___Toc651659_1878427129">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651661_1878427129">
            <w:r>
              <w:rPr>
                <w:webHidden/>
                <w:rStyle w:val="IndexLink"/>
                <w:rtl w:val="true"/>
              </w:rPr>
              <w:t>چکیده</w:t>
            </w:r>
            <w:r>
              <w:rPr>
                <w:rStyle w:val="IndexLink"/>
                <w:rtl w:val="true"/>
              </w:rPr>
              <w:tab/>
            </w:r>
            <w:r>
              <w:rPr>
                <w:rStyle w:val="IndexLink"/>
              </w:rPr>
              <w:t>17</w:t>
            </w:r>
          </w:hyperlink>
        </w:p>
        <w:p>
          <w:pPr>
            <w:pStyle w:val="Contents3"/>
            <w:tabs>
              <w:tab w:val="clear" w:pos="8459"/>
              <w:tab w:val="right" w:pos="9026" w:leader="dot"/>
            </w:tabs>
            <w:rPr/>
          </w:pPr>
          <w:hyperlink w:anchor="__RefHeading___Toc651663_1878427129">
            <w:r>
              <w:rPr>
                <w:webHidden/>
                <w:rStyle w:val="IndexLink"/>
                <w:rtl w:val="true"/>
              </w:rPr>
              <w:t xml:space="preserve">عصر الشیخ الکلینی </w:t>
            </w:r>
            <w:r>
              <w:rPr>
                <w:rStyle w:val="IndexLink"/>
                <w:rtl w:val="true"/>
              </w:rPr>
              <w:t xml:space="preserve">( </w:t>
            </w:r>
            <w:r>
              <w:rPr>
                <w:rStyle w:val="IndexLink"/>
                <w:rtl w:val="true"/>
              </w:rPr>
              <w:t xml:space="preserve">ت </w:t>
            </w:r>
            <w:r>
              <w:rPr>
                <w:rStyle w:val="IndexLink"/>
              </w:rPr>
              <w:t>329</w:t>
            </w:r>
            <w:r>
              <w:rPr>
                <w:rStyle w:val="IndexLink"/>
                <w:rtl w:val="true"/>
              </w:rPr>
              <w:t xml:space="preserve"> </w:t>
            </w:r>
            <w:r>
              <w:rPr>
                <w:rStyle w:val="IndexLink"/>
                <w:rtl w:val="true"/>
              </w:rPr>
              <w:t>ق</w:t>
            </w:r>
            <w:r>
              <w:rPr>
                <w:rStyle w:val="IndexLink"/>
                <w:rtl w:val="true"/>
              </w:rPr>
              <w:t xml:space="preserve">) </w:t>
            </w:r>
            <w:r>
              <w:rPr>
                <w:rStyle w:val="IndexLink"/>
                <w:rtl w:val="true"/>
              </w:rPr>
              <w:t>،</w:t>
            </w:r>
            <w:r>
              <w:rPr>
                <w:rStyle w:val="IndexLink"/>
                <w:rtl w:val="true"/>
              </w:rPr>
              <w:tab/>
            </w:r>
            <w:r>
              <w:rPr>
                <w:rStyle w:val="IndexLink"/>
              </w:rPr>
              <w:t>17</w:t>
            </w:r>
          </w:hyperlink>
        </w:p>
        <w:p>
          <w:pPr>
            <w:pStyle w:val="Contents2"/>
            <w:tabs>
              <w:tab w:val="clear" w:pos="8743"/>
              <w:tab w:val="right" w:pos="9026" w:leader="dot"/>
            </w:tabs>
            <w:rPr/>
          </w:pPr>
          <w:hyperlink w:anchor="__RefHeading___Toc651665_1878427129">
            <w:r>
              <w:rPr>
                <w:webHidden/>
                <w:rStyle w:val="IndexLink"/>
                <w:rtl w:val="true"/>
              </w:rPr>
              <w:t>زمینه های تاریخی کتاب کافی با تکیه بر جنبه های کلامی</w:t>
            </w:r>
            <w:r>
              <w:rPr>
                <w:rStyle w:val="IndexLink"/>
                <w:rtl w:val="true"/>
              </w:rPr>
              <w:tab/>
            </w:r>
            <w:r>
              <w:rPr>
                <w:rStyle w:val="IndexLink"/>
              </w:rPr>
              <w:t>29</w:t>
            </w:r>
          </w:hyperlink>
        </w:p>
        <w:p>
          <w:pPr>
            <w:pStyle w:val="Contents3"/>
            <w:tabs>
              <w:tab w:val="clear" w:pos="8459"/>
              <w:tab w:val="right" w:pos="9026" w:leader="dot"/>
            </w:tabs>
            <w:rPr/>
          </w:pPr>
          <w:hyperlink w:anchor="__RefHeading___Toc651667_1878427129">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651669_1878427129">
            <w:r>
              <w:rPr>
                <w:webHidden/>
                <w:rStyle w:val="IndexLink"/>
                <w:rtl w:val="true"/>
              </w:rPr>
              <w:t>چکیده</w:t>
            </w:r>
            <w:r>
              <w:rPr>
                <w:rStyle w:val="IndexLink"/>
                <w:rtl w:val="true"/>
              </w:rPr>
              <w:tab/>
            </w:r>
            <w:r>
              <w:rPr>
                <w:rStyle w:val="IndexLink"/>
              </w:rPr>
              <w:t>29</w:t>
            </w:r>
          </w:hyperlink>
        </w:p>
        <w:p>
          <w:pPr>
            <w:pStyle w:val="Contents3"/>
            <w:tabs>
              <w:tab w:val="clear" w:pos="8459"/>
              <w:tab w:val="right" w:pos="9026" w:leader="dot"/>
            </w:tabs>
            <w:rPr/>
          </w:pPr>
          <w:hyperlink w:anchor="__RefHeading___Toc651671_1878427129">
            <w:r>
              <w:rPr>
                <w:webHidden/>
                <w:rStyle w:val="IndexLink"/>
                <w:rtl w:val="true"/>
              </w:rPr>
              <w:t>شرح حال کلینی</w:t>
            </w:r>
            <w:r>
              <w:rPr>
                <w:rStyle w:val="IndexLink"/>
                <w:rtl w:val="true"/>
              </w:rPr>
              <w:tab/>
            </w:r>
            <w:r>
              <w:rPr>
                <w:rStyle w:val="IndexLink"/>
              </w:rPr>
              <w:t>29</w:t>
            </w:r>
          </w:hyperlink>
        </w:p>
        <w:p>
          <w:pPr>
            <w:pStyle w:val="Contents3"/>
            <w:tabs>
              <w:tab w:val="clear" w:pos="8459"/>
              <w:tab w:val="right" w:pos="9026" w:leader="dot"/>
            </w:tabs>
            <w:rPr/>
          </w:pPr>
          <w:hyperlink w:anchor="__RefHeading___Toc651673_1878427129">
            <w:r>
              <w:rPr>
                <w:webHidden/>
                <w:rStyle w:val="IndexLink"/>
                <w:rtl w:val="true"/>
              </w:rPr>
              <w:t>کلینی و نواب اربعه</w:t>
            </w:r>
            <w:r>
              <w:rPr>
                <w:rStyle w:val="IndexLink"/>
                <w:rtl w:val="true"/>
              </w:rPr>
              <w:tab/>
            </w:r>
            <w:r>
              <w:rPr>
                <w:rStyle w:val="IndexLink"/>
              </w:rPr>
              <w:t>34</w:t>
            </w:r>
          </w:hyperlink>
        </w:p>
        <w:p>
          <w:pPr>
            <w:pStyle w:val="Contents3"/>
            <w:tabs>
              <w:tab w:val="clear" w:pos="8459"/>
              <w:tab w:val="right" w:pos="9026" w:leader="dot"/>
            </w:tabs>
            <w:rPr/>
          </w:pPr>
          <w:hyperlink w:anchor="__RefHeading___Toc651675_1878427129">
            <w:r>
              <w:rPr>
                <w:webHidden/>
                <w:rStyle w:val="IndexLink"/>
                <w:rtl w:val="true"/>
              </w:rPr>
              <w:t>کتاب کافی</w:t>
            </w:r>
            <w:r>
              <w:rPr>
                <w:rStyle w:val="IndexLink"/>
                <w:rtl w:val="true"/>
              </w:rPr>
              <w:tab/>
            </w:r>
            <w:r>
              <w:rPr>
                <w:rStyle w:val="IndexLink"/>
              </w:rPr>
              <w:t>36</w:t>
            </w:r>
          </w:hyperlink>
        </w:p>
        <w:p>
          <w:pPr>
            <w:pStyle w:val="Contents3"/>
            <w:tabs>
              <w:tab w:val="clear" w:pos="8459"/>
              <w:tab w:val="right" w:pos="9026" w:leader="dot"/>
            </w:tabs>
            <w:rPr/>
          </w:pPr>
          <w:hyperlink w:anchor="__RefHeading___Toc651677_1878427129">
            <w:r>
              <w:rPr>
                <w:webHidden/>
                <w:rStyle w:val="IndexLink"/>
                <w:rtl w:val="true"/>
              </w:rPr>
              <w:t>زمینۀ تاریخی و انگیزه های تدوین</w:t>
            </w:r>
            <w:r>
              <w:rPr>
                <w:rStyle w:val="IndexLink"/>
                <w:rtl w:val="true"/>
              </w:rPr>
              <w:tab/>
            </w:r>
            <w:r>
              <w:rPr>
                <w:rStyle w:val="IndexLink"/>
              </w:rPr>
              <w:t>37</w:t>
            </w:r>
          </w:hyperlink>
        </w:p>
        <w:p>
          <w:pPr>
            <w:pStyle w:val="Contents3"/>
            <w:tabs>
              <w:tab w:val="clear" w:pos="8459"/>
              <w:tab w:val="right" w:pos="9026" w:leader="dot"/>
            </w:tabs>
            <w:rPr/>
          </w:pPr>
          <w:hyperlink w:anchor="__RefHeading___Toc651679_1878427129">
            <w:r>
              <w:rPr>
                <w:webHidden/>
                <w:rStyle w:val="IndexLink"/>
                <w:rtl w:val="true"/>
              </w:rPr>
              <w:t>معیارهای گزینش حدیث</w:t>
            </w:r>
            <w:r>
              <w:rPr>
                <w:rStyle w:val="IndexLink"/>
                <w:rtl w:val="true"/>
              </w:rPr>
              <w:tab/>
            </w:r>
            <w:r>
              <w:rPr>
                <w:rStyle w:val="IndexLink"/>
              </w:rPr>
              <w:t>42</w:t>
            </w:r>
          </w:hyperlink>
        </w:p>
        <w:p>
          <w:pPr>
            <w:pStyle w:val="Contents3"/>
            <w:tabs>
              <w:tab w:val="clear" w:pos="8459"/>
              <w:tab w:val="right" w:pos="9026" w:leader="dot"/>
            </w:tabs>
            <w:rPr/>
          </w:pPr>
          <w:hyperlink w:anchor="__RefHeading___Toc651681_1878427129">
            <w:r>
              <w:rPr>
                <w:webHidden/>
                <w:rStyle w:val="IndexLink"/>
                <w:rtl w:val="true"/>
              </w:rPr>
              <w:t>معرفی ابواب کلامی</w:t>
            </w:r>
            <w:r>
              <w:rPr>
                <w:rStyle w:val="IndexLink"/>
                <w:rtl w:val="true"/>
              </w:rPr>
              <w:tab/>
            </w:r>
            <w:r>
              <w:rPr>
                <w:rStyle w:val="IndexLink"/>
              </w:rPr>
              <w:t>48</w:t>
            </w:r>
          </w:hyperlink>
        </w:p>
        <w:p>
          <w:pPr>
            <w:pStyle w:val="Contents3"/>
            <w:tabs>
              <w:tab w:val="clear" w:pos="8459"/>
              <w:tab w:val="right" w:pos="9026" w:leader="dot"/>
            </w:tabs>
            <w:rPr/>
          </w:pPr>
          <w:hyperlink w:anchor="__RefHeading___Toc651683_1878427129">
            <w:r>
              <w:rPr>
                <w:webHidden/>
                <w:rStyle w:val="IndexLink"/>
                <w:rtl w:val="true"/>
              </w:rPr>
              <w:t>نتیجه گیری</w:t>
            </w:r>
            <w:r>
              <w:rPr>
                <w:rStyle w:val="IndexLink"/>
                <w:rtl w:val="true"/>
              </w:rPr>
              <w:tab/>
            </w:r>
            <w:r>
              <w:rPr>
                <w:rStyle w:val="IndexLink"/>
              </w:rPr>
              <w:t>54</w:t>
            </w:r>
          </w:hyperlink>
        </w:p>
        <w:p>
          <w:pPr>
            <w:pStyle w:val="Contents3"/>
            <w:tabs>
              <w:tab w:val="clear" w:pos="8459"/>
              <w:tab w:val="right" w:pos="9026" w:leader="dot"/>
            </w:tabs>
            <w:rPr/>
          </w:pPr>
          <w:hyperlink w:anchor="__RefHeading___Toc651685_1878427129">
            <w:r>
              <w:rPr>
                <w:webHidden/>
                <w:rStyle w:val="IndexLink"/>
                <w:rtl w:val="true"/>
              </w:rPr>
              <w:t>فهرست منابع</w:t>
            </w:r>
            <w:r>
              <w:rPr>
                <w:rStyle w:val="IndexLink"/>
                <w:rtl w:val="true"/>
              </w:rPr>
              <w:tab/>
            </w:r>
            <w:r>
              <w:rPr>
                <w:rStyle w:val="IndexLink"/>
              </w:rPr>
              <w:t>55</w:t>
            </w:r>
          </w:hyperlink>
        </w:p>
        <w:p>
          <w:pPr>
            <w:pStyle w:val="Contents2"/>
            <w:tabs>
              <w:tab w:val="clear" w:pos="8743"/>
              <w:tab w:val="right" w:pos="9026" w:leader="dot"/>
            </w:tabs>
            <w:rPr/>
          </w:pPr>
          <w:hyperlink w:anchor="__RefHeading___Toc651687_1878427129">
            <w:r>
              <w:rPr>
                <w:webHidden/>
                <w:rStyle w:val="IndexLink"/>
                <w:rtl w:val="true"/>
              </w:rPr>
              <w:t>فقه الکلینی دراسة و تحلیل</w:t>
            </w:r>
            <w:r>
              <w:rPr>
                <w:rStyle w:val="IndexLink"/>
                <w:rtl w:val="true"/>
              </w:rPr>
              <w:tab/>
            </w:r>
            <w:r>
              <w:rPr>
                <w:rStyle w:val="IndexLink"/>
              </w:rPr>
              <w:t>57</w:t>
            </w:r>
          </w:hyperlink>
        </w:p>
        <w:p>
          <w:pPr>
            <w:pStyle w:val="Contents3"/>
            <w:tabs>
              <w:tab w:val="clear" w:pos="8459"/>
              <w:tab w:val="right" w:pos="9026" w:leader="dot"/>
            </w:tabs>
            <w:rPr/>
          </w:pPr>
          <w:hyperlink w:anchor="__RefHeading___Toc651689_1878427129">
            <w:r>
              <w:rPr>
                <w:webHidden/>
                <w:rStyle w:val="IndexLink"/>
                <w:rtl w:val="true"/>
              </w:rPr>
              <w:t>اشارة</w:t>
            </w:r>
            <w:r>
              <w:rPr>
                <w:rStyle w:val="IndexLink"/>
                <w:rtl w:val="true"/>
              </w:rPr>
              <w:tab/>
            </w:r>
            <w:r>
              <w:rPr>
                <w:rStyle w:val="IndexLink"/>
              </w:rPr>
              <w:t>57</w:t>
            </w:r>
          </w:hyperlink>
        </w:p>
        <w:p>
          <w:pPr>
            <w:pStyle w:val="Contents3"/>
            <w:tabs>
              <w:tab w:val="clear" w:pos="8459"/>
              <w:tab w:val="right" w:pos="9026" w:leader="dot"/>
            </w:tabs>
            <w:rPr/>
          </w:pPr>
          <w:hyperlink w:anchor="__RefHeading___Toc651691_1878427129">
            <w:r>
              <w:rPr>
                <w:webHidden/>
                <w:rStyle w:val="IndexLink"/>
                <w:rtl w:val="true"/>
              </w:rPr>
              <w:t>چکیده</w:t>
            </w:r>
            <w:r>
              <w:rPr>
                <w:rStyle w:val="IndexLink"/>
                <w:rtl w:val="true"/>
              </w:rPr>
              <w:tab/>
            </w:r>
            <w:r>
              <w:rPr>
                <w:rStyle w:val="IndexLink"/>
              </w:rPr>
              <w:t>57</w:t>
            </w:r>
          </w:hyperlink>
        </w:p>
        <w:p>
          <w:pPr>
            <w:pStyle w:val="Contents3"/>
            <w:tabs>
              <w:tab w:val="clear" w:pos="8459"/>
              <w:tab w:val="right" w:pos="9026" w:leader="dot"/>
            </w:tabs>
            <w:rPr/>
          </w:pPr>
          <w:hyperlink w:anchor="__RefHeading___Toc651693_1878427129">
            <w:r>
              <w:rPr>
                <w:webHidden/>
                <w:rStyle w:val="IndexLink"/>
                <w:rtl w:val="true"/>
              </w:rPr>
              <w:t>ثقة الإسلام الکلینی فی سطور</w:t>
            </w:r>
            <w:r>
              <w:rPr>
                <w:rStyle w:val="IndexLink"/>
                <w:rtl w:val="true"/>
              </w:rPr>
              <w:tab/>
            </w:r>
            <w:r>
              <w:rPr>
                <w:rStyle w:val="IndexLink"/>
              </w:rPr>
              <w:t>58</w:t>
            </w:r>
          </w:hyperlink>
        </w:p>
        <w:p>
          <w:pPr>
            <w:pStyle w:val="Contents3"/>
            <w:tabs>
              <w:tab w:val="clear" w:pos="8459"/>
              <w:tab w:val="right" w:pos="9026" w:leader="dot"/>
            </w:tabs>
            <w:rPr/>
          </w:pPr>
          <w:hyperlink w:anchor="__RefHeading___Toc651695_1878427129">
            <w:r>
              <w:rPr>
                <w:webHidden/>
                <w:rStyle w:val="IndexLink"/>
                <w:rtl w:val="true"/>
              </w:rPr>
              <w:t>مؤلّفاته</w:t>
            </w:r>
            <w:r>
              <w:rPr>
                <w:rStyle w:val="IndexLink"/>
                <w:rtl w:val="true"/>
              </w:rPr>
              <w:tab/>
            </w:r>
            <w:r>
              <w:rPr>
                <w:rStyle w:val="IndexLink"/>
              </w:rPr>
              <w:t>59</w:t>
            </w:r>
          </w:hyperlink>
        </w:p>
        <w:p>
          <w:pPr>
            <w:pStyle w:val="Contents3"/>
            <w:tabs>
              <w:tab w:val="clear" w:pos="8459"/>
              <w:tab w:val="right" w:pos="9026" w:leader="dot"/>
            </w:tabs>
            <w:rPr/>
          </w:pPr>
          <w:hyperlink w:anchor="__RefHeading___Toc651697_1878427129">
            <w:r>
              <w:rPr>
                <w:webHidden/>
                <w:rStyle w:val="IndexLink"/>
                <w:rtl w:val="true"/>
              </w:rPr>
              <w:t>مشایخه وتلامذته</w:t>
            </w:r>
            <w:r>
              <w:rPr>
                <w:rStyle w:val="IndexLink"/>
                <w:rtl w:val="true"/>
              </w:rPr>
              <w:tab/>
            </w:r>
            <w:r>
              <w:rPr>
                <w:rStyle w:val="IndexLink"/>
              </w:rPr>
              <w:t>59</w:t>
            </w:r>
          </w:hyperlink>
        </w:p>
        <w:p>
          <w:pPr>
            <w:pStyle w:val="Contents3"/>
            <w:tabs>
              <w:tab w:val="clear" w:pos="8459"/>
              <w:tab w:val="right" w:pos="9026" w:leader="dot"/>
            </w:tabs>
            <w:rPr/>
          </w:pPr>
          <w:hyperlink w:anchor="__RefHeading___Toc651699_1878427129">
            <w:r>
              <w:rPr>
                <w:webHidden/>
                <w:rStyle w:val="IndexLink"/>
                <w:rtl w:val="true"/>
              </w:rPr>
              <w:t>مکانته العلمیة</w:t>
            </w:r>
            <w:r>
              <w:rPr>
                <w:rStyle w:val="IndexLink"/>
                <w:rtl w:val="true"/>
              </w:rPr>
              <w:tab/>
            </w:r>
            <w:r>
              <w:rPr>
                <w:rStyle w:val="IndexLink"/>
              </w:rPr>
              <w:t>60</w:t>
            </w:r>
          </w:hyperlink>
        </w:p>
        <w:p>
          <w:pPr>
            <w:pStyle w:val="Contents3"/>
            <w:tabs>
              <w:tab w:val="clear" w:pos="8459"/>
              <w:tab w:val="right" w:pos="9026" w:leader="dot"/>
            </w:tabs>
            <w:rPr/>
          </w:pPr>
          <w:hyperlink w:anchor="__RefHeading___Toc651701_1878427129">
            <w:r>
              <w:rPr>
                <w:webHidden/>
                <w:rStyle w:val="IndexLink"/>
                <w:rtl w:val="true"/>
              </w:rPr>
              <w:t>وقفة مع کتاب الکافی</w:t>
            </w:r>
            <w:r>
              <w:rPr>
                <w:rStyle w:val="IndexLink"/>
                <w:rtl w:val="true"/>
              </w:rPr>
              <w:tab/>
            </w:r>
            <w:r>
              <w:rPr>
                <w:rStyle w:val="IndexLink"/>
              </w:rPr>
              <w:t>61</w:t>
            </w:r>
          </w:hyperlink>
        </w:p>
        <w:p>
          <w:pPr>
            <w:pStyle w:val="Contents3"/>
            <w:tabs>
              <w:tab w:val="clear" w:pos="8459"/>
              <w:tab w:val="right" w:pos="9026" w:leader="dot"/>
            </w:tabs>
            <w:rPr/>
          </w:pPr>
          <w:hyperlink w:anchor="__RefHeading___Toc651703_1878427129">
            <w:r>
              <w:rPr>
                <w:webHidden/>
                <w:rStyle w:val="IndexLink"/>
                <w:rtl w:val="true"/>
              </w:rPr>
              <w:t>إشارة هامّة</w:t>
            </w:r>
            <w:r>
              <w:rPr>
                <w:rStyle w:val="IndexLink"/>
                <w:rtl w:val="true"/>
              </w:rPr>
              <w:tab/>
            </w:r>
            <w:r>
              <w:rPr>
                <w:rStyle w:val="IndexLink"/>
              </w:rPr>
              <w:t>64</w:t>
            </w:r>
          </w:hyperlink>
        </w:p>
        <w:p>
          <w:pPr>
            <w:pStyle w:val="Contents3"/>
            <w:tabs>
              <w:tab w:val="clear" w:pos="8459"/>
              <w:tab w:val="right" w:pos="9026" w:leader="dot"/>
            </w:tabs>
            <w:rPr/>
          </w:pPr>
          <w:hyperlink w:anchor="__RefHeading___Toc651705_1878427129">
            <w:r>
              <w:rPr>
                <w:webHidden/>
                <w:rStyle w:val="IndexLink"/>
                <w:rtl w:val="true"/>
              </w:rPr>
              <w:t>وأمّا ما رواه الشیخ الصدوق عنه فننقل منه</w:t>
            </w:r>
            <w:r>
              <w:rPr>
                <w:rStyle w:val="IndexLink"/>
                <w:rtl w:val="true"/>
              </w:rPr>
              <w:t>:</w:t>
              <w:tab/>
            </w:r>
            <w:r>
              <w:rPr>
                <w:rStyle w:val="IndexLink"/>
              </w:rPr>
              <w:t>65</w:t>
            </w:r>
          </w:hyperlink>
        </w:p>
        <w:p>
          <w:pPr>
            <w:pStyle w:val="Contents3"/>
            <w:tabs>
              <w:tab w:val="clear" w:pos="8459"/>
              <w:tab w:val="right" w:pos="9026" w:leader="dot"/>
            </w:tabs>
            <w:rPr/>
          </w:pPr>
          <w:hyperlink w:anchor="__RefHeading___Toc651707_1878427129">
            <w:r>
              <w:rPr>
                <w:webHidden/>
                <w:rStyle w:val="IndexLink"/>
                <w:rtl w:val="true"/>
              </w:rPr>
              <w:t>الملامح العامّة للبعد الفقهی</w:t>
            </w:r>
            <w:r>
              <w:rPr>
                <w:rStyle w:val="IndexLink"/>
                <w:rtl w:val="true"/>
              </w:rPr>
              <w:tab/>
            </w:r>
            <w:r>
              <w:rPr>
                <w:rStyle w:val="IndexLink"/>
              </w:rPr>
              <w:t>66</w:t>
            </w:r>
          </w:hyperlink>
        </w:p>
        <w:p>
          <w:pPr>
            <w:pStyle w:val="Contents4"/>
            <w:tabs>
              <w:tab w:val="clear" w:pos="8176"/>
              <w:tab w:val="right" w:pos="9026" w:leader="dot"/>
            </w:tabs>
            <w:rPr/>
          </w:pPr>
          <w:hyperlink w:anchor="__RefHeading___Toc651709_1878427129">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651711_1878427129">
            <w:r>
              <w:rPr>
                <w:webHidden/>
                <w:rStyle w:val="IndexLink"/>
              </w:rPr>
              <w:t>1</w:t>
            </w:r>
            <w:r>
              <w:rPr>
                <w:rStyle w:val="IndexLink"/>
                <w:rtl w:val="true"/>
              </w:rPr>
              <w:t>-</w:t>
            </w:r>
            <w:r>
              <w:rPr>
                <w:rStyle w:val="IndexLink"/>
                <w:rtl w:val="true"/>
              </w:rPr>
              <w:t>بیان الفتوی علی ضوء الأخبار والاستدلال علیها</w:t>
            </w:r>
            <w:r>
              <w:rPr>
                <w:rStyle w:val="IndexLink"/>
                <w:rtl w:val="true"/>
              </w:rPr>
              <w:tab/>
            </w:r>
            <w:r>
              <w:rPr>
                <w:rStyle w:val="IndexLink"/>
              </w:rPr>
              <w:t>66</w:t>
            </w:r>
          </w:hyperlink>
        </w:p>
        <w:p>
          <w:pPr>
            <w:pStyle w:val="Contents4"/>
            <w:tabs>
              <w:tab w:val="clear" w:pos="8176"/>
              <w:tab w:val="right" w:pos="9026" w:leader="dot"/>
            </w:tabs>
            <w:rPr/>
          </w:pPr>
          <w:hyperlink w:anchor="__RefHeading___Toc651713_1878427129">
            <w:r>
              <w:rPr>
                <w:webHidden/>
                <w:rStyle w:val="IndexLink"/>
              </w:rPr>
              <w:t>2</w:t>
            </w:r>
            <w:r>
              <w:rPr>
                <w:rStyle w:val="IndexLink"/>
                <w:rtl w:val="true"/>
              </w:rPr>
              <w:t>-</w:t>
            </w:r>
            <w:r>
              <w:rPr>
                <w:rStyle w:val="IndexLink"/>
                <w:rtl w:val="true"/>
              </w:rPr>
              <w:t>الجمع بین الأخبار المتعارضة</w:t>
            </w:r>
            <w:r>
              <w:rPr>
                <w:rStyle w:val="IndexLink"/>
                <w:rtl w:val="true"/>
              </w:rPr>
              <w:tab/>
            </w:r>
            <w:r>
              <w:rPr>
                <w:rStyle w:val="IndexLink"/>
              </w:rPr>
              <w:t>67</w:t>
            </w:r>
          </w:hyperlink>
        </w:p>
        <w:p>
          <w:pPr>
            <w:pStyle w:val="Contents4"/>
            <w:tabs>
              <w:tab w:val="clear" w:pos="8176"/>
              <w:tab w:val="right" w:pos="9026" w:leader="dot"/>
            </w:tabs>
            <w:rPr/>
          </w:pPr>
          <w:hyperlink w:anchor="__RefHeading___Toc651715_1878427129">
            <w:r>
              <w:rPr>
                <w:webHidden/>
                <w:rStyle w:val="IndexLink"/>
              </w:rPr>
              <w:t>3</w:t>
            </w:r>
            <w:r>
              <w:rPr>
                <w:rStyle w:val="IndexLink"/>
                <w:rtl w:val="true"/>
              </w:rPr>
              <w:t>-</w:t>
            </w:r>
            <w:r>
              <w:rPr>
                <w:rStyle w:val="IndexLink"/>
                <w:rtl w:val="true"/>
              </w:rPr>
              <w:t>عنایته بالأقوال</w:t>
            </w:r>
            <w:r>
              <w:rPr>
                <w:rStyle w:val="IndexLink"/>
                <w:rtl w:val="true"/>
              </w:rPr>
              <w:tab/>
            </w:r>
            <w:r>
              <w:rPr>
                <w:rStyle w:val="IndexLink"/>
              </w:rPr>
              <w:t>70</w:t>
            </w:r>
          </w:hyperlink>
        </w:p>
        <w:p>
          <w:pPr>
            <w:pStyle w:val="Contents4"/>
            <w:tabs>
              <w:tab w:val="clear" w:pos="8176"/>
              <w:tab w:val="right" w:pos="9026" w:leader="dot"/>
            </w:tabs>
            <w:rPr/>
          </w:pPr>
          <w:hyperlink w:anchor="__RefHeading___Toc651717_1878427129">
            <w:r>
              <w:rPr>
                <w:webHidden/>
                <w:rStyle w:val="IndexLink"/>
              </w:rPr>
              <w:t>4</w:t>
            </w:r>
            <w:r>
              <w:rPr>
                <w:rStyle w:val="IndexLink"/>
                <w:rtl w:val="true"/>
              </w:rPr>
              <w:t>-</w:t>
            </w:r>
            <w:r>
              <w:rPr>
                <w:rStyle w:val="IndexLink"/>
                <w:rtl w:val="true"/>
              </w:rPr>
              <w:t>البحث الاستدلالی فی بعض البحوث الهامّة</w:t>
            </w:r>
            <w:r>
              <w:rPr>
                <w:rStyle w:val="IndexLink"/>
                <w:rtl w:val="true"/>
              </w:rPr>
              <w:tab/>
            </w:r>
            <w:r>
              <w:rPr>
                <w:rStyle w:val="IndexLink"/>
              </w:rPr>
              <w:t>71</w:t>
            </w:r>
          </w:hyperlink>
        </w:p>
        <w:p>
          <w:pPr>
            <w:pStyle w:val="Contents5"/>
            <w:tabs>
              <w:tab w:val="clear" w:pos="7892"/>
              <w:tab w:val="right" w:pos="9026" w:leader="dot"/>
            </w:tabs>
            <w:rPr/>
          </w:pPr>
          <w:hyperlink w:anchor="__RefHeading___Toc651719_1878427129">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651721_1878427129">
            <w:r>
              <w:rPr>
                <w:webHidden/>
                <w:rStyle w:val="IndexLink"/>
              </w:rPr>
              <w:t>1</w:t>
            </w:r>
            <w:r>
              <w:rPr>
                <w:rStyle w:val="IndexLink"/>
                <w:rtl w:val="true"/>
              </w:rPr>
              <w:t xml:space="preserve">. </w:t>
            </w:r>
            <w:r>
              <w:rPr>
                <w:rStyle w:val="IndexLink"/>
                <w:rtl w:val="true"/>
              </w:rPr>
              <w:t>الأدلّة</w:t>
            </w:r>
            <w:r>
              <w:rPr>
                <w:rStyle w:val="IndexLink"/>
                <w:rtl w:val="true"/>
              </w:rPr>
              <w:tab/>
            </w:r>
            <w:r>
              <w:rPr>
                <w:rStyle w:val="IndexLink"/>
              </w:rPr>
              <w:t>72</w:t>
            </w:r>
          </w:hyperlink>
        </w:p>
        <w:p>
          <w:pPr>
            <w:pStyle w:val="Contents5"/>
            <w:tabs>
              <w:tab w:val="clear" w:pos="7892"/>
              <w:tab w:val="right" w:pos="9026" w:leader="dot"/>
            </w:tabs>
            <w:rPr/>
          </w:pPr>
          <w:hyperlink w:anchor="__RefHeading___Toc651723_1878427129">
            <w:r>
              <w:rPr>
                <w:webHidden/>
                <w:rStyle w:val="IndexLink"/>
              </w:rPr>
              <w:t>2</w:t>
            </w:r>
            <w:r>
              <w:rPr>
                <w:rStyle w:val="IndexLink"/>
                <w:rtl w:val="true"/>
              </w:rPr>
              <w:t xml:space="preserve">. </w:t>
            </w:r>
            <w:r>
              <w:rPr>
                <w:rStyle w:val="IndexLink"/>
                <w:rtl w:val="true"/>
              </w:rPr>
              <w:t>حجّیة الظواهر</w:t>
            </w:r>
            <w:r>
              <w:rPr>
                <w:rStyle w:val="IndexLink"/>
                <w:rtl w:val="true"/>
              </w:rPr>
              <w:tab/>
            </w:r>
            <w:r>
              <w:rPr>
                <w:rStyle w:val="IndexLink"/>
              </w:rPr>
              <w:t>74</w:t>
            </w:r>
          </w:hyperlink>
        </w:p>
        <w:p>
          <w:pPr>
            <w:pStyle w:val="Contents5"/>
            <w:tabs>
              <w:tab w:val="clear" w:pos="7892"/>
              <w:tab w:val="right" w:pos="9026" w:leader="dot"/>
            </w:tabs>
            <w:rPr/>
          </w:pPr>
          <w:hyperlink w:anchor="__RefHeading___Toc651725_1878427129">
            <w:r>
              <w:rPr>
                <w:webHidden/>
                <w:rStyle w:val="IndexLink"/>
              </w:rPr>
              <w:t>3</w:t>
            </w:r>
            <w:r>
              <w:rPr>
                <w:rStyle w:val="IndexLink"/>
                <w:rtl w:val="true"/>
              </w:rPr>
              <w:t xml:space="preserve">. </w:t>
            </w:r>
            <w:r>
              <w:rPr>
                <w:rStyle w:val="IndexLink"/>
                <w:rtl w:val="true"/>
              </w:rPr>
              <w:t>حجّیة خبر الآحاد</w:t>
            </w:r>
            <w:r>
              <w:rPr>
                <w:rStyle w:val="IndexLink"/>
                <w:rtl w:val="true"/>
              </w:rPr>
              <w:tab/>
            </w:r>
            <w:r>
              <w:rPr>
                <w:rStyle w:val="IndexLink"/>
              </w:rPr>
              <w:t>74</w:t>
            </w:r>
          </w:hyperlink>
        </w:p>
        <w:p>
          <w:pPr>
            <w:pStyle w:val="Contents5"/>
            <w:tabs>
              <w:tab w:val="clear" w:pos="7892"/>
              <w:tab w:val="right" w:pos="9026" w:leader="dot"/>
            </w:tabs>
            <w:rPr/>
          </w:pPr>
          <w:hyperlink w:anchor="__RefHeading___Toc651727_1878427129">
            <w:r>
              <w:rPr>
                <w:webHidden/>
                <w:rStyle w:val="IndexLink"/>
              </w:rPr>
              <w:t>4</w:t>
            </w:r>
            <w:r>
              <w:rPr>
                <w:rStyle w:val="IndexLink"/>
                <w:rtl w:val="true"/>
              </w:rPr>
              <w:t xml:space="preserve">. </w:t>
            </w:r>
            <w:r>
              <w:rPr>
                <w:rStyle w:val="IndexLink"/>
                <w:rtl w:val="true"/>
              </w:rPr>
              <w:t>التعارض</w:t>
            </w:r>
            <w:r>
              <w:rPr>
                <w:rStyle w:val="IndexLink"/>
                <w:rtl w:val="true"/>
              </w:rPr>
              <w:tab/>
            </w:r>
            <w:r>
              <w:rPr>
                <w:rStyle w:val="IndexLink"/>
              </w:rPr>
              <w:t>74</w:t>
            </w:r>
          </w:hyperlink>
        </w:p>
        <w:p>
          <w:pPr>
            <w:pStyle w:val="Contents3"/>
            <w:tabs>
              <w:tab w:val="clear" w:pos="8459"/>
              <w:tab w:val="right" w:pos="9026" w:leader="dot"/>
            </w:tabs>
            <w:rPr/>
          </w:pPr>
          <w:hyperlink w:anchor="__RefHeading___Toc651729_1878427129">
            <w:r>
              <w:rPr>
                <w:webHidden/>
                <w:rStyle w:val="IndexLink"/>
                <w:rtl w:val="true"/>
              </w:rPr>
              <w:t>آراؤه النادرة</w:t>
            </w:r>
            <w:r>
              <w:rPr>
                <w:rStyle w:val="IndexLink"/>
                <w:rtl w:val="true"/>
              </w:rPr>
              <w:tab/>
            </w:r>
            <w:r>
              <w:rPr>
                <w:rStyle w:val="IndexLink"/>
              </w:rPr>
              <w:t>75</w:t>
            </w:r>
          </w:hyperlink>
        </w:p>
        <w:p>
          <w:pPr>
            <w:pStyle w:val="Contents3"/>
            <w:tabs>
              <w:tab w:val="clear" w:pos="8459"/>
              <w:tab w:val="right" w:pos="9026" w:leader="dot"/>
            </w:tabs>
            <w:rPr/>
          </w:pPr>
          <w:hyperlink w:anchor="__RefHeading___Toc651731_1878427129">
            <w:r>
              <w:rPr>
                <w:webHidden/>
                <w:rStyle w:val="IndexLink"/>
                <w:rtl w:val="true"/>
              </w:rPr>
              <w:t>الدلیل</w:t>
            </w:r>
            <w:r>
              <w:rPr>
                <w:rStyle w:val="IndexLink"/>
                <w:rtl w:val="true"/>
              </w:rPr>
              <w:t>:</w:t>
              <w:tab/>
            </w:r>
            <w:r>
              <w:rPr>
                <w:rStyle w:val="IndexLink"/>
              </w:rPr>
              <w:t>75</w:t>
            </w:r>
          </w:hyperlink>
        </w:p>
        <w:p>
          <w:pPr>
            <w:pStyle w:val="Contents3"/>
            <w:tabs>
              <w:tab w:val="clear" w:pos="8459"/>
              <w:tab w:val="right" w:pos="9026" w:leader="dot"/>
            </w:tabs>
            <w:rPr/>
          </w:pPr>
          <w:hyperlink w:anchor="__RefHeading___Toc651733_1878427129">
            <w:r>
              <w:rPr>
                <w:webHidden/>
                <w:rStyle w:val="IndexLink"/>
                <w:rtl w:val="true"/>
              </w:rPr>
              <w:t>الطهارة</w:t>
            </w:r>
            <w:r>
              <w:rPr>
                <w:rStyle w:val="IndexLink"/>
                <w:rtl w:val="true"/>
              </w:rPr>
              <w:t xml:space="preserve">: </w:t>
            </w:r>
            <w:r>
              <w:rPr>
                <w:rStyle w:val="IndexLink"/>
                <w:rtl w:val="true"/>
              </w:rPr>
              <w:t>وظیفة الحائض</w:t>
            </w:r>
            <w:r>
              <w:rPr>
                <w:rStyle w:val="IndexLink"/>
                <w:rtl w:val="true"/>
              </w:rPr>
              <w:tab/>
            </w:r>
            <w:r>
              <w:rPr>
                <w:rStyle w:val="IndexLink"/>
              </w:rPr>
              <w:t>80</w:t>
            </w:r>
          </w:hyperlink>
        </w:p>
        <w:p>
          <w:pPr>
            <w:pStyle w:val="Contents3"/>
            <w:tabs>
              <w:tab w:val="clear" w:pos="8459"/>
              <w:tab w:val="right" w:pos="9026" w:leader="dot"/>
            </w:tabs>
            <w:rPr/>
          </w:pPr>
          <w:hyperlink w:anchor="__RefHeading___Toc651735_1878427129">
            <w:r>
              <w:rPr>
                <w:webHidden/>
                <w:rStyle w:val="IndexLink"/>
                <w:rtl w:val="true"/>
              </w:rPr>
              <w:t>الصلاة</w:t>
            </w:r>
            <w:r>
              <w:rPr>
                <w:rStyle w:val="IndexLink"/>
                <w:rtl w:val="true"/>
              </w:rPr>
              <w:t xml:space="preserve">: </w:t>
            </w:r>
            <w:r>
              <w:rPr>
                <w:rStyle w:val="IndexLink"/>
                <w:rtl w:val="true"/>
              </w:rPr>
              <w:t>قضاؤها</w:t>
            </w:r>
            <w:r>
              <w:rPr>
                <w:rStyle w:val="IndexLink"/>
                <w:rtl w:val="true"/>
              </w:rPr>
              <w:tab/>
            </w:r>
            <w:r>
              <w:rPr>
                <w:rStyle w:val="IndexLink"/>
              </w:rPr>
              <w:t>81</w:t>
            </w:r>
          </w:hyperlink>
        </w:p>
        <w:p>
          <w:pPr>
            <w:pStyle w:val="Contents3"/>
            <w:tabs>
              <w:tab w:val="clear" w:pos="8459"/>
              <w:tab w:val="right" w:pos="9026" w:leader="dot"/>
            </w:tabs>
            <w:rPr/>
          </w:pPr>
          <w:hyperlink w:anchor="__RefHeading___Toc651737_1878427129">
            <w:r>
              <w:rPr>
                <w:webHidden/>
                <w:rStyle w:val="IndexLink"/>
                <w:rtl w:val="true"/>
              </w:rPr>
              <w:t>الحجّ</w:t>
            </w:r>
            <w:r>
              <w:rPr>
                <w:rStyle w:val="IndexLink"/>
                <w:rtl w:val="true"/>
              </w:rPr>
              <w:t xml:space="preserve">: </w:t>
            </w:r>
            <w:r>
              <w:rPr>
                <w:rStyle w:val="IndexLink"/>
                <w:rtl w:val="true"/>
              </w:rPr>
              <w:t>تروکه</w:t>
            </w:r>
            <w:r>
              <w:rPr>
                <w:rStyle w:val="IndexLink"/>
                <w:rtl w:val="true"/>
              </w:rPr>
              <w:tab/>
            </w:r>
            <w:r>
              <w:rPr>
                <w:rStyle w:val="IndexLink"/>
              </w:rPr>
              <w:t>81</w:t>
            </w:r>
          </w:hyperlink>
        </w:p>
        <w:p>
          <w:pPr>
            <w:pStyle w:val="Contents3"/>
            <w:tabs>
              <w:tab w:val="clear" w:pos="8459"/>
              <w:tab w:val="right" w:pos="9026" w:leader="dot"/>
            </w:tabs>
            <w:rPr/>
          </w:pPr>
          <w:hyperlink w:anchor="__RefHeading___Toc651739_1878427129">
            <w:r>
              <w:rPr>
                <w:webHidden/>
                <w:rStyle w:val="IndexLink"/>
                <w:rtl w:val="true"/>
              </w:rPr>
              <w:t>أیّام النحر</w:t>
            </w:r>
            <w:r>
              <w:rPr>
                <w:rStyle w:val="IndexLink"/>
                <w:rtl w:val="true"/>
              </w:rPr>
              <w:tab/>
            </w:r>
            <w:r>
              <w:rPr>
                <w:rStyle w:val="IndexLink"/>
              </w:rPr>
              <w:t>82</w:t>
            </w:r>
          </w:hyperlink>
        </w:p>
        <w:p>
          <w:pPr>
            <w:pStyle w:val="Contents3"/>
            <w:tabs>
              <w:tab w:val="clear" w:pos="8459"/>
              <w:tab w:val="right" w:pos="9026" w:leader="dot"/>
            </w:tabs>
            <w:rPr/>
          </w:pPr>
          <w:hyperlink w:anchor="__RefHeading___Toc651741_1878427129">
            <w:r>
              <w:rPr>
                <w:webHidden/>
                <w:rStyle w:val="IndexLink"/>
                <w:rtl w:val="true"/>
              </w:rPr>
              <w:t>النکاح</w:t>
            </w:r>
            <w:r>
              <w:rPr>
                <w:rStyle w:val="IndexLink"/>
                <w:rtl w:val="true"/>
              </w:rPr>
              <w:tab/>
            </w:r>
            <w:r>
              <w:rPr>
                <w:rStyle w:val="IndexLink"/>
              </w:rPr>
              <w:t>82</w:t>
            </w:r>
          </w:hyperlink>
        </w:p>
        <w:p>
          <w:pPr>
            <w:pStyle w:val="Contents3"/>
            <w:tabs>
              <w:tab w:val="clear" w:pos="8459"/>
              <w:tab w:val="right" w:pos="9026" w:leader="dot"/>
            </w:tabs>
            <w:rPr/>
          </w:pPr>
          <w:hyperlink w:anchor="__RefHeading___Toc651743_1878427129">
            <w:r>
              <w:rPr>
                <w:webHidden/>
                <w:rStyle w:val="IndexLink"/>
                <w:rtl w:val="true"/>
              </w:rPr>
              <w:t>العقیقة</w:t>
            </w:r>
            <w:r>
              <w:rPr>
                <w:rStyle w:val="IndexLink"/>
                <w:rtl w:val="true"/>
              </w:rPr>
              <w:tab/>
            </w:r>
            <w:r>
              <w:rPr>
                <w:rStyle w:val="IndexLink"/>
              </w:rPr>
              <w:t>82</w:t>
            </w:r>
          </w:hyperlink>
        </w:p>
        <w:p>
          <w:pPr>
            <w:pStyle w:val="Contents3"/>
            <w:tabs>
              <w:tab w:val="clear" w:pos="8459"/>
              <w:tab w:val="right" w:pos="9026" w:leader="dot"/>
            </w:tabs>
            <w:rPr/>
          </w:pPr>
          <w:hyperlink w:anchor="__RefHeading___Toc651745_1878427129">
            <w:r>
              <w:rPr>
                <w:webHidden/>
                <w:rStyle w:val="IndexLink"/>
                <w:rtl w:val="true"/>
              </w:rPr>
              <w:t>تراثه الفقهی</w:t>
            </w:r>
            <w:r>
              <w:rPr>
                <w:rStyle w:val="IndexLink"/>
                <w:rtl w:val="true"/>
              </w:rPr>
              <w:tab/>
            </w:r>
            <w:r>
              <w:rPr>
                <w:rStyle w:val="IndexLink"/>
              </w:rPr>
              <w:t>83</w:t>
            </w:r>
          </w:hyperlink>
        </w:p>
        <w:p>
          <w:pPr>
            <w:pStyle w:val="Contents3"/>
            <w:tabs>
              <w:tab w:val="clear" w:pos="8459"/>
              <w:tab w:val="right" w:pos="9026" w:leader="dot"/>
            </w:tabs>
            <w:rPr/>
          </w:pPr>
          <w:hyperlink w:anchor="__RefHeading___Toc651747_1878427129">
            <w:r>
              <w:rPr>
                <w:webHidden/>
                <w:rStyle w:val="IndexLink"/>
                <w:rtl w:val="true"/>
              </w:rPr>
              <w:t>الوضوء</w:t>
            </w:r>
            <w:r>
              <w:rPr>
                <w:rStyle w:val="IndexLink"/>
                <w:rtl w:val="true"/>
              </w:rPr>
              <w:tab/>
            </w:r>
            <w:r>
              <w:rPr>
                <w:rStyle w:val="IndexLink"/>
              </w:rPr>
              <w:t>83</w:t>
            </w:r>
          </w:hyperlink>
        </w:p>
        <w:p>
          <w:pPr>
            <w:pStyle w:val="Contents3"/>
            <w:tabs>
              <w:tab w:val="clear" w:pos="8459"/>
              <w:tab w:val="right" w:pos="9026" w:leader="dot"/>
            </w:tabs>
            <w:rPr/>
          </w:pPr>
          <w:hyperlink w:anchor="__RefHeading___Toc651749_1878427129">
            <w:r>
              <w:rPr>
                <w:webHidden/>
                <w:rStyle w:val="IndexLink"/>
                <w:rtl w:val="true"/>
              </w:rPr>
              <w:t>الصلاة</w:t>
            </w:r>
            <w:r>
              <w:rPr>
                <w:rStyle w:val="IndexLink"/>
                <w:rtl w:val="true"/>
              </w:rPr>
              <w:tab/>
            </w:r>
            <w:r>
              <w:rPr>
                <w:rStyle w:val="IndexLink"/>
              </w:rPr>
              <w:t>83</w:t>
            </w:r>
          </w:hyperlink>
        </w:p>
        <w:p>
          <w:pPr>
            <w:pStyle w:val="Contents4"/>
            <w:tabs>
              <w:tab w:val="clear" w:pos="8176"/>
              <w:tab w:val="right" w:pos="9026" w:leader="dot"/>
            </w:tabs>
            <w:rPr/>
          </w:pPr>
          <w:hyperlink w:anchor="__RefHeading___Toc651751_1878427129">
            <w:r>
              <w:rPr>
                <w:webHidden/>
                <w:rStyle w:val="IndexLink"/>
              </w:rPr>
              <w:t>1</w:t>
            </w:r>
            <w:r>
              <w:rPr>
                <w:rStyle w:val="IndexLink"/>
                <w:rtl w:val="true"/>
              </w:rPr>
              <w:t xml:space="preserve">. </w:t>
            </w:r>
            <w:r>
              <w:rPr>
                <w:rStyle w:val="IndexLink"/>
                <w:rtl w:val="true"/>
              </w:rPr>
              <w:t>وقت صلاة المغرب</w:t>
            </w:r>
            <w:r>
              <w:rPr>
                <w:rStyle w:val="IndexLink"/>
                <w:rtl w:val="true"/>
              </w:rPr>
              <w:tab/>
            </w:r>
            <w:r>
              <w:rPr>
                <w:rStyle w:val="IndexLink"/>
              </w:rPr>
              <w:t>83</w:t>
            </w:r>
          </w:hyperlink>
        </w:p>
        <w:p>
          <w:pPr>
            <w:pStyle w:val="Contents4"/>
            <w:tabs>
              <w:tab w:val="clear" w:pos="8176"/>
              <w:tab w:val="right" w:pos="9026" w:leader="dot"/>
            </w:tabs>
            <w:rPr/>
          </w:pPr>
          <w:hyperlink w:anchor="__RefHeading___Toc651753_1878427129">
            <w:r>
              <w:rPr>
                <w:webHidden/>
                <w:rStyle w:val="IndexLink"/>
              </w:rPr>
              <w:t>2</w:t>
            </w:r>
            <w:r>
              <w:rPr>
                <w:rStyle w:val="IndexLink"/>
                <w:rtl w:val="true"/>
              </w:rPr>
              <w:t xml:space="preserve">. </w:t>
            </w:r>
            <w:r>
              <w:rPr>
                <w:rStyle w:val="IndexLink"/>
                <w:rtl w:val="true"/>
              </w:rPr>
              <w:t>التطوّع فی وقت الفریضة</w:t>
            </w:r>
            <w:r>
              <w:rPr>
                <w:rStyle w:val="IndexLink"/>
                <w:rtl w:val="true"/>
              </w:rPr>
              <w:tab/>
            </w:r>
            <w:r>
              <w:rPr>
                <w:rStyle w:val="IndexLink"/>
              </w:rPr>
              <w:t>84</w:t>
            </w:r>
          </w:hyperlink>
        </w:p>
        <w:p>
          <w:pPr>
            <w:pStyle w:val="Contents4"/>
            <w:tabs>
              <w:tab w:val="clear" w:pos="8176"/>
              <w:tab w:val="right" w:pos="9026" w:leader="dot"/>
            </w:tabs>
            <w:rPr/>
          </w:pPr>
          <w:hyperlink w:anchor="__RefHeading___Toc651755_1878427129">
            <w:r>
              <w:rPr>
                <w:webHidden/>
                <w:rStyle w:val="IndexLink"/>
              </w:rPr>
              <w:t>3</w:t>
            </w:r>
            <w:r>
              <w:rPr>
                <w:rStyle w:val="IndexLink"/>
                <w:rtl w:val="true"/>
              </w:rPr>
              <w:t xml:space="preserve">. </w:t>
            </w:r>
            <w:r>
              <w:rPr>
                <w:rStyle w:val="IndexLink"/>
                <w:rtl w:val="true"/>
              </w:rPr>
              <w:t>أحکام الخلل</w:t>
            </w:r>
            <w:r>
              <w:rPr>
                <w:rStyle w:val="IndexLink"/>
                <w:rtl w:val="true"/>
              </w:rPr>
              <w:tab/>
            </w:r>
            <w:r>
              <w:rPr>
                <w:rStyle w:val="IndexLink"/>
              </w:rPr>
              <w:t>84</w:t>
            </w:r>
          </w:hyperlink>
        </w:p>
        <w:p>
          <w:pPr>
            <w:pStyle w:val="Contents3"/>
            <w:tabs>
              <w:tab w:val="clear" w:pos="8459"/>
              <w:tab w:val="right" w:pos="9026" w:leader="dot"/>
            </w:tabs>
            <w:rPr/>
          </w:pPr>
          <w:hyperlink w:anchor="__RefHeading___Toc651757_1878427129">
            <w:r>
              <w:rPr>
                <w:webHidden/>
                <w:rStyle w:val="IndexLink"/>
                <w:rtl w:val="true"/>
              </w:rPr>
              <w:t>الصوم</w:t>
            </w:r>
            <w:r>
              <w:rPr>
                <w:rStyle w:val="IndexLink"/>
                <w:rtl w:val="true"/>
              </w:rPr>
              <w:tab/>
            </w:r>
            <w:r>
              <w:rPr>
                <w:rStyle w:val="IndexLink"/>
              </w:rPr>
              <w:t>87</w:t>
            </w:r>
          </w:hyperlink>
        </w:p>
        <w:p>
          <w:pPr>
            <w:pStyle w:val="Contents3"/>
            <w:tabs>
              <w:tab w:val="clear" w:pos="8459"/>
              <w:tab w:val="right" w:pos="9026" w:leader="dot"/>
            </w:tabs>
            <w:rPr/>
          </w:pPr>
          <w:hyperlink w:anchor="__RefHeading___Toc651759_1878427129">
            <w:r>
              <w:rPr>
                <w:webHidden/>
                <w:rStyle w:val="IndexLink"/>
                <w:rtl w:val="true"/>
              </w:rPr>
              <w:t>الحجّ</w:t>
            </w:r>
            <w:r>
              <w:rPr>
                <w:rStyle w:val="IndexLink"/>
                <w:rtl w:val="true"/>
              </w:rPr>
              <w:tab/>
            </w:r>
            <w:r>
              <w:rPr>
                <w:rStyle w:val="IndexLink"/>
              </w:rPr>
              <w:t>88</w:t>
            </w:r>
          </w:hyperlink>
        </w:p>
        <w:p>
          <w:pPr>
            <w:pStyle w:val="Contents3"/>
            <w:tabs>
              <w:tab w:val="clear" w:pos="8459"/>
              <w:tab w:val="right" w:pos="9026" w:leader="dot"/>
            </w:tabs>
            <w:rPr/>
          </w:pPr>
          <w:hyperlink w:anchor="__RefHeading___Toc651761_1878427129">
            <w:r>
              <w:rPr>
                <w:webHidden/>
                <w:rStyle w:val="IndexLink"/>
                <w:rtl w:val="true"/>
              </w:rPr>
              <w:t>وقت التلبیة</w:t>
            </w:r>
            <w:r>
              <w:rPr>
                <w:rStyle w:val="IndexLink"/>
                <w:rtl w:val="true"/>
              </w:rPr>
              <w:tab/>
            </w:r>
            <w:r>
              <w:rPr>
                <w:rStyle w:val="IndexLink"/>
              </w:rPr>
              <w:t>88</w:t>
            </w:r>
          </w:hyperlink>
        </w:p>
        <w:p>
          <w:pPr>
            <w:pStyle w:val="Contents3"/>
            <w:tabs>
              <w:tab w:val="clear" w:pos="8459"/>
              <w:tab w:val="right" w:pos="9026" w:leader="dot"/>
            </w:tabs>
            <w:rPr/>
          </w:pPr>
          <w:hyperlink w:anchor="__RefHeading___Toc651763_1878427129">
            <w:r>
              <w:rPr>
                <w:webHidden/>
                <w:rStyle w:val="IndexLink"/>
                <w:rtl w:val="true"/>
              </w:rPr>
              <w:t>الخمس والأنفال</w:t>
            </w:r>
            <w:r>
              <w:rPr>
                <w:rStyle w:val="IndexLink"/>
                <w:rtl w:val="true"/>
              </w:rPr>
              <w:tab/>
            </w:r>
            <w:r>
              <w:rPr>
                <w:rStyle w:val="IndexLink"/>
              </w:rPr>
              <w:t>88</w:t>
            </w:r>
          </w:hyperlink>
        </w:p>
        <w:p>
          <w:pPr>
            <w:pStyle w:val="Contents3"/>
            <w:tabs>
              <w:tab w:val="clear" w:pos="8459"/>
              <w:tab w:val="right" w:pos="9026" w:leader="dot"/>
            </w:tabs>
            <w:rPr/>
          </w:pPr>
          <w:hyperlink w:anchor="__RefHeading___Toc651765_1878427129">
            <w:r>
              <w:rPr>
                <w:webHidden/>
                <w:rStyle w:val="IndexLink"/>
                <w:rtl w:val="true"/>
              </w:rPr>
              <w:t>الفیء والأنفال وتفسیر الخمس وحدوده وما یجب فیه</w:t>
            </w:r>
            <w:r>
              <w:rPr>
                <w:rStyle w:val="IndexLink"/>
                <w:rtl w:val="true"/>
              </w:rPr>
              <w:tab/>
            </w:r>
            <w:r>
              <w:rPr>
                <w:rStyle w:val="IndexLink"/>
              </w:rPr>
              <w:t>88</w:t>
            </w:r>
          </w:hyperlink>
        </w:p>
        <w:p>
          <w:pPr>
            <w:pStyle w:val="Contents3"/>
            <w:tabs>
              <w:tab w:val="clear" w:pos="8459"/>
              <w:tab w:val="right" w:pos="9026" w:leader="dot"/>
            </w:tabs>
            <w:rPr/>
          </w:pPr>
          <w:hyperlink w:anchor="__RefHeading___Toc651767_1878427129">
            <w:r>
              <w:rPr>
                <w:webHidden/>
                <w:rStyle w:val="IndexLink"/>
                <w:rtl w:val="true"/>
              </w:rPr>
              <w:t>کتاب المواریث</w:t>
            </w:r>
            <w:r>
              <w:rPr>
                <w:rStyle w:val="IndexLink"/>
                <w:rtl w:val="true"/>
              </w:rPr>
              <w:tab/>
            </w:r>
            <w:r>
              <w:rPr>
                <w:rStyle w:val="IndexLink"/>
              </w:rPr>
              <w:t>89</w:t>
            </w:r>
          </w:hyperlink>
        </w:p>
        <w:p>
          <w:pPr>
            <w:pStyle w:val="Contents4"/>
            <w:tabs>
              <w:tab w:val="clear" w:pos="8176"/>
              <w:tab w:val="right" w:pos="9026" w:leader="dot"/>
            </w:tabs>
            <w:rPr/>
          </w:pPr>
          <w:hyperlink w:anchor="__RefHeading___Toc651769_1878427129">
            <w:r>
              <w:rPr>
                <w:webHidden/>
                <w:rStyle w:val="IndexLink"/>
              </w:rPr>
              <w:t>1</w:t>
            </w:r>
            <w:r>
              <w:rPr>
                <w:rStyle w:val="IndexLink"/>
                <w:rtl w:val="true"/>
              </w:rPr>
              <w:t xml:space="preserve">. </w:t>
            </w:r>
            <w:r>
              <w:rPr>
                <w:rStyle w:val="IndexLink"/>
                <w:rtl w:val="true"/>
              </w:rPr>
              <w:t>باب وجوه الفرائض</w:t>
            </w:r>
            <w:r>
              <w:rPr>
                <w:rStyle w:val="IndexLink"/>
                <w:rtl w:val="true"/>
              </w:rPr>
              <w:tab/>
            </w:r>
            <w:r>
              <w:rPr>
                <w:rStyle w:val="IndexLink"/>
              </w:rPr>
              <w:t>89</w:t>
            </w:r>
          </w:hyperlink>
        </w:p>
        <w:p>
          <w:pPr>
            <w:pStyle w:val="Contents4"/>
            <w:tabs>
              <w:tab w:val="clear" w:pos="8176"/>
              <w:tab w:val="right" w:pos="9026" w:leader="dot"/>
            </w:tabs>
            <w:rPr/>
          </w:pPr>
          <w:hyperlink w:anchor="__RefHeading___Toc651771_1878427129">
            <w:r>
              <w:rPr>
                <w:webHidden/>
                <w:rStyle w:val="IndexLink"/>
              </w:rPr>
              <w:t>2</w:t>
            </w:r>
            <w:r>
              <w:rPr>
                <w:rStyle w:val="IndexLink"/>
                <w:rtl w:val="true"/>
              </w:rPr>
              <w:t xml:space="preserve">. </w:t>
            </w:r>
            <w:r>
              <w:rPr>
                <w:rStyle w:val="IndexLink"/>
                <w:rtl w:val="true"/>
              </w:rPr>
              <w:t>باب بیان الفرائض فی الکتاب</w:t>
            </w:r>
            <w:r>
              <w:rPr>
                <w:rStyle w:val="IndexLink"/>
                <w:rtl w:val="true"/>
              </w:rPr>
              <w:tab/>
            </w:r>
            <w:r>
              <w:rPr>
                <w:rStyle w:val="IndexLink"/>
              </w:rPr>
              <w:t>90</w:t>
            </w:r>
          </w:hyperlink>
        </w:p>
        <w:p>
          <w:pPr>
            <w:pStyle w:val="Contents4"/>
            <w:tabs>
              <w:tab w:val="clear" w:pos="8176"/>
              <w:tab w:val="right" w:pos="9026" w:leader="dot"/>
            </w:tabs>
            <w:rPr/>
          </w:pPr>
          <w:hyperlink w:anchor="__RefHeading___Toc651773_1878427129">
            <w:r>
              <w:rPr>
                <w:webHidden/>
                <w:rStyle w:val="IndexLink"/>
              </w:rPr>
              <w:t>3</w:t>
            </w:r>
            <w:r>
              <w:rPr>
                <w:rStyle w:val="IndexLink"/>
                <w:rtl w:val="true"/>
              </w:rPr>
              <w:t xml:space="preserve">. </w:t>
            </w:r>
            <w:r>
              <w:rPr>
                <w:rStyle w:val="IndexLink"/>
                <w:rtl w:val="true"/>
              </w:rPr>
              <w:t>میراث الجدّ والجدّة</w:t>
            </w:r>
            <w:r>
              <w:rPr>
                <w:rStyle w:val="IndexLink"/>
                <w:rtl w:val="true"/>
              </w:rPr>
              <w:tab/>
            </w:r>
            <w:r>
              <w:rPr>
                <w:rStyle w:val="IndexLink"/>
              </w:rPr>
              <w:t>94</w:t>
            </w:r>
          </w:hyperlink>
        </w:p>
        <w:p>
          <w:pPr>
            <w:pStyle w:val="Contents3"/>
            <w:tabs>
              <w:tab w:val="clear" w:pos="8459"/>
              <w:tab w:val="right" w:pos="9026" w:leader="dot"/>
            </w:tabs>
            <w:rPr/>
          </w:pPr>
          <w:hyperlink w:anchor="__RefHeading___Toc651775_1878427129">
            <w:r>
              <w:rPr>
                <w:webHidden/>
                <w:rStyle w:val="IndexLink"/>
                <w:rtl w:val="true"/>
              </w:rPr>
              <w:t>الدیات</w:t>
            </w:r>
            <w:r>
              <w:rPr>
                <w:rStyle w:val="IndexLink"/>
                <w:rtl w:val="true"/>
              </w:rPr>
              <w:tab/>
            </w:r>
            <w:r>
              <w:rPr>
                <w:rStyle w:val="IndexLink"/>
              </w:rPr>
              <w:t>94</w:t>
            </w:r>
          </w:hyperlink>
        </w:p>
        <w:p>
          <w:pPr>
            <w:pStyle w:val="Contents3"/>
            <w:tabs>
              <w:tab w:val="clear" w:pos="8459"/>
              <w:tab w:val="right" w:pos="9026" w:leader="dot"/>
            </w:tabs>
            <w:rPr/>
          </w:pPr>
          <w:hyperlink w:anchor="__RefHeading___Toc651777_1878427129">
            <w:r>
              <w:rPr>
                <w:webHidden/>
                <w:rStyle w:val="IndexLink"/>
                <w:rtl w:val="true"/>
              </w:rPr>
              <w:t>القسامة</w:t>
            </w:r>
            <w:r>
              <w:rPr>
                <w:rStyle w:val="IndexLink"/>
                <w:rtl w:val="true"/>
              </w:rPr>
              <w:tab/>
            </w:r>
            <w:r>
              <w:rPr>
                <w:rStyle w:val="IndexLink"/>
              </w:rPr>
              <w:t>94</w:t>
            </w:r>
          </w:hyperlink>
        </w:p>
        <w:p>
          <w:pPr>
            <w:pStyle w:val="Contents2"/>
            <w:tabs>
              <w:tab w:val="clear" w:pos="8743"/>
              <w:tab w:val="right" w:pos="9026" w:leader="dot"/>
            </w:tabs>
            <w:rPr/>
          </w:pPr>
          <w:hyperlink w:anchor="__RefHeading___Toc651779_1878427129">
            <w:r>
              <w:rPr>
                <w:webHidden/>
                <w:rStyle w:val="IndexLink"/>
                <w:rtl w:val="true"/>
              </w:rPr>
              <w:t>کلینی و عقل گرایی</w:t>
            </w:r>
            <w:r>
              <w:rPr>
                <w:rStyle w:val="IndexLink"/>
                <w:rtl w:val="true"/>
              </w:rPr>
              <w:tab/>
            </w:r>
            <w:r>
              <w:rPr>
                <w:rStyle w:val="IndexLink"/>
              </w:rPr>
              <w:t>97</w:t>
            </w:r>
          </w:hyperlink>
        </w:p>
        <w:p>
          <w:pPr>
            <w:pStyle w:val="Contents3"/>
            <w:tabs>
              <w:tab w:val="clear" w:pos="8459"/>
              <w:tab w:val="right" w:pos="9026" w:leader="dot"/>
            </w:tabs>
            <w:rPr/>
          </w:pPr>
          <w:hyperlink w:anchor="__RefHeading___Toc651781_1878427129">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651783_1878427129">
            <w:r>
              <w:rPr>
                <w:webHidden/>
                <w:rStyle w:val="IndexLink"/>
                <w:rtl w:val="true"/>
              </w:rPr>
              <w:t>چکیده</w:t>
            </w:r>
            <w:r>
              <w:rPr>
                <w:rStyle w:val="IndexLink"/>
                <w:rtl w:val="true"/>
              </w:rPr>
              <w:tab/>
            </w:r>
            <w:r>
              <w:rPr>
                <w:rStyle w:val="IndexLink"/>
              </w:rPr>
              <w:t>97</w:t>
            </w:r>
          </w:hyperlink>
        </w:p>
        <w:p>
          <w:pPr>
            <w:pStyle w:val="Contents3"/>
            <w:tabs>
              <w:tab w:val="clear" w:pos="8459"/>
              <w:tab w:val="right" w:pos="9026" w:leader="dot"/>
            </w:tabs>
            <w:rPr/>
          </w:pPr>
          <w:hyperlink w:anchor="__RefHeading___Toc651785_1878427129">
            <w:r>
              <w:rPr>
                <w:webHidden/>
                <w:rStyle w:val="IndexLink"/>
                <w:rtl w:val="true"/>
              </w:rPr>
              <w:t>زندگینامۀ کلینی</w:t>
            </w:r>
            <w:r>
              <w:rPr>
                <w:rStyle w:val="IndexLink"/>
                <w:rtl w:val="true"/>
              </w:rPr>
              <w:tab/>
            </w:r>
            <w:r>
              <w:rPr>
                <w:rStyle w:val="IndexLink"/>
              </w:rPr>
              <w:t>97</w:t>
            </w:r>
          </w:hyperlink>
        </w:p>
        <w:p>
          <w:pPr>
            <w:pStyle w:val="Contents3"/>
            <w:tabs>
              <w:tab w:val="clear" w:pos="8459"/>
              <w:tab w:val="right" w:pos="9026" w:leader="dot"/>
            </w:tabs>
            <w:rPr/>
          </w:pPr>
          <w:hyperlink w:anchor="__RefHeading___Toc651787_1878427129">
            <w:r>
              <w:rPr>
                <w:webHidden/>
                <w:rStyle w:val="IndexLink"/>
                <w:rtl w:val="true"/>
              </w:rPr>
              <w:t>ابعاد شخصیت کلینی</w:t>
            </w:r>
            <w:r>
              <w:rPr>
                <w:rStyle w:val="IndexLink"/>
                <w:rtl w:val="true"/>
              </w:rPr>
              <w:tab/>
            </w:r>
            <w:r>
              <w:rPr>
                <w:rStyle w:val="IndexLink"/>
              </w:rPr>
              <w:t>99</w:t>
            </w:r>
          </w:hyperlink>
        </w:p>
        <w:p>
          <w:pPr>
            <w:pStyle w:val="Contents3"/>
            <w:tabs>
              <w:tab w:val="clear" w:pos="8459"/>
              <w:tab w:val="right" w:pos="9026" w:leader="dot"/>
            </w:tabs>
            <w:rPr/>
          </w:pPr>
          <w:hyperlink w:anchor="__RefHeading___Toc651789_1878427129">
            <w:r>
              <w:rPr>
                <w:webHidden/>
                <w:rStyle w:val="IndexLink"/>
                <w:rtl w:val="true"/>
              </w:rPr>
              <w:t>فراگیری و فرادهی علمی</w:t>
            </w:r>
            <w:r>
              <w:rPr>
                <w:rStyle w:val="IndexLink"/>
                <w:rtl w:val="true"/>
              </w:rPr>
              <w:tab/>
            </w:r>
            <w:r>
              <w:rPr>
                <w:rStyle w:val="IndexLink"/>
              </w:rPr>
              <w:t>102</w:t>
            </w:r>
          </w:hyperlink>
        </w:p>
        <w:p>
          <w:pPr>
            <w:pStyle w:val="Contents3"/>
            <w:tabs>
              <w:tab w:val="clear" w:pos="8459"/>
              <w:tab w:val="right" w:pos="9026" w:leader="dot"/>
            </w:tabs>
            <w:rPr/>
          </w:pPr>
          <w:hyperlink w:anchor="__RefHeading___Toc651791_1878427129">
            <w:r>
              <w:rPr>
                <w:webHidden/>
                <w:rStyle w:val="IndexLink"/>
                <w:rtl w:val="true"/>
              </w:rPr>
              <w:t>سفرهای کلینی</w:t>
            </w:r>
            <w:r>
              <w:rPr>
                <w:rStyle w:val="IndexLink"/>
                <w:rtl w:val="true"/>
              </w:rPr>
              <w:tab/>
            </w:r>
            <w:r>
              <w:rPr>
                <w:rStyle w:val="IndexLink"/>
              </w:rPr>
              <w:t>103</w:t>
            </w:r>
          </w:hyperlink>
        </w:p>
        <w:p>
          <w:pPr>
            <w:pStyle w:val="Contents3"/>
            <w:tabs>
              <w:tab w:val="clear" w:pos="8459"/>
              <w:tab w:val="right" w:pos="9026" w:leader="dot"/>
            </w:tabs>
            <w:rPr/>
          </w:pPr>
          <w:hyperlink w:anchor="__RefHeading___Toc651793_1878427129">
            <w:r>
              <w:rPr>
                <w:webHidden/>
                <w:rStyle w:val="IndexLink"/>
                <w:rtl w:val="true"/>
              </w:rPr>
              <w:t>تحدیث و تعقل</w:t>
            </w:r>
            <w:r>
              <w:rPr>
                <w:rStyle w:val="IndexLink"/>
                <w:rtl w:val="true"/>
              </w:rPr>
              <w:tab/>
            </w:r>
            <w:r>
              <w:rPr>
                <w:rStyle w:val="IndexLink"/>
              </w:rPr>
              <w:t>104</w:t>
            </w:r>
          </w:hyperlink>
        </w:p>
        <w:p>
          <w:pPr>
            <w:pStyle w:val="Contents3"/>
            <w:tabs>
              <w:tab w:val="clear" w:pos="8459"/>
              <w:tab w:val="right" w:pos="9026" w:leader="dot"/>
            </w:tabs>
            <w:rPr/>
          </w:pPr>
          <w:hyperlink w:anchor="__RefHeading___Toc651795_1878427129">
            <w:r>
              <w:rPr>
                <w:webHidden/>
                <w:rStyle w:val="IndexLink"/>
                <w:rtl w:val="true"/>
              </w:rPr>
              <w:t>منزلت حدیث از نگاه شیعه</w:t>
            </w:r>
            <w:r>
              <w:rPr>
                <w:rStyle w:val="IndexLink"/>
                <w:rtl w:val="true"/>
              </w:rPr>
              <w:tab/>
            </w:r>
            <w:r>
              <w:rPr>
                <w:rStyle w:val="IndexLink"/>
              </w:rPr>
              <w:t>105</w:t>
            </w:r>
          </w:hyperlink>
        </w:p>
        <w:p>
          <w:pPr>
            <w:pStyle w:val="Contents3"/>
            <w:tabs>
              <w:tab w:val="clear" w:pos="8459"/>
              <w:tab w:val="right" w:pos="9026" w:leader="dot"/>
            </w:tabs>
            <w:rPr/>
          </w:pPr>
          <w:hyperlink w:anchor="__RefHeading___Toc651797_1878427129">
            <w:r>
              <w:rPr>
                <w:webHidden/>
                <w:rStyle w:val="IndexLink"/>
                <w:rtl w:val="true"/>
              </w:rPr>
              <w:t>عقل گرایی در کافی</w:t>
            </w:r>
            <w:r>
              <w:rPr>
                <w:rStyle w:val="IndexLink"/>
                <w:rtl w:val="true"/>
              </w:rPr>
              <w:tab/>
            </w:r>
            <w:r>
              <w:rPr>
                <w:rStyle w:val="IndexLink"/>
              </w:rPr>
              <w:t>105</w:t>
            </w:r>
          </w:hyperlink>
        </w:p>
        <w:p>
          <w:pPr>
            <w:pStyle w:val="Contents3"/>
            <w:tabs>
              <w:tab w:val="clear" w:pos="8459"/>
              <w:tab w:val="right" w:pos="9026" w:leader="dot"/>
            </w:tabs>
            <w:rPr/>
          </w:pPr>
          <w:hyperlink w:anchor="__RefHeading___Toc651799_1878427129">
            <w:r>
              <w:rPr>
                <w:webHidden/>
                <w:rStyle w:val="IndexLink"/>
                <w:rtl w:val="true"/>
              </w:rPr>
              <w:t>کیفیت و کمیت زمان نگارش</w:t>
            </w:r>
            <w:r>
              <w:rPr>
                <w:rStyle w:val="IndexLink"/>
                <w:rtl w:val="true"/>
              </w:rPr>
              <w:tab/>
            </w:r>
            <w:r>
              <w:rPr>
                <w:rStyle w:val="IndexLink"/>
              </w:rPr>
              <w:t>106</w:t>
            </w:r>
          </w:hyperlink>
        </w:p>
        <w:p>
          <w:pPr>
            <w:pStyle w:val="Contents3"/>
            <w:tabs>
              <w:tab w:val="clear" w:pos="8459"/>
              <w:tab w:val="right" w:pos="9026" w:leader="dot"/>
            </w:tabs>
            <w:rPr/>
          </w:pPr>
          <w:hyperlink w:anchor="__RefHeading___Toc651801_1878427129">
            <w:r>
              <w:rPr>
                <w:webHidden/>
                <w:rStyle w:val="IndexLink"/>
                <w:rtl w:val="true"/>
              </w:rPr>
              <w:t>روزگار کلینی</w:t>
            </w:r>
            <w:r>
              <w:rPr>
                <w:rStyle w:val="IndexLink"/>
                <w:rtl w:val="true"/>
              </w:rPr>
              <w:tab/>
            </w:r>
            <w:r>
              <w:rPr>
                <w:rStyle w:val="IndexLink"/>
              </w:rPr>
              <w:t>107</w:t>
            </w:r>
          </w:hyperlink>
        </w:p>
        <w:p>
          <w:pPr>
            <w:pStyle w:val="Contents4"/>
            <w:tabs>
              <w:tab w:val="clear" w:pos="8176"/>
              <w:tab w:val="right" w:pos="9026" w:leader="dot"/>
            </w:tabs>
            <w:rPr/>
          </w:pPr>
          <w:hyperlink w:anchor="__RefHeading___Toc651803_1878427129">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651805_1878427129">
            <w:r>
              <w:rPr>
                <w:webHidden/>
                <w:rStyle w:val="IndexLink"/>
              </w:rPr>
              <w:t>1</w:t>
            </w:r>
            <w:r>
              <w:rPr>
                <w:rStyle w:val="IndexLink"/>
                <w:rtl w:val="true"/>
              </w:rPr>
              <w:t xml:space="preserve">. </w:t>
            </w:r>
            <w:r>
              <w:rPr>
                <w:rStyle w:val="IndexLink"/>
                <w:rtl w:val="true"/>
              </w:rPr>
              <w:t>عصر حیات</w:t>
            </w:r>
            <w:r>
              <w:rPr>
                <w:rStyle w:val="IndexLink"/>
                <w:rtl w:val="true"/>
              </w:rPr>
              <w:tab/>
            </w:r>
            <w:r>
              <w:rPr>
                <w:rStyle w:val="IndexLink"/>
              </w:rPr>
              <w:t>107</w:t>
            </w:r>
          </w:hyperlink>
        </w:p>
        <w:p>
          <w:pPr>
            <w:pStyle w:val="Contents4"/>
            <w:tabs>
              <w:tab w:val="clear" w:pos="8176"/>
              <w:tab w:val="right" w:pos="9026" w:leader="dot"/>
            </w:tabs>
            <w:rPr/>
          </w:pPr>
          <w:hyperlink w:anchor="__RefHeading___Toc651807_1878427129">
            <w:r>
              <w:rPr>
                <w:webHidden/>
                <w:rStyle w:val="IndexLink"/>
              </w:rPr>
              <w:t>2</w:t>
            </w:r>
            <w:r>
              <w:rPr>
                <w:rStyle w:val="IndexLink"/>
                <w:rtl w:val="true"/>
              </w:rPr>
              <w:t xml:space="preserve">. </w:t>
            </w:r>
            <w:r>
              <w:rPr>
                <w:rStyle w:val="IndexLink"/>
                <w:rtl w:val="true"/>
              </w:rPr>
              <w:t>اختلافات فرقه‌ای</w:t>
            </w:r>
            <w:r>
              <w:rPr>
                <w:rStyle w:val="IndexLink"/>
                <w:rtl w:val="true"/>
              </w:rPr>
              <w:tab/>
            </w:r>
            <w:r>
              <w:rPr>
                <w:rStyle w:val="IndexLink"/>
              </w:rPr>
              <w:t>108</w:t>
            </w:r>
          </w:hyperlink>
        </w:p>
        <w:p>
          <w:pPr>
            <w:pStyle w:val="Contents4"/>
            <w:tabs>
              <w:tab w:val="clear" w:pos="8176"/>
              <w:tab w:val="right" w:pos="9026" w:leader="dot"/>
            </w:tabs>
            <w:rPr/>
          </w:pPr>
          <w:hyperlink w:anchor="__RefHeading___Toc651809_1878427129">
            <w:r>
              <w:rPr>
                <w:webHidden/>
                <w:rStyle w:val="IndexLink"/>
              </w:rPr>
              <w:t>3</w:t>
            </w:r>
            <w:r>
              <w:rPr>
                <w:rStyle w:val="IndexLink"/>
                <w:rtl w:val="true"/>
              </w:rPr>
              <w:t xml:space="preserve">. </w:t>
            </w:r>
            <w:r>
              <w:rPr>
                <w:rStyle w:val="IndexLink"/>
                <w:rtl w:val="true"/>
              </w:rPr>
              <w:t>عصر اجتهاد</w:t>
            </w:r>
            <w:r>
              <w:rPr>
                <w:rStyle w:val="IndexLink"/>
                <w:rtl w:val="true"/>
              </w:rPr>
              <w:tab/>
            </w:r>
            <w:r>
              <w:rPr>
                <w:rStyle w:val="IndexLink"/>
              </w:rPr>
              <w:t>109</w:t>
            </w:r>
          </w:hyperlink>
        </w:p>
        <w:p>
          <w:pPr>
            <w:pStyle w:val="Contents4"/>
            <w:tabs>
              <w:tab w:val="clear" w:pos="8176"/>
              <w:tab w:val="right" w:pos="9026" w:leader="dot"/>
            </w:tabs>
            <w:rPr/>
          </w:pPr>
          <w:hyperlink w:anchor="__RefHeading___Toc651811_1878427129">
            <w:r>
              <w:rPr>
                <w:webHidden/>
                <w:rStyle w:val="IndexLink"/>
              </w:rPr>
              <w:t>4</w:t>
            </w:r>
            <w:r>
              <w:rPr>
                <w:rStyle w:val="IndexLink"/>
                <w:rtl w:val="true"/>
              </w:rPr>
              <w:t xml:space="preserve">. </w:t>
            </w:r>
            <w:r>
              <w:rPr>
                <w:rStyle w:val="IndexLink"/>
                <w:rtl w:val="true"/>
              </w:rPr>
              <w:t>نگاهی به مدرسه قم</w:t>
            </w:r>
            <w:r>
              <w:rPr>
                <w:rStyle w:val="IndexLink"/>
                <w:rtl w:val="true"/>
              </w:rPr>
              <w:tab/>
            </w:r>
            <w:r>
              <w:rPr>
                <w:rStyle w:val="IndexLink"/>
              </w:rPr>
              <w:t>109</w:t>
            </w:r>
          </w:hyperlink>
        </w:p>
        <w:p>
          <w:pPr>
            <w:pStyle w:val="Contents3"/>
            <w:tabs>
              <w:tab w:val="clear" w:pos="8459"/>
              <w:tab w:val="right" w:pos="9026" w:leader="dot"/>
            </w:tabs>
            <w:rPr/>
          </w:pPr>
          <w:hyperlink w:anchor="__RefHeading___Toc651813_1878427129">
            <w:r>
              <w:rPr>
                <w:webHidden/>
                <w:rStyle w:val="IndexLink"/>
                <w:rtl w:val="true"/>
              </w:rPr>
              <w:t>اوضاع سیاسی عصر کلینی</w:t>
            </w:r>
            <w:r>
              <w:rPr>
                <w:rStyle w:val="IndexLink"/>
                <w:rtl w:val="true"/>
              </w:rPr>
              <w:tab/>
            </w:r>
            <w:r>
              <w:rPr>
                <w:rStyle w:val="IndexLink"/>
              </w:rPr>
              <w:t>116</w:t>
            </w:r>
          </w:hyperlink>
        </w:p>
        <w:p>
          <w:pPr>
            <w:pStyle w:val="Contents3"/>
            <w:tabs>
              <w:tab w:val="clear" w:pos="8459"/>
              <w:tab w:val="right" w:pos="9026" w:leader="dot"/>
            </w:tabs>
            <w:rPr/>
          </w:pPr>
          <w:hyperlink w:anchor="__RefHeading___Toc651815_1878427129">
            <w:r>
              <w:rPr>
                <w:webHidden/>
                <w:rStyle w:val="IndexLink"/>
                <w:rtl w:val="true"/>
              </w:rPr>
              <w:t>پیدایش زمینه های اجتماعی و فرهنگی توسعه</w:t>
            </w:r>
            <w:r>
              <w:rPr>
                <w:rStyle w:val="IndexLink"/>
                <w:rtl w:val="true"/>
              </w:rPr>
              <w:tab/>
            </w:r>
            <w:r>
              <w:rPr>
                <w:rStyle w:val="IndexLink"/>
              </w:rPr>
              <w:t>117</w:t>
            </w:r>
          </w:hyperlink>
        </w:p>
        <w:p>
          <w:pPr>
            <w:pStyle w:val="Contents3"/>
            <w:tabs>
              <w:tab w:val="clear" w:pos="8459"/>
              <w:tab w:val="right" w:pos="9026" w:leader="dot"/>
            </w:tabs>
            <w:rPr/>
          </w:pPr>
          <w:hyperlink w:anchor="__RefHeading___Toc651817_1878427129">
            <w:r>
              <w:rPr>
                <w:webHidden/>
                <w:rStyle w:val="IndexLink"/>
                <w:rtl w:val="true"/>
              </w:rPr>
              <w:t>ری، قم و بغداد در عصر کلینی</w:t>
            </w:r>
            <w:r>
              <w:rPr>
                <w:rStyle w:val="IndexLink"/>
                <w:rtl w:val="true"/>
              </w:rPr>
              <w:tab/>
            </w:r>
            <w:r>
              <w:rPr>
                <w:rStyle w:val="IndexLink"/>
              </w:rPr>
              <w:t>117</w:t>
            </w:r>
          </w:hyperlink>
        </w:p>
        <w:p>
          <w:pPr>
            <w:pStyle w:val="Contents3"/>
            <w:tabs>
              <w:tab w:val="clear" w:pos="8459"/>
              <w:tab w:val="right" w:pos="9026" w:leader="dot"/>
            </w:tabs>
            <w:rPr/>
          </w:pPr>
          <w:hyperlink w:anchor="__RefHeading___Toc651819_1878427129">
            <w:r>
              <w:rPr>
                <w:webHidden/>
                <w:rStyle w:val="IndexLink"/>
                <w:rtl w:val="true"/>
              </w:rPr>
              <w:t>عقل گرایی کلینی در حوزۀ عقاید</w:t>
            </w:r>
            <w:r>
              <w:rPr>
                <w:rStyle w:val="IndexLink"/>
                <w:rtl w:val="true"/>
              </w:rPr>
              <w:tab/>
            </w:r>
            <w:r>
              <w:rPr>
                <w:rStyle w:val="IndexLink"/>
              </w:rPr>
              <w:t>120</w:t>
            </w:r>
          </w:hyperlink>
        </w:p>
        <w:p>
          <w:pPr>
            <w:pStyle w:val="Contents4"/>
            <w:tabs>
              <w:tab w:val="clear" w:pos="8176"/>
              <w:tab w:val="right" w:pos="9026" w:leader="dot"/>
            </w:tabs>
            <w:rPr/>
          </w:pPr>
          <w:hyperlink w:anchor="__RefHeading___Toc651821_1878427129">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651823_1878427129">
            <w:r>
              <w:rPr>
                <w:webHidden/>
                <w:rStyle w:val="IndexLink"/>
              </w:rPr>
              <w:t>1</w:t>
            </w:r>
            <w:r>
              <w:rPr>
                <w:rStyle w:val="IndexLink"/>
                <w:rtl w:val="true"/>
              </w:rPr>
              <w:t xml:space="preserve">. </w:t>
            </w:r>
            <w:r>
              <w:rPr>
                <w:rStyle w:val="IndexLink"/>
                <w:rtl w:val="true"/>
              </w:rPr>
              <w:t>تبویب و نام گذاری‌ها</w:t>
            </w:r>
            <w:r>
              <w:rPr>
                <w:rStyle w:val="IndexLink"/>
                <w:rtl w:val="true"/>
              </w:rPr>
              <w:tab/>
            </w:r>
            <w:r>
              <w:rPr>
                <w:rStyle w:val="IndexLink"/>
              </w:rPr>
              <w:t>121</w:t>
            </w:r>
          </w:hyperlink>
        </w:p>
        <w:p>
          <w:pPr>
            <w:pStyle w:val="Contents4"/>
            <w:tabs>
              <w:tab w:val="clear" w:pos="8176"/>
              <w:tab w:val="right" w:pos="9026" w:leader="dot"/>
            </w:tabs>
            <w:rPr/>
          </w:pPr>
          <w:hyperlink w:anchor="__RefHeading___Toc651825_1878427129">
            <w:r>
              <w:rPr>
                <w:webHidden/>
                <w:rStyle w:val="IndexLink"/>
              </w:rPr>
              <w:t>2</w:t>
            </w:r>
            <w:r>
              <w:rPr>
                <w:rStyle w:val="IndexLink"/>
                <w:rtl w:val="true"/>
              </w:rPr>
              <w:t xml:space="preserve">. </w:t>
            </w:r>
            <w:r>
              <w:rPr>
                <w:rStyle w:val="IndexLink"/>
                <w:rtl w:val="true"/>
              </w:rPr>
              <w:t>جامعیت اصول کافی</w:t>
            </w:r>
            <w:r>
              <w:rPr>
                <w:rStyle w:val="IndexLink"/>
                <w:rtl w:val="true"/>
              </w:rPr>
              <w:tab/>
            </w:r>
            <w:r>
              <w:rPr>
                <w:rStyle w:val="IndexLink"/>
              </w:rPr>
              <w:t>121</w:t>
            </w:r>
          </w:hyperlink>
        </w:p>
        <w:p>
          <w:pPr>
            <w:pStyle w:val="Contents3"/>
            <w:tabs>
              <w:tab w:val="clear" w:pos="8459"/>
              <w:tab w:val="right" w:pos="9026" w:leader="dot"/>
            </w:tabs>
            <w:rPr/>
          </w:pPr>
          <w:hyperlink w:anchor="__RefHeading___Toc651827_1878427129">
            <w:r>
              <w:rPr>
                <w:webHidden/>
                <w:rStyle w:val="IndexLink"/>
                <w:rtl w:val="true"/>
              </w:rPr>
              <w:t>چالش با قرامطه</w:t>
            </w:r>
            <w:r>
              <w:rPr>
                <w:rStyle w:val="IndexLink"/>
                <w:rtl w:val="true"/>
              </w:rPr>
              <w:tab/>
            </w:r>
            <w:r>
              <w:rPr>
                <w:rStyle w:val="IndexLink"/>
              </w:rPr>
              <w:t>126</w:t>
            </w:r>
          </w:hyperlink>
        </w:p>
        <w:p>
          <w:pPr>
            <w:pStyle w:val="Contents4"/>
            <w:tabs>
              <w:tab w:val="clear" w:pos="8176"/>
              <w:tab w:val="right" w:pos="9026" w:leader="dot"/>
            </w:tabs>
            <w:rPr/>
          </w:pPr>
          <w:hyperlink w:anchor="__RefHeading___Toc651829_1878427129">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651831_1878427129">
            <w:r>
              <w:rPr>
                <w:webHidden/>
                <w:rStyle w:val="IndexLink"/>
                <w:rtl w:val="true"/>
              </w:rPr>
              <w:t>یک</w:t>
            </w:r>
            <w:r>
              <w:rPr>
                <w:rStyle w:val="IndexLink"/>
                <w:rtl w:val="true"/>
              </w:rPr>
              <w:t xml:space="preserve">. </w:t>
            </w:r>
            <w:r>
              <w:rPr>
                <w:rStyle w:val="IndexLink"/>
                <w:rtl w:val="true"/>
              </w:rPr>
              <w:t>باطنی‌گری</w:t>
            </w:r>
            <w:r>
              <w:rPr>
                <w:rStyle w:val="IndexLink"/>
                <w:rtl w:val="true"/>
              </w:rPr>
              <w:tab/>
            </w:r>
            <w:r>
              <w:rPr>
                <w:rStyle w:val="IndexLink"/>
              </w:rPr>
              <w:t>127</w:t>
            </w:r>
          </w:hyperlink>
        </w:p>
        <w:p>
          <w:pPr>
            <w:pStyle w:val="Contents4"/>
            <w:tabs>
              <w:tab w:val="clear" w:pos="8176"/>
              <w:tab w:val="right" w:pos="9026" w:leader="dot"/>
            </w:tabs>
            <w:rPr/>
          </w:pPr>
          <w:hyperlink w:anchor="__RefHeading___Toc651833_1878427129">
            <w:r>
              <w:rPr>
                <w:webHidden/>
                <w:rStyle w:val="IndexLink"/>
                <w:rtl w:val="true"/>
              </w:rPr>
              <w:t>دو</w:t>
            </w:r>
            <w:r>
              <w:rPr>
                <w:rStyle w:val="IndexLink"/>
                <w:rtl w:val="true"/>
              </w:rPr>
              <w:t xml:space="preserve">. </w:t>
            </w:r>
            <w:r>
              <w:rPr>
                <w:rStyle w:val="IndexLink"/>
                <w:rtl w:val="true"/>
              </w:rPr>
              <w:t>امامان هفت گانه</w:t>
            </w:r>
            <w:r>
              <w:rPr>
                <w:rStyle w:val="IndexLink"/>
                <w:rtl w:val="true"/>
              </w:rPr>
              <w:tab/>
            </w:r>
            <w:r>
              <w:rPr>
                <w:rStyle w:val="IndexLink"/>
              </w:rPr>
              <w:t>127</w:t>
            </w:r>
          </w:hyperlink>
        </w:p>
        <w:p>
          <w:pPr>
            <w:pStyle w:val="Contents4"/>
            <w:tabs>
              <w:tab w:val="clear" w:pos="8176"/>
              <w:tab w:val="right" w:pos="9026" w:leader="dot"/>
            </w:tabs>
            <w:rPr/>
          </w:pPr>
          <w:hyperlink w:anchor="__RefHeading___Toc651835_1878427129">
            <w:r>
              <w:rPr>
                <w:webHidden/>
                <w:rStyle w:val="IndexLink"/>
                <w:rtl w:val="true"/>
              </w:rPr>
              <w:t>سه</w:t>
            </w:r>
            <w:r>
              <w:rPr>
                <w:rStyle w:val="IndexLink"/>
                <w:rtl w:val="true"/>
              </w:rPr>
              <w:t xml:space="preserve">. </w:t>
            </w:r>
            <w:r>
              <w:rPr>
                <w:rStyle w:val="IndexLink"/>
                <w:rtl w:val="true"/>
              </w:rPr>
              <w:t>ادامه رسالت</w:t>
            </w:r>
            <w:r>
              <w:rPr>
                <w:rStyle w:val="IndexLink"/>
                <w:rtl w:val="true"/>
              </w:rPr>
              <w:tab/>
            </w:r>
            <w:r>
              <w:rPr>
                <w:rStyle w:val="IndexLink"/>
              </w:rPr>
              <w:t>127</w:t>
            </w:r>
          </w:hyperlink>
        </w:p>
        <w:p>
          <w:pPr>
            <w:pStyle w:val="Contents4"/>
            <w:tabs>
              <w:tab w:val="clear" w:pos="8176"/>
              <w:tab w:val="right" w:pos="9026" w:leader="dot"/>
            </w:tabs>
            <w:rPr/>
          </w:pPr>
          <w:hyperlink w:anchor="__RefHeading___Toc651837_1878427129">
            <w:r>
              <w:rPr>
                <w:webHidden/>
                <w:rStyle w:val="IndexLink"/>
                <w:rtl w:val="true"/>
              </w:rPr>
              <w:t>چهار</w:t>
            </w:r>
            <w:r>
              <w:rPr>
                <w:rStyle w:val="IndexLink"/>
                <w:rtl w:val="true"/>
              </w:rPr>
              <w:t xml:space="preserve">. </w:t>
            </w:r>
            <w:r>
              <w:rPr>
                <w:rStyle w:val="IndexLink"/>
                <w:rtl w:val="true"/>
              </w:rPr>
              <w:t>انقطاع رسالت از پیامبر صلی الله علیه و آله</w:t>
            </w:r>
            <w:r>
              <w:rPr>
                <w:rStyle w:val="IndexLink"/>
                <w:rtl w:val="true"/>
              </w:rPr>
              <w:tab/>
            </w:r>
            <w:r>
              <w:rPr>
                <w:rStyle w:val="IndexLink"/>
              </w:rPr>
              <w:t>127</w:t>
            </w:r>
          </w:hyperlink>
        </w:p>
        <w:p>
          <w:pPr>
            <w:pStyle w:val="Contents4"/>
            <w:tabs>
              <w:tab w:val="clear" w:pos="8176"/>
              <w:tab w:val="right" w:pos="9026" w:leader="dot"/>
            </w:tabs>
            <w:rPr/>
          </w:pPr>
          <w:hyperlink w:anchor="__RefHeading___Toc651839_1878427129">
            <w:r>
              <w:rPr>
                <w:webHidden/>
                <w:rStyle w:val="IndexLink"/>
                <w:rtl w:val="true"/>
              </w:rPr>
              <w:t>پنج</w:t>
            </w:r>
            <w:r>
              <w:rPr>
                <w:rStyle w:val="IndexLink"/>
                <w:rtl w:val="true"/>
              </w:rPr>
              <w:t xml:space="preserve">. </w:t>
            </w:r>
            <w:r>
              <w:rPr>
                <w:rStyle w:val="IndexLink"/>
                <w:rtl w:val="true"/>
              </w:rPr>
              <w:t>مهدویت محمد بن اسماعیل</w:t>
            </w:r>
            <w:r>
              <w:rPr>
                <w:rStyle w:val="IndexLink"/>
                <w:rtl w:val="true"/>
              </w:rPr>
              <w:tab/>
            </w:r>
            <w:r>
              <w:rPr>
                <w:rStyle w:val="IndexLink"/>
              </w:rPr>
              <w:t>127</w:t>
            </w:r>
          </w:hyperlink>
        </w:p>
        <w:p>
          <w:pPr>
            <w:pStyle w:val="Contents4"/>
            <w:tabs>
              <w:tab w:val="clear" w:pos="8176"/>
              <w:tab w:val="right" w:pos="9026" w:leader="dot"/>
            </w:tabs>
            <w:rPr/>
          </w:pPr>
          <w:hyperlink w:anchor="__RefHeading___Toc651841_1878427129">
            <w:r>
              <w:rPr>
                <w:webHidden/>
                <w:rStyle w:val="IndexLink"/>
                <w:rtl w:val="true"/>
              </w:rPr>
              <w:t>شش</w:t>
            </w:r>
            <w:r>
              <w:rPr>
                <w:rStyle w:val="IndexLink"/>
                <w:rtl w:val="true"/>
              </w:rPr>
              <w:t xml:space="preserve">. </w:t>
            </w:r>
            <w:r>
              <w:rPr>
                <w:rStyle w:val="IndexLink"/>
                <w:rtl w:val="true"/>
              </w:rPr>
              <w:t>منسوخ شدن اسلام</w:t>
            </w:r>
            <w:r>
              <w:rPr>
                <w:rStyle w:val="IndexLink"/>
                <w:rtl w:val="true"/>
              </w:rPr>
              <w:tab/>
            </w:r>
            <w:r>
              <w:rPr>
                <w:rStyle w:val="IndexLink"/>
              </w:rPr>
              <w:t>128</w:t>
            </w:r>
          </w:hyperlink>
        </w:p>
        <w:p>
          <w:pPr>
            <w:pStyle w:val="Contents4"/>
            <w:tabs>
              <w:tab w:val="clear" w:pos="8176"/>
              <w:tab w:val="right" w:pos="9026" w:leader="dot"/>
            </w:tabs>
            <w:rPr/>
          </w:pPr>
          <w:hyperlink w:anchor="__RefHeading___Toc651843_1878427129">
            <w:r>
              <w:rPr>
                <w:webHidden/>
                <w:rStyle w:val="IndexLink"/>
                <w:rtl w:val="true"/>
              </w:rPr>
              <w:t>هفت</w:t>
            </w:r>
            <w:r>
              <w:rPr>
                <w:rStyle w:val="IndexLink"/>
                <w:rtl w:val="true"/>
              </w:rPr>
              <w:t xml:space="preserve">. </w:t>
            </w:r>
            <w:r>
              <w:rPr>
                <w:rStyle w:val="IndexLink"/>
                <w:rtl w:val="true"/>
              </w:rPr>
              <w:t>پیامبران اولوالعزم هفتگانه</w:t>
            </w:r>
            <w:r>
              <w:rPr>
                <w:rStyle w:val="IndexLink"/>
                <w:rtl w:val="true"/>
              </w:rPr>
              <w:tab/>
            </w:r>
            <w:r>
              <w:rPr>
                <w:rStyle w:val="IndexLink"/>
              </w:rPr>
              <w:t>128</w:t>
            </w:r>
          </w:hyperlink>
        </w:p>
        <w:p>
          <w:pPr>
            <w:pStyle w:val="Contents4"/>
            <w:tabs>
              <w:tab w:val="clear" w:pos="8176"/>
              <w:tab w:val="right" w:pos="9026" w:leader="dot"/>
            </w:tabs>
            <w:rPr/>
          </w:pPr>
          <w:hyperlink w:anchor="__RefHeading___Toc651845_1878427129">
            <w:r>
              <w:rPr>
                <w:webHidden/>
                <w:rStyle w:val="IndexLink"/>
                <w:rtl w:val="true"/>
              </w:rPr>
              <w:t>هشت</w:t>
            </w:r>
            <w:r>
              <w:rPr>
                <w:rStyle w:val="IndexLink"/>
                <w:rtl w:val="true"/>
              </w:rPr>
              <w:t xml:space="preserve">. </w:t>
            </w:r>
            <w:r>
              <w:rPr>
                <w:rStyle w:val="IndexLink"/>
                <w:rtl w:val="true"/>
              </w:rPr>
              <w:t>خاتمیت محمد بن اسماعیل</w:t>
            </w:r>
            <w:r>
              <w:rPr>
                <w:rStyle w:val="IndexLink"/>
                <w:rtl w:val="true"/>
              </w:rPr>
              <w:tab/>
            </w:r>
            <w:r>
              <w:rPr>
                <w:rStyle w:val="IndexLink"/>
              </w:rPr>
              <w:t>128</w:t>
            </w:r>
          </w:hyperlink>
        </w:p>
        <w:p>
          <w:pPr>
            <w:pStyle w:val="Contents4"/>
            <w:tabs>
              <w:tab w:val="clear" w:pos="8176"/>
              <w:tab w:val="right" w:pos="9026" w:leader="dot"/>
            </w:tabs>
            <w:rPr/>
          </w:pPr>
          <w:hyperlink w:anchor="__RefHeading___Toc651847_1878427129">
            <w:r>
              <w:rPr>
                <w:webHidden/>
                <w:rStyle w:val="IndexLink"/>
                <w:rtl w:val="true"/>
              </w:rPr>
              <w:t>نه</w:t>
            </w:r>
            <w:r>
              <w:rPr>
                <w:rStyle w:val="IndexLink"/>
                <w:rtl w:val="true"/>
              </w:rPr>
              <w:t xml:space="preserve">. </w:t>
            </w:r>
            <w:r>
              <w:rPr>
                <w:rStyle w:val="IndexLink"/>
                <w:rtl w:val="true"/>
              </w:rPr>
              <w:t>اصل اباحه و عدم حرمت چیزی</w:t>
            </w:r>
            <w:r>
              <w:rPr>
                <w:rStyle w:val="IndexLink"/>
                <w:rtl w:val="true"/>
              </w:rPr>
              <w:tab/>
            </w:r>
            <w:r>
              <w:rPr>
                <w:rStyle w:val="IndexLink"/>
              </w:rPr>
              <w:t>128</w:t>
            </w:r>
          </w:hyperlink>
        </w:p>
        <w:p>
          <w:pPr>
            <w:pStyle w:val="Contents4"/>
            <w:tabs>
              <w:tab w:val="clear" w:pos="8176"/>
              <w:tab w:val="right" w:pos="9026" w:leader="dot"/>
            </w:tabs>
            <w:rPr/>
          </w:pPr>
          <w:hyperlink w:anchor="__RefHeading___Toc651849_1878427129">
            <w:r>
              <w:rPr>
                <w:webHidden/>
                <w:rStyle w:val="IndexLink"/>
                <w:rtl w:val="true"/>
              </w:rPr>
              <w:t>ده</w:t>
            </w:r>
            <w:r>
              <w:rPr>
                <w:rStyle w:val="IndexLink"/>
                <w:rtl w:val="true"/>
              </w:rPr>
              <w:t xml:space="preserve">. </w:t>
            </w:r>
            <w:r>
              <w:rPr>
                <w:rStyle w:val="IndexLink"/>
                <w:rtl w:val="true"/>
              </w:rPr>
              <w:t>تخطئۀ امام کاظم علیه السلام</w:t>
            </w:r>
            <w:r>
              <w:rPr>
                <w:rStyle w:val="IndexLink"/>
                <w:rtl w:val="true"/>
              </w:rPr>
              <w:tab/>
            </w:r>
            <w:r>
              <w:rPr>
                <w:rStyle w:val="IndexLink"/>
              </w:rPr>
              <w:t>128</w:t>
            </w:r>
          </w:hyperlink>
        </w:p>
        <w:p>
          <w:pPr>
            <w:pStyle w:val="Contents4"/>
            <w:tabs>
              <w:tab w:val="clear" w:pos="8176"/>
              <w:tab w:val="right" w:pos="9026" w:leader="dot"/>
            </w:tabs>
            <w:rPr/>
          </w:pPr>
          <w:hyperlink w:anchor="__RefHeading___Toc651851_1878427129">
            <w:r>
              <w:rPr>
                <w:webHidden/>
                <w:rStyle w:val="IndexLink"/>
                <w:rtl w:val="true"/>
              </w:rPr>
              <w:t>یازده</w:t>
            </w:r>
            <w:r>
              <w:rPr>
                <w:rStyle w:val="IndexLink"/>
                <w:rtl w:val="true"/>
              </w:rPr>
              <w:t xml:space="preserve">. </w:t>
            </w:r>
            <w:r>
              <w:rPr>
                <w:rStyle w:val="IndexLink"/>
                <w:rtl w:val="true"/>
              </w:rPr>
              <w:t>تکفیر مردم</w:t>
            </w:r>
            <w:r>
              <w:rPr>
                <w:rStyle w:val="IndexLink"/>
                <w:rtl w:val="true"/>
              </w:rPr>
              <w:tab/>
            </w:r>
            <w:r>
              <w:rPr>
                <w:rStyle w:val="IndexLink"/>
              </w:rPr>
              <w:t>128</w:t>
            </w:r>
          </w:hyperlink>
        </w:p>
        <w:p>
          <w:pPr>
            <w:pStyle w:val="Contents3"/>
            <w:tabs>
              <w:tab w:val="clear" w:pos="8459"/>
              <w:tab w:val="right" w:pos="9026" w:leader="dot"/>
            </w:tabs>
            <w:rPr/>
          </w:pPr>
          <w:hyperlink w:anchor="__RefHeading___Toc651853_1878427129">
            <w:r>
              <w:rPr>
                <w:webHidden/>
                <w:rStyle w:val="IndexLink"/>
                <w:rtl w:val="true"/>
              </w:rPr>
              <w:t>خردورزی در فقه</w:t>
            </w:r>
            <w:r>
              <w:rPr>
                <w:rStyle w:val="IndexLink"/>
                <w:rtl w:val="true"/>
              </w:rPr>
              <w:tab/>
            </w:r>
            <w:r>
              <w:rPr>
                <w:rStyle w:val="IndexLink"/>
              </w:rPr>
              <w:t>129</w:t>
            </w:r>
          </w:hyperlink>
        </w:p>
        <w:p>
          <w:pPr>
            <w:pStyle w:val="Contents4"/>
            <w:tabs>
              <w:tab w:val="clear" w:pos="8176"/>
              <w:tab w:val="right" w:pos="9026" w:leader="dot"/>
            </w:tabs>
            <w:rPr/>
          </w:pPr>
          <w:hyperlink w:anchor="__RefHeading___Toc651855_1878427129">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651857_1878427129">
            <w:r>
              <w:rPr>
                <w:webHidden/>
                <w:rStyle w:val="IndexLink"/>
              </w:rPr>
              <w:t>1</w:t>
            </w:r>
            <w:r>
              <w:rPr>
                <w:rStyle w:val="IndexLink"/>
                <w:rtl w:val="true"/>
              </w:rPr>
              <w:t xml:space="preserve">. </w:t>
            </w:r>
            <w:r>
              <w:rPr>
                <w:rStyle w:val="IndexLink"/>
                <w:rtl w:val="true"/>
              </w:rPr>
              <w:t>مبانی استنباط از نگاه کلینی</w:t>
            </w:r>
            <w:r>
              <w:rPr>
                <w:rStyle w:val="IndexLink"/>
                <w:rtl w:val="true"/>
              </w:rPr>
              <w:tab/>
            </w:r>
            <w:r>
              <w:rPr>
                <w:rStyle w:val="IndexLink"/>
              </w:rPr>
              <w:t>129</w:t>
            </w:r>
          </w:hyperlink>
        </w:p>
        <w:p>
          <w:pPr>
            <w:pStyle w:val="Contents4"/>
            <w:tabs>
              <w:tab w:val="clear" w:pos="8176"/>
              <w:tab w:val="right" w:pos="9026" w:leader="dot"/>
            </w:tabs>
            <w:rPr/>
          </w:pPr>
          <w:hyperlink w:anchor="__RefHeading___Toc651859_1878427129">
            <w:r>
              <w:rPr>
                <w:webHidden/>
                <w:rStyle w:val="IndexLink"/>
              </w:rPr>
              <w:t>2</w:t>
            </w:r>
            <w:r>
              <w:rPr>
                <w:rStyle w:val="IndexLink"/>
                <w:rtl w:val="true"/>
              </w:rPr>
              <w:t xml:space="preserve">. </w:t>
            </w:r>
            <w:r>
              <w:rPr>
                <w:rStyle w:val="IndexLink"/>
                <w:rtl w:val="true"/>
              </w:rPr>
              <w:t>نگاهی به فروع کافی</w:t>
            </w:r>
            <w:r>
              <w:rPr>
                <w:rStyle w:val="IndexLink"/>
                <w:rtl w:val="true"/>
              </w:rPr>
              <w:tab/>
            </w:r>
            <w:r>
              <w:rPr>
                <w:rStyle w:val="IndexLink"/>
              </w:rPr>
              <w:t>129</w:t>
            </w:r>
          </w:hyperlink>
        </w:p>
        <w:p>
          <w:pPr>
            <w:pStyle w:val="Contents3"/>
            <w:tabs>
              <w:tab w:val="clear" w:pos="8459"/>
              <w:tab w:val="right" w:pos="9026" w:leader="dot"/>
            </w:tabs>
            <w:rPr/>
          </w:pPr>
          <w:hyperlink w:anchor="__RefHeading___Toc651861_1878427129">
            <w:r>
              <w:rPr>
                <w:webHidden/>
                <w:rStyle w:val="IndexLink"/>
                <w:rtl w:val="true"/>
              </w:rPr>
              <w:t>درگذشت کلینی</w:t>
            </w:r>
            <w:r>
              <w:rPr>
                <w:rStyle w:val="IndexLink"/>
                <w:rtl w:val="true"/>
              </w:rPr>
              <w:tab/>
            </w:r>
            <w:r>
              <w:rPr>
                <w:rStyle w:val="IndexLink"/>
              </w:rPr>
              <w:t>130</w:t>
            </w:r>
          </w:hyperlink>
        </w:p>
        <w:p>
          <w:pPr>
            <w:pStyle w:val="Contents2"/>
            <w:tabs>
              <w:tab w:val="clear" w:pos="8743"/>
              <w:tab w:val="right" w:pos="9026" w:leader="dot"/>
            </w:tabs>
            <w:rPr/>
          </w:pPr>
          <w:hyperlink w:anchor="__RefHeading___Toc651863_1878427129">
            <w:r>
              <w:rPr>
                <w:webHidden/>
                <w:rStyle w:val="IndexLink"/>
                <w:rtl w:val="true"/>
              </w:rPr>
              <w:t>روش فهم حدیث در شرح اُصول الکافی ملّاصالح مازندرانی</w:t>
            </w:r>
            <w:r>
              <w:rPr>
                <w:rStyle w:val="IndexLink"/>
                <w:rtl w:val="true"/>
              </w:rPr>
              <w:tab/>
            </w:r>
            <w:r>
              <w:rPr>
                <w:rStyle w:val="IndexLink"/>
              </w:rPr>
              <w:t>131</w:t>
            </w:r>
          </w:hyperlink>
        </w:p>
        <w:p>
          <w:pPr>
            <w:pStyle w:val="Contents3"/>
            <w:tabs>
              <w:tab w:val="clear" w:pos="8459"/>
              <w:tab w:val="right" w:pos="9026" w:leader="dot"/>
            </w:tabs>
            <w:rPr/>
          </w:pPr>
          <w:hyperlink w:anchor="__RefHeading___Toc651865_1878427129">
            <w:r>
              <w:rPr>
                <w:webHidden/>
                <w:rStyle w:val="IndexLink"/>
                <w:rtl w:val="true"/>
              </w:rPr>
              <w:t>اشارة</w:t>
            </w:r>
            <w:r>
              <w:rPr>
                <w:rStyle w:val="IndexLink"/>
                <w:rtl w:val="true"/>
              </w:rPr>
              <w:tab/>
            </w:r>
            <w:r>
              <w:rPr>
                <w:rStyle w:val="IndexLink"/>
              </w:rPr>
              <w:t>131</w:t>
            </w:r>
          </w:hyperlink>
        </w:p>
        <w:p>
          <w:pPr>
            <w:pStyle w:val="Contents3"/>
            <w:tabs>
              <w:tab w:val="clear" w:pos="8459"/>
              <w:tab w:val="right" w:pos="9026" w:leader="dot"/>
            </w:tabs>
            <w:rPr/>
          </w:pPr>
          <w:hyperlink w:anchor="__RefHeading___Toc651867_1878427129">
            <w:r>
              <w:rPr>
                <w:webHidden/>
                <w:rStyle w:val="IndexLink"/>
                <w:rtl w:val="true"/>
              </w:rPr>
              <w:t>چکیده</w:t>
            </w:r>
            <w:r>
              <w:rPr>
                <w:rStyle w:val="IndexLink"/>
                <w:rtl w:val="true"/>
              </w:rPr>
              <w:tab/>
            </w:r>
            <w:r>
              <w:rPr>
                <w:rStyle w:val="IndexLink"/>
              </w:rPr>
              <w:t>131</w:t>
            </w:r>
          </w:hyperlink>
        </w:p>
        <w:p>
          <w:pPr>
            <w:pStyle w:val="Contents3"/>
            <w:tabs>
              <w:tab w:val="clear" w:pos="8459"/>
              <w:tab w:val="right" w:pos="9026" w:leader="dot"/>
            </w:tabs>
            <w:rPr/>
          </w:pPr>
          <w:hyperlink w:anchor="__RefHeading___Toc651869_1878427129">
            <w:r>
              <w:rPr>
                <w:webHidden/>
                <w:rStyle w:val="IndexLink"/>
                <w:rtl w:val="true"/>
              </w:rPr>
              <w:t>طرح مسأله</w:t>
            </w:r>
            <w:r>
              <w:rPr>
                <w:rStyle w:val="IndexLink"/>
                <w:rtl w:val="true"/>
              </w:rPr>
              <w:tab/>
            </w:r>
            <w:r>
              <w:rPr>
                <w:rStyle w:val="IndexLink"/>
              </w:rPr>
              <w:t>131</w:t>
            </w:r>
          </w:hyperlink>
        </w:p>
        <w:p>
          <w:pPr>
            <w:pStyle w:val="Contents4"/>
            <w:tabs>
              <w:tab w:val="clear" w:pos="8176"/>
              <w:tab w:val="right" w:pos="9026" w:leader="dot"/>
            </w:tabs>
            <w:rPr/>
          </w:pPr>
          <w:hyperlink w:anchor="__RefHeading___Toc651871_1878427129">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651873_1878427129">
            <w:r>
              <w:rPr>
                <w:webHidden/>
                <w:rStyle w:val="IndexLink"/>
              </w:rPr>
              <w:t>1</w:t>
            </w:r>
            <w:r>
              <w:rPr>
                <w:rStyle w:val="IndexLink"/>
                <w:rtl w:val="true"/>
              </w:rPr>
              <w:t xml:space="preserve">. </w:t>
            </w:r>
            <w:r>
              <w:rPr>
                <w:rStyle w:val="IndexLink"/>
                <w:rtl w:val="true"/>
              </w:rPr>
              <w:t>بررسی سند</w:t>
            </w:r>
            <w:r>
              <w:rPr>
                <w:rStyle w:val="IndexLink"/>
                <w:rtl w:val="true"/>
              </w:rPr>
              <w:tab/>
            </w:r>
            <w:r>
              <w:rPr>
                <w:rStyle w:val="IndexLink"/>
              </w:rPr>
              <w:t>132</w:t>
            </w:r>
          </w:hyperlink>
        </w:p>
        <w:p>
          <w:pPr>
            <w:pStyle w:val="Contents4"/>
            <w:tabs>
              <w:tab w:val="clear" w:pos="8176"/>
              <w:tab w:val="right" w:pos="9026" w:leader="dot"/>
            </w:tabs>
            <w:rPr/>
          </w:pPr>
          <w:hyperlink w:anchor="__RefHeading___Toc651875_1878427129">
            <w:r>
              <w:rPr>
                <w:webHidden/>
                <w:rStyle w:val="IndexLink"/>
              </w:rPr>
              <w:t>2</w:t>
            </w:r>
            <w:r>
              <w:rPr>
                <w:rStyle w:val="IndexLink"/>
                <w:rtl w:val="true"/>
              </w:rPr>
              <w:t xml:space="preserve">. </w:t>
            </w:r>
            <w:r>
              <w:rPr>
                <w:rStyle w:val="IndexLink"/>
                <w:rtl w:val="true"/>
              </w:rPr>
              <w:t>چگونگی فهم متن</w:t>
            </w:r>
            <w:r>
              <w:rPr>
                <w:rStyle w:val="IndexLink"/>
                <w:rtl w:val="true"/>
              </w:rPr>
              <w:tab/>
            </w:r>
            <w:r>
              <w:rPr>
                <w:rStyle w:val="IndexLink"/>
              </w:rPr>
              <w:t>134</w:t>
            </w:r>
          </w:hyperlink>
        </w:p>
        <w:p>
          <w:pPr>
            <w:pStyle w:val="Contents5"/>
            <w:tabs>
              <w:tab w:val="clear" w:pos="7892"/>
              <w:tab w:val="right" w:pos="9026" w:leader="dot"/>
            </w:tabs>
            <w:rPr/>
          </w:pPr>
          <w:hyperlink w:anchor="__RefHeading___Toc651877_1878427129">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651879_1878427129">
            <w:r>
              <w:rPr>
                <w:webHidden/>
                <w:rStyle w:val="IndexLink"/>
              </w:rPr>
              <w:t>1-2</w:t>
            </w:r>
            <w:r>
              <w:rPr>
                <w:rStyle w:val="IndexLink"/>
                <w:rtl w:val="true"/>
              </w:rPr>
              <w:t xml:space="preserve">. </w:t>
            </w:r>
            <w:r>
              <w:rPr>
                <w:rStyle w:val="IndexLink"/>
                <w:rtl w:val="true"/>
              </w:rPr>
              <w:t>اثبات متن</w:t>
            </w:r>
            <w:r>
              <w:rPr>
                <w:rStyle w:val="IndexLink"/>
                <w:rtl w:val="true"/>
              </w:rPr>
              <w:tab/>
            </w:r>
            <w:r>
              <w:rPr>
                <w:rStyle w:val="IndexLink"/>
              </w:rPr>
              <w:t>134</w:t>
            </w:r>
          </w:hyperlink>
        </w:p>
        <w:p>
          <w:pPr>
            <w:pStyle w:val="Contents5"/>
            <w:tabs>
              <w:tab w:val="clear" w:pos="7892"/>
              <w:tab w:val="right" w:pos="9026" w:leader="dot"/>
            </w:tabs>
            <w:rPr/>
          </w:pPr>
          <w:hyperlink w:anchor="__RefHeading___Toc651881_1878427129">
            <w:r>
              <w:rPr>
                <w:webHidden/>
                <w:rStyle w:val="IndexLink"/>
              </w:rPr>
              <w:t>2-2</w:t>
            </w:r>
            <w:r>
              <w:rPr>
                <w:rStyle w:val="IndexLink"/>
                <w:rtl w:val="true"/>
              </w:rPr>
              <w:t xml:space="preserve">. </w:t>
            </w:r>
            <w:r>
              <w:rPr>
                <w:rStyle w:val="IndexLink"/>
                <w:rtl w:val="true"/>
              </w:rPr>
              <w:t>معناشناسی با استناد به ادبیات عرب</w:t>
            </w:r>
            <w:r>
              <w:rPr>
                <w:rStyle w:val="IndexLink"/>
                <w:rtl w:val="true"/>
              </w:rPr>
              <w:tab/>
            </w:r>
            <w:r>
              <w:rPr>
                <w:rStyle w:val="IndexLink"/>
              </w:rPr>
              <w:t>135</w:t>
            </w:r>
          </w:hyperlink>
        </w:p>
        <w:p>
          <w:pPr>
            <w:pStyle w:val="Contents5"/>
            <w:tabs>
              <w:tab w:val="clear" w:pos="7892"/>
              <w:tab w:val="right" w:pos="9026" w:leader="dot"/>
            </w:tabs>
            <w:rPr/>
          </w:pPr>
          <w:hyperlink w:anchor="__RefHeading___Toc651883_1878427129">
            <w:r>
              <w:rPr>
                <w:webHidden/>
                <w:rStyle w:val="IndexLink"/>
              </w:rPr>
              <w:t>3-2</w:t>
            </w:r>
            <w:r>
              <w:rPr>
                <w:rStyle w:val="IndexLink"/>
                <w:rtl w:val="true"/>
              </w:rPr>
              <w:t xml:space="preserve">. </w:t>
            </w:r>
            <w:r>
              <w:rPr>
                <w:rStyle w:val="IndexLink"/>
                <w:rtl w:val="true"/>
              </w:rPr>
              <w:t>توجه به قرینه‌های مؤثر در فهم</w:t>
            </w:r>
            <w:r>
              <w:rPr>
                <w:rStyle w:val="IndexLink"/>
                <w:rtl w:val="true"/>
              </w:rPr>
              <w:tab/>
            </w:r>
            <w:r>
              <w:rPr>
                <w:rStyle w:val="IndexLink"/>
              </w:rPr>
              <w:t>139</w:t>
            </w:r>
          </w:hyperlink>
        </w:p>
        <w:p>
          <w:pPr>
            <w:pStyle w:val="Contents5"/>
            <w:tabs>
              <w:tab w:val="clear" w:pos="7892"/>
              <w:tab w:val="right" w:pos="9026" w:leader="dot"/>
            </w:tabs>
            <w:rPr/>
          </w:pPr>
          <w:hyperlink w:anchor="__RefHeading___Toc651885_1878427129">
            <w:r>
              <w:rPr>
                <w:webHidden/>
                <w:rStyle w:val="IndexLink"/>
              </w:rPr>
              <w:t>4-2</w:t>
            </w:r>
            <w:r>
              <w:rPr>
                <w:rStyle w:val="IndexLink"/>
                <w:rtl w:val="true"/>
              </w:rPr>
              <w:t xml:space="preserve">. </w:t>
            </w:r>
            <w:r>
              <w:rPr>
                <w:rStyle w:val="IndexLink"/>
                <w:rtl w:val="true"/>
              </w:rPr>
              <w:t>استناد به آیات قرآن</w:t>
            </w:r>
            <w:r>
              <w:rPr>
                <w:rStyle w:val="IndexLink"/>
                <w:rtl w:val="true"/>
              </w:rPr>
              <w:tab/>
            </w:r>
            <w:r>
              <w:rPr>
                <w:rStyle w:val="IndexLink"/>
              </w:rPr>
              <w:t>142</w:t>
            </w:r>
          </w:hyperlink>
        </w:p>
        <w:p>
          <w:pPr>
            <w:pStyle w:val="Contents5"/>
            <w:tabs>
              <w:tab w:val="clear" w:pos="7892"/>
              <w:tab w:val="right" w:pos="9026" w:leader="dot"/>
            </w:tabs>
            <w:rPr/>
          </w:pPr>
          <w:hyperlink w:anchor="__RefHeading___Toc651887_1878427129">
            <w:r>
              <w:rPr>
                <w:webHidden/>
                <w:rStyle w:val="IndexLink"/>
              </w:rPr>
              <w:t>5-2</w:t>
            </w:r>
            <w:r>
              <w:rPr>
                <w:rStyle w:val="IndexLink"/>
                <w:rtl w:val="true"/>
              </w:rPr>
              <w:t xml:space="preserve">. </w:t>
            </w:r>
            <w:r>
              <w:rPr>
                <w:rStyle w:val="IndexLink"/>
                <w:rtl w:val="true"/>
              </w:rPr>
              <w:t>گردآوری احادیث در یک موضوع</w:t>
            </w:r>
            <w:r>
              <w:rPr>
                <w:rStyle w:val="IndexLink"/>
                <w:rtl w:val="true"/>
              </w:rPr>
              <w:tab/>
            </w:r>
            <w:r>
              <w:rPr>
                <w:rStyle w:val="IndexLink"/>
              </w:rPr>
              <w:t>143</w:t>
            </w:r>
          </w:hyperlink>
        </w:p>
        <w:p>
          <w:pPr>
            <w:pStyle w:val="Contents5"/>
            <w:tabs>
              <w:tab w:val="clear" w:pos="7892"/>
              <w:tab w:val="right" w:pos="9026" w:leader="dot"/>
            </w:tabs>
            <w:rPr/>
          </w:pPr>
          <w:hyperlink w:anchor="__RefHeading___Toc651889_1878427129">
            <w:r>
              <w:rPr>
                <w:webHidden/>
                <w:rStyle w:val="IndexLink"/>
              </w:rPr>
              <w:t>6-2</w:t>
            </w:r>
            <w:r>
              <w:rPr>
                <w:rStyle w:val="IndexLink"/>
                <w:rtl w:val="true"/>
              </w:rPr>
              <w:t xml:space="preserve">. </w:t>
            </w:r>
            <w:r>
              <w:rPr>
                <w:rStyle w:val="IndexLink"/>
                <w:rtl w:val="true"/>
              </w:rPr>
              <w:t>بهره‌گیری از عقل</w:t>
            </w:r>
            <w:r>
              <w:rPr>
                <w:rStyle w:val="IndexLink"/>
                <w:rtl w:val="true"/>
              </w:rPr>
              <w:tab/>
            </w:r>
            <w:r>
              <w:rPr>
                <w:rStyle w:val="IndexLink"/>
              </w:rPr>
              <w:t>150</w:t>
            </w:r>
          </w:hyperlink>
        </w:p>
        <w:p>
          <w:pPr>
            <w:pStyle w:val="Contents5"/>
            <w:tabs>
              <w:tab w:val="clear" w:pos="7892"/>
              <w:tab w:val="right" w:pos="9026" w:leader="dot"/>
            </w:tabs>
            <w:rPr/>
          </w:pPr>
          <w:hyperlink w:anchor="__RefHeading___Toc651891_1878427129">
            <w:r>
              <w:rPr>
                <w:webHidden/>
                <w:rStyle w:val="IndexLink"/>
              </w:rPr>
              <w:t>7-2</w:t>
            </w:r>
            <w:r>
              <w:rPr>
                <w:rStyle w:val="IndexLink"/>
                <w:rtl w:val="true"/>
              </w:rPr>
              <w:t xml:space="preserve">. </w:t>
            </w:r>
            <w:r>
              <w:rPr>
                <w:rStyle w:val="IndexLink"/>
                <w:rtl w:val="true"/>
              </w:rPr>
              <w:t>توجه به تاریخ و تجربه</w:t>
            </w:r>
            <w:r>
              <w:rPr>
                <w:rStyle w:val="IndexLink"/>
                <w:rtl w:val="true"/>
              </w:rPr>
              <w:tab/>
            </w:r>
            <w:r>
              <w:rPr>
                <w:rStyle w:val="IndexLink"/>
              </w:rPr>
              <w:t>151</w:t>
            </w:r>
          </w:hyperlink>
        </w:p>
        <w:p>
          <w:pPr>
            <w:pStyle w:val="Contents5"/>
            <w:tabs>
              <w:tab w:val="clear" w:pos="7892"/>
              <w:tab w:val="right" w:pos="9026" w:leader="dot"/>
            </w:tabs>
            <w:rPr/>
          </w:pPr>
          <w:hyperlink w:anchor="__RefHeading___Toc651893_1878427129">
            <w:r>
              <w:rPr>
                <w:webHidden/>
                <w:rStyle w:val="IndexLink"/>
              </w:rPr>
              <w:t>8-2</w:t>
            </w:r>
            <w:r>
              <w:rPr>
                <w:rStyle w:val="IndexLink"/>
                <w:rtl w:val="true"/>
              </w:rPr>
              <w:t xml:space="preserve">. </w:t>
            </w:r>
            <w:r>
              <w:rPr>
                <w:rStyle w:val="IndexLink"/>
                <w:rtl w:val="true"/>
              </w:rPr>
              <w:t>تبیین غوامض و بیان چالش‌ها</w:t>
            </w:r>
            <w:r>
              <w:rPr>
                <w:rStyle w:val="IndexLink"/>
                <w:rtl w:val="true"/>
              </w:rPr>
              <w:tab/>
            </w:r>
            <w:r>
              <w:rPr>
                <w:rStyle w:val="IndexLink"/>
              </w:rPr>
              <w:t>153</w:t>
            </w:r>
          </w:hyperlink>
        </w:p>
        <w:p>
          <w:pPr>
            <w:pStyle w:val="Contents3"/>
            <w:tabs>
              <w:tab w:val="clear" w:pos="8459"/>
              <w:tab w:val="right" w:pos="9026" w:leader="dot"/>
            </w:tabs>
            <w:rPr/>
          </w:pPr>
          <w:hyperlink w:anchor="__RefHeading___Toc651895_1878427129">
            <w:r>
              <w:rPr>
                <w:webHidden/>
                <w:rStyle w:val="IndexLink"/>
                <w:rtl w:val="true"/>
              </w:rPr>
              <w:t>نتیجه</w:t>
            </w:r>
            <w:r>
              <w:rPr>
                <w:rStyle w:val="IndexLink"/>
                <w:rtl w:val="true"/>
              </w:rPr>
              <w:tab/>
            </w:r>
            <w:r>
              <w:rPr>
                <w:rStyle w:val="IndexLink"/>
              </w:rPr>
              <w:t>155</w:t>
            </w:r>
          </w:hyperlink>
        </w:p>
        <w:p>
          <w:pPr>
            <w:pStyle w:val="Contents3"/>
            <w:tabs>
              <w:tab w:val="clear" w:pos="8459"/>
              <w:tab w:val="right" w:pos="9026" w:leader="dot"/>
            </w:tabs>
            <w:rPr/>
          </w:pPr>
          <w:hyperlink w:anchor="__RefHeading___Toc651897_1878427129">
            <w:r>
              <w:rPr>
                <w:webHidden/>
                <w:rStyle w:val="IndexLink"/>
                <w:rtl w:val="true"/>
              </w:rPr>
              <w:t>کتاب نامه</w:t>
            </w:r>
            <w:r>
              <w:rPr>
                <w:rStyle w:val="IndexLink"/>
                <w:rtl w:val="true"/>
              </w:rPr>
              <w:tab/>
            </w:r>
            <w:r>
              <w:rPr>
                <w:rStyle w:val="IndexLink"/>
              </w:rPr>
              <w:t>156</w:t>
            </w:r>
          </w:hyperlink>
        </w:p>
        <w:p>
          <w:pPr>
            <w:pStyle w:val="Contents2"/>
            <w:tabs>
              <w:tab w:val="clear" w:pos="8743"/>
              <w:tab w:val="right" w:pos="9026" w:leader="dot"/>
            </w:tabs>
            <w:rPr/>
          </w:pPr>
          <w:hyperlink w:anchor="__RefHeading___Toc651899_1878427129">
            <w:r>
              <w:rPr>
                <w:webHidden/>
                <w:rStyle w:val="IndexLink"/>
                <w:rtl w:val="true"/>
              </w:rPr>
              <w:t>عقل از دیدگاه ملا صالح مازندرانی</w:t>
            </w:r>
            <w:r>
              <w:rPr>
                <w:rStyle w:val="IndexLink"/>
                <w:rtl w:val="true"/>
              </w:rPr>
              <w:tab/>
            </w:r>
            <w:r>
              <w:rPr>
                <w:rStyle w:val="IndexLink"/>
              </w:rPr>
              <w:t>157</w:t>
            </w:r>
          </w:hyperlink>
        </w:p>
        <w:p>
          <w:pPr>
            <w:pStyle w:val="Contents3"/>
            <w:tabs>
              <w:tab w:val="clear" w:pos="8459"/>
              <w:tab w:val="right" w:pos="9026" w:leader="dot"/>
            </w:tabs>
            <w:rPr/>
          </w:pPr>
          <w:hyperlink w:anchor="__RefHeading___Toc651901_1878427129">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651903_1878427129">
            <w:r>
              <w:rPr>
                <w:webHidden/>
                <w:rStyle w:val="IndexLink"/>
                <w:rtl w:val="true"/>
              </w:rPr>
              <w:t>چکیده</w:t>
            </w:r>
            <w:r>
              <w:rPr>
                <w:rStyle w:val="IndexLink"/>
                <w:rtl w:val="true"/>
              </w:rPr>
              <w:tab/>
            </w:r>
            <w:r>
              <w:rPr>
                <w:rStyle w:val="IndexLink"/>
              </w:rPr>
              <w:t>157</w:t>
            </w:r>
          </w:hyperlink>
        </w:p>
        <w:p>
          <w:pPr>
            <w:pStyle w:val="Contents3"/>
            <w:tabs>
              <w:tab w:val="clear" w:pos="8459"/>
              <w:tab w:val="right" w:pos="9026" w:leader="dot"/>
            </w:tabs>
            <w:rPr/>
          </w:pPr>
          <w:hyperlink w:anchor="__RefHeading___Toc651905_1878427129">
            <w:r>
              <w:rPr>
                <w:webHidden/>
                <w:rStyle w:val="IndexLink"/>
              </w:rPr>
              <w:t>1</w:t>
            </w:r>
            <w:r>
              <w:rPr>
                <w:rStyle w:val="IndexLink"/>
                <w:rtl w:val="true"/>
              </w:rPr>
              <w:t xml:space="preserve">. </w:t>
            </w:r>
            <w:r>
              <w:rPr>
                <w:rStyle w:val="IndexLink"/>
                <w:rtl w:val="true"/>
              </w:rPr>
              <w:t>تعریف عقل</w:t>
            </w:r>
            <w:r>
              <w:rPr>
                <w:rStyle w:val="IndexLink"/>
                <w:rtl w:val="true"/>
              </w:rPr>
              <w:tab/>
            </w:r>
            <w:r>
              <w:rPr>
                <w:rStyle w:val="IndexLink"/>
              </w:rPr>
              <w:t>159</w:t>
            </w:r>
          </w:hyperlink>
        </w:p>
        <w:p>
          <w:pPr>
            <w:pStyle w:val="Contents3"/>
            <w:tabs>
              <w:tab w:val="clear" w:pos="8459"/>
              <w:tab w:val="right" w:pos="9026" w:leader="dot"/>
            </w:tabs>
            <w:rPr/>
          </w:pPr>
          <w:hyperlink w:anchor="__RefHeading___Toc651907_1878427129">
            <w:r>
              <w:rPr>
                <w:webHidden/>
                <w:rStyle w:val="IndexLink"/>
              </w:rPr>
              <w:t>2</w:t>
            </w:r>
            <w:r>
              <w:rPr>
                <w:rStyle w:val="IndexLink"/>
                <w:rtl w:val="true"/>
              </w:rPr>
              <w:t xml:space="preserve">. </w:t>
            </w:r>
            <w:r>
              <w:rPr>
                <w:rStyle w:val="IndexLink"/>
                <w:rtl w:val="true"/>
              </w:rPr>
              <w:t>مراتب عقل</w:t>
            </w:r>
            <w:r>
              <w:rPr>
                <w:rStyle w:val="IndexLink"/>
                <w:rtl w:val="true"/>
              </w:rPr>
              <w:tab/>
            </w:r>
            <w:r>
              <w:rPr>
                <w:rStyle w:val="IndexLink"/>
              </w:rPr>
              <w:t>167</w:t>
            </w:r>
          </w:hyperlink>
        </w:p>
        <w:p>
          <w:pPr>
            <w:pStyle w:val="Contents3"/>
            <w:tabs>
              <w:tab w:val="clear" w:pos="8459"/>
              <w:tab w:val="right" w:pos="9026" w:leader="dot"/>
            </w:tabs>
            <w:rPr/>
          </w:pPr>
          <w:hyperlink w:anchor="__RefHeading___Toc651909_1878427129">
            <w:r>
              <w:rPr>
                <w:webHidden/>
                <w:rStyle w:val="IndexLink"/>
              </w:rPr>
              <w:t>3</w:t>
            </w:r>
            <w:r>
              <w:rPr>
                <w:rStyle w:val="IndexLink"/>
                <w:rtl w:val="true"/>
              </w:rPr>
              <w:t xml:space="preserve">. </w:t>
            </w:r>
            <w:r>
              <w:rPr>
                <w:rStyle w:val="IndexLink"/>
                <w:rtl w:val="true"/>
              </w:rPr>
              <w:t>افزایش مراتب عقل</w:t>
            </w:r>
            <w:r>
              <w:rPr>
                <w:rStyle w:val="IndexLink"/>
                <w:rtl w:val="true"/>
              </w:rPr>
              <w:tab/>
            </w:r>
            <w:r>
              <w:rPr>
                <w:rStyle w:val="IndexLink"/>
              </w:rPr>
              <w:t>170</w:t>
            </w:r>
          </w:hyperlink>
        </w:p>
        <w:p>
          <w:pPr>
            <w:pStyle w:val="Contents3"/>
            <w:tabs>
              <w:tab w:val="clear" w:pos="8459"/>
              <w:tab w:val="right" w:pos="9026" w:leader="dot"/>
            </w:tabs>
            <w:rPr/>
          </w:pPr>
          <w:hyperlink w:anchor="__RefHeading___Toc651911_1878427129">
            <w:r>
              <w:rPr>
                <w:webHidden/>
                <w:rStyle w:val="IndexLink"/>
              </w:rPr>
              <w:t>4</w:t>
            </w:r>
            <w:r>
              <w:rPr>
                <w:rStyle w:val="IndexLink"/>
                <w:rtl w:val="true"/>
              </w:rPr>
              <w:t xml:space="preserve">. </w:t>
            </w:r>
            <w:r>
              <w:rPr>
                <w:rStyle w:val="IndexLink"/>
                <w:rtl w:val="true"/>
              </w:rPr>
              <w:t xml:space="preserve">کاربردهای واژه </w:t>
            </w:r>
            <w:r>
              <w:rPr>
                <w:rStyle w:val="IndexLink"/>
                <w:rtl w:val="true"/>
              </w:rPr>
              <w:t>«</w:t>
            </w:r>
            <w:r>
              <w:rPr>
                <w:rStyle w:val="IndexLink"/>
                <w:rtl w:val="true"/>
              </w:rPr>
              <w:t>عقل</w:t>
            </w:r>
            <w:r>
              <w:rPr>
                <w:rStyle w:val="IndexLink"/>
                <w:rtl w:val="true"/>
              </w:rPr>
              <w:t>»</w:t>
              <w:tab/>
            </w:r>
            <w:r>
              <w:rPr>
                <w:rStyle w:val="IndexLink"/>
              </w:rPr>
              <w:t>171</w:t>
            </w:r>
          </w:hyperlink>
        </w:p>
        <w:p>
          <w:pPr>
            <w:pStyle w:val="Contents3"/>
            <w:tabs>
              <w:tab w:val="clear" w:pos="8459"/>
              <w:tab w:val="right" w:pos="9026" w:leader="dot"/>
            </w:tabs>
            <w:rPr/>
          </w:pPr>
          <w:hyperlink w:anchor="__RefHeading___Toc651913_1878427129">
            <w:r>
              <w:rPr>
                <w:webHidden/>
                <w:rStyle w:val="IndexLink"/>
              </w:rPr>
              <w:t>5</w:t>
            </w:r>
            <w:r>
              <w:rPr>
                <w:rStyle w:val="IndexLink"/>
                <w:rtl w:val="true"/>
              </w:rPr>
              <w:t xml:space="preserve">. </w:t>
            </w:r>
            <w:r>
              <w:rPr>
                <w:rStyle w:val="IndexLink"/>
                <w:rtl w:val="true"/>
              </w:rPr>
              <w:t>کاربرد واژگانی دیگر به معنای عقل</w:t>
            </w:r>
            <w:r>
              <w:rPr>
                <w:rStyle w:val="IndexLink"/>
                <w:rtl w:val="true"/>
              </w:rPr>
              <w:tab/>
            </w:r>
            <w:r>
              <w:rPr>
                <w:rStyle w:val="IndexLink"/>
              </w:rPr>
              <w:t>172</w:t>
            </w:r>
          </w:hyperlink>
        </w:p>
        <w:p>
          <w:pPr>
            <w:pStyle w:val="Contents3"/>
            <w:tabs>
              <w:tab w:val="clear" w:pos="8459"/>
              <w:tab w:val="right" w:pos="9026" w:leader="dot"/>
            </w:tabs>
            <w:rPr/>
          </w:pPr>
          <w:hyperlink w:anchor="__RefHeading___Toc651915_1878427129">
            <w:r>
              <w:rPr>
                <w:webHidden/>
                <w:rStyle w:val="IndexLink"/>
              </w:rPr>
              <w:t>6</w:t>
            </w:r>
            <w:r>
              <w:rPr>
                <w:rStyle w:val="IndexLink"/>
                <w:rtl w:val="true"/>
              </w:rPr>
              <w:t xml:space="preserve">. </w:t>
            </w:r>
            <w:r>
              <w:rPr>
                <w:rStyle w:val="IndexLink"/>
                <w:rtl w:val="true"/>
              </w:rPr>
              <w:t>پاسخ به یک پرسش</w:t>
            </w:r>
            <w:r>
              <w:rPr>
                <w:rStyle w:val="IndexLink"/>
                <w:rtl w:val="true"/>
              </w:rPr>
              <w:tab/>
            </w:r>
            <w:r>
              <w:rPr>
                <w:rStyle w:val="IndexLink"/>
              </w:rPr>
              <w:t>173</w:t>
            </w:r>
          </w:hyperlink>
        </w:p>
        <w:p>
          <w:pPr>
            <w:pStyle w:val="Contents3"/>
            <w:tabs>
              <w:tab w:val="clear" w:pos="8459"/>
              <w:tab w:val="right" w:pos="9026" w:leader="dot"/>
            </w:tabs>
            <w:rPr/>
          </w:pPr>
          <w:hyperlink w:anchor="__RefHeading___Toc651917_1878427129">
            <w:r>
              <w:rPr>
                <w:webHidden/>
                <w:rStyle w:val="IndexLink"/>
              </w:rPr>
              <w:t>7</w:t>
            </w:r>
            <w:r>
              <w:rPr>
                <w:rStyle w:val="IndexLink"/>
                <w:rtl w:val="true"/>
              </w:rPr>
              <w:t xml:space="preserve">. </w:t>
            </w:r>
            <w:r>
              <w:rPr>
                <w:rStyle w:val="IndexLink"/>
                <w:rtl w:val="true"/>
              </w:rPr>
              <w:t xml:space="preserve">مفهوم </w:t>
            </w:r>
            <w:r>
              <w:rPr>
                <w:rStyle w:val="IndexLink"/>
                <w:rtl w:val="true"/>
              </w:rPr>
              <w:t>«</w:t>
            </w:r>
            <w:r>
              <w:rPr>
                <w:rStyle w:val="IndexLink"/>
                <w:rtl w:val="true"/>
              </w:rPr>
              <w:t>حجّت</w:t>
            </w:r>
            <w:r>
              <w:rPr>
                <w:rStyle w:val="IndexLink"/>
                <w:rtl w:val="true"/>
              </w:rPr>
              <w:t xml:space="preserve">» </w:t>
            </w:r>
            <w:r>
              <w:rPr>
                <w:rStyle w:val="IndexLink"/>
                <w:rtl w:val="true"/>
              </w:rPr>
              <w:t>بودنِ عقل</w:t>
            </w:r>
            <w:r>
              <w:rPr>
                <w:rStyle w:val="IndexLink"/>
                <w:rtl w:val="true"/>
              </w:rPr>
              <w:tab/>
            </w:r>
            <w:r>
              <w:rPr>
                <w:rStyle w:val="IndexLink"/>
              </w:rPr>
              <w:t>174</w:t>
            </w:r>
          </w:hyperlink>
        </w:p>
        <w:p>
          <w:pPr>
            <w:pStyle w:val="Contents3"/>
            <w:tabs>
              <w:tab w:val="clear" w:pos="8459"/>
              <w:tab w:val="right" w:pos="9026" w:leader="dot"/>
            </w:tabs>
            <w:rPr/>
          </w:pPr>
          <w:hyperlink w:anchor="__RefHeading___Toc651919_1878427129">
            <w:r>
              <w:rPr>
                <w:webHidden/>
                <w:rStyle w:val="IndexLink"/>
              </w:rPr>
              <w:t>8</w:t>
            </w:r>
            <w:r>
              <w:rPr>
                <w:rStyle w:val="IndexLink"/>
                <w:rtl w:val="true"/>
              </w:rPr>
              <w:t xml:space="preserve">. </w:t>
            </w:r>
            <w:r>
              <w:rPr>
                <w:rStyle w:val="IndexLink"/>
                <w:rtl w:val="true"/>
              </w:rPr>
              <w:t xml:space="preserve">مفهوم </w:t>
            </w:r>
            <w:r>
              <w:rPr>
                <w:rStyle w:val="IndexLink"/>
                <w:rtl w:val="true"/>
              </w:rPr>
              <w:t>«</w:t>
            </w:r>
            <w:r>
              <w:rPr>
                <w:rStyle w:val="IndexLink"/>
                <w:rtl w:val="true"/>
              </w:rPr>
              <w:t>جهل</w:t>
            </w:r>
            <w:r>
              <w:rPr>
                <w:rStyle w:val="IndexLink"/>
                <w:rtl w:val="true"/>
              </w:rPr>
              <w:t xml:space="preserve">» </w:t>
            </w:r>
            <w:r>
              <w:rPr>
                <w:rStyle w:val="IndexLink"/>
                <w:rtl w:val="true"/>
              </w:rPr>
              <w:t>از نگاه شارح</w:t>
            </w:r>
            <w:r>
              <w:rPr>
                <w:rStyle w:val="IndexLink"/>
                <w:rtl w:val="true"/>
              </w:rPr>
              <w:tab/>
            </w:r>
            <w:r>
              <w:rPr>
                <w:rStyle w:val="IndexLink"/>
              </w:rPr>
              <w:t>176</w:t>
            </w:r>
          </w:hyperlink>
        </w:p>
        <w:p>
          <w:pPr>
            <w:pStyle w:val="Contents3"/>
            <w:tabs>
              <w:tab w:val="clear" w:pos="8459"/>
              <w:tab w:val="right" w:pos="9026" w:leader="dot"/>
            </w:tabs>
            <w:rPr/>
          </w:pPr>
          <w:hyperlink w:anchor="__RefHeading___Toc651921_1878427129">
            <w:r>
              <w:rPr>
                <w:webHidden/>
                <w:rStyle w:val="IndexLink"/>
              </w:rPr>
              <w:t>9</w:t>
            </w:r>
            <w:r>
              <w:rPr>
                <w:rStyle w:val="IndexLink"/>
                <w:rtl w:val="true"/>
              </w:rPr>
              <w:t xml:space="preserve">. </w:t>
            </w:r>
            <w:r>
              <w:rPr>
                <w:rStyle w:val="IndexLink"/>
                <w:rtl w:val="true"/>
              </w:rPr>
              <w:t>عقل نظری و عقل عملی</w:t>
            </w:r>
            <w:r>
              <w:rPr>
                <w:rStyle w:val="IndexLink"/>
                <w:rtl w:val="true"/>
              </w:rPr>
              <w:tab/>
            </w:r>
            <w:r>
              <w:rPr>
                <w:rStyle w:val="IndexLink"/>
              </w:rPr>
              <w:t>179</w:t>
            </w:r>
          </w:hyperlink>
        </w:p>
        <w:p>
          <w:pPr>
            <w:pStyle w:val="Contents3"/>
            <w:tabs>
              <w:tab w:val="clear" w:pos="8459"/>
              <w:tab w:val="right" w:pos="9026" w:leader="dot"/>
            </w:tabs>
            <w:rPr/>
          </w:pPr>
          <w:hyperlink w:anchor="__RefHeading___Toc651923_1878427129">
            <w:r>
              <w:rPr>
                <w:webHidden/>
                <w:rStyle w:val="IndexLink"/>
              </w:rPr>
              <w:t>10</w:t>
            </w:r>
            <w:r>
              <w:rPr>
                <w:rStyle w:val="IndexLink"/>
                <w:rtl w:val="true"/>
              </w:rPr>
              <w:t xml:space="preserve">. </w:t>
            </w:r>
            <w:r>
              <w:rPr>
                <w:rStyle w:val="IndexLink"/>
                <w:rtl w:val="true"/>
              </w:rPr>
              <w:t>زمان تعلّق عقل به انسان</w:t>
            </w:r>
            <w:r>
              <w:rPr>
                <w:rStyle w:val="IndexLink"/>
                <w:rtl w:val="true"/>
              </w:rPr>
              <w:tab/>
            </w:r>
            <w:r>
              <w:rPr>
                <w:rStyle w:val="IndexLink"/>
              </w:rPr>
              <w:t>180</w:t>
            </w:r>
          </w:hyperlink>
        </w:p>
        <w:p>
          <w:pPr>
            <w:pStyle w:val="Contents3"/>
            <w:tabs>
              <w:tab w:val="clear" w:pos="8459"/>
              <w:tab w:val="right" w:pos="9026" w:leader="dot"/>
            </w:tabs>
            <w:rPr/>
          </w:pPr>
          <w:hyperlink w:anchor="__RefHeading___Toc651925_1878427129">
            <w:r>
              <w:rPr>
                <w:webHidden/>
                <w:rStyle w:val="IndexLink"/>
              </w:rPr>
              <w:t>11</w:t>
            </w:r>
            <w:r>
              <w:rPr>
                <w:rStyle w:val="IndexLink"/>
                <w:rtl w:val="true"/>
              </w:rPr>
              <w:t xml:space="preserve">. </w:t>
            </w:r>
            <w:r>
              <w:rPr>
                <w:rStyle w:val="IndexLink"/>
                <w:rtl w:val="true"/>
              </w:rPr>
              <w:t>تفاوت عاقل و عالم و عابد</w:t>
            </w:r>
            <w:r>
              <w:rPr>
                <w:rStyle w:val="IndexLink"/>
                <w:rtl w:val="true"/>
              </w:rPr>
              <w:tab/>
            </w:r>
            <w:r>
              <w:rPr>
                <w:rStyle w:val="IndexLink"/>
              </w:rPr>
              <w:t>182</w:t>
            </w:r>
          </w:hyperlink>
        </w:p>
        <w:p>
          <w:pPr>
            <w:pStyle w:val="Contents3"/>
            <w:tabs>
              <w:tab w:val="clear" w:pos="8459"/>
              <w:tab w:val="right" w:pos="9026" w:leader="dot"/>
            </w:tabs>
            <w:rPr/>
          </w:pPr>
          <w:hyperlink w:anchor="__RefHeading___Toc651927_1878427129">
            <w:r>
              <w:rPr>
                <w:webHidden/>
                <w:rStyle w:val="IndexLink"/>
              </w:rPr>
              <w:t>12</w:t>
            </w:r>
            <w:r>
              <w:rPr>
                <w:rStyle w:val="IndexLink"/>
                <w:rtl w:val="true"/>
              </w:rPr>
              <w:t xml:space="preserve">. </w:t>
            </w:r>
            <w:r>
              <w:rPr>
                <w:rStyle w:val="IndexLink"/>
                <w:rtl w:val="true"/>
              </w:rPr>
              <w:t>یادآوری چند نکته</w:t>
            </w:r>
            <w:r>
              <w:rPr>
                <w:rStyle w:val="IndexLink"/>
                <w:rtl w:val="true"/>
              </w:rPr>
              <w:tab/>
            </w:r>
            <w:r>
              <w:rPr>
                <w:rStyle w:val="IndexLink"/>
              </w:rPr>
              <w:t>184</w:t>
            </w:r>
          </w:hyperlink>
        </w:p>
        <w:p>
          <w:pPr>
            <w:pStyle w:val="Contents3"/>
            <w:tabs>
              <w:tab w:val="clear" w:pos="8459"/>
              <w:tab w:val="right" w:pos="9026" w:leader="dot"/>
            </w:tabs>
            <w:rPr/>
          </w:pPr>
          <w:hyperlink w:anchor="__RefHeading___Toc651929_1878427129">
            <w:r>
              <w:rPr>
                <w:webHidden/>
                <w:rStyle w:val="IndexLink"/>
                <w:rtl w:val="true"/>
              </w:rPr>
              <w:t>کتاب نامه</w:t>
            </w:r>
            <w:r>
              <w:rPr>
                <w:rStyle w:val="IndexLink"/>
                <w:rtl w:val="true"/>
              </w:rPr>
              <w:tab/>
            </w:r>
            <w:r>
              <w:rPr>
                <w:rStyle w:val="IndexLink"/>
              </w:rPr>
              <w:t>185</w:t>
            </w:r>
          </w:hyperlink>
        </w:p>
        <w:p>
          <w:pPr>
            <w:pStyle w:val="Contents2"/>
            <w:tabs>
              <w:tab w:val="clear" w:pos="8743"/>
              <w:tab w:val="right" w:pos="9026" w:leader="dot"/>
            </w:tabs>
            <w:rPr/>
          </w:pPr>
          <w:hyperlink w:anchor="__RefHeading___Toc651931_1878427129">
            <w:r>
              <w:rPr>
                <w:webHidden/>
                <w:rStyle w:val="IndexLink"/>
                <w:rtl w:val="true"/>
              </w:rPr>
              <w:t>مفهوم عقل از دیدگاه دو شارح اصول کافی</w:t>
            </w:r>
            <w:r>
              <w:rPr>
                <w:rStyle w:val="IndexLink"/>
                <w:rtl w:val="true"/>
              </w:rPr>
              <w:tab/>
            </w:r>
            <w:r>
              <w:rPr>
                <w:rStyle w:val="IndexLink"/>
              </w:rPr>
              <w:t>187</w:t>
            </w:r>
          </w:hyperlink>
        </w:p>
        <w:p>
          <w:pPr>
            <w:pStyle w:val="Contents3"/>
            <w:tabs>
              <w:tab w:val="clear" w:pos="8459"/>
              <w:tab w:val="right" w:pos="9026" w:leader="dot"/>
            </w:tabs>
            <w:rPr/>
          </w:pPr>
          <w:hyperlink w:anchor="__RefHeading___Toc651933_1878427129">
            <w:r>
              <w:rPr>
                <w:webHidden/>
                <w:rStyle w:val="IndexLink"/>
                <w:rtl w:val="true"/>
              </w:rPr>
              <w:t>اشارة</w:t>
            </w:r>
            <w:r>
              <w:rPr>
                <w:rStyle w:val="IndexLink"/>
                <w:rtl w:val="true"/>
              </w:rPr>
              <w:tab/>
            </w:r>
            <w:r>
              <w:rPr>
                <w:rStyle w:val="IndexLink"/>
              </w:rPr>
              <w:t>187</w:t>
            </w:r>
          </w:hyperlink>
        </w:p>
        <w:p>
          <w:pPr>
            <w:pStyle w:val="Contents3"/>
            <w:tabs>
              <w:tab w:val="clear" w:pos="8459"/>
              <w:tab w:val="right" w:pos="9026" w:leader="dot"/>
            </w:tabs>
            <w:rPr/>
          </w:pPr>
          <w:hyperlink w:anchor="__RefHeading___Toc651935_1878427129">
            <w:r>
              <w:rPr>
                <w:webHidden/>
                <w:rStyle w:val="IndexLink"/>
                <w:rtl w:val="true"/>
              </w:rPr>
              <w:t>چکیده</w:t>
            </w:r>
            <w:r>
              <w:rPr>
                <w:rStyle w:val="IndexLink"/>
                <w:rtl w:val="true"/>
              </w:rPr>
              <w:tab/>
            </w:r>
            <w:r>
              <w:rPr>
                <w:rStyle w:val="IndexLink"/>
              </w:rPr>
              <w:t>187</w:t>
            </w:r>
          </w:hyperlink>
        </w:p>
        <w:p>
          <w:pPr>
            <w:pStyle w:val="Contents3"/>
            <w:tabs>
              <w:tab w:val="clear" w:pos="8459"/>
              <w:tab w:val="right" w:pos="9026" w:leader="dot"/>
            </w:tabs>
            <w:rPr/>
          </w:pPr>
          <w:hyperlink w:anchor="__RefHeading___Toc651937_1878427129">
            <w:r>
              <w:rPr>
                <w:webHidden/>
                <w:rStyle w:val="IndexLink"/>
                <w:rtl w:val="true"/>
              </w:rPr>
              <w:t>درآمد</w:t>
            </w:r>
            <w:r>
              <w:rPr>
                <w:rStyle w:val="IndexLink"/>
                <w:rtl w:val="true"/>
              </w:rPr>
              <w:tab/>
            </w:r>
            <w:r>
              <w:rPr>
                <w:rStyle w:val="IndexLink"/>
              </w:rPr>
              <w:t>187</w:t>
            </w:r>
          </w:hyperlink>
        </w:p>
        <w:p>
          <w:pPr>
            <w:pStyle w:val="Contents3"/>
            <w:tabs>
              <w:tab w:val="clear" w:pos="8459"/>
              <w:tab w:val="right" w:pos="9026" w:leader="dot"/>
            </w:tabs>
            <w:rPr/>
          </w:pPr>
          <w:hyperlink w:anchor="__RefHeading___Toc651939_1878427129">
            <w:r>
              <w:rPr>
                <w:webHidden/>
                <w:rStyle w:val="IndexLink"/>
                <w:rtl w:val="true"/>
              </w:rPr>
              <w:t>بخش اول</w:t>
            </w:r>
            <w:r>
              <w:rPr>
                <w:rStyle w:val="IndexLink"/>
                <w:rtl w:val="true"/>
              </w:rPr>
              <w:t xml:space="preserve">: </w:t>
            </w:r>
            <w:r>
              <w:rPr>
                <w:rStyle w:val="IndexLink"/>
                <w:rtl w:val="true"/>
              </w:rPr>
              <w:t>معنای عقل</w:t>
            </w:r>
            <w:r>
              <w:rPr>
                <w:rStyle w:val="IndexLink"/>
                <w:rtl w:val="true"/>
              </w:rPr>
              <w:tab/>
            </w:r>
            <w:r>
              <w:rPr>
                <w:rStyle w:val="IndexLink"/>
              </w:rPr>
              <w:t>188</w:t>
            </w:r>
          </w:hyperlink>
        </w:p>
        <w:p>
          <w:pPr>
            <w:pStyle w:val="Contents4"/>
            <w:tabs>
              <w:tab w:val="clear" w:pos="8176"/>
              <w:tab w:val="right" w:pos="9026" w:leader="dot"/>
            </w:tabs>
            <w:rPr/>
          </w:pPr>
          <w:hyperlink w:anchor="__RefHeading___Toc651941_1878427129">
            <w:r>
              <w:rPr>
                <w:webHidden/>
                <w:rStyle w:val="IndexLink"/>
                <w:rtl w:val="true"/>
              </w:rPr>
              <w:t>معنای لغوی</w:t>
            </w:r>
            <w:r>
              <w:rPr>
                <w:rStyle w:val="IndexLink"/>
                <w:rtl w:val="true"/>
              </w:rPr>
              <w:tab/>
            </w:r>
            <w:r>
              <w:rPr>
                <w:rStyle w:val="IndexLink"/>
              </w:rPr>
              <w:t>188</w:t>
            </w:r>
          </w:hyperlink>
        </w:p>
        <w:p>
          <w:pPr>
            <w:pStyle w:val="Contents4"/>
            <w:tabs>
              <w:tab w:val="clear" w:pos="8176"/>
              <w:tab w:val="right" w:pos="9026" w:leader="dot"/>
            </w:tabs>
            <w:rPr/>
          </w:pPr>
          <w:hyperlink w:anchor="__RefHeading___Toc651943_1878427129">
            <w:r>
              <w:rPr>
                <w:webHidden/>
                <w:rStyle w:val="IndexLink"/>
                <w:rtl w:val="true"/>
              </w:rPr>
              <w:t>معنای اصطلاحی</w:t>
            </w:r>
            <w:r>
              <w:rPr>
                <w:rStyle w:val="IndexLink"/>
                <w:rtl w:val="true"/>
              </w:rPr>
              <w:tab/>
            </w:r>
            <w:r>
              <w:rPr>
                <w:rStyle w:val="IndexLink"/>
              </w:rPr>
              <w:t>189</w:t>
            </w:r>
          </w:hyperlink>
        </w:p>
        <w:p>
          <w:pPr>
            <w:pStyle w:val="Contents4"/>
            <w:tabs>
              <w:tab w:val="clear" w:pos="8176"/>
              <w:tab w:val="right" w:pos="9026" w:leader="dot"/>
            </w:tabs>
            <w:rPr/>
          </w:pPr>
          <w:hyperlink w:anchor="__RefHeading___Toc651945_1878427129">
            <w:r>
              <w:rPr>
                <w:webHidden/>
                <w:rStyle w:val="IndexLink"/>
                <w:rtl w:val="true"/>
              </w:rPr>
              <w:t>معنای عقل از دیدگاه ملّا صدرا</w:t>
            </w:r>
            <w:r>
              <w:rPr>
                <w:rStyle w:val="IndexLink"/>
                <w:rtl w:val="true"/>
              </w:rPr>
              <w:tab/>
            </w:r>
            <w:r>
              <w:rPr>
                <w:rStyle w:val="IndexLink"/>
              </w:rPr>
              <w:t>189</w:t>
            </w:r>
          </w:hyperlink>
        </w:p>
        <w:p>
          <w:pPr>
            <w:pStyle w:val="Contents4"/>
            <w:tabs>
              <w:tab w:val="clear" w:pos="8176"/>
              <w:tab w:val="right" w:pos="9026" w:leader="dot"/>
            </w:tabs>
            <w:rPr/>
          </w:pPr>
          <w:hyperlink w:anchor="__RefHeading___Toc651947_1878427129">
            <w:r>
              <w:rPr>
                <w:webHidden/>
                <w:rStyle w:val="IndexLink"/>
                <w:rtl w:val="true"/>
              </w:rPr>
              <w:t>معنای عقل از دیدگاه علّامه مجلسی</w:t>
            </w:r>
            <w:r>
              <w:rPr>
                <w:rStyle w:val="IndexLink"/>
                <w:rtl w:val="true"/>
              </w:rPr>
              <w:tab/>
            </w:r>
            <w:r>
              <w:rPr>
                <w:rStyle w:val="IndexLink"/>
              </w:rPr>
              <w:t>192</w:t>
            </w:r>
          </w:hyperlink>
        </w:p>
        <w:p>
          <w:pPr>
            <w:pStyle w:val="Contents4"/>
            <w:tabs>
              <w:tab w:val="clear" w:pos="8176"/>
              <w:tab w:val="right" w:pos="9026" w:leader="dot"/>
            </w:tabs>
            <w:rPr/>
          </w:pPr>
          <w:hyperlink w:anchor="__RefHeading___Toc651949_1878427129">
            <w:r>
              <w:rPr>
                <w:webHidden/>
                <w:rStyle w:val="IndexLink"/>
                <w:rtl w:val="true"/>
              </w:rPr>
              <w:t>مقایسه دیدگاه ملّا صدرا و علّامه مجلسی دربارۀ معنای عقل</w:t>
            </w:r>
            <w:r>
              <w:rPr>
                <w:rStyle w:val="IndexLink"/>
                <w:rtl w:val="true"/>
              </w:rPr>
              <w:tab/>
            </w:r>
            <w:r>
              <w:rPr>
                <w:rStyle w:val="IndexLink"/>
              </w:rPr>
              <w:t>192</w:t>
            </w:r>
          </w:hyperlink>
        </w:p>
        <w:p>
          <w:pPr>
            <w:pStyle w:val="Contents4"/>
            <w:tabs>
              <w:tab w:val="clear" w:pos="8176"/>
              <w:tab w:val="right" w:pos="9026" w:leader="dot"/>
            </w:tabs>
            <w:rPr/>
          </w:pPr>
          <w:hyperlink w:anchor="__RefHeading___Toc651951_1878427129">
            <w:r>
              <w:rPr>
                <w:webHidden/>
                <w:rStyle w:val="IndexLink"/>
                <w:rtl w:val="true"/>
              </w:rPr>
              <w:t>اعتبار روایات عقل از دیدگاه علّامه مجلسی و ملّا صدرا</w:t>
            </w:r>
            <w:r>
              <w:rPr>
                <w:rStyle w:val="IndexLink"/>
                <w:rtl w:val="true"/>
              </w:rPr>
              <w:tab/>
            </w:r>
            <w:r>
              <w:rPr>
                <w:rStyle w:val="IndexLink"/>
              </w:rPr>
              <w:t>196</w:t>
            </w:r>
          </w:hyperlink>
        </w:p>
        <w:p>
          <w:pPr>
            <w:pStyle w:val="Contents3"/>
            <w:tabs>
              <w:tab w:val="clear" w:pos="8459"/>
              <w:tab w:val="right" w:pos="9026" w:leader="dot"/>
            </w:tabs>
            <w:rPr/>
          </w:pPr>
          <w:hyperlink w:anchor="__RefHeading___Toc651953_1878427129">
            <w:r>
              <w:rPr>
                <w:webHidden/>
                <w:rStyle w:val="IndexLink"/>
                <w:rtl w:val="true"/>
              </w:rPr>
              <w:t>بخش دوم</w:t>
            </w:r>
            <w:r>
              <w:rPr>
                <w:rStyle w:val="IndexLink"/>
                <w:rtl w:val="true"/>
              </w:rPr>
              <w:t xml:space="preserve">: </w:t>
            </w:r>
            <w:r>
              <w:rPr>
                <w:rStyle w:val="IndexLink"/>
                <w:rtl w:val="true"/>
              </w:rPr>
              <w:t>حمل روایات بر معانی عقل</w:t>
            </w:r>
            <w:r>
              <w:rPr>
                <w:rStyle w:val="IndexLink"/>
                <w:rtl w:val="true"/>
              </w:rPr>
              <w:tab/>
            </w:r>
            <w:r>
              <w:rPr>
                <w:rStyle w:val="IndexLink"/>
              </w:rPr>
              <w:t>197</w:t>
            </w:r>
          </w:hyperlink>
        </w:p>
        <w:p>
          <w:pPr>
            <w:pStyle w:val="Contents4"/>
            <w:tabs>
              <w:tab w:val="clear" w:pos="8176"/>
              <w:tab w:val="right" w:pos="9026" w:leader="dot"/>
            </w:tabs>
            <w:rPr/>
          </w:pPr>
          <w:hyperlink w:anchor="__RefHeading___Toc651955_1878427129">
            <w:r>
              <w:rPr>
                <w:webHidden/>
                <w:rStyle w:val="IndexLink"/>
                <w:rtl w:val="true"/>
              </w:rPr>
              <w:t>دیدگاه ملّا صدرا</w:t>
            </w:r>
            <w:r>
              <w:rPr>
                <w:rStyle w:val="IndexLink"/>
                <w:rtl w:val="true"/>
              </w:rPr>
              <w:tab/>
            </w:r>
            <w:r>
              <w:rPr>
                <w:rStyle w:val="IndexLink"/>
              </w:rPr>
              <w:t>197</w:t>
            </w:r>
          </w:hyperlink>
        </w:p>
        <w:p>
          <w:pPr>
            <w:pStyle w:val="Contents5"/>
            <w:tabs>
              <w:tab w:val="clear" w:pos="7892"/>
              <w:tab w:val="right" w:pos="9026" w:leader="dot"/>
            </w:tabs>
            <w:rPr/>
          </w:pPr>
          <w:hyperlink w:anchor="__RefHeading___Toc651957_1878427129">
            <w:r>
              <w:rPr>
                <w:webHidden/>
                <w:rStyle w:val="IndexLink"/>
                <w:rtl w:val="true"/>
              </w:rPr>
              <w:t>معنای اول</w:t>
            </w:r>
            <w:r>
              <w:rPr>
                <w:rStyle w:val="IndexLink"/>
                <w:rtl w:val="true"/>
              </w:rPr>
              <w:tab/>
            </w:r>
            <w:r>
              <w:rPr>
                <w:rStyle w:val="IndexLink"/>
              </w:rPr>
              <w:t>197</w:t>
            </w:r>
          </w:hyperlink>
        </w:p>
        <w:p>
          <w:pPr>
            <w:pStyle w:val="Contents5"/>
            <w:tabs>
              <w:tab w:val="clear" w:pos="7892"/>
              <w:tab w:val="right" w:pos="9026" w:leader="dot"/>
            </w:tabs>
            <w:rPr/>
          </w:pPr>
          <w:hyperlink w:anchor="__RefHeading___Toc651959_1878427129">
            <w:r>
              <w:rPr>
                <w:webHidden/>
                <w:rStyle w:val="IndexLink"/>
                <w:rtl w:val="true"/>
              </w:rPr>
              <w:t>معنای دوم</w:t>
            </w:r>
            <w:r>
              <w:rPr>
                <w:rStyle w:val="IndexLink"/>
                <w:rtl w:val="true"/>
              </w:rPr>
              <w:tab/>
            </w:r>
            <w:r>
              <w:rPr>
                <w:rStyle w:val="IndexLink"/>
              </w:rPr>
              <w:t>198</w:t>
            </w:r>
          </w:hyperlink>
        </w:p>
        <w:p>
          <w:pPr>
            <w:pStyle w:val="Contents5"/>
            <w:tabs>
              <w:tab w:val="clear" w:pos="7892"/>
              <w:tab w:val="right" w:pos="9026" w:leader="dot"/>
            </w:tabs>
            <w:rPr/>
          </w:pPr>
          <w:hyperlink w:anchor="__RefHeading___Toc651961_1878427129">
            <w:r>
              <w:rPr>
                <w:webHidden/>
                <w:rStyle w:val="IndexLink"/>
                <w:rtl w:val="true"/>
              </w:rPr>
              <w:t>معنای سوم</w:t>
            </w:r>
            <w:r>
              <w:rPr>
                <w:rStyle w:val="IndexLink"/>
                <w:rtl w:val="true"/>
              </w:rPr>
              <w:tab/>
            </w:r>
            <w:r>
              <w:rPr>
                <w:rStyle w:val="IndexLink"/>
              </w:rPr>
              <w:t>198</w:t>
            </w:r>
          </w:hyperlink>
        </w:p>
        <w:p>
          <w:pPr>
            <w:pStyle w:val="Contents5"/>
            <w:tabs>
              <w:tab w:val="clear" w:pos="7892"/>
              <w:tab w:val="right" w:pos="9026" w:leader="dot"/>
            </w:tabs>
            <w:rPr/>
          </w:pPr>
          <w:hyperlink w:anchor="__RefHeading___Toc651963_1878427129">
            <w:r>
              <w:rPr>
                <w:webHidden/>
                <w:rStyle w:val="IndexLink"/>
                <w:rtl w:val="true"/>
              </w:rPr>
              <w:t>معنای چهارم</w:t>
            </w:r>
            <w:r>
              <w:rPr>
                <w:rStyle w:val="IndexLink"/>
                <w:rtl w:val="true"/>
              </w:rPr>
              <w:tab/>
            </w:r>
            <w:r>
              <w:rPr>
                <w:rStyle w:val="IndexLink"/>
              </w:rPr>
              <w:t>201</w:t>
            </w:r>
          </w:hyperlink>
        </w:p>
        <w:p>
          <w:pPr>
            <w:pStyle w:val="Contents5"/>
            <w:tabs>
              <w:tab w:val="clear" w:pos="7892"/>
              <w:tab w:val="right" w:pos="9026" w:leader="dot"/>
            </w:tabs>
            <w:rPr/>
          </w:pPr>
          <w:hyperlink w:anchor="__RefHeading___Toc651965_1878427129">
            <w:r>
              <w:rPr>
                <w:webHidden/>
                <w:rStyle w:val="IndexLink"/>
                <w:rtl w:val="true"/>
              </w:rPr>
              <w:t>معنای پنجم</w:t>
            </w:r>
            <w:r>
              <w:rPr>
                <w:rStyle w:val="IndexLink"/>
                <w:rtl w:val="true"/>
              </w:rPr>
              <w:tab/>
            </w:r>
            <w:r>
              <w:rPr>
                <w:rStyle w:val="IndexLink"/>
              </w:rPr>
              <w:t>202</w:t>
            </w:r>
          </w:hyperlink>
        </w:p>
        <w:p>
          <w:pPr>
            <w:pStyle w:val="Contents5"/>
            <w:tabs>
              <w:tab w:val="clear" w:pos="7892"/>
              <w:tab w:val="right" w:pos="9026" w:leader="dot"/>
            </w:tabs>
            <w:rPr/>
          </w:pPr>
          <w:hyperlink w:anchor="__RefHeading___Toc651967_1878427129">
            <w:r>
              <w:rPr>
                <w:webHidden/>
                <w:rStyle w:val="IndexLink"/>
                <w:rtl w:val="true"/>
              </w:rPr>
              <w:t>معنای ششم</w:t>
            </w:r>
            <w:r>
              <w:rPr>
                <w:rStyle w:val="IndexLink"/>
                <w:rtl w:val="true"/>
              </w:rPr>
              <w:tab/>
            </w:r>
            <w:r>
              <w:rPr>
                <w:rStyle w:val="IndexLink"/>
              </w:rPr>
              <w:t>205</w:t>
            </w:r>
          </w:hyperlink>
        </w:p>
        <w:p>
          <w:pPr>
            <w:pStyle w:val="Contents4"/>
            <w:tabs>
              <w:tab w:val="clear" w:pos="8176"/>
              <w:tab w:val="right" w:pos="9026" w:leader="dot"/>
            </w:tabs>
            <w:rPr/>
          </w:pPr>
          <w:hyperlink w:anchor="__RefHeading___Toc651969_1878427129">
            <w:r>
              <w:rPr>
                <w:webHidden/>
                <w:rStyle w:val="IndexLink"/>
                <w:rtl w:val="true"/>
              </w:rPr>
              <w:t>دیدگاه علّامه مجلسی</w:t>
            </w:r>
            <w:r>
              <w:rPr>
                <w:rStyle w:val="IndexLink"/>
                <w:rtl w:val="true"/>
              </w:rPr>
              <w:tab/>
            </w:r>
            <w:r>
              <w:rPr>
                <w:rStyle w:val="IndexLink"/>
              </w:rPr>
              <w:t>206</w:t>
            </w:r>
          </w:hyperlink>
        </w:p>
        <w:p>
          <w:pPr>
            <w:pStyle w:val="Contents5"/>
            <w:tabs>
              <w:tab w:val="clear" w:pos="7892"/>
              <w:tab w:val="right" w:pos="9026" w:leader="dot"/>
            </w:tabs>
            <w:rPr/>
          </w:pPr>
          <w:hyperlink w:anchor="__RefHeading___Toc651971_1878427129">
            <w:r>
              <w:rPr>
                <w:webHidden/>
                <w:rStyle w:val="IndexLink"/>
                <w:rtl w:val="true"/>
              </w:rPr>
              <w:t>معنای اول</w:t>
            </w:r>
            <w:r>
              <w:rPr>
                <w:rStyle w:val="IndexLink"/>
                <w:rtl w:val="true"/>
              </w:rPr>
              <w:tab/>
            </w:r>
            <w:r>
              <w:rPr>
                <w:rStyle w:val="IndexLink"/>
              </w:rPr>
              <w:t>206</w:t>
            </w:r>
          </w:hyperlink>
        </w:p>
        <w:p>
          <w:pPr>
            <w:pStyle w:val="Contents5"/>
            <w:tabs>
              <w:tab w:val="clear" w:pos="7892"/>
              <w:tab w:val="right" w:pos="9026" w:leader="dot"/>
            </w:tabs>
            <w:rPr/>
          </w:pPr>
          <w:hyperlink w:anchor="__RefHeading___Toc651973_1878427129">
            <w:r>
              <w:rPr>
                <w:webHidden/>
                <w:rStyle w:val="IndexLink"/>
                <w:rtl w:val="true"/>
              </w:rPr>
              <w:t>معنای دوم</w:t>
            </w:r>
            <w:r>
              <w:rPr>
                <w:rStyle w:val="IndexLink"/>
                <w:rtl w:val="true"/>
              </w:rPr>
              <w:tab/>
            </w:r>
            <w:r>
              <w:rPr>
                <w:rStyle w:val="IndexLink"/>
              </w:rPr>
              <w:t>207</w:t>
            </w:r>
          </w:hyperlink>
        </w:p>
        <w:p>
          <w:pPr>
            <w:pStyle w:val="Contents5"/>
            <w:tabs>
              <w:tab w:val="clear" w:pos="7892"/>
              <w:tab w:val="right" w:pos="9026" w:leader="dot"/>
            </w:tabs>
            <w:rPr/>
          </w:pPr>
          <w:hyperlink w:anchor="__RefHeading___Toc651975_1878427129">
            <w:r>
              <w:rPr>
                <w:webHidden/>
                <w:rStyle w:val="IndexLink"/>
                <w:rtl w:val="true"/>
              </w:rPr>
              <w:t>معنای سوم</w:t>
            </w:r>
            <w:r>
              <w:rPr>
                <w:rStyle w:val="IndexLink"/>
                <w:rtl w:val="true"/>
              </w:rPr>
              <w:tab/>
            </w:r>
            <w:r>
              <w:rPr>
                <w:rStyle w:val="IndexLink"/>
              </w:rPr>
              <w:t>208</w:t>
            </w:r>
          </w:hyperlink>
        </w:p>
        <w:p>
          <w:pPr>
            <w:pStyle w:val="Contents5"/>
            <w:tabs>
              <w:tab w:val="clear" w:pos="7892"/>
              <w:tab w:val="right" w:pos="9026" w:leader="dot"/>
            </w:tabs>
            <w:rPr/>
          </w:pPr>
          <w:hyperlink w:anchor="__RefHeading___Toc651977_1878427129">
            <w:r>
              <w:rPr>
                <w:webHidden/>
                <w:rStyle w:val="IndexLink"/>
                <w:rtl w:val="true"/>
              </w:rPr>
              <w:t>معنای چهارم</w:t>
            </w:r>
            <w:r>
              <w:rPr>
                <w:rStyle w:val="IndexLink"/>
                <w:rtl w:val="true"/>
              </w:rPr>
              <w:tab/>
            </w:r>
            <w:r>
              <w:rPr>
                <w:rStyle w:val="IndexLink"/>
              </w:rPr>
              <w:t>209</w:t>
            </w:r>
          </w:hyperlink>
        </w:p>
        <w:p>
          <w:pPr>
            <w:pStyle w:val="Contents5"/>
            <w:tabs>
              <w:tab w:val="clear" w:pos="7892"/>
              <w:tab w:val="right" w:pos="9026" w:leader="dot"/>
            </w:tabs>
            <w:rPr/>
          </w:pPr>
          <w:hyperlink w:anchor="__RefHeading___Toc651979_1878427129">
            <w:r>
              <w:rPr>
                <w:webHidden/>
                <w:rStyle w:val="IndexLink"/>
                <w:rtl w:val="true"/>
              </w:rPr>
              <w:t>معنای پنجم</w:t>
            </w:r>
            <w:r>
              <w:rPr>
                <w:rStyle w:val="IndexLink"/>
                <w:rtl w:val="true"/>
              </w:rPr>
              <w:tab/>
            </w:r>
            <w:r>
              <w:rPr>
                <w:rStyle w:val="IndexLink"/>
              </w:rPr>
              <w:t>209</w:t>
            </w:r>
          </w:hyperlink>
        </w:p>
        <w:p>
          <w:pPr>
            <w:pStyle w:val="Contents5"/>
            <w:tabs>
              <w:tab w:val="clear" w:pos="7892"/>
              <w:tab w:val="right" w:pos="9026" w:leader="dot"/>
            </w:tabs>
            <w:rPr/>
          </w:pPr>
          <w:hyperlink w:anchor="__RefHeading___Toc651981_1878427129">
            <w:r>
              <w:rPr>
                <w:webHidden/>
                <w:rStyle w:val="IndexLink"/>
                <w:rtl w:val="true"/>
              </w:rPr>
              <w:t>معنای ششم</w:t>
            </w:r>
            <w:r>
              <w:rPr>
                <w:rStyle w:val="IndexLink"/>
                <w:rtl w:val="true"/>
              </w:rPr>
              <w:tab/>
            </w:r>
            <w:r>
              <w:rPr>
                <w:rStyle w:val="IndexLink"/>
              </w:rPr>
              <w:t>209</w:t>
            </w:r>
          </w:hyperlink>
        </w:p>
        <w:p>
          <w:pPr>
            <w:pStyle w:val="Contents2"/>
            <w:tabs>
              <w:tab w:val="clear" w:pos="8743"/>
              <w:tab w:val="right" w:pos="9026" w:leader="dot"/>
            </w:tabs>
            <w:rPr/>
          </w:pPr>
          <w:hyperlink w:anchor="__RefHeading___Toc651983_1878427129">
            <w:r>
              <w:rPr>
                <w:webHidden/>
                <w:rStyle w:val="IndexLink"/>
                <w:rtl w:val="true"/>
              </w:rPr>
              <w:t xml:space="preserve">دیدگاه های حدیثی ملّاصدرا در </w:t>
            </w:r>
            <w:r>
              <w:rPr>
                <w:rStyle w:val="IndexLink"/>
                <w:rtl w:val="true"/>
              </w:rPr>
              <w:t>«</w:t>
            </w:r>
            <w:r>
              <w:rPr>
                <w:rStyle w:val="IndexLink"/>
                <w:rtl w:val="true"/>
              </w:rPr>
              <w:t>شرح اُصول الکافی</w:t>
            </w:r>
            <w:r>
              <w:rPr>
                <w:rStyle w:val="IndexLink"/>
                <w:rtl w:val="true"/>
              </w:rPr>
              <w:t>»</w:t>
              <w:tab/>
            </w:r>
            <w:r>
              <w:rPr>
                <w:rStyle w:val="IndexLink"/>
              </w:rPr>
              <w:t>211</w:t>
            </w:r>
          </w:hyperlink>
        </w:p>
        <w:p>
          <w:pPr>
            <w:pStyle w:val="Contents3"/>
            <w:tabs>
              <w:tab w:val="clear" w:pos="8459"/>
              <w:tab w:val="right" w:pos="9026" w:leader="dot"/>
            </w:tabs>
            <w:rPr/>
          </w:pPr>
          <w:hyperlink w:anchor="__RefHeading___Toc651985_1878427129">
            <w:r>
              <w:rPr>
                <w:webHidden/>
                <w:rStyle w:val="IndexLink"/>
                <w:rtl w:val="true"/>
              </w:rPr>
              <w:t>اشارة</w:t>
            </w:r>
            <w:r>
              <w:rPr>
                <w:rStyle w:val="IndexLink"/>
                <w:rtl w:val="true"/>
              </w:rPr>
              <w:tab/>
            </w:r>
            <w:r>
              <w:rPr>
                <w:rStyle w:val="IndexLink"/>
              </w:rPr>
              <w:t>211</w:t>
            </w:r>
          </w:hyperlink>
        </w:p>
        <w:p>
          <w:pPr>
            <w:pStyle w:val="Contents3"/>
            <w:tabs>
              <w:tab w:val="clear" w:pos="8459"/>
              <w:tab w:val="right" w:pos="9026" w:leader="dot"/>
            </w:tabs>
            <w:rPr/>
          </w:pPr>
          <w:hyperlink w:anchor="__RefHeading___Toc651987_1878427129">
            <w:r>
              <w:rPr>
                <w:webHidden/>
                <w:rStyle w:val="IndexLink"/>
                <w:rtl w:val="true"/>
              </w:rPr>
              <w:t>چکیده</w:t>
            </w:r>
            <w:r>
              <w:rPr>
                <w:rStyle w:val="IndexLink"/>
                <w:rtl w:val="true"/>
              </w:rPr>
              <w:tab/>
            </w:r>
            <w:r>
              <w:rPr>
                <w:rStyle w:val="IndexLink"/>
              </w:rPr>
              <w:t>211</w:t>
            </w:r>
          </w:hyperlink>
        </w:p>
        <w:p>
          <w:pPr>
            <w:pStyle w:val="Contents3"/>
            <w:tabs>
              <w:tab w:val="clear" w:pos="8459"/>
              <w:tab w:val="right" w:pos="9026" w:leader="dot"/>
            </w:tabs>
            <w:rPr/>
          </w:pPr>
          <w:hyperlink w:anchor="__RefHeading___Toc651989_1878427129">
            <w:r>
              <w:rPr>
                <w:webHidden/>
                <w:rStyle w:val="IndexLink"/>
                <w:rtl w:val="true"/>
              </w:rPr>
              <w:t>مدخل</w:t>
            </w:r>
            <w:r>
              <w:rPr>
                <w:rStyle w:val="IndexLink"/>
                <w:rtl w:val="true"/>
              </w:rPr>
              <w:tab/>
            </w:r>
            <w:r>
              <w:rPr>
                <w:rStyle w:val="IndexLink"/>
              </w:rPr>
              <w:t>211</w:t>
            </w:r>
          </w:hyperlink>
        </w:p>
        <w:p>
          <w:pPr>
            <w:pStyle w:val="Contents3"/>
            <w:tabs>
              <w:tab w:val="clear" w:pos="8459"/>
              <w:tab w:val="right" w:pos="9026" w:leader="dot"/>
            </w:tabs>
            <w:rPr/>
          </w:pPr>
          <w:hyperlink w:anchor="__RefHeading___Toc651991_1878427129">
            <w:r>
              <w:rPr>
                <w:webHidden/>
                <w:rStyle w:val="IndexLink"/>
                <w:rtl w:val="true"/>
              </w:rPr>
              <w:t>الف</w:t>
            </w:r>
            <w:r>
              <w:rPr>
                <w:rStyle w:val="IndexLink"/>
                <w:rtl w:val="true"/>
              </w:rPr>
              <w:t xml:space="preserve">. </w:t>
            </w:r>
            <w:r>
              <w:rPr>
                <w:rStyle w:val="IndexLink"/>
                <w:rtl w:val="true"/>
              </w:rPr>
              <w:t>جایگاه حدیث</w:t>
            </w:r>
            <w:r>
              <w:rPr>
                <w:rStyle w:val="IndexLink"/>
                <w:rtl w:val="true"/>
              </w:rPr>
              <w:tab/>
            </w:r>
            <w:r>
              <w:rPr>
                <w:rStyle w:val="IndexLink"/>
              </w:rPr>
              <w:t>212</w:t>
            </w:r>
          </w:hyperlink>
        </w:p>
        <w:p>
          <w:pPr>
            <w:pStyle w:val="Contents3"/>
            <w:tabs>
              <w:tab w:val="clear" w:pos="8459"/>
              <w:tab w:val="right" w:pos="9026" w:leader="dot"/>
            </w:tabs>
            <w:rPr/>
          </w:pPr>
          <w:hyperlink w:anchor="__RefHeading___Toc651993_1878427129">
            <w:r>
              <w:rPr>
                <w:webHidden/>
                <w:rStyle w:val="IndexLink"/>
                <w:rtl w:val="true"/>
              </w:rPr>
              <w:t>ب</w:t>
            </w:r>
            <w:r>
              <w:rPr>
                <w:rStyle w:val="IndexLink"/>
                <w:rtl w:val="true"/>
              </w:rPr>
              <w:t xml:space="preserve">. </w:t>
            </w:r>
            <w:r>
              <w:rPr>
                <w:rStyle w:val="IndexLink"/>
                <w:rtl w:val="true"/>
              </w:rPr>
              <w:t>جدایی ناپذیری قرآن و عترت</w:t>
            </w:r>
            <w:r>
              <w:rPr>
                <w:rStyle w:val="IndexLink"/>
                <w:rtl w:val="true"/>
              </w:rPr>
              <w:tab/>
            </w:r>
            <w:r>
              <w:rPr>
                <w:rStyle w:val="IndexLink"/>
              </w:rPr>
              <w:t>213</w:t>
            </w:r>
          </w:hyperlink>
        </w:p>
        <w:p>
          <w:pPr>
            <w:pStyle w:val="Contents3"/>
            <w:tabs>
              <w:tab w:val="clear" w:pos="8459"/>
              <w:tab w:val="right" w:pos="9026" w:leader="dot"/>
            </w:tabs>
            <w:rPr/>
          </w:pPr>
          <w:hyperlink w:anchor="__RefHeading___Toc651995_1878427129">
            <w:r>
              <w:rPr>
                <w:webHidden/>
                <w:rStyle w:val="IndexLink"/>
                <w:rtl w:val="true"/>
              </w:rPr>
              <w:t>ج</w:t>
            </w:r>
            <w:r>
              <w:rPr>
                <w:rStyle w:val="IndexLink"/>
                <w:rtl w:val="true"/>
              </w:rPr>
              <w:t xml:space="preserve">. </w:t>
            </w:r>
            <w:r>
              <w:rPr>
                <w:rStyle w:val="IndexLink"/>
                <w:rtl w:val="true"/>
              </w:rPr>
              <w:t>نقل به معنا در حدیث</w:t>
            </w:r>
            <w:r>
              <w:rPr>
                <w:rStyle w:val="IndexLink"/>
                <w:rtl w:val="true"/>
              </w:rPr>
              <w:tab/>
            </w:r>
            <w:r>
              <w:rPr>
                <w:rStyle w:val="IndexLink"/>
              </w:rPr>
              <w:t>217</w:t>
            </w:r>
          </w:hyperlink>
        </w:p>
        <w:p>
          <w:pPr>
            <w:pStyle w:val="Contents3"/>
            <w:tabs>
              <w:tab w:val="clear" w:pos="8459"/>
              <w:tab w:val="right" w:pos="9026" w:leader="dot"/>
            </w:tabs>
            <w:rPr/>
          </w:pPr>
          <w:hyperlink w:anchor="__RefHeading___Toc651997_1878427129">
            <w:r>
              <w:rPr>
                <w:webHidden/>
                <w:rStyle w:val="IndexLink"/>
                <w:rtl w:val="true"/>
              </w:rPr>
              <w:t>د</w:t>
            </w:r>
            <w:r>
              <w:rPr>
                <w:rStyle w:val="IndexLink"/>
                <w:rtl w:val="true"/>
              </w:rPr>
              <w:t xml:space="preserve">. </w:t>
            </w:r>
            <w:r>
              <w:rPr>
                <w:rStyle w:val="IndexLink"/>
                <w:rtl w:val="true"/>
              </w:rPr>
              <w:t>تقطیع حدیث</w:t>
            </w:r>
            <w:r>
              <w:rPr>
                <w:rStyle w:val="IndexLink"/>
                <w:rtl w:val="true"/>
              </w:rPr>
              <w:tab/>
            </w:r>
            <w:r>
              <w:rPr>
                <w:rStyle w:val="IndexLink"/>
              </w:rPr>
              <w:t>220</w:t>
            </w:r>
          </w:hyperlink>
        </w:p>
        <w:p>
          <w:pPr>
            <w:pStyle w:val="Contents3"/>
            <w:tabs>
              <w:tab w:val="clear" w:pos="8459"/>
              <w:tab w:val="right" w:pos="9026" w:leader="dot"/>
            </w:tabs>
            <w:rPr/>
          </w:pPr>
          <w:hyperlink w:anchor="__RefHeading___Toc651999_1878427129">
            <w:r>
              <w:rPr>
                <w:webHidden/>
                <w:rStyle w:val="IndexLink"/>
                <w:rtl w:val="true"/>
              </w:rPr>
              <w:t xml:space="preserve">ه </w:t>
            </w:r>
            <w:r>
              <w:rPr>
                <w:rStyle w:val="IndexLink"/>
                <w:rtl w:val="true"/>
              </w:rPr>
              <w:t xml:space="preserve">. </w:t>
            </w:r>
            <w:r>
              <w:rPr>
                <w:rStyle w:val="IndexLink"/>
                <w:rtl w:val="true"/>
              </w:rPr>
              <w:t>لزوم جمع و سازش میان احادیث</w:t>
            </w:r>
            <w:r>
              <w:rPr>
                <w:rStyle w:val="IndexLink"/>
                <w:rtl w:val="true"/>
              </w:rPr>
              <w:tab/>
            </w:r>
            <w:r>
              <w:rPr>
                <w:rStyle w:val="IndexLink"/>
              </w:rPr>
              <w:t>223</w:t>
            </w:r>
          </w:hyperlink>
        </w:p>
        <w:p>
          <w:pPr>
            <w:pStyle w:val="Contents3"/>
            <w:tabs>
              <w:tab w:val="clear" w:pos="8459"/>
              <w:tab w:val="right" w:pos="9026" w:leader="dot"/>
            </w:tabs>
            <w:rPr/>
          </w:pPr>
          <w:hyperlink w:anchor="__RefHeading___Toc652001_1878427129">
            <w:r>
              <w:rPr>
                <w:webHidden/>
                <w:rStyle w:val="IndexLink"/>
                <w:rtl w:val="true"/>
              </w:rPr>
              <w:t>و</w:t>
            </w:r>
            <w:r>
              <w:rPr>
                <w:rStyle w:val="IndexLink"/>
                <w:rtl w:val="true"/>
              </w:rPr>
              <w:t xml:space="preserve">. </w:t>
            </w:r>
            <w:r>
              <w:rPr>
                <w:rStyle w:val="IndexLink"/>
                <w:rtl w:val="true"/>
              </w:rPr>
              <w:t>علل تعارض احادیث</w:t>
            </w:r>
            <w:r>
              <w:rPr>
                <w:rStyle w:val="IndexLink"/>
                <w:rtl w:val="true"/>
              </w:rPr>
              <w:tab/>
            </w:r>
            <w:r>
              <w:rPr>
                <w:rStyle w:val="IndexLink"/>
              </w:rPr>
              <w:t>226</w:t>
            </w:r>
          </w:hyperlink>
        </w:p>
        <w:p>
          <w:pPr>
            <w:pStyle w:val="Contents4"/>
            <w:tabs>
              <w:tab w:val="clear" w:pos="8176"/>
              <w:tab w:val="right" w:pos="9026" w:leader="dot"/>
            </w:tabs>
            <w:rPr/>
          </w:pPr>
          <w:hyperlink w:anchor="__RefHeading___Toc652003_1878427129">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652005_1878427129">
            <w:r>
              <w:rPr>
                <w:webHidden/>
                <w:rStyle w:val="IndexLink"/>
              </w:rPr>
              <w:t>1</w:t>
            </w:r>
            <w:r>
              <w:rPr>
                <w:rStyle w:val="IndexLink"/>
                <w:rtl w:val="true"/>
              </w:rPr>
              <w:t xml:space="preserve">. </w:t>
            </w:r>
            <w:r>
              <w:rPr>
                <w:rStyle w:val="IndexLink"/>
                <w:rtl w:val="true"/>
              </w:rPr>
              <w:t>اختلاف سطح فکر و فهم راویان</w:t>
            </w:r>
            <w:r>
              <w:rPr>
                <w:rStyle w:val="IndexLink"/>
                <w:rtl w:val="true"/>
              </w:rPr>
              <w:tab/>
            </w:r>
            <w:r>
              <w:rPr>
                <w:rStyle w:val="IndexLink"/>
              </w:rPr>
              <w:t>228</w:t>
            </w:r>
          </w:hyperlink>
        </w:p>
        <w:p>
          <w:pPr>
            <w:pStyle w:val="Contents4"/>
            <w:tabs>
              <w:tab w:val="clear" w:pos="8176"/>
              <w:tab w:val="right" w:pos="9026" w:leader="dot"/>
            </w:tabs>
            <w:rPr/>
          </w:pPr>
          <w:hyperlink w:anchor="__RefHeading___Toc652007_1878427129">
            <w:r>
              <w:rPr>
                <w:webHidden/>
                <w:rStyle w:val="IndexLink"/>
              </w:rPr>
              <w:t>2</w:t>
            </w:r>
            <w:r>
              <w:rPr>
                <w:rStyle w:val="IndexLink"/>
                <w:rtl w:val="true"/>
              </w:rPr>
              <w:t xml:space="preserve">. </w:t>
            </w:r>
            <w:r>
              <w:rPr>
                <w:rStyle w:val="IndexLink"/>
                <w:rtl w:val="true"/>
              </w:rPr>
              <w:t>اختلاف راویان در حفظ و ضبط احادیث</w:t>
            </w:r>
            <w:r>
              <w:rPr>
                <w:rStyle w:val="IndexLink"/>
                <w:rtl w:val="true"/>
              </w:rPr>
              <w:tab/>
            </w:r>
            <w:r>
              <w:rPr>
                <w:rStyle w:val="IndexLink"/>
              </w:rPr>
              <w:t>230</w:t>
            </w:r>
          </w:hyperlink>
        </w:p>
        <w:p>
          <w:pPr>
            <w:pStyle w:val="Contents4"/>
            <w:tabs>
              <w:tab w:val="clear" w:pos="8176"/>
              <w:tab w:val="right" w:pos="9026" w:leader="dot"/>
            </w:tabs>
            <w:rPr/>
          </w:pPr>
          <w:hyperlink w:anchor="__RefHeading___Toc652009_1878427129">
            <w:r>
              <w:rPr>
                <w:webHidden/>
                <w:rStyle w:val="IndexLink"/>
              </w:rPr>
              <w:t>3</w:t>
            </w:r>
            <w:r>
              <w:rPr>
                <w:rStyle w:val="IndexLink"/>
                <w:rtl w:val="true"/>
              </w:rPr>
              <w:t xml:space="preserve">. </w:t>
            </w:r>
            <w:r>
              <w:rPr>
                <w:rStyle w:val="IndexLink"/>
                <w:rtl w:val="true"/>
              </w:rPr>
              <w:t>جعل حدیث</w:t>
            </w:r>
            <w:r>
              <w:rPr>
                <w:rStyle w:val="IndexLink"/>
                <w:rtl w:val="true"/>
              </w:rPr>
              <w:tab/>
            </w:r>
            <w:r>
              <w:rPr>
                <w:rStyle w:val="IndexLink"/>
              </w:rPr>
              <w:t>230</w:t>
            </w:r>
          </w:hyperlink>
        </w:p>
        <w:p>
          <w:pPr>
            <w:pStyle w:val="Contents2"/>
            <w:tabs>
              <w:tab w:val="clear" w:pos="8743"/>
              <w:tab w:val="right" w:pos="9026" w:leader="dot"/>
            </w:tabs>
            <w:rPr/>
          </w:pPr>
          <w:hyperlink w:anchor="__RefHeading___Toc652011_1878427129">
            <w:r>
              <w:rPr>
                <w:webHidden/>
                <w:rStyle w:val="IndexLink"/>
                <w:rtl w:val="true"/>
              </w:rPr>
              <w:t>علّامه محمدتقی مجلسی و نقد دیدگاه های فلسفی در مرآة العقول</w:t>
            </w:r>
            <w:r>
              <w:rPr>
                <w:rStyle w:val="IndexLink"/>
                <w:rtl w:val="true"/>
              </w:rPr>
              <w:tab/>
            </w:r>
            <w:r>
              <w:rPr>
                <w:rStyle w:val="IndexLink"/>
              </w:rPr>
              <w:t>233</w:t>
            </w:r>
          </w:hyperlink>
        </w:p>
        <w:p>
          <w:pPr>
            <w:pStyle w:val="Contents3"/>
            <w:tabs>
              <w:tab w:val="clear" w:pos="8459"/>
              <w:tab w:val="right" w:pos="9026" w:leader="dot"/>
            </w:tabs>
            <w:rPr/>
          </w:pPr>
          <w:hyperlink w:anchor="__RefHeading___Toc652013_1878427129">
            <w:r>
              <w:rPr>
                <w:webHidden/>
                <w:rStyle w:val="IndexLink"/>
                <w:rtl w:val="true"/>
              </w:rPr>
              <w:t>اشارة</w:t>
            </w:r>
            <w:r>
              <w:rPr>
                <w:rStyle w:val="IndexLink"/>
                <w:rtl w:val="true"/>
              </w:rPr>
              <w:tab/>
            </w:r>
            <w:r>
              <w:rPr>
                <w:rStyle w:val="IndexLink"/>
              </w:rPr>
              <w:t>233</w:t>
            </w:r>
          </w:hyperlink>
        </w:p>
        <w:p>
          <w:pPr>
            <w:pStyle w:val="Contents3"/>
            <w:tabs>
              <w:tab w:val="clear" w:pos="8459"/>
              <w:tab w:val="right" w:pos="9026" w:leader="dot"/>
            </w:tabs>
            <w:rPr/>
          </w:pPr>
          <w:hyperlink w:anchor="__RefHeading___Toc652015_1878427129">
            <w:r>
              <w:rPr>
                <w:webHidden/>
                <w:rStyle w:val="IndexLink"/>
                <w:rtl w:val="true"/>
              </w:rPr>
              <w:t>چکیده</w:t>
            </w:r>
            <w:r>
              <w:rPr>
                <w:rStyle w:val="IndexLink"/>
                <w:rtl w:val="true"/>
              </w:rPr>
              <w:tab/>
            </w:r>
            <w:r>
              <w:rPr>
                <w:rStyle w:val="IndexLink"/>
              </w:rPr>
              <w:t>233</w:t>
            </w:r>
          </w:hyperlink>
        </w:p>
        <w:p>
          <w:pPr>
            <w:pStyle w:val="Contents3"/>
            <w:tabs>
              <w:tab w:val="clear" w:pos="8459"/>
              <w:tab w:val="right" w:pos="9026" w:leader="dot"/>
            </w:tabs>
            <w:rPr/>
          </w:pPr>
          <w:hyperlink w:anchor="__RefHeading___Toc652017_1878427129">
            <w:r>
              <w:rPr>
                <w:webHidden/>
                <w:rStyle w:val="IndexLink"/>
                <w:rtl w:val="true"/>
              </w:rPr>
              <w:t>علّامه مجلسی و عقل خودبنیاد دینی</w:t>
            </w:r>
            <w:r>
              <w:rPr>
                <w:rStyle w:val="IndexLink"/>
                <w:rtl w:val="true"/>
              </w:rPr>
              <w:tab/>
            </w:r>
            <w:r>
              <w:rPr>
                <w:rStyle w:val="IndexLink"/>
              </w:rPr>
              <w:t>233</w:t>
            </w:r>
          </w:hyperlink>
        </w:p>
        <w:p>
          <w:pPr>
            <w:pStyle w:val="Contents4"/>
            <w:tabs>
              <w:tab w:val="clear" w:pos="8176"/>
              <w:tab w:val="right" w:pos="9026" w:leader="dot"/>
            </w:tabs>
            <w:rPr/>
          </w:pPr>
          <w:hyperlink w:anchor="__RefHeading___Toc652019_1878427129">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652021_1878427129">
            <w:r>
              <w:rPr>
                <w:webHidden/>
                <w:rStyle w:val="IndexLink"/>
              </w:rPr>
              <w:t>1</w:t>
            </w:r>
            <w:r>
              <w:rPr>
                <w:rStyle w:val="IndexLink"/>
                <w:rtl w:val="true"/>
              </w:rPr>
              <w:t xml:space="preserve">. </w:t>
            </w:r>
            <w:r>
              <w:rPr>
                <w:rStyle w:val="IndexLink"/>
                <w:rtl w:val="true"/>
              </w:rPr>
              <w:t>تفسیر عقل از نگاه وحی و فلسفه</w:t>
            </w:r>
            <w:r>
              <w:rPr>
                <w:rStyle w:val="IndexLink"/>
                <w:rtl w:val="true"/>
              </w:rPr>
              <w:tab/>
            </w:r>
            <w:r>
              <w:rPr>
                <w:rStyle w:val="IndexLink"/>
              </w:rPr>
              <w:t>238</w:t>
            </w:r>
          </w:hyperlink>
        </w:p>
        <w:p>
          <w:pPr>
            <w:pStyle w:val="Contents5"/>
            <w:tabs>
              <w:tab w:val="clear" w:pos="7892"/>
              <w:tab w:val="right" w:pos="9026" w:leader="dot"/>
            </w:tabs>
            <w:rPr/>
          </w:pPr>
          <w:hyperlink w:anchor="__RefHeading___Toc652023_1878427129">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652025_1878427129">
            <w:r>
              <w:rPr>
                <w:webHidden/>
                <w:rStyle w:val="IndexLink"/>
                <w:rtl w:val="true"/>
              </w:rPr>
              <w:t>عقل از نگاه علّامه طباطبایی و نقد گفتار علّامه مجلسی</w:t>
            </w:r>
            <w:r>
              <w:rPr>
                <w:rStyle w:val="IndexLink"/>
                <w:rtl w:val="true"/>
              </w:rPr>
              <w:tab/>
            </w:r>
            <w:r>
              <w:rPr>
                <w:rStyle w:val="IndexLink"/>
              </w:rPr>
              <w:t>241</w:t>
            </w:r>
          </w:hyperlink>
        </w:p>
        <w:p>
          <w:pPr>
            <w:pStyle w:val="Contents4"/>
            <w:tabs>
              <w:tab w:val="clear" w:pos="8176"/>
              <w:tab w:val="right" w:pos="9026" w:leader="dot"/>
            </w:tabs>
            <w:rPr/>
          </w:pPr>
          <w:hyperlink w:anchor="__RefHeading___Toc652027_1878427129">
            <w:r>
              <w:rPr>
                <w:webHidden/>
                <w:rStyle w:val="IndexLink"/>
              </w:rPr>
              <w:t>2</w:t>
            </w:r>
            <w:r>
              <w:rPr>
                <w:rStyle w:val="IndexLink"/>
                <w:rtl w:val="true"/>
              </w:rPr>
              <w:t xml:space="preserve">. </w:t>
            </w:r>
            <w:r>
              <w:rPr>
                <w:rStyle w:val="IndexLink"/>
                <w:rtl w:val="true"/>
              </w:rPr>
              <w:t>عقل فعال و تطبیق آن بر پیامبر و اهل بیت علیهم السلام</w:t>
            </w:r>
            <w:r>
              <w:rPr>
                <w:rStyle w:val="IndexLink"/>
                <w:rtl w:val="true"/>
              </w:rPr>
              <w:tab/>
            </w:r>
            <w:r>
              <w:rPr>
                <w:rStyle w:val="IndexLink"/>
              </w:rPr>
              <w:t>244</w:t>
            </w:r>
          </w:hyperlink>
        </w:p>
        <w:p>
          <w:pPr>
            <w:pStyle w:val="Contents4"/>
            <w:tabs>
              <w:tab w:val="clear" w:pos="8176"/>
              <w:tab w:val="right" w:pos="9026" w:leader="dot"/>
            </w:tabs>
            <w:rPr/>
          </w:pPr>
          <w:hyperlink w:anchor="__RefHeading___Toc652029_1878427129">
            <w:r>
              <w:rPr>
                <w:webHidden/>
                <w:rStyle w:val="IndexLink"/>
              </w:rPr>
              <w:t>3</w:t>
            </w:r>
            <w:r>
              <w:rPr>
                <w:rStyle w:val="IndexLink"/>
                <w:rtl w:val="true"/>
              </w:rPr>
              <w:t xml:space="preserve">. </w:t>
            </w:r>
            <w:r>
              <w:rPr>
                <w:rStyle w:val="IndexLink"/>
                <w:rtl w:val="true"/>
              </w:rPr>
              <w:t>جایگاه عقل در اصول دین</w:t>
            </w:r>
            <w:r>
              <w:rPr>
                <w:rStyle w:val="IndexLink"/>
                <w:rtl w:val="true"/>
              </w:rPr>
              <w:tab/>
            </w:r>
            <w:r>
              <w:rPr>
                <w:rStyle w:val="IndexLink"/>
              </w:rPr>
              <w:t>245</w:t>
            </w:r>
          </w:hyperlink>
        </w:p>
        <w:p>
          <w:pPr>
            <w:pStyle w:val="Contents4"/>
            <w:tabs>
              <w:tab w:val="clear" w:pos="8176"/>
              <w:tab w:val="right" w:pos="9026" w:leader="dot"/>
            </w:tabs>
            <w:rPr/>
          </w:pPr>
          <w:hyperlink w:anchor="__RefHeading___Toc652031_1878427129">
            <w:r>
              <w:rPr>
                <w:webHidden/>
                <w:rStyle w:val="IndexLink"/>
              </w:rPr>
              <w:t>4</w:t>
            </w:r>
            <w:r>
              <w:rPr>
                <w:rStyle w:val="IndexLink"/>
                <w:rtl w:val="true"/>
              </w:rPr>
              <w:t xml:space="preserve">. </w:t>
            </w:r>
            <w:r>
              <w:rPr>
                <w:rStyle w:val="IndexLink"/>
                <w:rtl w:val="true"/>
              </w:rPr>
              <w:t>حدوث زمانی عالم</w:t>
            </w:r>
            <w:r>
              <w:rPr>
                <w:rStyle w:val="IndexLink"/>
                <w:rtl w:val="true"/>
              </w:rPr>
              <w:tab/>
            </w:r>
            <w:r>
              <w:rPr>
                <w:rStyle w:val="IndexLink"/>
              </w:rPr>
              <w:t>249</w:t>
            </w:r>
          </w:hyperlink>
        </w:p>
        <w:p>
          <w:pPr>
            <w:pStyle w:val="Contents4"/>
            <w:tabs>
              <w:tab w:val="clear" w:pos="8176"/>
              <w:tab w:val="right" w:pos="9026" w:leader="dot"/>
            </w:tabs>
            <w:rPr/>
          </w:pPr>
          <w:hyperlink w:anchor="__RefHeading___Toc652033_1878427129">
            <w:r>
              <w:rPr>
                <w:webHidden/>
                <w:rStyle w:val="IndexLink"/>
              </w:rPr>
              <w:t>5</w:t>
            </w:r>
            <w:r>
              <w:rPr>
                <w:rStyle w:val="IndexLink"/>
                <w:rtl w:val="true"/>
              </w:rPr>
              <w:t xml:space="preserve">. </w:t>
            </w:r>
            <w:r>
              <w:rPr>
                <w:rStyle w:val="IndexLink"/>
                <w:rtl w:val="true"/>
              </w:rPr>
              <w:t>عدم تجرد فرشتگان</w:t>
            </w:r>
            <w:r>
              <w:rPr>
                <w:rStyle w:val="IndexLink"/>
                <w:rtl w:val="true"/>
              </w:rPr>
              <w:tab/>
            </w:r>
            <w:r>
              <w:rPr>
                <w:rStyle w:val="IndexLink"/>
              </w:rPr>
              <w:t>250</w:t>
            </w:r>
          </w:hyperlink>
        </w:p>
        <w:p>
          <w:pPr>
            <w:pStyle w:val="Contents4"/>
            <w:tabs>
              <w:tab w:val="clear" w:pos="8176"/>
              <w:tab w:val="right" w:pos="9026" w:leader="dot"/>
            </w:tabs>
            <w:rPr/>
          </w:pPr>
          <w:hyperlink w:anchor="__RefHeading___Toc652035_1878427129">
            <w:r>
              <w:rPr>
                <w:webHidden/>
                <w:rStyle w:val="IndexLink"/>
              </w:rPr>
              <w:t>6</w:t>
            </w:r>
            <w:r>
              <w:rPr>
                <w:rStyle w:val="IndexLink"/>
                <w:rtl w:val="true"/>
              </w:rPr>
              <w:t xml:space="preserve">. </w:t>
            </w:r>
            <w:r>
              <w:rPr>
                <w:rStyle w:val="IndexLink"/>
                <w:rtl w:val="true"/>
              </w:rPr>
              <w:t>استحاله خرق و التیام</w:t>
            </w:r>
            <w:r>
              <w:rPr>
                <w:rStyle w:val="IndexLink"/>
                <w:rtl w:val="true"/>
              </w:rPr>
              <w:tab/>
            </w:r>
            <w:r>
              <w:rPr>
                <w:rStyle w:val="IndexLink"/>
              </w:rPr>
              <w:t>253</w:t>
            </w:r>
          </w:hyperlink>
        </w:p>
        <w:p>
          <w:pPr>
            <w:pStyle w:val="Contents4"/>
            <w:tabs>
              <w:tab w:val="clear" w:pos="8176"/>
              <w:tab w:val="right" w:pos="9026" w:leader="dot"/>
            </w:tabs>
            <w:rPr/>
          </w:pPr>
          <w:hyperlink w:anchor="__RefHeading___Toc652037_1878427129">
            <w:r>
              <w:rPr>
                <w:webHidden/>
                <w:rStyle w:val="IndexLink"/>
              </w:rPr>
              <w:t>7</w:t>
            </w:r>
            <w:r>
              <w:rPr>
                <w:rStyle w:val="IndexLink"/>
                <w:rtl w:val="true"/>
              </w:rPr>
              <w:t xml:space="preserve">. </w:t>
            </w:r>
            <w:r>
              <w:rPr>
                <w:rStyle w:val="IndexLink"/>
                <w:rtl w:val="true"/>
              </w:rPr>
              <w:t>معاد روحانی</w:t>
            </w:r>
            <w:r>
              <w:rPr>
                <w:rStyle w:val="IndexLink"/>
                <w:rtl w:val="true"/>
              </w:rPr>
              <w:tab/>
            </w:r>
            <w:r>
              <w:rPr>
                <w:rStyle w:val="IndexLink"/>
              </w:rPr>
              <w:t>255</w:t>
            </w:r>
          </w:hyperlink>
        </w:p>
        <w:p>
          <w:pPr>
            <w:pStyle w:val="Contents2"/>
            <w:tabs>
              <w:tab w:val="clear" w:pos="8743"/>
              <w:tab w:val="right" w:pos="9026" w:leader="dot"/>
            </w:tabs>
            <w:rPr/>
          </w:pPr>
          <w:hyperlink w:anchor="__RefHeading___Toc652039_1878427129">
            <w:r>
              <w:rPr>
                <w:webHidden/>
                <w:rStyle w:val="IndexLink"/>
                <w:rtl w:val="true"/>
              </w:rPr>
              <w:t>علامه مجلسی و مرآة العقول</w:t>
            </w:r>
            <w:r>
              <w:rPr>
                <w:rStyle w:val="IndexLink"/>
                <w:rtl w:val="true"/>
              </w:rPr>
              <w:tab/>
            </w:r>
            <w:r>
              <w:rPr>
                <w:rStyle w:val="IndexLink"/>
              </w:rPr>
              <w:t>259</w:t>
            </w:r>
          </w:hyperlink>
        </w:p>
        <w:p>
          <w:pPr>
            <w:pStyle w:val="Contents3"/>
            <w:tabs>
              <w:tab w:val="clear" w:pos="8459"/>
              <w:tab w:val="right" w:pos="9026" w:leader="dot"/>
            </w:tabs>
            <w:rPr/>
          </w:pPr>
          <w:hyperlink w:anchor="__RefHeading___Toc652041_1878427129">
            <w:r>
              <w:rPr>
                <w:webHidden/>
                <w:rStyle w:val="IndexLink"/>
                <w:rtl w:val="true"/>
              </w:rPr>
              <w:t>اشارة</w:t>
            </w:r>
            <w:r>
              <w:rPr>
                <w:rStyle w:val="IndexLink"/>
                <w:rtl w:val="true"/>
              </w:rPr>
              <w:tab/>
            </w:r>
            <w:r>
              <w:rPr>
                <w:rStyle w:val="IndexLink"/>
              </w:rPr>
              <w:t>259</w:t>
            </w:r>
          </w:hyperlink>
        </w:p>
        <w:p>
          <w:pPr>
            <w:pStyle w:val="Contents3"/>
            <w:tabs>
              <w:tab w:val="clear" w:pos="8459"/>
              <w:tab w:val="right" w:pos="9026" w:leader="dot"/>
            </w:tabs>
            <w:rPr/>
          </w:pPr>
          <w:hyperlink w:anchor="__RefHeading___Toc652043_1878427129">
            <w:r>
              <w:rPr>
                <w:webHidden/>
                <w:rStyle w:val="IndexLink"/>
                <w:rtl w:val="true"/>
              </w:rPr>
              <w:t>چکیده</w:t>
            </w:r>
            <w:r>
              <w:rPr>
                <w:rStyle w:val="IndexLink"/>
                <w:rtl w:val="true"/>
              </w:rPr>
              <w:tab/>
            </w:r>
            <w:r>
              <w:rPr>
                <w:rStyle w:val="IndexLink"/>
              </w:rPr>
              <w:t>259</w:t>
            </w:r>
          </w:hyperlink>
        </w:p>
        <w:p>
          <w:pPr>
            <w:pStyle w:val="Contents3"/>
            <w:tabs>
              <w:tab w:val="clear" w:pos="8459"/>
              <w:tab w:val="right" w:pos="9026" w:leader="dot"/>
            </w:tabs>
            <w:rPr/>
          </w:pPr>
          <w:hyperlink w:anchor="__RefHeading___Toc652045_1878427129">
            <w:r>
              <w:rPr>
                <w:webHidden/>
                <w:rStyle w:val="IndexLink"/>
                <w:rtl w:val="true"/>
              </w:rPr>
              <w:t xml:space="preserve">انگیزه نگارش </w:t>
            </w:r>
            <w:r>
              <w:rPr>
                <w:rStyle w:val="IndexLink"/>
                <w:rtl w:val="true"/>
              </w:rPr>
              <w:t>«</w:t>
            </w:r>
            <w:r>
              <w:rPr>
                <w:rStyle w:val="IndexLink"/>
                <w:rtl w:val="true"/>
              </w:rPr>
              <w:t>مرآة العقول فی شرح اخبار آل الرسول</w:t>
            </w:r>
            <w:r>
              <w:rPr>
                <w:rStyle w:val="IndexLink"/>
                <w:rtl w:val="true"/>
              </w:rPr>
              <w:t>»</w:t>
              <w:tab/>
            </w:r>
            <w:r>
              <w:rPr>
                <w:rStyle w:val="IndexLink"/>
              </w:rPr>
              <w:t>262</w:t>
            </w:r>
          </w:hyperlink>
        </w:p>
        <w:p>
          <w:pPr>
            <w:pStyle w:val="Contents3"/>
            <w:tabs>
              <w:tab w:val="clear" w:pos="8459"/>
              <w:tab w:val="right" w:pos="9026" w:leader="dot"/>
            </w:tabs>
            <w:rPr/>
          </w:pPr>
          <w:hyperlink w:anchor="__RefHeading___Toc652047_1878427129">
            <w:r>
              <w:rPr>
                <w:webHidden/>
                <w:rStyle w:val="IndexLink"/>
                <w:rtl w:val="true"/>
              </w:rPr>
              <w:t>شیوه حدیث نگاری مرآة العقول</w:t>
            </w:r>
            <w:r>
              <w:rPr>
                <w:rStyle w:val="IndexLink"/>
                <w:rtl w:val="true"/>
              </w:rPr>
              <w:tab/>
            </w:r>
            <w:r>
              <w:rPr>
                <w:rStyle w:val="IndexLink"/>
              </w:rPr>
              <w:t>265</w:t>
            </w:r>
          </w:hyperlink>
        </w:p>
        <w:p>
          <w:pPr>
            <w:pStyle w:val="Contents3"/>
            <w:tabs>
              <w:tab w:val="clear" w:pos="8459"/>
              <w:tab w:val="right" w:pos="9026" w:leader="dot"/>
            </w:tabs>
            <w:rPr/>
          </w:pPr>
          <w:hyperlink w:anchor="__RefHeading___Toc652049_1878427129">
            <w:r>
              <w:rPr>
                <w:webHidden/>
                <w:rStyle w:val="IndexLink"/>
                <w:rtl w:val="true"/>
              </w:rPr>
              <w:t>بحث اعتبار احادیث در مرآة العقول</w:t>
            </w:r>
            <w:r>
              <w:rPr>
                <w:rStyle w:val="IndexLink"/>
                <w:rtl w:val="true"/>
              </w:rPr>
              <w:tab/>
            </w:r>
            <w:r>
              <w:rPr>
                <w:rStyle w:val="IndexLink"/>
              </w:rPr>
              <w:t>266</w:t>
            </w:r>
          </w:hyperlink>
        </w:p>
        <w:p>
          <w:pPr>
            <w:pStyle w:val="Contents3"/>
            <w:tabs>
              <w:tab w:val="clear" w:pos="8459"/>
              <w:tab w:val="right" w:pos="9026" w:leader="dot"/>
            </w:tabs>
            <w:rPr/>
          </w:pPr>
          <w:hyperlink w:anchor="__RefHeading___Toc652051_1878427129">
            <w:r>
              <w:rPr>
                <w:webHidden/>
                <w:rStyle w:val="IndexLink"/>
                <w:rtl w:val="true"/>
              </w:rPr>
              <w:t>اعتبار محتوایی</w:t>
            </w:r>
            <w:r>
              <w:rPr>
                <w:rStyle w:val="IndexLink"/>
                <w:rtl w:val="true"/>
              </w:rPr>
              <w:tab/>
            </w:r>
            <w:r>
              <w:rPr>
                <w:rStyle w:val="IndexLink"/>
              </w:rPr>
              <w:t>266</w:t>
            </w:r>
          </w:hyperlink>
        </w:p>
        <w:p>
          <w:pPr>
            <w:pStyle w:val="Contents3"/>
            <w:tabs>
              <w:tab w:val="clear" w:pos="8459"/>
              <w:tab w:val="right" w:pos="9026" w:leader="dot"/>
            </w:tabs>
            <w:rPr/>
          </w:pPr>
          <w:hyperlink w:anchor="__RefHeading___Toc652053_1878427129">
            <w:r>
              <w:rPr>
                <w:webHidden/>
                <w:rStyle w:val="IndexLink"/>
                <w:rtl w:val="true"/>
              </w:rPr>
              <w:t>اعتبار سندی</w:t>
            </w:r>
            <w:r>
              <w:rPr>
                <w:rStyle w:val="IndexLink"/>
                <w:rtl w:val="true"/>
              </w:rPr>
              <w:tab/>
            </w:r>
            <w:r>
              <w:rPr>
                <w:rStyle w:val="IndexLink"/>
              </w:rPr>
              <w:t>268</w:t>
            </w:r>
          </w:hyperlink>
        </w:p>
        <w:p>
          <w:pPr>
            <w:pStyle w:val="Contents4"/>
            <w:tabs>
              <w:tab w:val="clear" w:pos="8176"/>
              <w:tab w:val="right" w:pos="9026" w:leader="dot"/>
            </w:tabs>
            <w:rPr/>
          </w:pPr>
          <w:hyperlink w:anchor="__RefHeading___Toc652055_1878427129">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652057_1878427129">
            <w:r>
              <w:rPr>
                <w:webHidden/>
                <w:rStyle w:val="IndexLink"/>
              </w:rPr>
              <w:t>1</w:t>
            </w:r>
            <w:r>
              <w:rPr>
                <w:rStyle w:val="IndexLink"/>
                <w:rtl w:val="true"/>
              </w:rPr>
              <w:t xml:space="preserve">. </w:t>
            </w:r>
            <w:r>
              <w:rPr>
                <w:rStyle w:val="IndexLink"/>
                <w:rtl w:val="true"/>
              </w:rPr>
              <w:t>روایت نوفلی از سکونی</w:t>
            </w:r>
            <w:r>
              <w:rPr>
                <w:rStyle w:val="IndexLink"/>
                <w:rtl w:val="true"/>
              </w:rPr>
              <w:tab/>
            </w:r>
            <w:r>
              <w:rPr>
                <w:rStyle w:val="IndexLink"/>
              </w:rPr>
              <w:t>269</w:t>
            </w:r>
          </w:hyperlink>
        </w:p>
        <w:p>
          <w:pPr>
            <w:pStyle w:val="Contents4"/>
            <w:tabs>
              <w:tab w:val="clear" w:pos="8176"/>
              <w:tab w:val="right" w:pos="9026" w:leader="dot"/>
            </w:tabs>
            <w:rPr/>
          </w:pPr>
          <w:hyperlink w:anchor="__RefHeading___Toc652059_1878427129">
            <w:r>
              <w:rPr>
                <w:webHidden/>
                <w:rStyle w:val="IndexLink"/>
              </w:rPr>
              <w:t>2</w:t>
            </w:r>
            <w:r>
              <w:rPr>
                <w:rStyle w:val="IndexLink"/>
                <w:rtl w:val="true"/>
              </w:rPr>
              <w:t xml:space="preserve">. </w:t>
            </w:r>
            <w:r>
              <w:rPr>
                <w:rStyle w:val="IndexLink"/>
                <w:rtl w:val="true"/>
              </w:rPr>
              <w:t>سهل بن زیاد</w:t>
            </w:r>
            <w:r>
              <w:rPr>
                <w:rStyle w:val="IndexLink"/>
                <w:rtl w:val="true"/>
              </w:rPr>
              <w:tab/>
            </w:r>
            <w:r>
              <w:rPr>
                <w:rStyle w:val="IndexLink"/>
              </w:rPr>
              <w:t>270</w:t>
            </w:r>
          </w:hyperlink>
        </w:p>
        <w:p>
          <w:pPr>
            <w:pStyle w:val="Contents4"/>
            <w:tabs>
              <w:tab w:val="clear" w:pos="8176"/>
              <w:tab w:val="right" w:pos="9026" w:leader="dot"/>
            </w:tabs>
            <w:rPr/>
          </w:pPr>
          <w:hyperlink w:anchor="__RefHeading___Toc652061_1878427129">
            <w:r>
              <w:rPr>
                <w:webHidden/>
                <w:rStyle w:val="IndexLink"/>
              </w:rPr>
              <w:t>3</w:t>
            </w:r>
            <w:r>
              <w:rPr>
                <w:rStyle w:val="IndexLink"/>
                <w:rtl w:val="true"/>
              </w:rPr>
              <w:t xml:space="preserve">. </w:t>
            </w:r>
            <w:r>
              <w:rPr>
                <w:rStyle w:val="IndexLink"/>
                <w:rtl w:val="true"/>
              </w:rPr>
              <w:t>معلی بن محمد</w:t>
            </w:r>
            <w:r>
              <w:rPr>
                <w:rStyle w:val="IndexLink"/>
                <w:rtl w:val="true"/>
              </w:rPr>
              <w:tab/>
            </w:r>
            <w:r>
              <w:rPr>
                <w:rStyle w:val="IndexLink"/>
              </w:rPr>
              <w:t>270</w:t>
            </w:r>
          </w:hyperlink>
        </w:p>
        <w:p>
          <w:pPr>
            <w:pStyle w:val="Contents4"/>
            <w:tabs>
              <w:tab w:val="clear" w:pos="8176"/>
              <w:tab w:val="right" w:pos="9026" w:leader="dot"/>
            </w:tabs>
            <w:rPr/>
          </w:pPr>
          <w:hyperlink w:anchor="__RefHeading___Toc652063_1878427129">
            <w:r>
              <w:rPr>
                <w:webHidden/>
                <w:rStyle w:val="IndexLink"/>
              </w:rPr>
              <w:t>4</w:t>
            </w:r>
            <w:r>
              <w:rPr>
                <w:rStyle w:val="IndexLink"/>
                <w:rtl w:val="true"/>
              </w:rPr>
              <w:t xml:space="preserve">. </w:t>
            </w:r>
            <w:r>
              <w:rPr>
                <w:rStyle w:val="IndexLink"/>
                <w:rtl w:val="true"/>
              </w:rPr>
              <w:t>مفضل بن عمر</w:t>
            </w:r>
            <w:r>
              <w:rPr>
                <w:rStyle w:val="IndexLink"/>
                <w:rtl w:val="true"/>
              </w:rPr>
              <w:tab/>
            </w:r>
            <w:r>
              <w:rPr>
                <w:rStyle w:val="IndexLink"/>
              </w:rPr>
              <w:t>270</w:t>
            </w:r>
          </w:hyperlink>
        </w:p>
        <w:p>
          <w:pPr>
            <w:pStyle w:val="Contents4"/>
            <w:tabs>
              <w:tab w:val="clear" w:pos="8176"/>
              <w:tab w:val="right" w:pos="9026" w:leader="dot"/>
            </w:tabs>
            <w:rPr/>
          </w:pPr>
          <w:hyperlink w:anchor="__RefHeading___Toc652065_1878427129">
            <w:r>
              <w:rPr>
                <w:webHidden/>
                <w:rStyle w:val="IndexLink"/>
              </w:rPr>
              <w:t>5</w:t>
            </w:r>
            <w:r>
              <w:rPr>
                <w:rStyle w:val="IndexLink"/>
                <w:rtl w:val="true"/>
              </w:rPr>
              <w:t xml:space="preserve">. </w:t>
            </w:r>
            <w:r>
              <w:rPr>
                <w:rStyle w:val="IndexLink"/>
                <w:rtl w:val="true"/>
              </w:rPr>
              <w:t>علی ابن ابی حمزه بطائنی</w:t>
            </w:r>
            <w:r>
              <w:rPr>
                <w:rStyle w:val="IndexLink"/>
                <w:rtl w:val="true"/>
              </w:rPr>
              <w:tab/>
            </w:r>
            <w:r>
              <w:rPr>
                <w:rStyle w:val="IndexLink"/>
              </w:rPr>
              <w:t>271</w:t>
            </w:r>
          </w:hyperlink>
        </w:p>
        <w:p>
          <w:pPr>
            <w:pStyle w:val="Contents4"/>
            <w:tabs>
              <w:tab w:val="clear" w:pos="8176"/>
              <w:tab w:val="right" w:pos="9026" w:leader="dot"/>
            </w:tabs>
            <w:rPr/>
          </w:pPr>
          <w:hyperlink w:anchor="__RefHeading___Toc652067_1878427129">
            <w:r>
              <w:rPr>
                <w:webHidden/>
                <w:rStyle w:val="IndexLink"/>
              </w:rPr>
              <w:t>6</w:t>
            </w:r>
            <w:r>
              <w:rPr>
                <w:rStyle w:val="IndexLink"/>
                <w:rtl w:val="true"/>
              </w:rPr>
              <w:t xml:space="preserve">. </w:t>
            </w:r>
            <w:r>
              <w:rPr>
                <w:rStyle w:val="IndexLink"/>
                <w:rtl w:val="true"/>
              </w:rPr>
              <w:t>محمد بن سنان</w:t>
            </w:r>
            <w:r>
              <w:rPr>
                <w:rStyle w:val="IndexLink"/>
                <w:rtl w:val="true"/>
              </w:rPr>
              <w:tab/>
            </w:r>
            <w:r>
              <w:rPr>
                <w:rStyle w:val="IndexLink"/>
              </w:rPr>
              <w:t>272</w:t>
            </w:r>
          </w:hyperlink>
        </w:p>
        <w:p>
          <w:pPr>
            <w:pStyle w:val="Contents4"/>
            <w:tabs>
              <w:tab w:val="clear" w:pos="8176"/>
              <w:tab w:val="right" w:pos="9026" w:leader="dot"/>
            </w:tabs>
            <w:rPr/>
          </w:pPr>
          <w:hyperlink w:anchor="__RefHeading___Toc652069_1878427129">
            <w:r>
              <w:rPr>
                <w:webHidden/>
                <w:rStyle w:val="IndexLink"/>
              </w:rPr>
              <w:t>7</w:t>
            </w:r>
            <w:r>
              <w:rPr>
                <w:rStyle w:val="IndexLink"/>
                <w:rtl w:val="true"/>
              </w:rPr>
              <w:t xml:space="preserve">. </w:t>
            </w:r>
            <w:r>
              <w:rPr>
                <w:rStyle w:val="IndexLink"/>
                <w:rtl w:val="true"/>
              </w:rPr>
              <w:t>ابان بن ابی عیاش</w:t>
            </w:r>
            <w:r>
              <w:rPr>
                <w:rStyle w:val="IndexLink"/>
                <w:rtl w:val="true"/>
              </w:rPr>
              <w:tab/>
            </w:r>
            <w:r>
              <w:rPr>
                <w:rStyle w:val="IndexLink"/>
              </w:rPr>
              <w:t>272</w:t>
            </w:r>
          </w:hyperlink>
        </w:p>
        <w:p>
          <w:pPr>
            <w:pStyle w:val="Contents4"/>
            <w:tabs>
              <w:tab w:val="clear" w:pos="8176"/>
              <w:tab w:val="right" w:pos="9026" w:leader="dot"/>
            </w:tabs>
            <w:rPr/>
          </w:pPr>
          <w:hyperlink w:anchor="__RefHeading___Toc652071_1878427129">
            <w:r>
              <w:rPr>
                <w:webHidden/>
                <w:rStyle w:val="IndexLink"/>
              </w:rPr>
              <w:t>8</w:t>
            </w:r>
            <w:r>
              <w:rPr>
                <w:rStyle w:val="IndexLink"/>
                <w:rtl w:val="true"/>
              </w:rPr>
              <w:t xml:space="preserve">. </w:t>
            </w:r>
            <w:r>
              <w:rPr>
                <w:rStyle w:val="IndexLink"/>
                <w:rtl w:val="true"/>
              </w:rPr>
              <w:t>موسی بن بکر</w:t>
            </w:r>
            <w:r>
              <w:rPr>
                <w:rStyle w:val="IndexLink"/>
                <w:rtl w:val="true"/>
              </w:rPr>
              <w:tab/>
            </w:r>
            <w:r>
              <w:rPr>
                <w:rStyle w:val="IndexLink"/>
              </w:rPr>
              <w:t>272</w:t>
            </w:r>
          </w:hyperlink>
        </w:p>
        <w:p>
          <w:pPr>
            <w:pStyle w:val="Contents4"/>
            <w:tabs>
              <w:tab w:val="clear" w:pos="8176"/>
              <w:tab w:val="right" w:pos="9026" w:leader="dot"/>
            </w:tabs>
            <w:rPr/>
          </w:pPr>
          <w:hyperlink w:anchor="__RefHeading___Toc652073_1878427129">
            <w:r>
              <w:rPr>
                <w:webHidden/>
                <w:rStyle w:val="IndexLink"/>
              </w:rPr>
              <w:t>9</w:t>
            </w:r>
            <w:r>
              <w:rPr>
                <w:rStyle w:val="IndexLink"/>
                <w:rtl w:val="true"/>
              </w:rPr>
              <w:t xml:space="preserve">. </w:t>
            </w:r>
            <w:r>
              <w:rPr>
                <w:rStyle w:val="IndexLink"/>
                <w:rtl w:val="true"/>
              </w:rPr>
              <w:t>طلحة بن زید</w:t>
            </w:r>
            <w:r>
              <w:rPr>
                <w:rStyle w:val="IndexLink"/>
                <w:rtl w:val="true"/>
              </w:rPr>
              <w:tab/>
            </w:r>
            <w:r>
              <w:rPr>
                <w:rStyle w:val="IndexLink"/>
              </w:rPr>
              <w:t>273</w:t>
            </w:r>
          </w:hyperlink>
        </w:p>
        <w:p>
          <w:pPr>
            <w:pStyle w:val="Contents3"/>
            <w:tabs>
              <w:tab w:val="clear" w:pos="8459"/>
              <w:tab w:val="right" w:pos="9026" w:leader="dot"/>
            </w:tabs>
            <w:rPr/>
          </w:pPr>
          <w:hyperlink w:anchor="__RefHeading___Toc652075_1878427129">
            <w:r>
              <w:rPr>
                <w:webHidden/>
                <w:rStyle w:val="IndexLink"/>
                <w:rtl w:val="true"/>
              </w:rPr>
              <w:t>شیوه تفسیر حدیث در مرآة العقول</w:t>
            </w:r>
            <w:r>
              <w:rPr>
                <w:rStyle w:val="IndexLink"/>
                <w:rtl w:val="true"/>
              </w:rPr>
              <w:tab/>
            </w:r>
            <w:r>
              <w:rPr>
                <w:rStyle w:val="IndexLink"/>
              </w:rPr>
              <w:t>274</w:t>
            </w:r>
          </w:hyperlink>
        </w:p>
        <w:p>
          <w:pPr>
            <w:pStyle w:val="Contents3"/>
            <w:tabs>
              <w:tab w:val="clear" w:pos="8459"/>
              <w:tab w:val="right" w:pos="9026" w:leader="dot"/>
            </w:tabs>
            <w:rPr/>
          </w:pPr>
          <w:hyperlink w:anchor="__RefHeading___Toc652077_1878427129">
            <w:r>
              <w:rPr>
                <w:webHidden/>
                <w:rStyle w:val="IndexLink"/>
                <w:rtl w:val="true"/>
              </w:rPr>
              <w:t>مباحث غیر حدیثی در مرآة العقول</w:t>
            </w:r>
            <w:r>
              <w:rPr>
                <w:rStyle w:val="IndexLink"/>
                <w:rtl w:val="true"/>
              </w:rPr>
              <w:tab/>
            </w:r>
            <w:r>
              <w:rPr>
                <w:rStyle w:val="IndexLink"/>
              </w:rPr>
              <w:t>277</w:t>
            </w:r>
          </w:hyperlink>
        </w:p>
        <w:p>
          <w:pPr>
            <w:pStyle w:val="Contents4"/>
            <w:tabs>
              <w:tab w:val="clear" w:pos="8176"/>
              <w:tab w:val="right" w:pos="9026" w:leader="dot"/>
            </w:tabs>
            <w:rPr/>
          </w:pPr>
          <w:hyperlink w:anchor="__RefHeading___Toc652079_1878427129">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652081_1878427129">
            <w:r>
              <w:rPr>
                <w:webHidden/>
                <w:rStyle w:val="IndexLink"/>
              </w:rPr>
              <w:t>1</w:t>
            </w:r>
            <w:r>
              <w:rPr>
                <w:rStyle w:val="IndexLink"/>
                <w:rtl w:val="true"/>
              </w:rPr>
              <w:t xml:space="preserve">. </w:t>
            </w:r>
            <w:r>
              <w:rPr>
                <w:rStyle w:val="IndexLink"/>
                <w:rtl w:val="true"/>
              </w:rPr>
              <w:t>بحث فلسفی</w:t>
            </w:r>
            <w:r>
              <w:rPr>
                <w:rStyle w:val="IndexLink"/>
                <w:rtl w:val="true"/>
              </w:rPr>
              <w:tab/>
            </w:r>
            <w:r>
              <w:rPr>
                <w:rStyle w:val="IndexLink"/>
              </w:rPr>
              <w:t>277</w:t>
            </w:r>
          </w:hyperlink>
        </w:p>
        <w:p>
          <w:pPr>
            <w:pStyle w:val="Contents4"/>
            <w:tabs>
              <w:tab w:val="clear" w:pos="8176"/>
              <w:tab w:val="right" w:pos="9026" w:leader="dot"/>
            </w:tabs>
            <w:rPr/>
          </w:pPr>
          <w:hyperlink w:anchor="__RefHeading___Toc652083_1878427129">
            <w:r>
              <w:rPr>
                <w:webHidden/>
                <w:rStyle w:val="IndexLink"/>
              </w:rPr>
              <w:t>2</w:t>
            </w:r>
            <w:r>
              <w:rPr>
                <w:rStyle w:val="IndexLink"/>
                <w:rtl w:val="true"/>
              </w:rPr>
              <w:t xml:space="preserve">. </w:t>
            </w:r>
            <w:r>
              <w:rPr>
                <w:rStyle w:val="IndexLink"/>
                <w:rtl w:val="true"/>
              </w:rPr>
              <w:t>بحث کلامی</w:t>
            </w:r>
            <w:r>
              <w:rPr>
                <w:rStyle w:val="IndexLink"/>
                <w:rtl w:val="true"/>
              </w:rPr>
              <w:tab/>
            </w:r>
            <w:r>
              <w:rPr>
                <w:rStyle w:val="IndexLink"/>
              </w:rPr>
              <w:t>278</w:t>
            </w:r>
          </w:hyperlink>
        </w:p>
        <w:p>
          <w:pPr>
            <w:pStyle w:val="Contents4"/>
            <w:tabs>
              <w:tab w:val="clear" w:pos="8176"/>
              <w:tab w:val="right" w:pos="9026" w:leader="dot"/>
            </w:tabs>
            <w:rPr/>
          </w:pPr>
          <w:hyperlink w:anchor="__RefHeading___Toc652085_1878427129">
            <w:r>
              <w:rPr>
                <w:webHidden/>
                <w:rStyle w:val="IndexLink"/>
              </w:rPr>
              <w:t>3</w:t>
            </w:r>
            <w:r>
              <w:rPr>
                <w:rStyle w:val="IndexLink"/>
                <w:rtl w:val="true"/>
              </w:rPr>
              <w:t xml:space="preserve">. </w:t>
            </w:r>
            <w:r>
              <w:rPr>
                <w:rStyle w:val="IndexLink"/>
                <w:rtl w:val="true"/>
              </w:rPr>
              <w:t>تفسیری</w:t>
            </w:r>
            <w:r>
              <w:rPr>
                <w:rStyle w:val="IndexLink"/>
                <w:rtl w:val="true"/>
              </w:rPr>
              <w:tab/>
            </w:r>
            <w:r>
              <w:rPr>
                <w:rStyle w:val="IndexLink"/>
              </w:rPr>
              <w:t>279</w:t>
            </w:r>
          </w:hyperlink>
        </w:p>
        <w:p>
          <w:pPr>
            <w:pStyle w:val="Contents4"/>
            <w:tabs>
              <w:tab w:val="clear" w:pos="8176"/>
              <w:tab w:val="right" w:pos="9026" w:leader="dot"/>
            </w:tabs>
            <w:rPr/>
          </w:pPr>
          <w:hyperlink w:anchor="__RefHeading___Toc652087_1878427129">
            <w:r>
              <w:rPr>
                <w:webHidden/>
                <w:rStyle w:val="IndexLink"/>
              </w:rPr>
              <w:t>4</w:t>
            </w:r>
            <w:r>
              <w:rPr>
                <w:rStyle w:val="IndexLink"/>
                <w:rtl w:val="true"/>
              </w:rPr>
              <w:t xml:space="preserve">. </w:t>
            </w:r>
            <w:r>
              <w:rPr>
                <w:rStyle w:val="IndexLink"/>
                <w:rtl w:val="true"/>
              </w:rPr>
              <w:t>فقهی</w:t>
            </w:r>
            <w:r>
              <w:rPr>
                <w:rStyle w:val="IndexLink"/>
                <w:rtl w:val="true"/>
              </w:rPr>
              <w:t>-</w:t>
            </w:r>
            <w:r>
              <w:rPr>
                <w:rStyle w:val="IndexLink"/>
                <w:rtl w:val="true"/>
              </w:rPr>
              <w:t>اصولی</w:t>
            </w:r>
            <w:r>
              <w:rPr>
                <w:rStyle w:val="IndexLink"/>
                <w:rtl w:val="true"/>
              </w:rPr>
              <w:tab/>
            </w:r>
            <w:r>
              <w:rPr>
                <w:rStyle w:val="IndexLink"/>
              </w:rPr>
              <w:t>280</w:t>
            </w:r>
          </w:hyperlink>
        </w:p>
        <w:p>
          <w:pPr>
            <w:pStyle w:val="Contents3"/>
            <w:tabs>
              <w:tab w:val="clear" w:pos="8459"/>
              <w:tab w:val="right" w:pos="9026" w:leader="dot"/>
            </w:tabs>
            <w:rPr/>
          </w:pPr>
          <w:hyperlink w:anchor="__RefHeading___Toc652089_1878427129">
            <w:r>
              <w:rPr>
                <w:webHidden/>
                <w:rStyle w:val="IndexLink"/>
                <w:rtl w:val="true"/>
              </w:rPr>
              <w:t>بهره های فرعی در مرآة العقول</w:t>
            </w:r>
            <w:r>
              <w:rPr>
                <w:rStyle w:val="IndexLink"/>
                <w:rtl w:val="true"/>
              </w:rPr>
              <w:tab/>
            </w:r>
            <w:r>
              <w:rPr>
                <w:rStyle w:val="IndexLink"/>
              </w:rPr>
              <w:t>281</w:t>
            </w:r>
          </w:hyperlink>
        </w:p>
        <w:p>
          <w:pPr>
            <w:pStyle w:val="Contents4"/>
            <w:tabs>
              <w:tab w:val="clear" w:pos="8176"/>
              <w:tab w:val="right" w:pos="9026" w:leader="dot"/>
            </w:tabs>
            <w:rPr/>
          </w:pPr>
          <w:hyperlink w:anchor="__RefHeading___Toc652091_1878427129">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652093_1878427129">
            <w:r>
              <w:rPr>
                <w:webHidden/>
                <w:rStyle w:val="IndexLink"/>
              </w:rPr>
              <w:t>1</w:t>
            </w:r>
            <w:r>
              <w:rPr>
                <w:rStyle w:val="IndexLink"/>
                <w:rtl w:val="true"/>
              </w:rPr>
              <w:t xml:space="preserve">. </w:t>
            </w:r>
            <w:r>
              <w:rPr>
                <w:rStyle w:val="IndexLink"/>
                <w:rtl w:val="true"/>
              </w:rPr>
              <w:t>تفاوت نسخ</w:t>
            </w:r>
            <w:r>
              <w:rPr>
                <w:rStyle w:val="IndexLink"/>
                <w:rtl w:val="true"/>
              </w:rPr>
              <w:tab/>
            </w:r>
            <w:r>
              <w:rPr>
                <w:rStyle w:val="IndexLink"/>
              </w:rPr>
              <w:t>281</w:t>
            </w:r>
          </w:hyperlink>
        </w:p>
        <w:p>
          <w:pPr>
            <w:pStyle w:val="Contents4"/>
            <w:tabs>
              <w:tab w:val="clear" w:pos="8176"/>
              <w:tab w:val="right" w:pos="9026" w:leader="dot"/>
            </w:tabs>
            <w:rPr/>
          </w:pPr>
          <w:hyperlink w:anchor="__RefHeading___Toc652095_1878427129">
            <w:r>
              <w:rPr>
                <w:webHidden/>
                <w:rStyle w:val="IndexLink"/>
              </w:rPr>
              <w:t>2</w:t>
            </w:r>
            <w:r>
              <w:rPr>
                <w:rStyle w:val="IndexLink"/>
                <w:rtl w:val="true"/>
              </w:rPr>
              <w:t xml:space="preserve">. </w:t>
            </w:r>
            <w:r>
              <w:rPr>
                <w:rStyle w:val="IndexLink"/>
                <w:rtl w:val="true"/>
              </w:rPr>
              <w:t>دیدگاه وی نسبت به افراد</w:t>
            </w:r>
            <w:r>
              <w:rPr>
                <w:rStyle w:val="IndexLink"/>
                <w:rtl w:val="true"/>
              </w:rPr>
              <w:tab/>
            </w:r>
            <w:r>
              <w:rPr>
                <w:rStyle w:val="IndexLink"/>
              </w:rPr>
              <w:t>281</w:t>
            </w:r>
          </w:hyperlink>
        </w:p>
        <w:p>
          <w:pPr>
            <w:pStyle w:val="Contents4"/>
            <w:tabs>
              <w:tab w:val="clear" w:pos="8176"/>
              <w:tab w:val="right" w:pos="9026" w:leader="dot"/>
            </w:tabs>
            <w:rPr/>
          </w:pPr>
          <w:hyperlink w:anchor="__RefHeading___Toc652097_1878427129">
            <w:r>
              <w:rPr>
                <w:webHidden/>
                <w:rStyle w:val="IndexLink"/>
              </w:rPr>
              <w:t>3</w:t>
            </w:r>
            <w:r>
              <w:rPr>
                <w:rStyle w:val="IndexLink"/>
                <w:rtl w:val="true"/>
              </w:rPr>
              <w:t xml:space="preserve">. </w:t>
            </w:r>
            <w:r>
              <w:rPr>
                <w:rStyle w:val="IndexLink"/>
                <w:rtl w:val="true"/>
              </w:rPr>
              <w:t>تأیید وجود روش نقل به معنا در بین محدثان</w:t>
            </w:r>
            <w:r>
              <w:rPr>
                <w:rStyle w:val="IndexLink"/>
                <w:rtl w:val="true"/>
              </w:rPr>
              <w:tab/>
            </w:r>
            <w:r>
              <w:rPr>
                <w:rStyle w:val="IndexLink"/>
              </w:rPr>
              <w:t>282</w:t>
            </w:r>
          </w:hyperlink>
        </w:p>
        <w:p>
          <w:pPr>
            <w:pStyle w:val="Contents4"/>
            <w:tabs>
              <w:tab w:val="clear" w:pos="8176"/>
              <w:tab w:val="right" w:pos="9026" w:leader="dot"/>
            </w:tabs>
            <w:rPr/>
          </w:pPr>
          <w:hyperlink w:anchor="__RefHeading___Toc652099_1878427129">
            <w:r>
              <w:rPr>
                <w:webHidden/>
                <w:rStyle w:val="IndexLink"/>
              </w:rPr>
              <w:t>4</w:t>
            </w:r>
            <w:r>
              <w:rPr>
                <w:rStyle w:val="IndexLink"/>
                <w:rtl w:val="true"/>
              </w:rPr>
              <w:t xml:space="preserve">. </w:t>
            </w:r>
            <w:r>
              <w:rPr>
                <w:rStyle w:val="IndexLink"/>
                <w:rtl w:val="true"/>
              </w:rPr>
              <w:t>شناسایی راویان مجهول</w:t>
            </w:r>
            <w:r>
              <w:rPr>
                <w:rStyle w:val="IndexLink"/>
                <w:rtl w:val="true"/>
              </w:rPr>
              <w:tab/>
            </w:r>
            <w:r>
              <w:rPr>
                <w:rStyle w:val="IndexLink"/>
              </w:rPr>
              <w:t>283</w:t>
            </w:r>
          </w:hyperlink>
        </w:p>
        <w:p>
          <w:pPr>
            <w:pStyle w:val="Contents2"/>
            <w:tabs>
              <w:tab w:val="clear" w:pos="8743"/>
              <w:tab w:val="right" w:pos="9026" w:leader="dot"/>
            </w:tabs>
            <w:rPr/>
          </w:pPr>
          <w:hyperlink w:anchor="__RefHeading___Toc652101_1878427129">
            <w:r>
              <w:rPr>
                <w:webHidden/>
                <w:rStyle w:val="IndexLink"/>
                <w:rtl w:val="true"/>
              </w:rPr>
              <w:t>یک مناظرۀ علمی در پاسخ علامه قاضی خضری</w:t>
            </w:r>
            <w:r>
              <w:rPr>
                <w:rStyle w:val="IndexLink"/>
                <w:rtl w:val="true"/>
              </w:rPr>
              <w:tab/>
            </w:r>
            <w:r>
              <w:rPr>
                <w:rStyle w:val="IndexLink"/>
              </w:rPr>
              <w:t>285</w:t>
            </w:r>
          </w:hyperlink>
        </w:p>
        <w:p>
          <w:pPr>
            <w:pStyle w:val="Contents3"/>
            <w:tabs>
              <w:tab w:val="clear" w:pos="8459"/>
              <w:tab w:val="right" w:pos="9026" w:leader="dot"/>
            </w:tabs>
            <w:rPr/>
          </w:pPr>
          <w:hyperlink w:anchor="__RefHeading___Toc652103_1878427129">
            <w:r>
              <w:rPr>
                <w:webHidden/>
                <w:rStyle w:val="IndexLink"/>
                <w:rtl w:val="true"/>
              </w:rPr>
              <w:t>اشارة</w:t>
            </w:r>
            <w:r>
              <w:rPr>
                <w:rStyle w:val="IndexLink"/>
                <w:rtl w:val="true"/>
              </w:rPr>
              <w:tab/>
            </w:r>
            <w:r>
              <w:rPr>
                <w:rStyle w:val="IndexLink"/>
              </w:rPr>
              <w:t>285</w:t>
            </w:r>
          </w:hyperlink>
        </w:p>
        <w:p>
          <w:pPr>
            <w:pStyle w:val="Contents3"/>
            <w:tabs>
              <w:tab w:val="clear" w:pos="8459"/>
              <w:tab w:val="right" w:pos="9026" w:leader="dot"/>
            </w:tabs>
            <w:rPr/>
          </w:pPr>
          <w:hyperlink w:anchor="__RefHeading___Toc652105_1878427129">
            <w:r>
              <w:rPr>
                <w:webHidden/>
                <w:rStyle w:val="IndexLink"/>
                <w:rtl w:val="true"/>
              </w:rPr>
              <w:t>چکیده</w:t>
            </w:r>
            <w:r>
              <w:rPr>
                <w:rStyle w:val="IndexLink"/>
                <w:rtl w:val="true"/>
              </w:rPr>
              <w:tab/>
            </w:r>
            <w:r>
              <w:rPr>
                <w:rStyle w:val="IndexLink"/>
              </w:rPr>
              <w:t>285</w:t>
            </w:r>
          </w:hyperlink>
        </w:p>
        <w:p>
          <w:pPr>
            <w:pStyle w:val="Contents3"/>
            <w:tabs>
              <w:tab w:val="clear" w:pos="8459"/>
              <w:tab w:val="right" w:pos="9026" w:leader="dot"/>
            </w:tabs>
            <w:rPr/>
          </w:pPr>
          <w:hyperlink w:anchor="__RefHeading___Toc652107_1878427129">
            <w:r>
              <w:rPr>
                <w:webHidden/>
                <w:rStyle w:val="IndexLink"/>
                <w:rtl w:val="true"/>
              </w:rPr>
              <w:t>سؤال</w:t>
            </w:r>
            <w:r>
              <w:rPr>
                <w:rStyle w:val="IndexLink"/>
                <w:rtl w:val="true"/>
              </w:rPr>
              <w:t xml:space="preserve">: </w:t>
            </w:r>
            <w:r>
              <w:rPr>
                <w:rStyle w:val="IndexLink"/>
                <w:rtl w:val="true"/>
              </w:rPr>
              <w:t>چرا در کافی از خلفای سه گانه حتی یک حدیث هم نقل نشده است؟</w:t>
            </w:r>
            <w:r>
              <w:rPr>
                <w:rStyle w:val="IndexLink"/>
                <w:rtl w:val="true"/>
              </w:rPr>
              <w:tab/>
            </w:r>
            <w:r>
              <w:rPr>
                <w:rStyle w:val="IndexLink"/>
              </w:rPr>
              <w:t>285</w:t>
            </w:r>
          </w:hyperlink>
        </w:p>
        <w:p>
          <w:pPr>
            <w:pStyle w:val="Contents4"/>
            <w:tabs>
              <w:tab w:val="clear" w:pos="8176"/>
              <w:tab w:val="right" w:pos="9026" w:leader="dot"/>
            </w:tabs>
            <w:rPr/>
          </w:pPr>
          <w:hyperlink w:anchor="__RefHeading___Toc652109_1878427129">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652111_1878427129">
            <w:r>
              <w:rPr>
                <w:webHidden/>
                <w:rStyle w:val="IndexLink"/>
              </w:rPr>
              <w:t>1</w:t>
            </w:r>
            <w:r>
              <w:rPr>
                <w:rStyle w:val="IndexLink"/>
                <w:rtl w:val="true"/>
              </w:rPr>
              <w:t xml:space="preserve">. </w:t>
            </w:r>
            <w:r>
              <w:rPr>
                <w:rStyle w:val="IndexLink"/>
                <w:rtl w:val="true"/>
              </w:rPr>
              <w:t>حدیث از دیدگاه خلفا</w:t>
            </w:r>
            <w:r>
              <w:rPr>
                <w:rStyle w:val="IndexLink"/>
                <w:rtl w:val="true"/>
              </w:rPr>
              <w:tab/>
            </w:r>
            <w:r>
              <w:rPr>
                <w:rStyle w:val="IndexLink"/>
              </w:rPr>
              <w:t>285</w:t>
            </w:r>
          </w:hyperlink>
        </w:p>
        <w:p>
          <w:pPr>
            <w:pStyle w:val="Contents4"/>
            <w:tabs>
              <w:tab w:val="clear" w:pos="8176"/>
              <w:tab w:val="right" w:pos="9026" w:leader="dot"/>
            </w:tabs>
            <w:rPr/>
          </w:pPr>
          <w:hyperlink w:anchor="__RefHeading___Toc652113_1878427129">
            <w:r>
              <w:rPr>
                <w:webHidden/>
                <w:rStyle w:val="IndexLink"/>
              </w:rPr>
              <w:t>2</w:t>
            </w:r>
            <w:r>
              <w:rPr>
                <w:rStyle w:val="IndexLink"/>
                <w:rtl w:val="true"/>
              </w:rPr>
              <w:t xml:space="preserve">. </w:t>
            </w:r>
            <w:r>
              <w:rPr>
                <w:rStyle w:val="IndexLink"/>
                <w:rtl w:val="true"/>
              </w:rPr>
              <w:t>حدیث در دوران ابوبکر</w:t>
            </w:r>
            <w:r>
              <w:rPr>
                <w:rStyle w:val="IndexLink"/>
                <w:rtl w:val="true"/>
              </w:rPr>
              <w:tab/>
            </w:r>
            <w:r>
              <w:rPr>
                <w:rStyle w:val="IndexLink"/>
              </w:rPr>
              <w:t>286</w:t>
            </w:r>
          </w:hyperlink>
        </w:p>
        <w:p>
          <w:pPr>
            <w:pStyle w:val="Contents4"/>
            <w:tabs>
              <w:tab w:val="clear" w:pos="8176"/>
              <w:tab w:val="right" w:pos="9026" w:leader="dot"/>
            </w:tabs>
            <w:rPr/>
          </w:pPr>
          <w:hyperlink w:anchor="__RefHeading___Toc652115_1878427129">
            <w:r>
              <w:rPr>
                <w:webHidden/>
                <w:rStyle w:val="IndexLink"/>
              </w:rPr>
              <w:t>3</w:t>
            </w:r>
            <w:r>
              <w:rPr>
                <w:rStyle w:val="IndexLink"/>
                <w:rtl w:val="true"/>
              </w:rPr>
              <w:t xml:space="preserve">. </w:t>
            </w:r>
            <w:r>
              <w:rPr>
                <w:rStyle w:val="IndexLink"/>
                <w:rtl w:val="true"/>
              </w:rPr>
              <w:t>حدیث در دوران عمر بن الخطاب</w:t>
            </w:r>
            <w:r>
              <w:rPr>
                <w:rStyle w:val="IndexLink"/>
                <w:rtl w:val="true"/>
              </w:rPr>
              <w:tab/>
            </w:r>
            <w:r>
              <w:rPr>
                <w:rStyle w:val="IndexLink"/>
              </w:rPr>
              <w:t>286</w:t>
            </w:r>
          </w:hyperlink>
        </w:p>
        <w:p>
          <w:pPr>
            <w:pStyle w:val="Contents4"/>
            <w:tabs>
              <w:tab w:val="clear" w:pos="8176"/>
              <w:tab w:val="right" w:pos="9026" w:leader="dot"/>
            </w:tabs>
            <w:rPr/>
          </w:pPr>
          <w:hyperlink w:anchor="__RefHeading___Toc652117_1878427129">
            <w:r>
              <w:rPr>
                <w:webHidden/>
                <w:rStyle w:val="IndexLink"/>
              </w:rPr>
              <w:t>4</w:t>
            </w:r>
            <w:r>
              <w:rPr>
                <w:rStyle w:val="IndexLink"/>
                <w:rtl w:val="true"/>
              </w:rPr>
              <w:t xml:space="preserve">. </w:t>
            </w:r>
            <w:r>
              <w:rPr>
                <w:rStyle w:val="IndexLink"/>
                <w:rtl w:val="true"/>
              </w:rPr>
              <w:t>حدیث در دوران عثمان</w:t>
            </w:r>
            <w:r>
              <w:rPr>
                <w:rStyle w:val="IndexLink"/>
                <w:rtl w:val="true"/>
              </w:rPr>
              <w:tab/>
            </w:r>
            <w:r>
              <w:rPr>
                <w:rStyle w:val="IndexLink"/>
              </w:rPr>
              <w:t>287</w:t>
            </w:r>
          </w:hyperlink>
        </w:p>
        <w:p>
          <w:pPr>
            <w:pStyle w:val="Contents4"/>
            <w:tabs>
              <w:tab w:val="clear" w:pos="8176"/>
              <w:tab w:val="right" w:pos="9026" w:leader="dot"/>
            </w:tabs>
            <w:rPr/>
          </w:pPr>
          <w:hyperlink w:anchor="__RefHeading___Toc652119_1878427129">
            <w:r>
              <w:rPr>
                <w:webHidden/>
                <w:rStyle w:val="IndexLink"/>
              </w:rPr>
              <w:t>5</w:t>
            </w:r>
            <w:r>
              <w:rPr>
                <w:rStyle w:val="IndexLink"/>
                <w:rtl w:val="true"/>
              </w:rPr>
              <w:t xml:space="preserve">. </w:t>
            </w:r>
            <w:r>
              <w:rPr>
                <w:rStyle w:val="IndexLink"/>
                <w:rtl w:val="true"/>
              </w:rPr>
              <w:t>قلّت حدیث خلفا در منابع اهل سنت</w:t>
            </w:r>
            <w:r>
              <w:rPr>
                <w:rStyle w:val="IndexLink"/>
                <w:rtl w:val="true"/>
              </w:rPr>
              <w:tab/>
            </w:r>
            <w:r>
              <w:rPr>
                <w:rStyle w:val="IndexLink"/>
              </w:rPr>
              <w:t>287</w:t>
            </w:r>
          </w:hyperlink>
        </w:p>
        <w:p>
          <w:pPr>
            <w:pStyle w:val="Contents3"/>
            <w:tabs>
              <w:tab w:val="clear" w:pos="8459"/>
              <w:tab w:val="right" w:pos="9026" w:leader="dot"/>
            </w:tabs>
            <w:rPr/>
          </w:pPr>
          <w:hyperlink w:anchor="__RefHeading___Toc652121_1878427129">
            <w:r>
              <w:rPr>
                <w:webHidden/>
                <w:rStyle w:val="IndexLink"/>
                <w:rtl w:val="true"/>
              </w:rPr>
              <w:t>پاسخ مجدد سؤال و جمع بندی مطالب گذشته</w:t>
            </w:r>
            <w:r>
              <w:rPr>
                <w:rStyle w:val="IndexLink"/>
                <w:rtl w:val="true"/>
              </w:rPr>
              <w:tab/>
            </w:r>
            <w:r>
              <w:rPr>
                <w:rStyle w:val="IndexLink"/>
              </w:rPr>
              <w:t>288</w:t>
            </w:r>
          </w:hyperlink>
        </w:p>
        <w:p>
          <w:pPr>
            <w:pStyle w:val="Contents3"/>
            <w:tabs>
              <w:tab w:val="clear" w:pos="8459"/>
              <w:tab w:val="right" w:pos="9026" w:leader="dot"/>
            </w:tabs>
            <w:rPr/>
          </w:pPr>
          <w:hyperlink w:anchor="__RefHeading___Toc652123_1878427129">
            <w:r>
              <w:rPr>
                <w:webHidden/>
                <w:rStyle w:val="IndexLink"/>
                <w:rtl w:val="true"/>
              </w:rPr>
              <w:t>صاحبان صحاح با دو سؤال مواجه می شوند</w:t>
            </w:r>
            <w:r>
              <w:rPr>
                <w:rStyle w:val="IndexLink"/>
                <w:rtl w:val="true"/>
              </w:rPr>
              <w:t>:</w:t>
              <w:tab/>
            </w:r>
            <w:r>
              <w:rPr>
                <w:rStyle w:val="IndexLink"/>
              </w:rPr>
              <w:t>289</w:t>
            </w:r>
          </w:hyperlink>
        </w:p>
        <w:p>
          <w:pPr>
            <w:pStyle w:val="Contents3"/>
            <w:tabs>
              <w:tab w:val="clear" w:pos="8459"/>
              <w:tab w:val="right" w:pos="9026" w:leader="dot"/>
            </w:tabs>
            <w:rPr/>
          </w:pPr>
          <w:hyperlink w:anchor="__RefHeading___Toc652125_1878427129">
            <w:r>
              <w:rPr>
                <w:webHidden/>
                <w:rStyle w:val="IndexLink"/>
                <w:rtl w:val="true"/>
              </w:rPr>
              <w:t>و اما سؤال حضرتعالی</w:t>
            </w:r>
            <w:r>
              <w:rPr>
                <w:rStyle w:val="IndexLink"/>
                <w:rtl w:val="true"/>
              </w:rPr>
              <w:t>:</w:t>
              <w:tab/>
            </w:r>
            <w:r>
              <w:rPr>
                <w:rStyle w:val="IndexLink"/>
              </w:rPr>
              <w:t>290</w:t>
            </w:r>
          </w:hyperlink>
        </w:p>
        <w:p>
          <w:pPr>
            <w:pStyle w:val="Contents3"/>
            <w:tabs>
              <w:tab w:val="clear" w:pos="8459"/>
              <w:tab w:val="right" w:pos="9026" w:leader="dot"/>
            </w:tabs>
            <w:rPr/>
          </w:pPr>
          <w:hyperlink w:anchor="__RefHeading___Toc652127_1878427129">
            <w:r>
              <w:rPr>
                <w:webHidden/>
                <w:rStyle w:val="IndexLink"/>
                <w:rtl w:val="true"/>
              </w:rPr>
              <w:t>پاسخ محدثین و بیان یک حقیقت تلخ</w:t>
            </w:r>
            <w:r>
              <w:rPr>
                <w:rStyle w:val="IndexLink"/>
                <w:rtl w:val="true"/>
              </w:rPr>
              <w:tab/>
            </w:r>
            <w:r>
              <w:rPr>
                <w:rStyle w:val="IndexLink"/>
              </w:rPr>
              <w:t>291</w:t>
            </w:r>
          </w:hyperlink>
        </w:p>
        <w:p>
          <w:pPr>
            <w:pStyle w:val="Contents3"/>
            <w:tabs>
              <w:tab w:val="clear" w:pos="8459"/>
              <w:tab w:val="right" w:pos="9026" w:leader="dot"/>
            </w:tabs>
            <w:rPr/>
          </w:pPr>
          <w:hyperlink w:anchor="__RefHeading___Toc652129_1878427129">
            <w:r>
              <w:rPr>
                <w:webHidden/>
                <w:rStyle w:val="IndexLink"/>
                <w:rtl w:val="true"/>
              </w:rPr>
              <w:t>نمونه هایی از این افسانه ها</w:t>
            </w:r>
            <w:r>
              <w:rPr>
                <w:rStyle w:val="IndexLink"/>
                <w:rtl w:val="true"/>
              </w:rPr>
              <w:tab/>
            </w:r>
            <w:r>
              <w:rPr>
                <w:rStyle w:val="IndexLink"/>
              </w:rPr>
              <w:t>292</w:t>
            </w:r>
          </w:hyperlink>
        </w:p>
        <w:p>
          <w:pPr>
            <w:pStyle w:val="Contents3"/>
            <w:tabs>
              <w:tab w:val="clear" w:pos="8459"/>
              <w:tab w:val="right" w:pos="9026" w:leader="dot"/>
            </w:tabs>
            <w:rPr/>
          </w:pPr>
          <w:hyperlink w:anchor="__RefHeading___Toc652131_1878427129">
            <w:r>
              <w:rPr>
                <w:webHidden/>
                <w:rStyle w:val="IndexLink"/>
                <w:rtl w:val="true"/>
              </w:rPr>
              <w:t>کیسه ابو هریره</w:t>
            </w:r>
            <w:r>
              <w:rPr>
                <w:rStyle w:val="IndexLink"/>
                <w:rtl w:val="true"/>
              </w:rPr>
              <w:tab/>
            </w:r>
            <w:r>
              <w:rPr>
                <w:rStyle w:val="IndexLink"/>
              </w:rPr>
              <w:t>295</w:t>
            </w:r>
          </w:hyperlink>
        </w:p>
        <w:p>
          <w:pPr>
            <w:pStyle w:val="Contents3"/>
            <w:tabs>
              <w:tab w:val="clear" w:pos="8459"/>
              <w:tab w:val="right" w:pos="9026" w:leader="dot"/>
            </w:tabs>
            <w:rPr/>
          </w:pPr>
          <w:hyperlink w:anchor="__RefHeading___Toc652133_1878427129">
            <w:r>
              <w:rPr>
                <w:webHidden/>
                <w:rStyle w:val="IndexLink"/>
                <w:rtl w:val="true"/>
              </w:rPr>
              <w:t>سؤال</w:t>
            </w:r>
            <w:r>
              <w:rPr>
                <w:rStyle w:val="IndexLink"/>
                <w:rtl w:val="true"/>
              </w:rPr>
              <w:t xml:space="preserve">: </w:t>
            </w:r>
            <w:r>
              <w:rPr>
                <w:rStyle w:val="IndexLink"/>
                <w:rtl w:val="true"/>
              </w:rPr>
              <w:t>چرا در کافی از فرزندان خلفا حدیث نقل نگردیده است؟</w:t>
            </w:r>
            <w:r>
              <w:rPr>
                <w:rStyle w:val="IndexLink"/>
                <w:rtl w:val="true"/>
              </w:rPr>
              <w:tab/>
            </w:r>
            <w:r>
              <w:rPr>
                <w:rStyle w:val="IndexLink"/>
              </w:rPr>
              <w:t>296</w:t>
            </w:r>
          </w:hyperlink>
        </w:p>
        <w:p>
          <w:pPr>
            <w:pStyle w:val="Contents4"/>
            <w:tabs>
              <w:tab w:val="clear" w:pos="8176"/>
              <w:tab w:val="right" w:pos="9026" w:leader="dot"/>
            </w:tabs>
            <w:rPr/>
          </w:pPr>
          <w:hyperlink w:anchor="__RefHeading___Toc652135_1878427129">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652137_1878427129">
            <w:r>
              <w:rPr>
                <w:webHidden/>
                <w:rStyle w:val="IndexLink"/>
              </w:rPr>
              <w:t>1</w:t>
            </w:r>
            <w:r>
              <w:rPr>
                <w:rStyle w:val="IndexLink"/>
                <w:rtl w:val="true"/>
              </w:rPr>
              <w:t xml:space="preserve">. </w:t>
            </w:r>
            <w:r>
              <w:rPr>
                <w:rStyle w:val="IndexLink"/>
                <w:rtl w:val="true"/>
              </w:rPr>
              <w:t>فرزندان خلفا</w:t>
            </w:r>
            <w:r>
              <w:rPr>
                <w:rStyle w:val="IndexLink"/>
                <w:rtl w:val="true"/>
              </w:rPr>
              <w:t>:</w:t>
              <w:tab/>
            </w:r>
            <w:r>
              <w:rPr>
                <w:rStyle w:val="IndexLink"/>
              </w:rPr>
              <w:t>296</w:t>
            </w:r>
          </w:hyperlink>
        </w:p>
        <w:p>
          <w:pPr>
            <w:pStyle w:val="Contents4"/>
            <w:tabs>
              <w:tab w:val="clear" w:pos="8176"/>
              <w:tab w:val="right" w:pos="9026" w:leader="dot"/>
            </w:tabs>
            <w:rPr/>
          </w:pPr>
          <w:hyperlink w:anchor="__RefHeading___Toc652139_1878427129">
            <w:r>
              <w:rPr>
                <w:webHidden/>
                <w:rStyle w:val="IndexLink"/>
              </w:rPr>
              <w:t>2</w:t>
            </w:r>
            <w:r>
              <w:rPr>
                <w:rStyle w:val="IndexLink"/>
                <w:rtl w:val="true"/>
              </w:rPr>
              <w:t xml:space="preserve">. </w:t>
            </w:r>
            <w:r>
              <w:rPr>
                <w:rStyle w:val="IndexLink"/>
                <w:rtl w:val="true"/>
              </w:rPr>
              <w:t>حدیث عالی السند و نازل السند</w:t>
            </w:r>
            <w:r>
              <w:rPr>
                <w:rStyle w:val="IndexLink"/>
                <w:rtl w:val="true"/>
              </w:rPr>
              <w:t>:</w:t>
              <w:tab/>
            </w:r>
            <w:r>
              <w:rPr>
                <w:rStyle w:val="IndexLink"/>
              </w:rPr>
              <w:t>296</w:t>
            </w:r>
          </w:hyperlink>
        </w:p>
        <w:p>
          <w:pPr>
            <w:pStyle w:val="Contents4"/>
            <w:tabs>
              <w:tab w:val="clear" w:pos="8176"/>
              <w:tab w:val="right" w:pos="9026" w:leader="dot"/>
            </w:tabs>
            <w:rPr/>
          </w:pPr>
          <w:hyperlink w:anchor="__RefHeading___Toc652141_1878427129">
            <w:r>
              <w:rPr>
                <w:webHidden/>
                <w:rStyle w:val="IndexLink"/>
              </w:rPr>
              <w:t>3</w:t>
            </w:r>
            <w:r>
              <w:rPr>
                <w:rStyle w:val="IndexLink"/>
                <w:rtl w:val="true"/>
              </w:rPr>
              <w:t xml:space="preserve">. </w:t>
            </w:r>
            <w:r>
              <w:rPr>
                <w:rStyle w:val="IndexLink"/>
                <w:rtl w:val="true"/>
              </w:rPr>
              <w:t>کلینی و انتخاب حدیث‌های عالی السند</w:t>
            </w:r>
            <w:r>
              <w:rPr>
                <w:rStyle w:val="IndexLink"/>
                <w:rtl w:val="true"/>
              </w:rPr>
              <w:tab/>
            </w:r>
            <w:r>
              <w:rPr>
                <w:rStyle w:val="IndexLink"/>
              </w:rPr>
              <w:t>297</w:t>
            </w:r>
          </w:hyperlink>
        </w:p>
        <w:p>
          <w:pPr>
            <w:pStyle w:val="Contents4"/>
            <w:tabs>
              <w:tab w:val="clear" w:pos="8176"/>
              <w:tab w:val="right" w:pos="9026" w:leader="dot"/>
            </w:tabs>
            <w:rPr/>
          </w:pPr>
          <w:hyperlink w:anchor="__RefHeading___Toc652143_1878427129">
            <w:r>
              <w:rPr>
                <w:webHidden/>
                <w:rStyle w:val="IndexLink"/>
              </w:rPr>
              <w:t>4</w:t>
            </w:r>
            <w:r>
              <w:rPr>
                <w:rStyle w:val="IndexLink"/>
                <w:rtl w:val="true"/>
              </w:rPr>
              <w:t xml:space="preserve">. </w:t>
            </w:r>
            <w:r>
              <w:rPr>
                <w:rStyle w:val="IndexLink"/>
                <w:rtl w:val="true"/>
              </w:rPr>
              <w:t>حدیث مطمئن و حدیث مطمئن‌تر</w:t>
            </w:r>
            <w:r>
              <w:rPr>
                <w:rStyle w:val="IndexLink"/>
                <w:rtl w:val="true"/>
              </w:rPr>
              <w:t>:</w:t>
              <w:tab/>
            </w:r>
            <w:r>
              <w:rPr>
                <w:rStyle w:val="IndexLink"/>
              </w:rPr>
              <w:t>297</w:t>
            </w:r>
          </w:hyperlink>
        </w:p>
        <w:p>
          <w:pPr>
            <w:pStyle w:val="Contents3"/>
            <w:tabs>
              <w:tab w:val="clear" w:pos="8459"/>
              <w:tab w:val="right" w:pos="9026" w:leader="dot"/>
            </w:tabs>
            <w:rPr/>
          </w:pPr>
          <w:hyperlink w:anchor="__RefHeading___Toc652145_1878427129">
            <w:r>
              <w:rPr>
                <w:webHidden/>
                <w:rStyle w:val="IndexLink"/>
                <w:rtl w:val="true"/>
              </w:rPr>
              <w:t>نکته قابل توجه</w:t>
            </w:r>
            <w:r>
              <w:rPr>
                <w:rStyle w:val="IndexLink"/>
                <w:rtl w:val="true"/>
              </w:rPr>
              <w:t>!</w:t>
              <w:tab/>
            </w:r>
            <w:r>
              <w:rPr>
                <w:rStyle w:val="IndexLink"/>
              </w:rPr>
              <w:t>298</w:t>
            </w:r>
          </w:hyperlink>
        </w:p>
        <w:p>
          <w:pPr>
            <w:pStyle w:val="Contents3"/>
            <w:tabs>
              <w:tab w:val="clear" w:pos="8459"/>
              <w:tab w:val="right" w:pos="9026" w:leader="dot"/>
            </w:tabs>
            <w:rPr/>
          </w:pPr>
          <w:hyperlink w:anchor="__RefHeading___Toc652147_1878427129">
            <w:r>
              <w:rPr>
                <w:webHidden/>
                <w:rStyle w:val="IndexLink"/>
                <w:rtl w:val="true"/>
              </w:rPr>
              <w:t>صحابه از دیدگاه شیعه و اهل سنت</w:t>
            </w:r>
            <w:r>
              <w:rPr>
                <w:rStyle w:val="IndexLink"/>
                <w:rtl w:val="true"/>
              </w:rPr>
              <w:tab/>
            </w:r>
            <w:r>
              <w:rPr>
                <w:rStyle w:val="IndexLink"/>
              </w:rPr>
              <w:t>299</w:t>
            </w:r>
          </w:hyperlink>
        </w:p>
        <w:p>
          <w:pPr>
            <w:pStyle w:val="Contents3"/>
            <w:tabs>
              <w:tab w:val="clear" w:pos="8459"/>
              <w:tab w:val="right" w:pos="9026" w:leader="dot"/>
            </w:tabs>
            <w:rPr/>
          </w:pPr>
          <w:hyperlink w:anchor="__RefHeading___Toc652149_1878427129">
            <w:r>
              <w:rPr>
                <w:webHidden/>
                <w:rStyle w:val="IndexLink"/>
                <w:rtl w:val="true"/>
              </w:rPr>
              <w:t>سه نظریه متمایز</w:t>
            </w:r>
            <w:r>
              <w:rPr>
                <w:rStyle w:val="IndexLink"/>
                <w:rtl w:val="true"/>
              </w:rPr>
              <w:t>:</w:t>
              <w:tab/>
            </w:r>
            <w:r>
              <w:rPr>
                <w:rStyle w:val="IndexLink"/>
              </w:rPr>
              <w:t>299</w:t>
            </w:r>
          </w:hyperlink>
        </w:p>
        <w:p>
          <w:pPr>
            <w:pStyle w:val="Contents3"/>
            <w:tabs>
              <w:tab w:val="clear" w:pos="8459"/>
              <w:tab w:val="right" w:pos="9026" w:leader="dot"/>
            </w:tabs>
            <w:rPr/>
          </w:pPr>
          <w:hyperlink w:anchor="__RefHeading___Toc652151_1878427129">
            <w:r>
              <w:rPr>
                <w:webHidden/>
                <w:rStyle w:val="IndexLink"/>
                <w:rtl w:val="true"/>
              </w:rPr>
              <w:t>نظریه اهل سنت</w:t>
            </w:r>
            <w:r>
              <w:rPr>
                <w:rStyle w:val="IndexLink"/>
                <w:rtl w:val="true"/>
              </w:rPr>
              <w:t>:</w:t>
              <w:tab/>
            </w:r>
            <w:r>
              <w:rPr>
                <w:rStyle w:val="IndexLink"/>
              </w:rPr>
              <w:t>300</w:t>
            </w:r>
          </w:hyperlink>
        </w:p>
        <w:p>
          <w:pPr>
            <w:pStyle w:val="Contents3"/>
            <w:tabs>
              <w:tab w:val="clear" w:pos="8459"/>
              <w:tab w:val="right" w:pos="9026" w:leader="dot"/>
            </w:tabs>
            <w:rPr/>
          </w:pPr>
          <w:hyperlink w:anchor="__RefHeading___Toc652153_1878427129">
            <w:r>
              <w:rPr>
                <w:webHidden/>
                <w:rStyle w:val="IndexLink"/>
                <w:rtl w:val="true"/>
              </w:rPr>
              <w:t>شیعه دوستداران صحابه رحمهم الله</w:t>
            </w:r>
            <w:r>
              <w:rPr>
                <w:rStyle w:val="IndexLink"/>
                <w:rtl w:val="true"/>
              </w:rPr>
              <w:tab/>
            </w:r>
            <w:r>
              <w:rPr>
                <w:rStyle w:val="IndexLink"/>
              </w:rPr>
              <w:t>302</w:t>
            </w:r>
          </w:hyperlink>
        </w:p>
        <w:p>
          <w:pPr>
            <w:pStyle w:val="Contents3"/>
            <w:tabs>
              <w:tab w:val="clear" w:pos="8459"/>
              <w:tab w:val="right" w:pos="9026" w:leader="dot"/>
            </w:tabs>
            <w:rPr/>
          </w:pPr>
          <w:hyperlink w:anchor="__RefHeading___Toc652155_1878427129">
            <w:r>
              <w:rPr>
                <w:webHidden/>
                <w:rStyle w:val="IndexLink"/>
                <w:rtl w:val="true"/>
              </w:rPr>
              <w:t>عقیدۀ شیعه در محدوده کتاب و سنت</w:t>
            </w:r>
            <w:r>
              <w:rPr>
                <w:rStyle w:val="IndexLink"/>
                <w:rtl w:val="true"/>
              </w:rPr>
              <w:t>:</w:t>
              <w:tab/>
            </w:r>
            <w:r>
              <w:rPr>
                <w:rStyle w:val="IndexLink"/>
              </w:rPr>
              <w:t>303</w:t>
            </w:r>
          </w:hyperlink>
        </w:p>
        <w:p>
          <w:pPr>
            <w:pStyle w:val="Contents3"/>
            <w:tabs>
              <w:tab w:val="clear" w:pos="8459"/>
              <w:tab w:val="right" w:pos="9026" w:leader="dot"/>
            </w:tabs>
            <w:rPr/>
          </w:pPr>
          <w:hyperlink w:anchor="__RefHeading___Toc652157_1878427129">
            <w:r>
              <w:rPr>
                <w:webHidden/>
                <w:rStyle w:val="IndexLink"/>
                <w:rtl w:val="true"/>
              </w:rPr>
              <w:t>صحابه از نظر قرآن</w:t>
            </w:r>
            <w:r>
              <w:rPr>
                <w:rStyle w:val="IndexLink"/>
                <w:rtl w:val="true"/>
              </w:rPr>
              <w:t>:</w:t>
              <w:tab/>
            </w:r>
            <w:r>
              <w:rPr>
                <w:rStyle w:val="IndexLink"/>
              </w:rPr>
              <w:t>304</w:t>
            </w:r>
          </w:hyperlink>
        </w:p>
        <w:p>
          <w:pPr>
            <w:pStyle w:val="Contents3"/>
            <w:tabs>
              <w:tab w:val="clear" w:pos="8459"/>
              <w:tab w:val="right" w:pos="9026" w:leader="dot"/>
            </w:tabs>
            <w:rPr/>
          </w:pPr>
          <w:hyperlink w:anchor="__RefHeading___Toc652159_1878427129">
            <w:r>
              <w:rPr>
                <w:webHidden/>
                <w:rStyle w:val="IndexLink"/>
                <w:rtl w:val="true"/>
              </w:rPr>
              <w:t>راه شناخت مؤمن و منافق</w:t>
            </w:r>
            <w:r>
              <w:rPr>
                <w:rStyle w:val="IndexLink"/>
                <w:rtl w:val="true"/>
              </w:rPr>
              <w:t>:</w:t>
              <w:tab/>
            </w:r>
            <w:r>
              <w:rPr>
                <w:rStyle w:val="IndexLink"/>
              </w:rPr>
              <w:t>306</w:t>
            </w:r>
          </w:hyperlink>
        </w:p>
        <w:p>
          <w:pPr>
            <w:pStyle w:val="Contents3"/>
            <w:tabs>
              <w:tab w:val="clear" w:pos="8459"/>
              <w:tab w:val="right" w:pos="9026" w:leader="dot"/>
            </w:tabs>
            <w:rPr/>
          </w:pPr>
          <w:hyperlink w:anchor="__RefHeading___Toc652161_1878427129">
            <w:r>
              <w:rPr>
                <w:webHidden/>
                <w:rStyle w:val="IndexLink"/>
                <w:rtl w:val="true"/>
              </w:rPr>
              <w:t>صحابه از نظر سنت</w:t>
            </w:r>
            <w:r>
              <w:rPr>
                <w:rStyle w:val="IndexLink"/>
                <w:rtl w:val="true"/>
              </w:rPr>
              <w:tab/>
            </w:r>
            <w:r>
              <w:rPr>
                <w:rStyle w:val="IndexLink"/>
              </w:rPr>
              <w:t>308</w:t>
            </w:r>
          </w:hyperlink>
        </w:p>
        <w:p>
          <w:pPr>
            <w:pStyle w:val="Contents3"/>
            <w:tabs>
              <w:tab w:val="clear" w:pos="8459"/>
              <w:tab w:val="right" w:pos="9026" w:leader="dot"/>
            </w:tabs>
            <w:rPr/>
          </w:pPr>
          <w:hyperlink w:anchor="__RefHeading___Toc652163_1878427129">
            <w:r>
              <w:rPr>
                <w:webHidden/>
                <w:rStyle w:val="IndexLink"/>
                <w:rtl w:val="true"/>
              </w:rPr>
              <w:t>سیرۀ خلفا</w:t>
            </w:r>
            <w:r>
              <w:rPr>
                <w:rStyle w:val="IndexLink"/>
                <w:rtl w:val="true"/>
              </w:rPr>
              <w:tab/>
            </w:r>
            <w:r>
              <w:rPr>
                <w:rStyle w:val="IndexLink"/>
              </w:rPr>
              <w:t>309</w:t>
            </w:r>
          </w:hyperlink>
        </w:p>
        <w:p>
          <w:pPr>
            <w:pStyle w:val="Contents3"/>
            <w:tabs>
              <w:tab w:val="clear" w:pos="8459"/>
              <w:tab w:val="right" w:pos="9026" w:leader="dot"/>
            </w:tabs>
            <w:rPr/>
          </w:pPr>
          <w:hyperlink w:anchor="__RefHeading___Toc652165_1878427129">
            <w:r>
              <w:rPr>
                <w:webHidden/>
                <w:rStyle w:val="IndexLink"/>
                <w:rtl w:val="true"/>
              </w:rPr>
              <w:t>سیاست و تعصب دو عامل تهمت</w:t>
            </w:r>
            <w:r>
              <w:rPr>
                <w:rStyle w:val="IndexLink"/>
                <w:rtl w:val="true"/>
              </w:rPr>
              <w:tab/>
            </w:r>
            <w:r>
              <w:rPr>
                <w:rStyle w:val="IndexLink"/>
              </w:rPr>
              <w:t>310</w:t>
            </w:r>
          </w:hyperlink>
        </w:p>
        <w:p>
          <w:pPr>
            <w:pStyle w:val="Contents3"/>
            <w:tabs>
              <w:tab w:val="clear" w:pos="8459"/>
              <w:tab w:val="right" w:pos="9026" w:leader="dot"/>
            </w:tabs>
            <w:rPr/>
          </w:pPr>
          <w:hyperlink w:anchor="__RefHeading___Toc652167_1878427129">
            <w:r>
              <w:rPr>
                <w:webHidden/>
                <w:rStyle w:val="IndexLink"/>
                <w:rtl w:val="true"/>
              </w:rPr>
              <w:t>اما سیاست تحریف</w:t>
            </w:r>
            <w:r>
              <w:rPr>
                <w:rStyle w:val="IndexLink"/>
                <w:rtl w:val="true"/>
              </w:rPr>
              <w:tab/>
            </w:r>
            <w:r>
              <w:rPr>
                <w:rStyle w:val="IndexLink"/>
              </w:rPr>
              <w:t>311</w:t>
            </w:r>
          </w:hyperlink>
        </w:p>
        <w:p>
          <w:pPr>
            <w:pStyle w:val="Contents3"/>
            <w:tabs>
              <w:tab w:val="clear" w:pos="8459"/>
              <w:tab w:val="right" w:pos="9026" w:leader="dot"/>
            </w:tabs>
            <w:rPr/>
          </w:pPr>
          <w:hyperlink w:anchor="__RefHeading___Toc652169_1878427129">
            <w:r>
              <w:rPr>
                <w:webHidden/>
                <w:rStyle w:val="IndexLink"/>
                <w:rtl w:val="true"/>
              </w:rPr>
              <w:t>یک نمونۀ تاریخی</w:t>
            </w:r>
            <w:r>
              <w:rPr>
                <w:rStyle w:val="IndexLink"/>
                <w:rtl w:val="true"/>
              </w:rPr>
              <w:tab/>
            </w:r>
            <w:r>
              <w:rPr>
                <w:rStyle w:val="IndexLink"/>
              </w:rPr>
              <w:t>312</w:t>
            </w:r>
          </w:hyperlink>
        </w:p>
        <w:p>
          <w:pPr>
            <w:pStyle w:val="Contents3"/>
            <w:tabs>
              <w:tab w:val="clear" w:pos="8459"/>
              <w:tab w:val="right" w:pos="9026" w:leader="dot"/>
            </w:tabs>
            <w:rPr/>
          </w:pPr>
          <w:hyperlink w:anchor="__RefHeading___Toc652171_1878427129">
            <w:r>
              <w:rPr>
                <w:webHidden/>
                <w:rStyle w:val="IndexLink"/>
                <w:rtl w:val="true"/>
              </w:rPr>
              <w:t>معرفی اجمالی از ابو منصور بغدادی و شهرستانی</w:t>
            </w:r>
            <w:r>
              <w:rPr>
                <w:rStyle w:val="IndexLink"/>
                <w:rtl w:val="true"/>
              </w:rPr>
              <w:tab/>
            </w:r>
            <w:r>
              <w:rPr>
                <w:rStyle w:val="IndexLink"/>
              </w:rPr>
              <w:t>314</w:t>
            </w:r>
          </w:hyperlink>
        </w:p>
        <w:p>
          <w:pPr>
            <w:pStyle w:val="Contents3"/>
            <w:tabs>
              <w:tab w:val="clear" w:pos="8459"/>
              <w:tab w:val="right" w:pos="9026" w:leader="dot"/>
            </w:tabs>
            <w:rPr/>
          </w:pPr>
          <w:hyperlink w:anchor="__RefHeading___Toc652173_1878427129">
            <w:r>
              <w:rPr>
                <w:webHidden/>
                <w:rStyle w:val="IndexLink"/>
                <w:rtl w:val="true"/>
              </w:rPr>
              <w:t>اما در مورد تعصب ابومنصور</w:t>
            </w:r>
            <w:r>
              <w:rPr>
                <w:rStyle w:val="IndexLink"/>
                <w:rtl w:val="true"/>
              </w:rPr>
              <w:tab/>
            </w:r>
            <w:r>
              <w:rPr>
                <w:rStyle w:val="IndexLink"/>
              </w:rPr>
              <w:t>315</w:t>
            </w:r>
          </w:hyperlink>
        </w:p>
        <w:p>
          <w:pPr>
            <w:pStyle w:val="Contents3"/>
            <w:tabs>
              <w:tab w:val="clear" w:pos="8459"/>
              <w:tab w:val="right" w:pos="9026" w:leader="dot"/>
            </w:tabs>
            <w:rPr/>
          </w:pPr>
          <w:hyperlink w:anchor="__RefHeading___Toc652175_1878427129">
            <w:r>
              <w:rPr>
                <w:webHidden/>
                <w:rStyle w:val="IndexLink"/>
                <w:rtl w:val="true"/>
              </w:rPr>
              <w:t>و اما راجع به شهرستانی</w:t>
            </w:r>
            <w:r>
              <w:rPr>
                <w:rStyle w:val="IndexLink"/>
                <w:rtl w:val="true"/>
              </w:rPr>
              <w:tab/>
            </w:r>
            <w:r>
              <w:rPr>
                <w:rStyle w:val="IndexLink"/>
              </w:rPr>
              <w:t>316</w:t>
            </w:r>
          </w:hyperlink>
        </w:p>
        <w:p>
          <w:pPr>
            <w:pStyle w:val="Contents3"/>
            <w:tabs>
              <w:tab w:val="clear" w:pos="8459"/>
              <w:tab w:val="right" w:pos="9026" w:leader="dot"/>
            </w:tabs>
            <w:rPr/>
          </w:pPr>
          <w:hyperlink w:anchor="__RefHeading___Toc652177_1878427129">
            <w:r>
              <w:rPr>
                <w:webHidden/>
                <w:rStyle w:val="IndexLink"/>
                <w:rtl w:val="true"/>
              </w:rPr>
              <w:t>شیعه یا اهل سنت واقعی</w:t>
            </w:r>
            <w:r>
              <w:rPr>
                <w:rStyle w:val="IndexLink"/>
                <w:rtl w:val="true"/>
              </w:rPr>
              <w:tab/>
            </w:r>
            <w:r>
              <w:rPr>
                <w:rStyle w:val="IndexLink"/>
              </w:rPr>
              <w:t>318</w:t>
            </w:r>
          </w:hyperlink>
        </w:p>
        <w:p>
          <w:pPr>
            <w:pStyle w:val="Contents2"/>
            <w:tabs>
              <w:tab w:val="clear" w:pos="8743"/>
              <w:tab w:val="right" w:pos="9026" w:leader="dot"/>
            </w:tabs>
            <w:rPr/>
          </w:pPr>
          <w:hyperlink w:anchor="__RefHeading___Toc652179_1878427129">
            <w:r>
              <w:rPr>
                <w:webHidden/>
                <w:rStyle w:val="IndexLink"/>
                <w:rtl w:val="true"/>
              </w:rPr>
              <w:t>الشواهد الشعریّة ومناسباتها فی الکتب الأربعة الحدیثیة</w:t>
            </w:r>
            <w:r>
              <w:rPr>
                <w:rStyle w:val="IndexLink"/>
                <w:rtl w:val="true"/>
              </w:rPr>
              <w:tab/>
            </w:r>
            <w:r>
              <w:rPr>
                <w:rStyle w:val="IndexLink"/>
              </w:rPr>
              <w:t>321</w:t>
            </w:r>
          </w:hyperlink>
        </w:p>
        <w:p>
          <w:pPr>
            <w:pStyle w:val="Contents3"/>
            <w:tabs>
              <w:tab w:val="clear" w:pos="8459"/>
              <w:tab w:val="right" w:pos="9026" w:leader="dot"/>
            </w:tabs>
            <w:rPr/>
          </w:pPr>
          <w:hyperlink w:anchor="__RefHeading___Toc652181_1878427129">
            <w:r>
              <w:rPr>
                <w:webHidden/>
                <w:rStyle w:val="IndexLink"/>
                <w:rtl w:val="true"/>
              </w:rPr>
              <w:t>اشارة</w:t>
            </w:r>
            <w:r>
              <w:rPr>
                <w:rStyle w:val="IndexLink"/>
                <w:rtl w:val="true"/>
              </w:rPr>
              <w:tab/>
            </w:r>
            <w:r>
              <w:rPr>
                <w:rStyle w:val="IndexLink"/>
              </w:rPr>
              <w:t>321</w:t>
            </w:r>
          </w:hyperlink>
        </w:p>
        <w:p>
          <w:pPr>
            <w:pStyle w:val="Contents3"/>
            <w:tabs>
              <w:tab w:val="clear" w:pos="8459"/>
              <w:tab w:val="right" w:pos="9026" w:leader="dot"/>
            </w:tabs>
            <w:rPr/>
          </w:pPr>
          <w:hyperlink w:anchor="__RefHeading___Toc652183_1878427129">
            <w:r>
              <w:rPr>
                <w:webHidden/>
                <w:rStyle w:val="IndexLink"/>
                <w:rtl w:val="true"/>
              </w:rPr>
              <w:t>چکیده</w:t>
            </w:r>
            <w:r>
              <w:rPr>
                <w:rStyle w:val="IndexLink"/>
                <w:rtl w:val="true"/>
              </w:rPr>
              <w:tab/>
            </w:r>
            <w:r>
              <w:rPr>
                <w:rStyle w:val="IndexLink"/>
              </w:rPr>
              <w:t>321</w:t>
            </w:r>
          </w:hyperlink>
        </w:p>
        <w:p>
          <w:pPr>
            <w:pStyle w:val="Contents3"/>
            <w:tabs>
              <w:tab w:val="clear" w:pos="8459"/>
              <w:tab w:val="right" w:pos="9026" w:leader="dot"/>
            </w:tabs>
            <w:rPr/>
          </w:pPr>
          <w:hyperlink w:anchor="__RefHeading___Toc652185_1878427129">
            <w:r>
              <w:rPr>
                <w:webHidden/>
                <w:rStyle w:val="IndexLink"/>
                <w:rtl w:val="true"/>
              </w:rPr>
              <w:t>الشاهد فی اللغة</w:t>
            </w:r>
            <w:r>
              <w:rPr>
                <w:rStyle w:val="IndexLink"/>
                <w:rtl w:val="true"/>
              </w:rPr>
              <w:tab/>
            </w:r>
            <w:r>
              <w:rPr>
                <w:rStyle w:val="IndexLink"/>
              </w:rPr>
              <w:t>323</w:t>
            </w:r>
          </w:hyperlink>
        </w:p>
        <w:p>
          <w:pPr>
            <w:pStyle w:val="Contents3"/>
            <w:tabs>
              <w:tab w:val="clear" w:pos="8459"/>
              <w:tab w:val="right" w:pos="9026" w:leader="dot"/>
            </w:tabs>
            <w:rPr/>
          </w:pPr>
          <w:hyperlink w:anchor="__RefHeading___Toc652187_1878427129">
            <w:r>
              <w:rPr>
                <w:webHidden/>
                <w:rStyle w:val="IndexLink"/>
                <w:rtl w:val="true"/>
              </w:rPr>
              <w:t>أغراض الاحتجاج</w:t>
            </w:r>
            <w:r>
              <w:rPr>
                <w:rStyle w:val="IndexLink"/>
                <w:rtl w:val="true"/>
              </w:rPr>
              <w:tab/>
            </w:r>
            <w:r>
              <w:rPr>
                <w:rStyle w:val="IndexLink"/>
              </w:rPr>
              <w:t>323</w:t>
            </w:r>
          </w:hyperlink>
        </w:p>
        <w:p>
          <w:pPr>
            <w:pStyle w:val="Contents3"/>
            <w:tabs>
              <w:tab w:val="clear" w:pos="8459"/>
              <w:tab w:val="right" w:pos="9026" w:leader="dot"/>
            </w:tabs>
            <w:rPr/>
          </w:pPr>
          <w:hyperlink w:anchor="__RefHeading___Toc652189_1878427129">
            <w:r>
              <w:rPr>
                <w:webHidden/>
                <w:rStyle w:val="IndexLink"/>
                <w:rtl w:val="true"/>
              </w:rPr>
              <w:t>دائرة الاحتجاج اللغوی</w:t>
            </w:r>
            <w:r>
              <w:rPr>
                <w:rStyle w:val="IndexLink"/>
                <w:rtl w:val="true"/>
              </w:rPr>
              <w:tab/>
            </w:r>
            <w:r>
              <w:rPr>
                <w:rStyle w:val="IndexLink"/>
              </w:rPr>
              <w:t>324</w:t>
            </w:r>
          </w:hyperlink>
        </w:p>
        <w:p>
          <w:pPr>
            <w:pStyle w:val="Contents3"/>
            <w:tabs>
              <w:tab w:val="clear" w:pos="8459"/>
              <w:tab w:val="right" w:pos="9026" w:leader="dot"/>
            </w:tabs>
            <w:rPr/>
          </w:pPr>
          <w:hyperlink w:anchor="__RefHeading___Toc652191_1878427129">
            <w:r>
              <w:rPr>
                <w:webHidden/>
                <w:rStyle w:val="IndexLink"/>
                <w:rtl w:val="true"/>
              </w:rPr>
              <w:t>الاستشهاد بالقرآن والحدیث</w:t>
            </w:r>
            <w:r>
              <w:rPr>
                <w:rStyle w:val="IndexLink"/>
                <w:rtl w:val="true"/>
              </w:rPr>
              <w:tab/>
            </w:r>
            <w:r>
              <w:rPr>
                <w:rStyle w:val="IndexLink"/>
              </w:rPr>
              <w:t>327</w:t>
            </w:r>
          </w:hyperlink>
        </w:p>
        <w:p>
          <w:pPr>
            <w:pStyle w:val="Contents4"/>
            <w:tabs>
              <w:tab w:val="clear" w:pos="8176"/>
              <w:tab w:val="right" w:pos="9026" w:leader="dot"/>
            </w:tabs>
            <w:rPr/>
          </w:pPr>
          <w:hyperlink w:anchor="__RefHeading___Toc652193_1878427129">
            <w:r>
              <w:rPr>
                <w:webHidden/>
                <w:rStyle w:val="IndexLink"/>
                <w:rtl w:val="true"/>
              </w:rPr>
              <w:t>اشارة</w:t>
            </w:r>
            <w:r>
              <w:rPr>
                <w:rStyle w:val="IndexLink"/>
                <w:rtl w:val="true"/>
              </w:rPr>
              <w:tab/>
            </w:r>
            <w:r>
              <w:rPr>
                <w:rStyle w:val="IndexLink"/>
              </w:rPr>
              <w:t>327</w:t>
            </w:r>
          </w:hyperlink>
        </w:p>
        <w:p>
          <w:pPr>
            <w:pStyle w:val="Contents4"/>
            <w:tabs>
              <w:tab w:val="clear" w:pos="8176"/>
              <w:tab w:val="right" w:pos="9026" w:leader="dot"/>
            </w:tabs>
            <w:rPr/>
          </w:pPr>
          <w:hyperlink w:anchor="__RefHeading___Toc652195_1878427129">
            <w:r>
              <w:rPr>
                <w:webHidden/>
                <w:rStyle w:val="IndexLink"/>
              </w:rPr>
              <w:t>1</w:t>
            </w:r>
            <w:r>
              <w:rPr>
                <w:rStyle w:val="IndexLink"/>
                <w:rtl w:val="true"/>
              </w:rPr>
              <w:t xml:space="preserve">. </w:t>
            </w:r>
            <w:r>
              <w:rPr>
                <w:rStyle w:val="IndexLink"/>
                <w:rtl w:val="true"/>
              </w:rPr>
              <w:t>المانعون من الاستشهاد بالحدیث</w:t>
            </w:r>
            <w:r>
              <w:rPr>
                <w:rStyle w:val="IndexLink"/>
                <w:rtl w:val="true"/>
              </w:rPr>
              <w:tab/>
            </w:r>
            <w:r>
              <w:rPr>
                <w:rStyle w:val="IndexLink"/>
              </w:rPr>
              <w:t>327</w:t>
            </w:r>
          </w:hyperlink>
        </w:p>
        <w:p>
          <w:pPr>
            <w:pStyle w:val="Contents4"/>
            <w:tabs>
              <w:tab w:val="clear" w:pos="8176"/>
              <w:tab w:val="right" w:pos="9026" w:leader="dot"/>
            </w:tabs>
            <w:rPr/>
          </w:pPr>
          <w:hyperlink w:anchor="__RefHeading___Toc652197_1878427129">
            <w:r>
              <w:rPr>
                <w:webHidden/>
                <w:rStyle w:val="IndexLink"/>
              </w:rPr>
              <w:t>2</w:t>
            </w:r>
            <w:r>
              <w:rPr>
                <w:rStyle w:val="IndexLink"/>
                <w:rtl w:val="true"/>
              </w:rPr>
              <w:t xml:space="preserve">. </w:t>
            </w:r>
            <w:r>
              <w:rPr>
                <w:rStyle w:val="IndexLink"/>
                <w:rtl w:val="true"/>
              </w:rPr>
              <w:t>المجوّزون</w:t>
            </w:r>
            <w:r>
              <w:rPr>
                <w:rStyle w:val="IndexLink"/>
                <w:rtl w:val="true"/>
              </w:rPr>
              <w:tab/>
            </w:r>
            <w:r>
              <w:rPr>
                <w:rStyle w:val="IndexLink"/>
              </w:rPr>
              <w:t>328</w:t>
            </w:r>
          </w:hyperlink>
        </w:p>
        <w:p>
          <w:pPr>
            <w:pStyle w:val="Contents4"/>
            <w:tabs>
              <w:tab w:val="clear" w:pos="8176"/>
              <w:tab w:val="right" w:pos="9026" w:leader="dot"/>
            </w:tabs>
            <w:rPr/>
          </w:pPr>
          <w:hyperlink w:anchor="__RefHeading___Toc652199_1878427129">
            <w:r>
              <w:rPr>
                <w:webHidden/>
                <w:rStyle w:val="IndexLink"/>
              </w:rPr>
              <w:t>3</w:t>
            </w:r>
            <w:r>
              <w:rPr>
                <w:rStyle w:val="IndexLink"/>
                <w:rtl w:val="true"/>
              </w:rPr>
              <w:t xml:space="preserve">. </w:t>
            </w:r>
            <w:r>
              <w:rPr>
                <w:rStyle w:val="IndexLink"/>
                <w:rtl w:val="true"/>
              </w:rPr>
              <w:t>المتوسّطون</w:t>
            </w:r>
            <w:r>
              <w:rPr>
                <w:rStyle w:val="IndexLink"/>
                <w:rtl w:val="true"/>
              </w:rPr>
              <w:tab/>
            </w:r>
            <w:r>
              <w:rPr>
                <w:rStyle w:val="IndexLink"/>
              </w:rPr>
              <w:t>328</w:t>
            </w:r>
          </w:hyperlink>
        </w:p>
        <w:p>
          <w:pPr>
            <w:pStyle w:val="Contents3"/>
            <w:tabs>
              <w:tab w:val="clear" w:pos="8459"/>
              <w:tab w:val="right" w:pos="9026" w:leader="dot"/>
            </w:tabs>
            <w:rPr/>
          </w:pPr>
          <w:hyperlink w:anchor="__RefHeading___Toc652201_1878427129">
            <w:r>
              <w:rPr>
                <w:webHidden/>
                <w:rStyle w:val="IndexLink"/>
                <w:rtl w:val="true"/>
              </w:rPr>
              <w:t>حُجّتهم داحضة</w:t>
            </w:r>
            <w:r>
              <w:rPr>
                <w:rStyle w:val="IndexLink"/>
                <w:rtl w:val="true"/>
              </w:rPr>
              <w:tab/>
            </w:r>
            <w:r>
              <w:rPr>
                <w:rStyle w:val="IndexLink"/>
              </w:rPr>
              <w:t>331</w:t>
            </w:r>
          </w:hyperlink>
        </w:p>
        <w:p>
          <w:pPr>
            <w:pStyle w:val="Contents3"/>
            <w:tabs>
              <w:tab w:val="clear" w:pos="8459"/>
              <w:tab w:val="right" w:pos="9026" w:leader="dot"/>
            </w:tabs>
            <w:rPr/>
          </w:pPr>
          <w:hyperlink w:anchor="__RefHeading___Toc652203_1878427129">
            <w:r>
              <w:rPr>
                <w:webHidden/>
                <w:rStyle w:val="IndexLink"/>
                <w:rtl w:val="true"/>
              </w:rPr>
              <w:t>النصوص الشعریة فی الکتب الأربعة</w:t>
            </w:r>
            <w:r>
              <w:rPr>
                <w:rStyle w:val="IndexLink"/>
                <w:rtl w:val="true"/>
              </w:rPr>
              <w:tab/>
            </w:r>
            <w:r>
              <w:rPr>
                <w:rStyle w:val="IndexLink"/>
              </w:rPr>
              <w:t>342</w:t>
            </w:r>
          </w:hyperlink>
        </w:p>
        <w:p>
          <w:pPr>
            <w:pStyle w:val="Contents4"/>
            <w:tabs>
              <w:tab w:val="clear" w:pos="8176"/>
              <w:tab w:val="right" w:pos="9026" w:leader="dot"/>
            </w:tabs>
            <w:rPr/>
          </w:pPr>
          <w:hyperlink w:anchor="__RefHeading___Toc652205_1878427129">
            <w:r>
              <w:rPr>
                <w:webHidden/>
                <w:rStyle w:val="IndexLink"/>
                <w:rtl w:val="true"/>
              </w:rPr>
              <w:t>اشارة</w:t>
            </w:r>
            <w:r>
              <w:rPr>
                <w:rStyle w:val="IndexLink"/>
                <w:rtl w:val="true"/>
              </w:rPr>
              <w:tab/>
            </w:r>
            <w:r>
              <w:rPr>
                <w:rStyle w:val="IndexLink"/>
              </w:rPr>
              <w:t>342</w:t>
            </w:r>
          </w:hyperlink>
        </w:p>
        <w:p>
          <w:pPr>
            <w:pStyle w:val="Contents4"/>
            <w:tabs>
              <w:tab w:val="clear" w:pos="8176"/>
              <w:tab w:val="right" w:pos="9026" w:leader="dot"/>
            </w:tabs>
            <w:rPr/>
          </w:pPr>
          <w:hyperlink w:anchor="__RefHeading___Toc652207_1878427129">
            <w:r>
              <w:rPr>
                <w:webHidden/>
                <w:rStyle w:val="IndexLink"/>
                <w:rtl w:val="true"/>
              </w:rPr>
              <w:t>الأوّل</w:t>
            </w:r>
            <w:r>
              <w:rPr>
                <w:rStyle w:val="IndexLink"/>
                <w:rtl w:val="true"/>
              </w:rPr>
              <w:t xml:space="preserve">: </w:t>
            </w:r>
            <w:r>
              <w:rPr>
                <w:rStyle w:val="IndexLink"/>
                <w:rtl w:val="true"/>
              </w:rPr>
              <w:t>الشواهد الشعریة</w:t>
            </w:r>
            <w:r>
              <w:rPr>
                <w:rStyle w:val="IndexLink"/>
                <w:rtl w:val="true"/>
              </w:rPr>
              <w:t>:</w:t>
              <w:tab/>
            </w:r>
            <w:r>
              <w:rPr>
                <w:rStyle w:val="IndexLink"/>
              </w:rPr>
              <w:t>343</w:t>
            </w:r>
          </w:hyperlink>
        </w:p>
        <w:p>
          <w:pPr>
            <w:pStyle w:val="Contents4"/>
            <w:tabs>
              <w:tab w:val="clear" w:pos="8176"/>
              <w:tab w:val="right" w:pos="9026" w:leader="dot"/>
            </w:tabs>
            <w:rPr/>
          </w:pPr>
          <w:hyperlink w:anchor="__RefHeading___Toc652209_1878427129">
            <w:r>
              <w:rPr>
                <w:webHidden/>
                <w:rStyle w:val="IndexLink"/>
                <w:rtl w:val="true"/>
              </w:rPr>
              <w:t>الثانی</w:t>
            </w:r>
            <w:r>
              <w:rPr>
                <w:rStyle w:val="IndexLink"/>
                <w:rtl w:val="true"/>
              </w:rPr>
              <w:t xml:space="preserve">: </w:t>
            </w:r>
            <w:r>
              <w:rPr>
                <w:rStyle w:val="IndexLink"/>
                <w:rtl w:val="true"/>
              </w:rPr>
              <w:t>المناسبات الشعریة وتصنیفها</w:t>
            </w:r>
            <w:r>
              <w:rPr>
                <w:rStyle w:val="IndexLink"/>
                <w:rtl w:val="true"/>
              </w:rPr>
              <w:t>:</w:t>
              <w:tab/>
            </w:r>
            <w:r>
              <w:rPr>
                <w:rStyle w:val="IndexLink"/>
              </w:rPr>
              <w:t>345</w:t>
            </w:r>
          </w:hyperlink>
        </w:p>
        <w:p>
          <w:pPr>
            <w:pStyle w:val="Contents3"/>
            <w:tabs>
              <w:tab w:val="clear" w:pos="8459"/>
              <w:tab w:val="right" w:pos="9026" w:leader="dot"/>
            </w:tabs>
            <w:rPr/>
          </w:pPr>
          <w:hyperlink w:anchor="__RefHeading___Toc652211_1878427129">
            <w:r>
              <w:rPr>
                <w:webHidden/>
                <w:rStyle w:val="IndexLink"/>
                <w:rtl w:val="true"/>
              </w:rPr>
              <w:t>منهجنا فی البحث</w:t>
            </w:r>
            <w:r>
              <w:rPr>
                <w:rStyle w:val="IndexLink"/>
                <w:rtl w:val="true"/>
              </w:rPr>
              <w:tab/>
            </w:r>
            <w:r>
              <w:rPr>
                <w:rStyle w:val="IndexLink"/>
              </w:rPr>
              <w:t>346</w:t>
            </w:r>
          </w:hyperlink>
        </w:p>
        <w:p>
          <w:pPr>
            <w:pStyle w:val="Contents4"/>
            <w:tabs>
              <w:tab w:val="clear" w:pos="8176"/>
              <w:tab w:val="right" w:pos="9026" w:leader="dot"/>
            </w:tabs>
            <w:rPr/>
          </w:pPr>
          <w:hyperlink w:anchor="__RefHeading___Toc652213_1878427129">
            <w:r>
              <w:rPr>
                <w:webHidden/>
                <w:rStyle w:val="IndexLink"/>
                <w:rtl w:val="true"/>
              </w:rPr>
              <w:t>اشارة</w:t>
            </w:r>
            <w:r>
              <w:rPr>
                <w:rStyle w:val="IndexLink"/>
                <w:rtl w:val="true"/>
              </w:rPr>
              <w:tab/>
            </w:r>
            <w:r>
              <w:rPr>
                <w:rStyle w:val="IndexLink"/>
              </w:rPr>
              <w:t>346</w:t>
            </w:r>
          </w:hyperlink>
        </w:p>
        <w:p>
          <w:pPr>
            <w:pStyle w:val="Contents4"/>
            <w:tabs>
              <w:tab w:val="clear" w:pos="8176"/>
              <w:tab w:val="right" w:pos="9026" w:leader="dot"/>
            </w:tabs>
            <w:rPr/>
          </w:pPr>
          <w:hyperlink w:anchor="__RefHeading___Toc652215_1878427129">
            <w:r>
              <w:rPr>
                <w:webHidden/>
                <w:rStyle w:val="IndexLink"/>
                <w:rtl w:val="true"/>
              </w:rPr>
              <w:t>قافیة الهمزة</w:t>
            </w:r>
            <w:r>
              <w:rPr>
                <w:rStyle w:val="IndexLink"/>
                <w:rtl w:val="true"/>
              </w:rPr>
              <w:tab/>
            </w:r>
            <w:r>
              <w:rPr>
                <w:rStyle w:val="IndexLink"/>
              </w:rPr>
              <w:t>347</w:t>
            </w:r>
          </w:hyperlink>
        </w:p>
        <w:p>
          <w:pPr>
            <w:pStyle w:val="Contents5"/>
            <w:tabs>
              <w:tab w:val="clear" w:pos="7892"/>
              <w:tab w:val="right" w:pos="9026" w:leader="dot"/>
            </w:tabs>
            <w:rPr/>
          </w:pPr>
          <w:hyperlink w:anchor="__RefHeading___Toc652217_1878427129">
            <w:r>
              <w:rPr>
                <w:webHidden/>
                <w:rStyle w:val="IndexLink"/>
              </w:rPr>
              <w:t>8</w:t>
            </w:r>
            <w:r>
              <w:rPr>
                <w:rStyle w:val="IndexLink"/>
                <w:rtl w:val="true"/>
              </w:rPr>
              <w:t>الوافر</w:t>
            </w:r>
            <w:r>
              <w:rPr>
                <w:rStyle w:val="IndexLink"/>
                <w:rtl w:val="true"/>
              </w:rPr>
              <w:tab/>
            </w:r>
            <w:r>
              <w:rPr>
                <w:rStyle w:val="IndexLink"/>
              </w:rPr>
              <w:t>347</w:t>
            </w:r>
          </w:hyperlink>
        </w:p>
        <w:p>
          <w:pPr>
            <w:pStyle w:val="Contents5"/>
            <w:tabs>
              <w:tab w:val="clear" w:pos="7892"/>
              <w:tab w:val="right" w:pos="9026" w:leader="dot"/>
            </w:tabs>
            <w:rPr/>
          </w:pPr>
          <w:hyperlink w:anchor="__RefHeading___Toc652219_1878427129">
            <w:r>
              <w:rPr>
                <w:webHidden/>
                <w:rStyle w:val="IndexLink"/>
              </w:rPr>
              <w:t>9</w:t>
            </w:r>
            <w:r>
              <w:rPr>
                <w:rStyle w:val="IndexLink"/>
                <w:rtl w:val="true"/>
              </w:rPr>
              <w:t>الطویل</w:t>
            </w:r>
            <w:r>
              <w:rPr>
                <w:rStyle w:val="IndexLink"/>
                <w:rtl w:val="true"/>
              </w:rPr>
              <w:tab/>
            </w:r>
            <w:r>
              <w:rPr>
                <w:rStyle w:val="IndexLink"/>
              </w:rPr>
              <w:t>348</w:t>
            </w:r>
          </w:hyperlink>
        </w:p>
        <w:p>
          <w:pPr>
            <w:pStyle w:val="Contents4"/>
            <w:tabs>
              <w:tab w:val="clear" w:pos="8176"/>
              <w:tab w:val="right" w:pos="9026" w:leader="dot"/>
            </w:tabs>
            <w:rPr/>
          </w:pPr>
          <w:hyperlink w:anchor="__RefHeading___Toc652221_1878427129">
            <w:r>
              <w:rPr>
                <w:webHidden/>
                <w:rStyle w:val="IndexLink"/>
                <w:rtl w:val="true"/>
              </w:rPr>
              <w:t>قافیة الباء</w:t>
            </w:r>
            <w:r>
              <w:rPr>
                <w:rStyle w:val="IndexLink"/>
                <w:rtl w:val="true"/>
              </w:rPr>
              <w:tab/>
            </w:r>
            <w:r>
              <w:rPr>
                <w:rStyle w:val="IndexLink"/>
              </w:rPr>
              <w:t>348</w:t>
            </w:r>
          </w:hyperlink>
        </w:p>
        <w:p>
          <w:pPr>
            <w:pStyle w:val="Contents5"/>
            <w:tabs>
              <w:tab w:val="clear" w:pos="7892"/>
              <w:tab w:val="right" w:pos="9026" w:leader="dot"/>
            </w:tabs>
            <w:rPr/>
          </w:pPr>
          <w:hyperlink w:anchor="__RefHeading___Toc652223_1878427129">
            <w:r>
              <w:rPr>
                <w:webHidden/>
                <w:rStyle w:val="IndexLink"/>
              </w:rPr>
              <w:t>10</w:t>
            </w:r>
            <w:r>
              <w:rPr>
                <w:rStyle w:val="IndexLink"/>
                <w:rtl w:val="true"/>
              </w:rPr>
              <w:t>الرجز</w:t>
            </w:r>
            <w:r>
              <w:rPr>
                <w:rStyle w:val="IndexLink"/>
                <w:rtl w:val="true"/>
              </w:rPr>
              <w:tab/>
            </w:r>
            <w:r>
              <w:rPr>
                <w:rStyle w:val="IndexLink"/>
              </w:rPr>
              <w:t>348</w:t>
            </w:r>
          </w:hyperlink>
        </w:p>
        <w:p>
          <w:pPr>
            <w:pStyle w:val="Contents5"/>
            <w:tabs>
              <w:tab w:val="clear" w:pos="7892"/>
              <w:tab w:val="right" w:pos="9026" w:leader="dot"/>
            </w:tabs>
            <w:rPr/>
          </w:pPr>
          <w:hyperlink w:anchor="__RefHeading___Toc652225_1878427129">
            <w:r>
              <w:rPr>
                <w:webHidden/>
                <w:rStyle w:val="IndexLink"/>
              </w:rPr>
              <w:t>11</w:t>
            </w:r>
            <w:r>
              <w:rPr>
                <w:rStyle w:val="IndexLink"/>
                <w:rtl w:val="true"/>
              </w:rPr>
              <w:t>الرجز</w:t>
            </w:r>
            <w:r>
              <w:rPr>
                <w:rStyle w:val="IndexLink"/>
                <w:rtl w:val="true"/>
              </w:rPr>
              <w:tab/>
            </w:r>
            <w:r>
              <w:rPr>
                <w:rStyle w:val="IndexLink"/>
              </w:rPr>
              <w:t>352</w:t>
            </w:r>
          </w:hyperlink>
        </w:p>
        <w:p>
          <w:pPr>
            <w:pStyle w:val="Contents5"/>
            <w:tabs>
              <w:tab w:val="clear" w:pos="7892"/>
              <w:tab w:val="right" w:pos="9026" w:leader="dot"/>
            </w:tabs>
            <w:rPr/>
          </w:pPr>
          <w:hyperlink w:anchor="__RefHeading___Toc652227_1878427129">
            <w:r>
              <w:rPr>
                <w:webHidden/>
                <w:rStyle w:val="IndexLink"/>
              </w:rPr>
              <w:t>12</w:t>
            </w:r>
            <w:r>
              <w:rPr>
                <w:rStyle w:val="IndexLink"/>
                <w:rtl w:val="true"/>
              </w:rPr>
              <w:t>البسیط</w:t>
            </w:r>
            <w:r>
              <w:rPr>
                <w:rStyle w:val="IndexLink"/>
                <w:rtl w:val="true"/>
              </w:rPr>
              <w:tab/>
            </w:r>
            <w:r>
              <w:rPr>
                <w:rStyle w:val="IndexLink"/>
              </w:rPr>
              <w:t>353</w:t>
            </w:r>
          </w:hyperlink>
        </w:p>
        <w:p>
          <w:pPr>
            <w:pStyle w:val="Contents5"/>
            <w:tabs>
              <w:tab w:val="clear" w:pos="7892"/>
              <w:tab w:val="right" w:pos="9026" w:leader="dot"/>
            </w:tabs>
            <w:rPr/>
          </w:pPr>
          <w:hyperlink w:anchor="__RefHeading___Toc652229_1878427129">
            <w:r>
              <w:rPr>
                <w:webHidden/>
                <w:rStyle w:val="IndexLink"/>
              </w:rPr>
              <w:t>13</w:t>
            </w:r>
            <w:r>
              <w:rPr>
                <w:rStyle w:val="IndexLink"/>
                <w:rtl w:val="true"/>
              </w:rPr>
              <w:t>البسیط</w:t>
            </w:r>
            <w:r>
              <w:rPr>
                <w:rStyle w:val="IndexLink"/>
                <w:rtl w:val="true"/>
              </w:rPr>
              <w:tab/>
            </w:r>
            <w:r>
              <w:rPr>
                <w:rStyle w:val="IndexLink"/>
              </w:rPr>
              <w:t>354</w:t>
            </w:r>
          </w:hyperlink>
        </w:p>
        <w:p>
          <w:pPr>
            <w:pStyle w:val="Contents5"/>
            <w:tabs>
              <w:tab w:val="clear" w:pos="7892"/>
              <w:tab w:val="right" w:pos="9026" w:leader="dot"/>
            </w:tabs>
            <w:rPr/>
          </w:pPr>
          <w:hyperlink w:anchor="__RefHeading___Toc652231_1878427129">
            <w:r>
              <w:rPr>
                <w:webHidden/>
                <w:rStyle w:val="IndexLink"/>
              </w:rPr>
              <w:t>14</w:t>
            </w:r>
            <w:r>
              <w:rPr>
                <w:rStyle w:val="IndexLink"/>
                <w:rtl w:val="true"/>
              </w:rPr>
              <w:t>الطویل</w:t>
            </w:r>
            <w:r>
              <w:rPr>
                <w:rStyle w:val="IndexLink"/>
                <w:rtl w:val="true"/>
              </w:rPr>
              <w:tab/>
            </w:r>
            <w:r>
              <w:rPr>
                <w:rStyle w:val="IndexLink"/>
              </w:rPr>
              <w:t>356</w:t>
            </w:r>
          </w:hyperlink>
        </w:p>
        <w:p>
          <w:pPr>
            <w:pStyle w:val="Contents5"/>
            <w:tabs>
              <w:tab w:val="clear" w:pos="7892"/>
              <w:tab w:val="right" w:pos="9026" w:leader="dot"/>
            </w:tabs>
            <w:rPr/>
          </w:pPr>
          <w:hyperlink w:anchor="__RefHeading___Toc652233_1878427129">
            <w:r>
              <w:rPr>
                <w:webHidden/>
                <w:rStyle w:val="IndexLink"/>
              </w:rPr>
              <w:t>15</w:t>
            </w:r>
            <w:r>
              <w:rPr>
                <w:rStyle w:val="IndexLink"/>
                <w:rtl w:val="true"/>
              </w:rPr>
              <w:t>الطویل</w:t>
            </w:r>
            <w:r>
              <w:rPr>
                <w:rStyle w:val="IndexLink"/>
                <w:rtl w:val="true"/>
              </w:rPr>
              <w:tab/>
            </w:r>
            <w:r>
              <w:rPr>
                <w:rStyle w:val="IndexLink"/>
              </w:rPr>
              <w:t>357</w:t>
            </w:r>
          </w:hyperlink>
        </w:p>
        <w:p>
          <w:pPr>
            <w:pStyle w:val="Contents5"/>
            <w:tabs>
              <w:tab w:val="clear" w:pos="7892"/>
              <w:tab w:val="right" w:pos="9026" w:leader="dot"/>
            </w:tabs>
            <w:rPr/>
          </w:pPr>
          <w:hyperlink w:anchor="__RefHeading___Toc652235_1878427129">
            <w:r>
              <w:rPr>
                <w:webHidden/>
                <w:rStyle w:val="IndexLink"/>
              </w:rPr>
              <w:t>16</w:t>
            </w:r>
            <w:r>
              <w:rPr>
                <w:rStyle w:val="IndexLink"/>
                <w:rtl w:val="true"/>
              </w:rPr>
              <w:t>الطویل</w:t>
            </w:r>
            <w:r>
              <w:rPr>
                <w:rStyle w:val="IndexLink"/>
                <w:rtl w:val="true"/>
              </w:rPr>
              <w:tab/>
            </w:r>
            <w:r>
              <w:rPr>
                <w:rStyle w:val="IndexLink"/>
              </w:rPr>
              <w:t>359</w:t>
            </w:r>
          </w:hyperlink>
        </w:p>
        <w:p>
          <w:pPr>
            <w:pStyle w:val="Contents5"/>
            <w:tabs>
              <w:tab w:val="clear" w:pos="7892"/>
              <w:tab w:val="right" w:pos="9026" w:leader="dot"/>
            </w:tabs>
            <w:rPr/>
          </w:pPr>
          <w:hyperlink w:anchor="__RefHeading___Toc652237_1878427129">
            <w:r>
              <w:rPr>
                <w:webHidden/>
                <w:rStyle w:val="IndexLink"/>
              </w:rPr>
              <w:t>17</w:t>
            </w:r>
            <w:r>
              <w:rPr>
                <w:rStyle w:val="IndexLink"/>
                <w:rtl w:val="true"/>
              </w:rPr>
              <w:t>الطویل</w:t>
            </w:r>
            <w:r>
              <w:rPr>
                <w:rStyle w:val="IndexLink"/>
                <w:rtl w:val="true"/>
              </w:rPr>
              <w:tab/>
            </w:r>
            <w:r>
              <w:rPr>
                <w:rStyle w:val="IndexLink"/>
              </w:rPr>
              <w:t>361</w:t>
            </w:r>
          </w:hyperlink>
        </w:p>
        <w:p>
          <w:pPr>
            <w:pStyle w:val="Contents5"/>
            <w:tabs>
              <w:tab w:val="clear" w:pos="7892"/>
              <w:tab w:val="right" w:pos="9026" w:leader="dot"/>
            </w:tabs>
            <w:rPr/>
          </w:pPr>
          <w:hyperlink w:anchor="__RefHeading___Toc652239_1878427129">
            <w:r>
              <w:rPr>
                <w:webHidden/>
                <w:rStyle w:val="IndexLink"/>
              </w:rPr>
              <w:t>18</w:t>
            </w:r>
            <w:r>
              <w:rPr>
                <w:rStyle w:val="IndexLink"/>
                <w:rtl w:val="true"/>
              </w:rPr>
              <w:t>الطویل</w:t>
            </w:r>
            <w:r>
              <w:rPr>
                <w:rStyle w:val="IndexLink"/>
                <w:rtl w:val="true"/>
              </w:rPr>
              <w:tab/>
            </w:r>
            <w:r>
              <w:rPr>
                <w:rStyle w:val="IndexLink"/>
              </w:rPr>
              <w:t>362</w:t>
            </w:r>
          </w:hyperlink>
        </w:p>
        <w:p>
          <w:pPr>
            <w:pStyle w:val="Contents5"/>
            <w:tabs>
              <w:tab w:val="clear" w:pos="7892"/>
              <w:tab w:val="right" w:pos="9026" w:leader="dot"/>
            </w:tabs>
            <w:rPr/>
          </w:pPr>
          <w:hyperlink w:anchor="__RefHeading___Toc652241_1878427129">
            <w:r>
              <w:rPr>
                <w:webHidden/>
                <w:rStyle w:val="IndexLink"/>
              </w:rPr>
              <w:t>19</w:t>
            </w:r>
            <w:r>
              <w:rPr>
                <w:rStyle w:val="IndexLink"/>
                <w:rtl w:val="true"/>
              </w:rPr>
              <w:t>الخفیف</w:t>
            </w:r>
            <w:r>
              <w:rPr>
                <w:rStyle w:val="IndexLink"/>
                <w:rtl w:val="true"/>
              </w:rPr>
              <w:tab/>
            </w:r>
            <w:r>
              <w:rPr>
                <w:rStyle w:val="IndexLink"/>
              </w:rPr>
              <w:t>364</w:t>
            </w:r>
          </w:hyperlink>
        </w:p>
        <w:p>
          <w:pPr>
            <w:pStyle w:val="Contents5"/>
            <w:tabs>
              <w:tab w:val="clear" w:pos="7892"/>
              <w:tab w:val="right" w:pos="9026" w:leader="dot"/>
            </w:tabs>
            <w:rPr/>
          </w:pPr>
          <w:hyperlink w:anchor="__RefHeading___Toc652243_1878427129">
            <w:r>
              <w:rPr>
                <w:webHidden/>
                <w:rStyle w:val="IndexLink"/>
              </w:rPr>
              <w:t>20</w:t>
            </w:r>
            <w:r>
              <w:rPr>
                <w:rStyle w:val="IndexLink"/>
                <w:rtl w:val="true"/>
              </w:rPr>
              <w:t>المتقارب</w:t>
            </w:r>
            <w:r>
              <w:rPr>
                <w:rStyle w:val="IndexLink"/>
                <w:rtl w:val="true"/>
              </w:rPr>
              <w:tab/>
            </w:r>
            <w:r>
              <w:rPr>
                <w:rStyle w:val="IndexLink"/>
              </w:rPr>
              <w:t>365</w:t>
            </w:r>
          </w:hyperlink>
        </w:p>
        <w:p>
          <w:pPr>
            <w:pStyle w:val="Contents4"/>
            <w:tabs>
              <w:tab w:val="clear" w:pos="8176"/>
              <w:tab w:val="right" w:pos="9026" w:leader="dot"/>
            </w:tabs>
            <w:rPr/>
          </w:pPr>
          <w:hyperlink w:anchor="__RefHeading___Toc652245_1878427129">
            <w:r>
              <w:rPr>
                <w:webHidden/>
                <w:rStyle w:val="IndexLink"/>
                <w:rtl w:val="true"/>
              </w:rPr>
              <w:t>قافیة الدال</w:t>
            </w:r>
            <w:r>
              <w:rPr>
                <w:rStyle w:val="IndexLink"/>
                <w:rtl w:val="true"/>
              </w:rPr>
              <w:tab/>
            </w:r>
            <w:r>
              <w:rPr>
                <w:rStyle w:val="IndexLink"/>
              </w:rPr>
              <w:t>366</w:t>
            </w:r>
          </w:hyperlink>
        </w:p>
        <w:p>
          <w:pPr>
            <w:pStyle w:val="Contents5"/>
            <w:tabs>
              <w:tab w:val="clear" w:pos="7892"/>
              <w:tab w:val="right" w:pos="9026" w:leader="dot"/>
            </w:tabs>
            <w:rPr/>
          </w:pPr>
          <w:hyperlink w:anchor="__RefHeading___Toc652247_1878427129">
            <w:r>
              <w:rPr>
                <w:webHidden/>
                <w:rStyle w:val="IndexLink"/>
              </w:rPr>
              <w:t>21</w:t>
            </w:r>
            <w:r>
              <w:rPr>
                <w:rStyle w:val="IndexLink"/>
                <w:rtl w:val="true"/>
              </w:rPr>
              <w:t>الوافر</w:t>
            </w:r>
            <w:r>
              <w:rPr>
                <w:rStyle w:val="IndexLink"/>
                <w:rtl w:val="true"/>
              </w:rPr>
              <w:tab/>
            </w:r>
            <w:r>
              <w:rPr>
                <w:rStyle w:val="IndexLink"/>
              </w:rPr>
              <w:t>366</w:t>
            </w:r>
          </w:hyperlink>
        </w:p>
        <w:p>
          <w:pPr>
            <w:pStyle w:val="Contents5"/>
            <w:tabs>
              <w:tab w:val="clear" w:pos="7892"/>
              <w:tab w:val="right" w:pos="9026" w:leader="dot"/>
            </w:tabs>
            <w:rPr/>
          </w:pPr>
          <w:hyperlink w:anchor="__RefHeading___Toc652249_1878427129">
            <w:r>
              <w:rPr>
                <w:webHidden/>
                <w:rStyle w:val="IndexLink"/>
              </w:rPr>
              <w:t>22</w:t>
            </w:r>
            <w:r>
              <w:rPr>
                <w:rStyle w:val="IndexLink"/>
                <w:rtl w:val="true"/>
              </w:rPr>
              <w:t>البسیط</w:t>
            </w:r>
            <w:r>
              <w:rPr>
                <w:rStyle w:val="IndexLink"/>
                <w:rtl w:val="true"/>
              </w:rPr>
              <w:tab/>
            </w:r>
            <w:r>
              <w:rPr>
                <w:rStyle w:val="IndexLink"/>
              </w:rPr>
              <w:t>368</w:t>
            </w:r>
          </w:hyperlink>
        </w:p>
        <w:p>
          <w:pPr>
            <w:pStyle w:val="Contents5"/>
            <w:tabs>
              <w:tab w:val="clear" w:pos="7892"/>
              <w:tab w:val="right" w:pos="9026" w:leader="dot"/>
            </w:tabs>
            <w:rPr/>
          </w:pPr>
          <w:hyperlink w:anchor="__RefHeading___Toc652251_1878427129">
            <w:r>
              <w:rPr>
                <w:webHidden/>
                <w:rStyle w:val="IndexLink"/>
              </w:rPr>
              <w:t>23</w:t>
            </w:r>
            <w:r>
              <w:rPr>
                <w:rStyle w:val="IndexLink"/>
                <w:rtl w:val="true"/>
              </w:rPr>
              <w:t>البسیط</w:t>
            </w:r>
            <w:r>
              <w:rPr>
                <w:rStyle w:val="IndexLink"/>
                <w:rtl w:val="true"/>
              </w:rPr>
              <w:tab/>
            </w:r>
            <w:r>
              <w:rPr>
                <w:rStyle w:val="IndexLink"/>
              </w:rPr>
              <w:t>369</w:t>
            </w:r>
          </w:hyperlink>
        </w:p>
        <w:p>
          <w:pPr>
            <w:pStyle w:val="Contents5"/>
            <w:tabs>
              <w:tab w:val="clear" w:pos="7892"/>
              <w:tab w:val="right" w:pos="9026" w:leader="dot"/>
            </w:tabs>
            <w:rPr/>
          </w:pPr>
          <w:hyperlink w:anchor="__RefHeading___Toc652253_1878427129">
            <w:r>
              <w:rPr>
                <w:webHidden/>
                <w:rStyle w:val="IndexLink"/>
              </w:rPr>
              <w:t>24</w:t>
            </w:r>
            <w:r>
              <w:rPr>
                <w:rStyle w:val="IndexLink"/>
                <w:rtl w:val="true"/>
              </w:rPr>
              <w:t>الکامل</w:t>
            </w:r>
            <w:r>
              <w:rPr>
                <w:rStyle w:val="IndexLink"/>
                <w:rtl w:val="true"/>
              </w:rPr>
              <w:tab/>
            </w:r>
            <w:r>
              <w:rPr>
                <w:rStyle w:val="IndexLink"/>
              </w:rPr>
              <w:t>371</w:t>
            </w:r>
          </w:hyperlink>
        </w:p>
        <w:p>
          <w:pPr>
            <w:pStyle w:val="Contents5"/>
            <w:tabs>
              <w:tab w:val="clear" w:pos="7892"/>
              <w:tab w:val="right" w:pos="9026" w:leader="dot"/>
            </w:tabs>
            <w:rPr/>
          </w:pPr>
          <w:hyperlink w:anchor="__RefHeading___Toc652255_1878427129">
            <w:r>
              <w:rPr>
                <w:webHidden/>
                <w:rStyle w:val="IndexLink"/>
              </w:rPr>
              <w:t>25</w:t>
            </w:r>
            <w:r>
              <w:rPr>
                <w:rStyle w:val="IndexLink"/>
                <w:rtl w:val="true"/>
              </w:rPr>
              <w:t>الطویل</w:t>
            </w:r>
            <w:r>
              <w:rPr>
                <w:rStyle w:val="IndexLink"/>
                <w:rtl w:val="true"/>
              </w:rPr>
              <w:tab/>
            </w:r>
            <w:r>
              <w:rPr>
                <w:rStyle w:val="IndexLink"/>
              </w:rPr>
              <w:t>371</w:t>
            </w:r>
          </w:hyperlink>
        </w:p>
        <w:p>
          <w:pPr>
            <w:pStyle w:val="Contents5"/>
            <w:tabs>
              <w:tab w:val="clear" w:pos="7892"/>
              <w:tab w:val="right" w:pos="9026" w:leader="dot"/>
            </w:tabs>
            <w:rPr/>
          </w:pPr>
          <w:hyperlink w:anchor="__RefHeading___Toc652257_1878427129">
            <w:r>
              <w:rPr>
                <w:webHidden/>
                <w:rStyle w:val="IndexLink"/>
              </w:rPr>
              <w:t>26</w:t>
            </w:r>
            <w:r>
              <w:rPr>
                <w:rStyle w:val="IndexLink"/>
                <w:rtl w:val="true"/>
              </w:rPr>
              <w:tab/>
            </w:r>
            <w:r>
              <w:rPr>
                <w:rStyle w:val="IndexLink"/>
              </w:rPr>
              <w:t>373</w:t>
            </w:r>
          </w:hyperlink>
        </w:p>
        <w:p>
          <w:pPr>
            <w:pStyle w:val="Contents4"/>
            <w:tabs>
              <w:tab w:val="clear" w:pos="8176"/>
              <w:tab w:val="right" w:pos="9026" w:leader="dot"/>
            </w:tabs>
            <w:rPr/>
          </w:pPr>
          <w:hyperlink w:anchor="__RefHeading___Toc652259_1878427129">
            <w:r>
              <w:rPr>
                <w:webHidden/>
                <w:rStyle w:val="IndexLink"/>
                <w:rtl w:val="true"/>
              </w:rPr>
              <w:t>قافیة الراء</w:t>
            </w:r>
            <w:r>
              <w:rPr>
                <w:rStyle w:val="IndexLink"/>
                <w:rtl w:val="true"/>
              </w:rPr>
              <w:tab/>
            </w:r>
            <w:r>
              <w:rPr>
                <w:rStyle w:val="IndexLink"/>
              </w:rPr>
              <w:t>374</w:t>
            </w:r>
          </w:hyperlink>
        </w:p>
        <w:p>
          <w:pPr>
            <w:pStyle w:val="Contents5"/>
            <w:tabs>
              <w:tab w:val="clear" w:pos="7892"/>
              <w:tab w:val="right" w:pos="9026" w:leader="dot"/>
            </w:tabs>
            <w:rPr/>
          </w:pPr>
          <w:hyperlink w:anchor="__RefHeading___Toc652261_1878427129">
            <w:r>
              <w:rPr>
                <w:webHidden/>
                <w:rStyle w:val="IndexLink"/>
              </w:rPr>
              <w:t>27</w:t>
            </w:r>
            <w:r>
              <w:rPr>
                <w:rStyle w:val="IndexLink"/>
                <w:rtl w:val="true"/>
              </w:rPr>
              <w:t>مجزوء الکامل</w:t>
            </w:r>
            <w:r>
              <w:rPr>
                <w:rStyle w:val="IndexLink"/>
                <w:rtl w:val="true"/>
              </w:rPr>
              <w:tab/>
            </w:r>
            <w:r>
              <w:rPr>
                <w:rStyle w:val="IndexLink"/>
              </w:rPr>
              <w:t>374</w:t>
            </w:r>
          </w:hyperlink>
        </w:p>
        <w:p>
          <w:pPr>
            <w:pStyle w:val="Contents5"/>
            <w:tabs>
              <w:tab w:val="clear" w:pos="7892"/>
              <w:tab w:val="right" w:pos="9026" w:leader="dot"/>
            </w:tabs>
            <w:rPr/>
          </w:pPr>
          <w:hyperlink w:anchor="__RefHeading___Toc652263_1878427129">
            <w:r>
              <w:rPr>
                <w:webHidden/>
                <w:rStyle w:val="IndexLink"/>
              </w:rPr>
              <w:t>28</w:t>
            </w:r>
            <w:r>
              <w:rPr>
                <w:rStyle w:val="IndexLink"/>
                <w:rtl w:val="true"/>
              </w:rPr>
              <w:t>السریع</w:t>
            </w:r>
            <w:r>
              <w:rPr>
                <w:rStyle w:val="IndexLink"/>
                <w:rtl w:val="true"/>
              </w:rPr>
              <w:tab/>
            </w:r>
            <w:r>
              <w:rPr>
                <w:rStyle w:val="IndexLink"/>
              </w:rPr>
              <w:t>375</w:t>
            </w:r>
          </w:hyperlink>
        </w:p>
        <w:p>
          <w:pPr>
            <w:pStyle w:val="Contents5"/>
            <w:tabs>
              <w:tab w:val="clear" w:pos="7892"/>
              <w:tab w:val="right" w:pos="9026" w:leader="dot"/>
            </w:tabs>
            <w:rPr/>
          </w:pPr>
          <w:hyperlink w:anchor="__RefHeading___Toc652265_1878427129">
            <w:r>
              <w:rPr>
                <w:webHidden/>
                <w:rStyle w:val="IndexLink"/>
              </w:rPr>
              <w:t>29</w:t>
            </w:r>
            <w:r>
              <w:rPr>
                <w:rStyle w:val="IndexLink"/>
                <w:rtl w:val="true"/>
              </w:rPr>
              <w:t>الطویل</w:t>
            </w:r>
            <w:r>
              <w:rPr>
                <w:rStyle w:val="IndexLink"/>
                <w:rtl w:val="true"/>
              </w:rPr>
              <w:tab/>
            </w:r>
            <w:r>
              <w:rPr>
                <w:rStyle w:val="IndexLink"/>
              </w:rPr>
              <w:t>376</w:t>
            </w:r>
          </w:hyperlink>
        </w:p>
        <w:p>
          <w:pPr>
            <w:pStyle w:val="Contents5"/>
            <w:tabs>
              <w:tab w:val="clear" w:pos="7892"/>
              <w:tab w:val="right" w:pos="9026" w:leader="dot"/>
            </w:tabs>
            <w:rPr/>
          </w:pPr>
          <w:hyperlink w:anchor="__RefHeading___Toc652267_1878427129">
            <w:r>
              <w:rPr>
                <w:webHidden/>
                <w:rStyle w:val="IndexLink"/>
              </w:rPr>
              <w:t>30</w:t>
            </w:r>
            <w:r>
              <w:rPr>
                <w:rStyle w:val="IndexLink"/>
                <w:rtl w:val="true"/>
              </w:rPr>
              <w:t>الطویل</w:t>
            </w:r>
            <w:r>
              <w:rPr>
                <w:rStyle w:val="IndexLink"/>
                <w:rtl w:val="true"/>
              </w:rPr>
              <w:tab/>
            </w:r>
            <w:r>
              <w:rPr>
                <w:rStyle w:val="IndexLink"/>
              </w:rPr>
              <w:t>377</w:t>
            </w:r>
          </w:hyperlink>
        </w:p>
        <w:p>
          <w:pPr>
            <w:pStyle w:val="Contents5"/>
            <w:tabs>
              <w:tab w:val="clear" w:pos="7892"/>
              <w:tab w:val="right" w:pos="9026" w:leader="dot"/>
            </w:tabs>
            <w:rPr/>
          </w:pPr>
          <w:hyperlink w:anchor="__RefHeading___Toc652269_1878427129">
            <w:r>
              <w:rPr>
                <w:webHidden/>
                <w:rStyle w:val="IndexLink"/>
              </w:rPr>
              <w:t>31</w:t>
            </w:r>
            <w:r>
              <w:rPr>
                <w:rStyle w:val="IndexLink"/>
                <w:rtl w:val="true"/>
              </w:rPr>
              <w:t>البسیط</w:t>
            </w:r>
            <w:r>
              <w:rPr>
                <w:rStyle w:val="IndexLink"/>
                <w:rtl w:val="true"/>
              </w:rPr>
              <w:tab/>
            </w:r>
            <w:r>
              <w:rPr>
                <w:rStyle w:val="IndexLink"/>
              </w:rPr>
              <w:t>378</w:t>
            </w:r>
          </w:hyperlink>
        </w:p>
        <w:p>
          <w:pPr>
            <w:pStyle w:val="Contents4"/>
            <w:tabs>
              <w:tab w:val="clear" w:pos="8176"/>
              <w:tab w:val="right" w:pos="9026" w:leader="dot"/>
            </w:tabs>
            <w:rPr/>
          </w:pPr>
          <w:hyperlink w:anchor="__RefHeading___Toc652271_1878427129">
            <w:r>
              <w:rPr>
                <w:webHidden/>
                <w:rStyle w:val="IndexLink"/>
                <w:rtl w:val="true"/>
              </w:rPr>
              <w:t>قافیة السین</w:t>
            </w:r>
            <w:r>
              <w:rPr>
                <w:rStyle w:val="IndexLink"/>
                <w:rtl w:val="true"/>
              </w:rPr>
              <w:tab/>
            </w:r>
            <w:r>
              <w:rPr>
                <w:rStyle w:val="IndexLink"/>
              </w:rPr>
              <w:t>379</w:t>
            </w:r>
          </w:hyperlink>
        </w:p>
        <w:p>
          <w:pPr>
            <w:pStyle w:val="Contents5"/>
            <w:tabs>
              <w:tab w:val="clear" w:pos="7892"/>
              <w:tab w:val="right" w:pos="9026" w:leader="dot"/>
            </w:tabs>
            <w:rPr/>
          </w:pPr>
          <w:hyperlink w:anchor="__RefHeading___Toc652273_1878427129">
            <w:r>
              <w:rPr>
                <w:webHidden/>
                <w:rStyle w:val="IndexLink"/>
              </w:rPr>
              <w:t>32</w:t>
            </w:r>
            <w:r>
              <w:rPr>
                <w:rStyle w:val="IndexLink"/>
                <w:rtl w:val="true"/>
              </w:rPr>
              <w:t>الکامل</w:t>
            </w:r>
            <w:r>
              <w:rPr>
                <w:rStyle w:val="IndexLink"/>
                <w:rtl w:val="true"/>
              </w:rPr>
              <w:tab/>
            </w:r>
            <w:r>
              <w:rPr>
                <w:rStyle w:val="IndexLink"/>
              </w:rPr>
              <w:t>379</w:t>
            </w:r>
          </w:hyperlink>
        </w:p>
        <w:p>
          <w:pPr>
            <w:pStyle w:val="Contents4"/>
            <w:tabs>
              <w:tab w:val="clear" w:pos="8176"/>
              <w:tab w:val="right" w:pos="9026" w:leader="dot"/>
            </w:tabs>
            <w:rPr/>
          </w:pPr>
          <w:hyperlink w:anchor="__RefHeading___Toc652275_1878427129">
            <w:r>
              <w:rPr>
                <w:webHidden/>
                <w:rStyle w:val="IndexLink"/>
                <w:rtl w:val="true"/>
              </w:rPr>
              <w:t>قافیة العین</w:t>
            </w:r>
            <w:r>
              <w:rPr>
                <w:rStyle w:val="IndexLink"/>
                <w:rtl w:val="true"/>
              </w:rPr>
              <w:tab/>
            </w:r>
            <w:r>
              <w:rPr>
                <w:rStyle w:val="IndexLink"/>
              </w:rPr>
              <w:t>379</w:t>
            </w:r>
          </w:hyperlink>
        </w:p>
        <w:p>
          <w:pPr>
            <w:pStyle w:val="Contents5"/>
            <w:tabs>
              <w:tab w:val="clear" w:pos="7892"/>
              <w:tab w:val="right" w:pos="9026" w:leader="dot"/>
            </w:tabs>
            <w:rPr/>
          </w:pPr>
          <w:hyperlink w:anchor="__RefHeading___Toc652277_1878427129">
            <w:r>
              <w:rPr>
                <w:webHidden/>
                <w:rStyle w:val="IndexLink"/>
              </w:rPr>
              <w:t>33</w:t>
            </w:r>
            <w:r>
              <w:rPr>
                <w:rStyle w:val="IndexLink"/>
                <w:rtl w:val="true"/>
              </w:rPr>
              <w:t>البسیط</w:t>
            </w:r>
            <w:r>
              <w:rPr>
                <w:rStyle w:val="IndexLink"/>
                <w:rtl w:val="true"/>
              </w:rPr>
              <w:tab/>
            </w:r>
            <w:r>
              <w:rPr>
                <w:rStyle w:val="IndexLink"/>
              </w:rPr>
              <w:t>379</w:t>
            </w:r>
          </w:hyperlink>
        </w:p>
        <w:p>
          <w:pPr>
            <w:pStyle w:val="Contents5"/>
            <w:tabs>
              <w:tab w:val="clear" w:pos="7892"/>
              <w:tab w:val="right" w:pos="9026" w:leader="dot"/>
            </w:tabs>
            <w:rPr/>
          </w:pPr>
          <w:hyperlink w:anchor="__RefHeading___Toc652279_1878427129">
            <w:r>
              <w:rPr>
                <w:webHidden/>
                <w:rStyle w:val="IndexLink"/>
              </w:rPr>
              <w:t>34</w:t>
            </w:r>
            <w:r>
              <w:rPr>
                <w:rStyle w:val="IndexLink"/>
                <w:rtl w:val="true"/>
              </w:rPr>
              <w:t>الطویل</w:t>
            </w:r>
            <w:r>
              <w:rPr>
                <w:rStyle w:val="IndexLink"/>
                <w:rtl w:val="true"/>
              </w:rPr>
              <w:tab/>
            </w:r>
            <w:r>
              <w:rPr>
                <w:rStyle w:val="IndexLink"/>
              </w:rPr>
              <w:t>379</w:t>
            </w:r>
          </w:hyperlink>
        </w:p>
        <w:p>
          <w:pPr>
            <w:pStyle w:val="Contents4"/>
            <w:tabs>
              <w:tab w:val="clear" w:pos="8176"/>
              <w:tab w:val="right" w:pos="9026" w:leader="dot"/>
            </w:tabs>
            <w:rPr/>
          </w:pPr>
          <w:hyperlink w:anchor="__RefHeading___Toc652281_1878427129">
            <w:r>
              <w:rPr>
                <w:webHidden/>
                <w:rStyle w:val="IndexLink"/>
                <w:rtl w:val="true"/>
              </w:rPr>
              <w:t>قافیة القاف</w:t>
            </w:r>
            <w:r>
              <w:rPr>
                <w:rStyle w:val="IndexLink"/>
                <w:rtl w:val="true"/>
              </w:rPr>
              <w:tab/>
            </w:r>
            <w:r>
              <w:rPr>
                <w:rStyle w:val="IndexLink"/>
              </w:rPr>
              <w:t>381</w:t>
            </w:r>
          </w:hyperlink>
        </w:p>
        <w:p>
          <w:pPr>
            <w:pStyle w:val="Contents5"/>
            <w:tabs>
              <w:tab w:val="clear" w:pos="7892"/>
              <w:tab w:val="right" w:pos="9026" w:leader="dot"/>
            </w:tabs>
            <w:rPr/>
          </w:pPr>
          <w:hyperlink w:anchor="__RefHeading___Toc652283_1878427129">
            <w:r>
              <w:rPr>
                <w:webHidden/>
                <w:rStyle w:val="IndexLink"/>
              </w:rPr>
              <w:t>35</w:t>
            </w:r>
            <w:r>
              <w:rPr>
                <w:rStyle w:val="IndexLink"/>
                <w:rtl w:val="true"/>
              </w:rPr>
              <w:t>البسیط</w:t>
            </w:r>
            <w:r>
              <w:rPr>
                <w:rStyle w:val="IndexLink"/>
                <w:rtl w:val="true"/>
              </w:rPr>
              <w:tab/>
            </w:r>
            <w:r>
              <w:rPr>
                <w:rStyle w:val="IndexLink"/>
              </w:rPr>
              <w:t>381</w:t>
            </w:r>
          </w:hyperlink>
        </w:p>
        <w:p>
          <w:pPr>
            <w:pStyle w:val="Contents4"/>
            <w:tabs>
              <w:tab w:val="clear" w:pos="8176"/>
              <w:tab w:val="right" w:pos="9026" w:leader="dot"/>
            </w:tabs>
            <w:rPr/>
          </w:pPr>
          <w:hyperlink w:anchor="__RefHeading___Toc652285_1878427129">
            <w:r>
              <w:rPr>
                <w:webHidden/>
                <w:rStyle w:val="IndexLink"/>
                <w:rtl w:val="true"/>
              </w:rPr>
              <w:t>قافیة اللام</w:t>
            </w:r>
            <w:r>
              <w:rPr>
                <w:rStyle w:val="IndexLink"/>
                <w:rtl w:val="true"/>
              </w:rPr>
              <w:tab/>
            </w:r>
            <w:r>
              <w:rPr>
                <w:rStyle w:val="IndexLink"/>
              </w:rPr>
              <w:t>382</w:t>
            </w:r>
          </w:hyperlink>
        </w:p>
        <w:p>
          <w:pPr>
            <w:pStyle w:val="Contents5"/>
            <w:tabs>
              <w:tab w:val="clear" w:pos="7892"/>
              <w:tab w:val="right" w:pos="9026" w:leader="dot"/>
            </w:tabs>
            <w:rPr/>
          </w:pPr>
          <w:hyperlink w:anchor="__RefHeading___Toc652287_1878427129">
            <w:r>
              <w:rPr>
                <w:webHidden/>
                <w:rStyle w:val="IndexLink"/>
              </w:rPr>
              <w:t>36</w:t>
            </w:r>
            <w:r>
              <w:rPr>
                <w:rStyle w:val="IndexLink"/>
                <w:rtl w:val="true"/>
              </w:rPr>
              <w:t>الرجز</w:t>
            </w:r>
            <w:r>
              <w:rPr>
                <w:rStyle w:val="IndexLink"/>
                <w:rtl w:val="true"/>
              </w:rPr>
              <w:tab/>
            </w:r>
            <w:r>
              <w:rPr>
                <w:rStyle w:val="IndexLink"/>
              </w:rPr>
              <w:t>382</w:t>
            </w:r>
          </w:hyperlink>
        </w:p>
        <w:p>
          <w:pPr>
            <w:pStyle w:val="Contents5"/>
            <w:tabs>
              <w:tab w:val="clear" w:pos="7892"/>
              <w:tab w:val="right" w:pos="9026" w:leader="dot"/>
            </w:tabs>
            <w:rPr/>
          </w:pPr>
          <w:hyperlink w:anchor="__RefHeading___Toc652289_1878427129">
            <w:r>
              <w:rPr>
                <w:webHidden/>
                <w:rStyle w:val="IndexLink"/>
              </w:rPr>
              <w:t>37</w:t>
            </w:r>
            <w:r>
              <w:rPr>
                <w:rStyle w:val="IndexLink"/>
                <w:rtl w:val="true"/>
              </w:rPr>
              <w:t>الکامل</w:t>
            </w:r>
            <w:r>
              <w:rPr>
                <w:rStyle w:val="IndexLink"/>
                <w:rtl w:val="true"/>
              </w:rPr>
              <w:tab/>
            </w:r>
            <w:r>
              <w:rPr>
                <w:rStyle w:val="IndexLink"/>
              </w:rPr>
              <w:t>384</w:t>
            </w:r>
          </w:hyperlink>
        </w:p>
        <w:p>
          <w:pPr>
            <w:pStyle w:val="Contents5"/>
            <w:tabs>
              <w:tab w:val="clear" w:pos="7892"/>
              <w:tab w:val="right" w:pos="9026" w:leader="dot"/>
            </w:tabs>
            <w:rPr/>
          </w:pPr>
          <w:hyperlink w:anchor="__RefHeading___Toc652291_1878427129">
            <w:r>
              <w:rPr>
                <w:webHidden/>
                <w:rStyle w:val="IndexLink"/>
              </w:rPr>
              <w:t>38</w:t>
            </w:r>
            <w:r>
              <w:rPr>
                <w:rStyle w:val="IndexLink"/>
                <w:rtl w:val="true"/>
              </w:rPr>
              <w:t>البسیط</w:t>
            </w:r>
            <w:r>
              <w:rPr>
                <w:rStyle w:val="IndexLink"/>
                <w:rtl w:val="true"/>
              </w:rPr>
              <w:tab/>
            </w:r>
            <w:r>
              <w:rPr>
                <w:rStyle w:val="IndexLink"/>
              </w:rPr>
              <w:t>385</w:t>
            </w:r>
          </w:hyperlink>
        </w:p>
        <w:p>
          <w:pPr>
            <w:pStyle w:val="Contents5"/>
            <w:tabs>
              <w:tab w:val="clear" w:pos="7892"/>
              <w:tab w:val="right" w:pos="9026" w:leader="dot"/>
            </w:tabs>
            <w:rPr/>
          </w:pPr>
          <w:hyperlink w:anchor="__RefHeading___Toc652293_1878427129">
            <w:r>
              <w:rPr>
                <w:webHidden/>
                <w:rStyle w:val="IndexLink"/>
              </w:rPr>
              <w:t>39</w:t>
            </w:r>
            <w:r>
              <w:rPr>
                <w:rStyle w:val="IndexLink"/>
                <w:rtl w:val="true"/>
              </w:rPr>
              <w:t>الطویل</w:t>
            </w:r>
            <w:r>
              <w:rPr>
                <w:rStyle w:val="IndexLink"/>
                <w:rtl w:val="true"/>
              </w:rPr>
              <w:tab/>
            </w:r>
            <w:r>
              <w:rPr>
                <w:rStyle w:val="IndexLink"/>
              </w:rPr>
              <w:t>386</w:t>
            </w:r>
          </w:hyperlink>
        </w:p>
        <w:p>
          <w:pPr>
            <w:pStyle w:val="Contents5"/>
            <w:tabs>
              <w:tab w:val="clear" w:pos="7892"/>
              <w:tab w:val="right" w:pos="9026" w:leader="dot"/>
            </w:tabs>
            <w:rPr/>
          </w:pPr>
          <w:hyperlink w:anchor="__RefHeading___Toc652295_1878427129">
            <w:r>
              <w:rPr>
                <w:webHidden/>
                <w:rStyle w:val="IndexLink"/>
              </w:rPr>
              <w:t>40</w:t>
            </w:r>
            <w:r>
              <w:rPr>
                <w:rStyle w:val="IndexLink"/>
                <w:rtl w:val="true"/>
              </w:rPr>
              <w:t>الطویل</w:t>
            </w:r>
            <w:r>
              <w:rPr>
                <w:rStyle w:val="IndexLink"/>
                <w:rtl w:val="true"/>
              </w:rPr>
              <w:tab/>
            </w:r>
            <w:r>
              <w:rPr>
                <w:rStyle w:val="IndexLink"/>
              </w:rPr>
              <w:t>387</w:t>
            </w:r>
          </w:hyperlink>
        </w:p>
        <w:p>
          <w:pPr>
            <w:pStyle w:val="Contents5"/>
            <w:tabs>
              <w:tab w:val="clear" w:pos="7892"/>
              <w:tab w:val="right" w:pos="9026" w:leader="dot"/>
            </w:tabs>
            <w:rPr/>
          </w:pPr>
          <w:hyperlink w:anchor="__RefHeading___Toc652297_1878427129">
            <w:r>
              <w:rPr>
                <w:webHidden/>
                <w:rStyle w:val="IndexLink"/>
              </w:rPr>
              <w:t>41</w:t>
            </w:r>
            <w:r>
              <w:rPr>
                <w:rStyle w:val="IndexLink"/>
                <w:rtl w:val="true"/>
              </w:rPr>
              <w:t>الطویل</w:t>
            </w:r>
            <w:r>
              <w:rPr>
                <w:rStyle w:val="IndexLink"/>
                <w:rtl w:val="true"/>
              </w:rPr>
              <w:tab/>
            </w:r>
            <w:r>
              <w:rPr>
                <w:rStyle w:val="IndexLink"/>
              </w:rPr>
              <w:t>389</w:t>
            </w:r>
          </w:hyperlink>
        </w:p>
        <w:p>
          <w:pPr>
            <w:pStyle w:val="Contents5"/>
            <w:tabs>
              <w:tab w:val="clear" w:pos="7892"/>
              <w:tab w:val="right" w:pos="9026" w:leader="dot"/>
            </w:tabs>
            <w:rPr/>
          </w:pPr>
          <w:hyperlink w:anchor="__RefHeading___Toc652299_1878427129">
            <w:r>
              <w:rPr>
                <w:webHidden/>
                <w:rStyle w:val="IndexLink"/>
              </w:rPr>
              <w:t>42</w:t>
            </w:r>
            <w:r>
              <w:rPr>
                <w:rStyle w:val="IndexLink"/>
                <w:rtl w:val="true"/>
              </w:rPr>
              <w:t>الطویل</w:t>
            </w:r>
            <w:r>
              <w:rPr>
                <w:rStyle w:val="IndexLink"/>
                <w:rtl w:val="true"/>
              </w:rPr>
              <w:tab/>
            </w:r>
            <w:r>
              <w:rPr>
                <w:rStyle w:val="IndexLink"/>
              </w:rPr>
              <w:t>390</w:t>
            </w:r>
          </w:hyperlink>
        </w:p>
        <w:p>
          <w:pPr>
            <w:pStyle w:val="Contents5"/>
            <w:tabs>
              <w:tab w:val="clear" w:pos="7892"/>
              <w:tab w:val="right" w:pos="9026" w:leader="dot"/>
            </w:tabs>
            <w:rPr/>
          </w:pPr>
          <w:hyperlink w:anchor="__RefHeading___Toc652301_1878427129">
            <w:r>
              <w:rPr>
                <w:webHidden/>
                <w:rStyle w:val="IndexLink"/>
              </w:rPr>
              <w:t>43</w:t>
            </w:r>
            <w:r>
              <w:rPr>
                <w:rStyle w:val="IndexLink"/>
                <w:rtl w:val="true"/>
              </w:rPr>
              <w:t>الطویل</w:t>
            </w:r>
            <w:r>
              <w:rPr>
                <w:rStyle w:val="IndexLink"/>
                <w:rtl w:val="true"/>
              </w:rPr>
              <w:tab/>
            </w:r>
            <w:r>
              <w:rPr>
                <w:rStyle w:val="IndexLink"/>
              </w:rPr>
              <w:t>391</w:t>
            </w:r>
          </w:hyperlink>
        </w:p>
        <w:p>
          <w:pPr>
            <w:pStyle w:val="Contents5"/>
            <w:tabs>
              <w:tab w:val="clear" w:pos="7892"/>
              <w:tab w:val="right" w:pos="9026" w:leader="dot"/>
            </w:tabs>
            <w:rPr/>
          </w:pPr>
          <w:hyperlink w:anchor="__RefHeading___Toc652303_1878427129">
            <w:r>
              <w:rPr>
                <w:webHidden/>
                <w:rStyle w:val="IndexLink"/>
              </w:rPr>
              <w:t>44</w:t>
            </w:r>
            <w:r>
              <w:rPr>
                <w:rStyle w:val="IndexLink"/>
                <w:rtl w:val="true"/>
              </w:rPr>
              <w:t>الکامل</w:t>
            </w:r>
            <w:r>
              <w:rPr>
                <w:rStyle w:val="IndexLink"/>
                <w:rtl w:val="true"/>
              </w:rPr>
              <w:tab/>
            </w:r>
            <w:r>
              <w:rPr>
                <w:rStyle w:val="IndexLink"/>
              </w:rPr>
              <w:t>392</w:t>
            </w:r>
          </w:hyperlink>
        </w:p>
        <w:p>
          <w:pPr>
            <w:pStyle w:val="Contents4"/>
            <w:tabs>
              <w:tab w:val="clear" w:pos="8176"/>
              <w:tab w:val="right" w:pos="9026" w:leader="dot"/>
            </w:tabs>
            <w:rPr/>
          </w:pPr>
          <w:hyperlink w:anchor="__RefHeading___Toc652305_1878427129">
            <w:r>
              <w:rPr>
                <w:webHidden/>
                <w:rStyle w:val="IndexLink"/>
                <w:rtl w:val="true"/>
              </w:rPr>
              <w:t>قافیة المیم</w:t>
            </w:r>
            <w:r>
              <w:rPr>
                <w:rStyle w:val="IndexLink"/>
                <w:rtl w:val="true"/>
              </w:rPr>
              <w:tab/>
            </w:r>
            <w:r>
              <w:rPr>
                <w:rStyle w:val="IndexLink"/>
              </w:rPr>
              <w:t>392</w:t>
            </w:r>
          </w:hyperlink>
        </w:p>
        <w:p>
          <w:pPr>
            <w:pStyle w:val="Contents5"/>
            <w:tabs>
              <w:tab w:val="clear" w:pos="7892"/>
              <w:tab w:val="right" w:pos="9026" w:leader="dot"/>
            </w:tabs>
            <w:rPr/>
          </w:pPr>
          <w:hyperlink w:anchor="__RefHeading___Toc652307_1878427129">
            <w:r>
              <w:rPr>
                <w:webHidden/>
                <w:rStyle w:val="IndexLink"/>
              </w:rPr>
              <w:t>45</w:t>
            </w:r>
            <w:r>
              <w:rPr>
                <w:rStyle w:val="IndexLink"/>
                <w:rtl w:val="true"/>
              </w:rPr>
              <w:t>الطویل</w:t>
            </w:r>
            <w:r>
              <w:rPr>
                <w:rStyle w:val="IndexLink"/>
                <w:rtl w:val="true"/>
              </w:rPr>
              <w:tab/>
            </w:r>
            <w:r>
              <w:rPr>
                <w:rStyle w:val="IndexLink"/>
              </w:rPr>
              <w:t>392</w:t>
            </w:r>
          </w:hyperlink>
        </w:p>
        <w:p>
          <w:pPr>
            <w:pStyle w:val="Contents5"/>
            <w:tabs>
              <w:tab w:val="clear" w:pos="7892"/>
              <w:tab w:val="right" w:pos="9026" w:leader="dot"/>
            </w:tabs>
            <w:rPr/>
          </w:pPr>
          <w:hyperlink w:anchor="__RefHeading___Toc652309_1878427129">
            <w:r>
              <w:rPr>
                <w:webHidden/>
                <w:rStyle w:val="IndexLink"/>
              </w:rPr>
              <w:t>46</w:t>
            </w:r>
            <w:r>
              <w:rPr>
                <w:rStyle w:val="IndexLink"/>
                <w:rtl w:val="true"/>
              </w:rPr>
              <w:t>الطویل</w:t>
            </w:r>
            <w:r>
              <w:rPr>
                <w:rStyle w:val="IndexLink"/>
                <w:rtl w:val="true"/>
              </w:rPr>
              <w:tab/>
            </w:r>
            <w:r>
              <w:rPr>
                <w:rStyle w:val="IndexLink"/>
              </w:rPr>
              <w:t>393</w:t>
            </w:r>
          </w:hyperlink>
        </w:p>
        <w:p>
          <w:pPr>
            <w:pStyle w:val="Contents5"/>
            <w:tabs>
              <w:tab w:val="clear" w:pos="7892"/>
              <w:tab w:val="right" w:pos="9026" w:leader="dot"/>
            </w:tabs>
            <w:rPr/>
          </w:pPr>
          <w:hyperlink w:anchor="__RefHeading___Toc652311_1878427129">
            <w:r>
              <w:rPr>
                <w:webHidden/>
                <w:rStyle w:val="IndexLink"/>
              </w:rPr>
              <w:t>47</w:t>
            </w:r>
            <w:r>
              <w:rPr>
                <w:rStyle w:val="IndexLink"/>
                <w:rtl w:val="true"/>
              </w:rPr>
              <w:t>الطویل</w:t>
            </w:r>
            <w:r>
              <w:rPr>
                <w:rStyle w:val="IndexLink"/>
                <w:rtl w:val="true"/>
              </w:rPr>
              <w:tab/>
            </w:r>
            <w:r>
              <w:rPr>
                <w:rStyle w:val="IndexLink"/>
              </w:rPr>
              <w:t>394</w:t>
            </w:r>
          </w:hyperlink>
        </w:p>
        <w:p>
          <w:pPr>
            <w:pStyle w:val="Contents5"/>
            <w:tabs>
              <w:tab w:val="clear" w:pos="7892"/>
              <w:tab w:val="right" w:pos="9026" w:leader="dot"/>
            </w:tabs>
            <w:rPr/>
          </w:pPr>
          <w:hyperlink w:anchor="__RefHeading___Toc652313_1878427129">
            <w:r>
              <w:rPr>
                <w:webHidden/>
                <w:rStyle w:val="IndexLink"/>
              </w:rPr>
              <w:t>48</w:t>
            </w:r>
            <w:r>
              <w:rPr>
                <w:rStyle w:val="IndexLink"/>
                <w:rtl w:val="true"/>
              </w:rPr>
              <w:t>الطویل</w:t>
            </w:r>
            <w:r>
              <w:rPr>
                <w:rStyle w:val="IndexLink"/>
                <w:rtl w:val="true"/>
              </w:rPr>
              <w:tab/>
            </w:r>
            <w:r>
              <w:rPr>
                <w:rStyle w:val="IndexLink"/>
              </w:rPr>
              <w:t>395</w:t>
            </w:r>
          </w:hyperlink>
        </w:p>
        <w:p>
          <w:pPr>
            <w:pStyle w:val="Contents5"/>
            <w:tabs>
              <w:tab w:val="clear" w:pos="7892"/>
              <w:tab w:val="right" w:pos="9026" w:leader="dot"/>
            </w:tabs>
            <w:rPr/>
          </w:pPr>
          <w:hyperlink w:anchor="__RefHeading___Toc652315_1878427129">
            <w:r>
              <w:rPr>
                <w:webHidden/>
                <w:rStyle w:val="IndexLink"/>
              </w:rPr>
              <w:t>49</w:t>
            </w:r>
            <w:r>
              <w:rPr>
                <w:rStyle w:val="IndexLink"/>
                <w:rtl w:val="true"/>
              </w:rPr>
              <w:t>الوافر</w:t>
            </w:r>
            <w:r>
              <w:rPr>
                <w:rStyle w:val="IndexLink"/>
                <w:rtl w:val="true"/>
              </w:rPr>
              <w:tab/>
            </w:r>
            <w:r>
              <w:rPr>
                <w:rStyle w:val="IndexLink"/>
              </w:rPr>
              <w:t>398</w:t>
            </w:r>
          </w:hyperlink>
        </w:p>
        <w:p>
          <w:pPr>
            <w:pStyle w:val="Contents5"/>
            <w:tabs>
              <w:tab w:val="clear" w:pos="7892"/>
              <w:tab w:val="right" w:pos="9026" w:leader="dot"/>
            </w:tabs>
            <w:rPr/>
          </w:pPr>
          <w:hyperlink w:anchor="__RefHeading___Toc652317_1878427129">
            <w:r>
              <w:rPr>
                <w:webHidden/>
                <w:rStyle w:val="IndexLink"/>
              </w:rPr>
              <w:t>50</w:t>
            </w:r>
            <w:r>
              <w:rPr>
                <w:rStyle w:val="IndexLink"/>
                <w:rtl w:val="true"/>
              </w:rPr>
              <w:t>الطویل</w:t>
            </w:r>
            <w:r>
              <w:rPr>
                <w:rStyle w:val="IndexLink"/>
                <w:rtl w:val="true"/>
              </w:rPr>
              <w:tab/>
            </w:r>
            <w:r>
              <w:rPr>
                <w:rStyle w:val="IndexLink"/>
              </w:rPr>
              <w:t>399</w:t>
            </w:r>
          </w:hyperlink>
        </w:p>
        <w:p>
          <w:pPr>
            <w:pStyle w:val="Contents5"/>
            <w:tabs>
              <w:tab w:val="clear" w:pos="7892"/>
              <w:tab w:val="right" w:pos="9026" w:leader="dot"/>
            </w:tabs>
            <w:rPr/>
          </w:pPr>
          <w:hyperlink w:anchor="__RefHeading___Toc652319_1878427129">
            <w:r>
              <w:rPr>
                <w:webHidden/>
                <w:rStyle w:val="IndexLink"/>
              </w:rPr>
              <w:t>51</w:t>
            </w:r>
            <w:r>
              <w:rPr>
                <w:rStyle w:val="IndexLink"/>
                <w:rtl w:val="true"/>
              </w:rPr>
              <w:t>البسیط</w:t>
            </w:r>
            <w:r>
              <w:rPr>
                <w:rStyle w:val="IndexLink"/>
                <w:rtl w:val="true"/>
              </w:rPr>
              <w:tab/>
            </w:r>
            <w:r>
              <w:rPr>
                <w:rStyle w:val="IndexLink"/>
              </w:rPr>
              <w:t>400</w:t>
            </w:r>
          </w:hyperlink>
        </w:p>
        <w:p>
          <w:pPr>
            <w:pStyle w:val="Contents5"/>
            <w:tabs>
              <w:tab w:val="clear" w:pos="7892"/>
              <w:tab w:val="right" w:pos="9026" w:leader="dot"/>
            </w:tabs>
            <w:rPr/>
          </w:pPr>
          <w:hyperlink w:anchor="__RefHeading___Toc652321_1878427129">
            <w:r>
              <w:rPr>
                <w:webHidden/>
                <w:rStyle w:val="IndexLink"/>
              </w:rPr>
              <w:t>52</w:t>
            </w:r>
            <w:r>
              <w:rPr>
                <w:rStyle w:val="IndexLink"/>
                <w:rtl w:val="true"/>
              </w:rPr>
              <w:t>الوافر</w:t>
            </w:r>
            <w:r>
              <w:rPr>
                <w:rStyle w:val="IndexLink"/>
                <w:rtl w:val="true"/>
              </w:rPr>
              <w:tab/>
            </w:r>
            <w:r>
              <w:rPr>
                <w:rStyle w:val="IndexLink"/>
              </w:rPr>
              <w:t>403</w:t>
            </w:r>
          </w:hyperlink>
        </w:p>
        <w:p>
          <w:pPr>
            <w:pStyle w:val="Contents5"/>
            <w:tabs>
              <w:tab w:val="clear" w:pos="7892"/>
              <w:tab w:val="right" w:pos="9026" w:leader="dot"/>
            </w:tabs>
            <w:rPr/>
          </w:pPr>
          <w:hyperlink w:anchor="__RefHeading___Toc652323_1878427129">
            <w:r>
              <w:rPr>
                <w:webHidden/>
                <w:rStyle w:val="IndexLink"/>
              </w:rPr>
              <w:t>53</w:t>
            </w:r>
            <w:r>
              <w:rPr>
                <w:rStyle w:val="IndexLink"/>
                <w:rtl w:val="true"/>
              </w:rPr>
              <w:t>الخفیف</w:t>
            </w:r>
            <w:r>
              <w:rPr>
                <w:rStyle w:val="IndexLink"/>
                <w:rtl w:val="true"/>
              </w:rPr>
              <w:tab/>
            </w:r>
            <w:r>
              <w:rPr>
                <w:rStyle w:val="IndexLink"/>
              </w:rPr>
              <w:t>404</w:t>
            </w:r>
          </w:hyperlink>
        </w:p>
        <w:p>
          <w:pPr>
            <w:pStyle w:val="Contents4"/>
            <w:tabs>
              <w:tab w:val="clear" w:pos="8176"/>
              <w:tab w:val="right" w:pos="9026" w:leader="dot"/>
            </w:tabs>
            <w:rPr/>
          </w:pPr>
          <w:hyperlink w:anchor="__RefHeading___Toc652325_1878427129">
            <w:r>
              <w:rPr>
                <w:webHidden/>
                <w:rStyle w:val="IndexLink"/>
                <w:rtl w:val="true"/>
              </w:rPr>
              <w:t>قافیة النون</w:t>
            </w:r>
            <w:r>
              <w:rPr>
                <w:rStyle w:val="IndexLink"/>
                <w:rtl w:val="true"/>
              </w:rPr>
              <w:tab/>
            </w:r>
            <w:r>
              <w:rPr>
                <w:rStyle w:val="IndexLink"/>
              </w:rPr>
              <w:t>406</w:t>
            </w:r>
          </w:hyperlink>
        </w:p>
        <w:p>
          <w:pPr>
            <w:pStyle w:val="Contents5"/>
            <w:tabs>
              <w:tab w:val="clear" w:pos="7892"/>
              <w:tab w:val="right" w:pos="9026" w:leader="dot"/>
            </w:tabs>
            <w:rPr/>
          </w:pPr>
          <w:hyperlink w:anchor="__RefHeading___Toc652327_1878427129">
            <w:r>
              <w:rPr>
                <w:webHidden/>
                <w:rStyle w:val="IndexLink"/>
              </w:rPr>
              <w:t>54</w:t>
            </w:r>
            <w:r>
              <w:rPr>
                <w:rStyle w:val="IndexLink"/>
                <w:rtl w:val="true"/>
              </w:rPr>
              <w:t>البسیط</w:t>
            </w:r>
            <w:r>
              <w:rPr>
                <w:rStyle w:val="IndexLink"/>
                <w:rtl w:val="true"/>
              </w:rPr>
              <w:tab/>
            </w:r>
            <w:r>
              <w:rPr>
                <w:rStyle w:val="IndexLink"/>
              </w:rPr>
              <w:t>406</w:t>
            </w:r>
          </w:hyperlink>
        </w:p>
        <w:p>
          <w:pPr>
            <w:pStyle w:val="Contents5"/>
            <w:tabs>
              <w:tab w:val="clear" w:pos="7892"/>
              <w:tab w:val="right" w:pos="9026" w:leader="dot"/>
            </w:tabs>
            <w:rPr/>
          </w:pPr>
          <w:hyperlink w:anchor="__RefHeading___Toc652329_1878427129">
            <w:r>
              <w:rPr>
                <w:webHidden/>
                <w:rStyle w:val="IndexLink"/>
              </w:rPr>
              <w:t>55</w:t>
            </w:r>
            <w:r>
              <w:rPr>
                <w:rStyle w:val="IndexLink"/>
                <w:rtl w:val="true"/>
              </w:rPr>
              <w:t>الرجز</w:t>
            </w:r>
            <w:r>
              <w:rPr>
                <w:rStyle w:val="IndexLink"/>
                <w:rtl w:val="true"/>
              </w:rPr>
              <w:tab/>
            </w:r>
            <w:r>
              <w:rPr>
                <w:rStyle w:val="IndexLink"/>
              </w:rPr>
              <w:t>407</w:t>
            </w:r>
          </w:hyperlink>
        </w:p>
        <w:p>
          <w:pPr>
            <w:pStyle w:val="Contents5"/>
            <w:tabs>
              <w:tab w:val="clear" w:pos="7892"/>
              <w:tab w:val="right" w:pos="9026" w:leader="dot"/>
            </w:tabs>
            <w:rPr/>
          </w:pPr>
          <w:hyperlink w:anchor="__RefHeading___Toc652331_1878427129">
            <w:r>
              <w:rPr>
                <w:webHidden/>
                <w:rStyle w:val="IndexLink"/>
              </w:rPr>
              <w:t>56</w:t>
            </w:r>
            <w:r>
              <w:rPr>
                <w:rStyle w:val="IndexLink"/>
                <w:rtl w:val="true"/>
              </w:rPr>
              <w:t>الطویل</w:t>
            </w:r>
            <w:r>
              <w:rPr>
                <w:rStyle w:val="IndexLink"/>
                <w:rtl w:val="true"/>
              </w:rPr>
              <w:tab/>
            </w:r>
            <w:r>
              <w:rPr>
                <w:rStyle w:val="IndexLink"/>
              </w:rPr>
              <w:t>408</w:t>
            </w:r>
          </w:hyperlink>
        </w:p>
        <w:p>
          <w:pPr>
            <w:pStyle w:val="Contents5"/>
            <w:tabs>
              <w:tab w:val="clear" w:pos="7892"/>
              <w:tab w:val="right" w:pos="9026" w:leader="dot"/>
            </w:tabs>
            <w:rPr/>
          </w:pPr>
          <w:hyperlink w:anchor="__RefHeading___Toc652333_1878427129">
            <w:r>
              <w:rPr>
                <w:webHidden/>
                <w:rStyle w:val="IndexLink"/>
              </w:rPr>
              <w:t>57</w:t>
            </w:r>
            <w:r>
              <w:rPr>
                <w:rStyle w:val="IndexLink"/>
                <w:rtl w:val="true"/>
              </w:rPr>
              <w:t>البسیط</w:t>
            </w:r>
            <w:r>
              <w:rPr>
                <w:rStyle w:val="IndexLink"/>
                <w:rtl w:val="true"/>
              </w:rPr>
              <w:tab/>
            </w:r>
            <w:r>
              <w:rPr>
                <w:rStyle w:val="IndexLink"/>
              </w:rPr>
              <w:t>411</w:t>
            </w:r>
          </w:hyperlink>
        </w:p>
        <w:p>
          <w:pPr>
            <w:pStyle w:val="Contents5"/>
            <w:tabs>
              <w:tab w:val="clear" w:pos="7892"/>
              <w:tab w:val="right" w:pos="9026" w:leader="dot"/>
            </w:tabs>
            <w:rPr/>
          </w:pPr>
          <w:hyperlink w:anchor="__RefHeading___Toc652335_1878427129">
            <w:r>
              <w:rPr>
                <w:webHidden/>
                <w:rStyle w:val="IndexLink"/>
              </w:rPr>
              <w:t>58</w:t>
            </w:r>
            <w:r>
              <w:rPr>
                <w:rStyle w:val="IndexLink"/>
                <w:rtl w:val="true"/>
              </w:rPr>
              <w:t>الوافر</w:t>
            </w:r>
            <w:r>
              <w:rPr>
                <w:rStyle w:val="IndexLink"/>
                <w:rtl w:val="true"/>
              </w:rPr>
              <w:tab/>
            </w:r>
            <w:r>
              <w:rPr>
                <w:rStyle w:val="IndexLink"/>
              </w:rPr>
              <w:t>412</w:t>
            </w:r>
          </w:hyperlink>
        </w:p>
        <w:p>
          <w:pPr>
            <w:pStyle w:val="Contents5"/>
            <w:tabs>
              <w:tab w:val="clear" w:pos="7892"/>
              <w:tab w:val="right" w:pos="9026" w:leader="dot"/>
            </w:tabs>
            <w:rPr/>
          </w:pPr>
          <w:hyperlink w:anchor="__RefHeading___Toc652337_1878427129">
            <w:r>
              <w:rPr>
                <w:webHidden/>
                <w:rStyle w:val="IndexLink"/>
              </w:rPr>
              <w:t>59</w:t>
            </w:r>
            <w:r>
              <w:rPr>
                <w:rStyle w:val="IndexLink"/>
                <w:rtl w:val="true"/>
              </w:rPr>
              <w:t>الرجز</w:t>
            </w:r>
            <w:r>
              <w:rPr>
                <w:rStyle w:val="IndexLink"/>
                <w:rtl w:val="true"/>
              </w:rPr>
              <w:tab/>
            </w:r>
            <w:r>
              <w:rPr>
                <w:rStyle w:val="IndexLink"/>
              </w:rPr>
              <w:t>413</w:t>
            </w:r>
          </w:hyperlink>
        </w:p>
        <w:p>
          <w:pPr>
            <w:pStyle w:val="Contents2"/>
            <w:tabs>
              <w:tab w:val="clear" w:pos="8743"/>
              <w:tab w:val="right" w:pos="9026" w:leader="dot"/>
            </w:tabs>
            <w:rPr/>
          </w:pPr>
          <w:hyperlink w:anchor="__RefHeading___Toc652339_1878427129">
            <w:r>
              <w:rPr>
                <w:webHidden/>
                <w:rStyle w:val="IndexLink"/>
                <w:rtl w:val="true"/>
              </w:rPr>
              <w:t>فهرس المصادر</w:t>
            </w:r>
            <w:r>
              <w:rPr>
                <w:rStyle w:val="IndexLink"/>
                <w:rtl w:val="true"/>
              </w:rPr>
              <w:tab/>
            </w:r>
            <w:r>
              <w:rPr>
                <w:rStyle w:val="IndexLink"/>
              </w:rPr>
              <w:t>414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53_191692"/>
      <w:bookmarkStart w:id="1" w:name="pg14553_191692"/>
      <w:bookmarkEnd w:id="1"/>
    </w:p>
    <w:p>
      <w:pPr>
        <w:pStyle w:val="Heading2"/>
        <w:numPr>
          <w:ilvl w:val="1"/>
          <w:numId w:val="1"/>
        </w:numPr>
        <w:rPr/>
      </w:pPr>
      <w:bookmarkStart w:id="2" w:name="pg14553_191692"/>
      <w:bookmarkStart w:id="3" w:name="__RefHeading___Toc651653_1878427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قنبری، محمد،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شناخت‌نامه کلینی و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محمد قنبری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اداره کل اوقاف و امور خیریه استان قم،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پژوهشکده علوم و معارف حدیث؛ </w:t>
      </w:r>
      <w:r>
        <w:rPr>
          <w:rFonts w:ascii="IRNazanin" w:hAnsi="IRNazanin" w:eastAsia="IRNazanin"/>
          <w:color w:val="111111"/>
          <w:sz w:val="28"/>
          <w:sz w:val="28"/>
          <w:szCs w:val="28"/>
          <w:lang w:bidi="fa-IR"/>
        </w:rPr>
        <w:t>۱۹۴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آثار کنگره بین‌المللی بزرگداشت ثقه‌الاسلام کلینی؛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 اساس جلد دوم،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کلینی و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کلینی و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کلینی و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فقه‌الحدیثی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بین‌المللی بزرگداشت ثقةالاسلام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اوقاف و امور خیریه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۲۰۸۳۵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۱۸۸۵۴۰۲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1655_1878427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553_191698"/>
      <w:bookmarkStart w:id="8" w:name="pg14553_191698"/>
      <w:bookmarkEnd w:id="8"/>
    </w:p>
    <w:p>
      <w:pPr>
        <w:pStyle w:val="Heading2"/>
        <w:numPr>
          <w:ilvl w:val="1"/>
          <w:numId w:val="1"/>
        </w:numPr>
        <w:rPr/>
      </w:pPr>
      <w:bookmarkStart w:id="9" w:name="pg14553_191698"/>
      <w:bookmarkStart w:id="10" w:name="__RefHeading___Toc651657_1878427129"/>
      <w:bookmarkStart w:id="11" w:name="_Toc3"/>
      <w:bookmarkEnd w:id="9"/>
      <w:bookmarkEnd w:id="10"/>
      <w:r>
        <w:rPr>
          <w:rtl w:val="true"/>
        </w:rPr>
        <w:t>علم الأئمة فی الکافی</w:t>
      </w:r>
      <w:bookmarkEnd w:id="11"/>
    </w:p>
    <w:p>
      <w:pPr>
        <w:pStyle w:val="Heading3"/>
        <w:numPr>
          <w:ilvl w:val="2"/>
          <w:numId w:val="1"/>
        </w:numPr>
        <w:rPr/>
      </w:pPr>
      <w:bookmarkStart w:id="12" w:name="__RefHeading___Toc651659_1878427129"/>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لسیّد محمّد رضا الحسینی الجلالی</w:t>
      </w:r>
    </w:p>
    <w:p>
      <w:pPr>
        <w:pStyle w:val="Heading3"/>
        <w:numPr>
          <w:ilvl w:val="2"/>
          <w:numId w:val="1"/>
        </w:numPr>
        <w:rPr/>
      </w:pPr>
      <w:bookmarkStart w:id="14" w:name="__RefHeading___Toc651661_1878427129"/>
      <w:bookmarkStart w:id="15" w:name="_Toc5"/>
      <w:bookmarkEnd w:id="14"/>
      <w:r>
        <w:rPr>
          <w:rtl w:val="true"/>
        </w:rPr>
        <w:t>چکیده</w:t>
      </w:r>
      <w:bookmarkEnd w:id="15"/>
    </w:p>
    <w:p>
      <w:pPr>
        <w:pStyle w:val="BookText"/>
        <w:rPr/>
      </w:pPr>
      <w:r>
        <w:rPr>
          <w:rFonts w:ascii="IRNazanin" w:hAnsi="IRNazanin" w:eastAsia="IRNazanin"/>
          <w:color w:val="111111"/>
          <w:sz w:val="28"/>
          <w:sz w:val="28"/>
          <w:szCs w:val="28"/>
          <w:rtl w:val="true"/>
          <w:lang w:bidi="fa-IR"/>
        </w:rPr>
        <w:t xml:space="preserve">ثقة الاسلام کلینی در کتاب خود بابی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و در آن روایاتی را در موضوع علم ائمه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در صدد آن است که پس از بیان روایات یاد شده به شبهات حول این موضوع پاسخ گوید و به شرح روایات بپردازد</w:t>
      </w:r>
      <w:r>
        <w:rPr>
          <w:rFonts w:eastAsia="IRNazanin" w:cs="IRNazanin"/>
          <w:color w:val="111111"/>
          <w:sz w:val="28"/>
          <w:szCs w:val="28"/>
          <w:rtl w:val="true"/>
          <w:lang w:bidi="fa-IR"/>
        </w:rPr>
        <w:t>.</w:t>
      </w:r>
    </w:p>
    <w:p>
      <w:pPr>
        <w:pStyle w:val="Heading3"/>
        <w:numPr>
          <w:ilvl w:val="2"/>
          <w:numId w:val="1"/>
        </w:numPr>
        <w:rPr/>
      </w:pPr>
      <w:bookmarkStart w:id="16" w:name="__RefHeading___Toc651663_1878427129"/>
      <w:bookmarkStart w:id="17" w:name="_Toc6"/>
      <w:bookmarkEnd w:id="16"/>
      <w:r>
        <w:rPr>
          <w:rtl w:val="true"/>
        </w:rPr>
        <w:t xml:space="preserve">عصر الشیخ الکلینی </w:t>
      </w:r>
      <w:r>
        <w:rPr>
          <w:rtl w:val="true"/>
        </w:rPr>
        <w:t xml:space="preserve">( </w:t>
      </w:r>
      <w:r>
        <w:rPr>
          <w:rtl w:val="true"/>
        </w:rPr>
        <w:t xml:space="preserve">ت </w:t>
      </w:r>
      <w:r>
        <w:rPr/>
        <w:t>329</w:t>
      </w:r>
      <w:r>
        <w:rPr>
          <w:rtl w:val="true"/>
        </w:rPr>
        <w:t xml:space="preserve"> </w:t>
      </w:r>
      <w:r>
        <w:rPr>
          <w:rtl w:val="true"/>
        </w:rPr>
        <w:t>ق</w:t>
      </w:r>
      <w:r>
        <w:rPr>
          <w:rtl w:val="true"/>
        </w:rPr>
        <w:t xml:space="preserve">) </w:t>
      </w:r>
      <w:r>
        <w:rPr>
          <w:rtl w:val="true"/>
        </w:rPr>
        <w:t>،</w:t>
      </w:r>
      <w:bookmarkEnd w:id="17"/>
    </w:p>
    <w:p>
      <w:pPr>
        <w:pStyle w:val="BookText"/>
        <w:rPr/>
      </w:pPr>
      <w:r>
        <w:rPr>
          <w:rFonts w:ascii="IRNazanin" w:hAnsi="IRNazanin" w:eastAsia="IRNazanin"/>
          <w:color w:val="111111"/>
          <w:sz w:val="28"/>
          <w:sz w:val="28"/>
          <w:szCs w:val="28"/>
          <w:rtl w:val="true"/>
          <w:lang w:bidi="fa-IR"/>
        </w:rPr>
        <w:t xml:space="preserve">هو المحدّث الأقدم أبو جعفر محمّد بن یعقوب الکلینی الرازی، مجدّد القرن الرابع، المتوفّی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 وقد عاش فی عصر الغیبة الصغری، وعاصر من الوکلاء ثلاثة، وقد احتلّ بین الطائفة مکانةً مرموقةً، وله بین علماء الإسلام منزلةٌ عظیمةٌ، ننقل بعض ما قاله الکبراء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أصحابنا فی وقته بالریّ ووجههم، وکان أوثق الناس فی الحدیث وأثبتهم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ثقة عارف بالأخبار، جلیل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العامّة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فقهاء الشیعة، ومن أئمّة الإمامیّة وعلمائهم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السیّد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ثقة الإسلام، وشیخ مشایخ الأعلام، ومروّج المذهب فی غیبة الإمام علیه السلام ذکره أصحابنا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واتّفقوا علی فضله وعظم منزلته</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للنجاشی،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الفهرست للطوسی،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603</w:t>
      </w:r>
      <w:r>
        <w:rPr>
          <w:rFonts w:ascii="IRNazanin" w:hAnsi="IRNazanin" w:eastAsia="IRNazanin"/>
          <w:color w:val="111111"/>
          <w:sz w:val="28"/>
          <w:sz w:val="28"/>
          <w:szCs w:val="28"/>
          <w:rtl w:val="true"/>
          <w:lang w:bidi="fa-IR"/>
        </w:rPr>
        <w:t xml:space="preserve">؛ الرجال للطوسی، ص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الإکمال لابن ماکولا،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xml:space="preserve">؛ الکامل فی التاریخ لابن الأثیر،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الفوائد الرجالیة لبحر العلوم،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نقلنا هذه الأقوال بواسطة کتاب الشیخ الکلینی البغدادی وکتابه الکافی، تألیف السیّد ثامر هاشم حبیب العمیدی،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وکتابه العظیم الکافی أوّل الکتب الأربعة المعتمدة عند الشیعة فی الحدیث وأجلّها وأوسعها، والّذی مجّد به کبار الطائفة وأعلامهم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أجلّ کتب الشیعة وأکثرها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الشهید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الکافی فی الحدیث الّذی لم یعمل الإمامیّة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شارح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الکافی أجمع الکتب المصنّفة فی فنون علوم الإسلام، وأحسنها ضبطاً، وأضبطها لفظاً، وأتقنها معنیً، وأکثرها فائدةً، وأعظمها عائدةً، حائز میراث أهل البیت، وقمطر علومهم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السیّد بحر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کتاب جلیل، عظیم النفع، عدیم النظیر، فائق علی جمیع کتب الحدیث بحسن الترتیب، وزیادة الضبط والتهذیب، وجمعه للاُصول والفروع، واشتماله علی أکثر الأخبار الواردة عن الأئمّة الأطهار علیهم السلام </w:t>
      </w:r>
      <w:r>
        <w:rPr>
          <w:rStyle w:val="FootnoteAnchor"/>
          <w:rtl w:val="true"/>
        </w:rPr>
        <w:footnoteReference w:id="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نقلنا هذه التصریحات من المصدر السابق،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عقد الشیخ الکلینی فی کتابه الکافی باباً فی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أنّ الأئمّة علیهم السلام یعلمون متی یموتون؟ وأنّهم لا یموتون إلّاباختیار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وأورد فیه ثمانیة أحادیث تدلّ علی ما فی العنوان، ومنها الحدیث المذکور سابقاً، عن الإمام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وعَقْدُ الکلینیّ لهذا الباب بهذا العنوان یدلّ بوضوحٍ علی أنّ المشکلة کانت معروضةً فی عصره، وبحاجةٍ إلی حَسُمٍ، فلذلک لجأ إلی عقده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فلنمرّ بمضمون الأحادیث، کی نقف علی مدالیلها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إمام لا یعلم ما یصیبه وإلی ما یصیر، فلیس ذلک بحجّة للّه‌علی خلقه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ودلالته علی عنوان الباب واضحة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الحدیث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عمّن دخل علی موسی الکاظم علیه السلام فأخبره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قد سُقِیَ السُمَّ، وغداً یحتضر، وبعد غدٍ یموت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ودلالته علی علم الإمام بوقت موته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جعفر الصادق علیه السلام عن أبیه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أتی أباه علیّ بن الحسین السجّاد علیه السلام، قال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هذه اللیلة الّتی یُقبض فیها، وهی اللیلة الّتی قُبض فیها رسول اللّه 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ودلالته علی علم الإمام بلیلة وفاته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أوردناه فی المقطع السابق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الإمام الرضا 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الحدیث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الإمام أبی الحسن موسی الکاظم علیه السلام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غضبَ علی الشیعة، وأنّه خیّره نفسه أو الشیعة، وأنّه وقاهم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ودلالته علی تخییره بین أن یصیبهم بالموت، أو یصیبه هو، وعلی اختیاره الموت وقاءً لهم،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إلی أبی الحسن الرضا علیه السلام أنّه قال لمسافر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رأی رسول اللّه صلی الله علیه و آله و سلم وهو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ما عندنا خیرٌ 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هذا القول هو دعوةٌ للإمام إلی ما عند رسول اللّه، وهو کنایة واضحة عن الموت، وقد مثّل الإمام الرضا علیه السلام وضوح ذلک بوضوح وجود الحیتان فی القناة الّتی أشار إلیها فی صدر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أبی عبد اللّه الصادق علیه السلام، أنّ أباه أوصاه بأشیاء فی غسله وفی کفنه وفی دخوله قبره، ولیس علیه أثر الموت، فقال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أما سمعت علیّ بن الحسین علیه السلام یُنادی من وراء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یامحمّد، تعال، عجّل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ودلالته مثل دلالة الحدیث السابق، فی کون الدعوة إلی الدار الأُخری، والقرینة هنا أوضح، حین أوصی الإمام بتجهیزه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ودلالة هذین الحدیثین علی ثبوت الاختیار للإمام واضحة، إذ إنّ مجرّد الدعوة لیس فیها إجبارٌ علی الامتثال، بل یتوقّف علی الإجابة الاختیاریّة لذلک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الحدیث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عن عبد الملک بن أَعْیَن،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اللّهُ </w:t>
      </w:r>
    </w:p>
    <w:p>
      <w:pPr>
        <w:pStyle w:val="BookText"/>
        <w:rPr/>
      </w:pPr>
      <w:r>
        <w:rPr>
          <w:rFonts w:ascii="Amiri" w:hAnsi="Amiri" w:eastAsia="Amiri" w:cs="Amiri"/>
          <w:color w:val="111111"/>
          <w:sz w:val="28"/>
          <w:sz w:val="28"/>
          <w:szCs w:val="28"/>
          <w:rtl w:val="true"/>
          <w:lang w:bidi="ar-SA"/>
        </w:rPr>
        <w:t>تعالی النصرَ علی الحسین علیه السلام حتّی کان بینَ السماء والأرض، ثمّ خُیّر النصرَ أو لقاءَ اللّه، فاختارَ لِقاءَ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ودلالته علی ما فی عنوان الباب واضحةٌ، للتصریح فیه بالتخییر ثمّ اختیار الإمام لقاء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وضوح دلالة جمیع هذه الأحادیث علی ما فی عنوان الباب کما شرحناه، فلا یرد نقدٌ إلی الکلینی، ولا الکافی ، ولا هذا الباب بالخصوص، ومن حاولَ التهجّمَ علی کتاب الکافی والتشکیک فی صحّة نسخه والمناقشة فی أسانید هذه الأحادیث، فهو بعیدٌ عن العلم وأسالیب عمل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والتشکیک فی دلالة الأحادیث علی مدلول عنوان الباب، یدلّ علی الجهل باللغة العربیّة ودلالتها اللفظیّة، والبعد عن أوّلیّات علم الکلام بشکلٍ مکشوف ومفضوح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نجد من اللّازم التعرّض لکلّ ما ذکر فی هذا المجال، إلّاأنّ محاولة التهجّم علی الکتاب وأسانیده لا بدّ من ذکرها وتفنیدها،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تبعاً لمستشرق أمریکی أثار هذه الشبهة، من أنّ نُسخ کتاب الکافی مختلفة، وأنّ هناک فرقاً بین روایة الصفوانی وروایة النعمانی للکتاب، وبین النسخة المطبوعة المتداولة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تلامیذ الکلینی الّذین رووا عنه کتاب الکافی بالخصوص کثیرون، وقد صرّح علماء الرجال بروایتهم للکتاب عن مؤلّفه الکلینی،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الصفوانی، والنعمانی، وأبو غالب الزراری، وأبو الحسن الشافعی، وأبو الحسین الکاتب الکوفی، والصیمری، والتلعکبری، وغیرهم </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لاحظ کتاب الشیخ الکلینی للسیّد العمیدی، ص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دلّت کثرة الرواة علی شیء فإنّما تدلّ علی أهمّیة الکتاب والعنایة به والتأکّد من نصّه، ولا بدّ أن یبذل المؤلّف والرواة غایة جهدهم فی تحقیق عملیّة المحافظة علیه، والتأکّد من بلوغه بالطرق الموثوقة المتعارفة لتحمّل الحدیث وأدائه</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الاختلاف بین النسخ علی أثر وقوع التصحیف والسهو فی الکتابة، وعلی طول المدّة الزمنیّة بیننا وبین القرن الرابع علی مدی عشرة قرون، فهذا أمرٌ قد مُنِیَ به تُراثنا </w:t>
      </w:r>
    </w:p>
    <w:p>
      <w:pPr>
        <w:pStyle w:val="BookText"/>
        <w:rPr/>
      </w:pPr>
      <w:r>
        <w:rPr>
          <w:rFonts w:ascii="IRNazanin" w:hAnsi="IRNazanin" w:eastAsia="IRNazanin"/>
          <w:color w:val="111111"/>
          <w:sz w:val="28"/>
          <w:sz w:val="28"/>
          <w:szCs w:val="28"/>
          <w:rtl w:val="true"/>
          <w:lang w:bidi="fa-IR"/>
        </w:rPr>
        <w:t xml:space="preserve">العربیّ، فهل یعنی ذلک التشکیک فی هذا التراث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فإنّ علماء الحدیث قد بذلوا جهوداً مضنیّةً فی الحفاظ علی هذا التراث وجمع نسخه والمقارنة بینها، والترجیح والاختیار والتحقیق والتأکّد من النصّ، شأنهم فی ذلک شأن العلماء فی عملهم مع النصوص الأُخری، من دون أن یکون لمثل هذه التشکیکات أثرٌ فی حجّیتها أو سلب إمکان الإفادة منها، ما دامت قواعد التحقیق والتأکّد والتثبّت، متوفّرةً، والحمد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تهریج الجهلة بأسالیب التحقیق، وبقواعد البحث العلمی فی انتخاب النصوص، وإثارتهم وجود نسخ مختلفة، فهو نتیجةٌ واضحةٌ للأغراض المنبعثة من الحقد والکراهیّة للعلم، وقدیماً 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الناس أعداء ما جهلوا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مناقشة الأحادیث المذکورة، من حیث أسانیدها، ووجود رجال موسومین بالضعف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البحث الرجالی، ونقد الأسانید بذلک، لا بدّ أن یعتمد علی منهجٍ رجالیٍّ محدّدٍ، یتّخذه الناقد، ویستدلّ علیه، ویطبّقه، ولیس ذلک حاصلاً بمجرّد تصفّح کتب الرجال، ووجدان اسم لرجل، والحکم علیه بالضعف أو الثقة، تبعاً للمؤلّفین الرجالیّین وتقلیداً لهم، مع عدم معرفة مناهجهم وأسالیب عملهم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من المؤسف ما أصاب هذا علم رجال الحدیث، إذ أصبح ملهاةً للصغار من الطلبة یناقشون به أسانید الأحادیث، مع جهلهم بالمناهج الرجالیّة الّتی أسّس مؤلّفوا علم الرجال کتبهم علیها، وبنوا أحکامهم الرجالیة علی أساسها، مع أهمیّة ما یبتنی علی تلک الأحکام من إثبات ونفی، وردٍّ وأخذٍ لأحادیث وروایات فی الفقه والعقائد والتاریخ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إنّ معرفة الحدیث الشریف، وأسالیب تألیفه ومناهج مؤلّفیه له أثرٌ مهمٌّ فی مداولة کتبهم والاستفادة منها، ولقد أساء من أقحم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یزال یقحمُ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الطلبة فی وادی هذا العلم الصعب المسالک، فیصرفون أوقاتهم الغالیة فی مناقشات ومحاولات عقیمة، ویبنون علیها الأحکام والنتائج الخطیرة</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کالمناقشة فی أسانید أحادیث هذا الباب الّذی نبحث عنه فی کتاب الکافی للشیخ </w:t>
      </w:r>
    </w:p>
    <w:p>
      <w:pPr>
        <w:pStyle w:val="BookText"/>
        <w:rPr/>
      </w:pPr>
      <w:r>
        <w:rPr>
          <w:rFonts w:ascii="IRNazanin" w:hAnsi="IRNazanin" w:eastAsia="IRNazanin"/>
          <w:color w:val="111111"/>
          <w:sz w:val="28"/>
          <w:sz w:val="28"/>
          <w:szCs w:val="28"/>
          <w:rtl w:val="true"/>
          <w:lang w:bidi="fa-IR"/>
        </w:rPr>
        <w:t>الکلینی، فقد جهل المناقش أُموراً من مناهج النقد الرجالی، ومن أُسلوب عمل الکلینی، فخبط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خبطَ عَشْواء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توجیه النقد إلی الکافی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قسم الأُصول من الکافی إنّما یحتوی علی أحادیث ترتبط بقضایا عقائدیة، وأُخری موضوعات لا ترتبط بالتعبّد الشرعیّ، کالتواریخ وأحوال الأئمّة ومجریات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اعتبار السند، وحاجته إلی النقد الرجالی بتوثیق الرواة أو جرحهم، إنّما هو لازمٌ فی مقام إثبات الحکم الشرعیّ، للتعبّد به؛ لأنّ طریق اعتبار الحدیث توصّلاً إلی التعبّد به متوقّفٌ علی اعتباره سندیّاً، بینما القضایا الاعتقادیة، والموضوعات الخارجیّة لا یمکن التعبّد بها؛ لأنّها لیست من الأحکام الشرعیة، فلیس المراد منها هو التعبّد بمدلولها والتبعیّة للإمام فیها، وإنّما المطلوب الأساسی منها هو القناعة والالتزام القلبی والیقین، ولیس شیء من ذلک یحصل بالخبر الواحد حتّی لو صحّ سنده، وقیل بحجّیته واعتباره؛ لأنّه علی هذا التقدیر لا یفید العلم، وإنّما یعتبر للعمل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حاجة العلماء إلی نقل ما روی من الأحادیث فی أبواب الأُصول الاعتقادیة، لمجرّد الاسترشاد بها، والوقوف من خلالها علی أسالیب الاستدلال والطرق القویمة المحکمة الّتی یتّبعها أئمّة أهل البیت علیهم السلام فی الإقناع والتدلیل علی تلک الأُصول، ولا یفرّق فی مثل هذا أن یکون الحدیث المحتوی علیه صحیح السند أو ضعیفه، ما دام المحتوی وافیاً بهذا الغرض وموصلاً إلی الإقناع الفکری بالمضمون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التشکیک فی سند الحدیث المحتوی علی الإقناع مؤثّراً لرفع القناعة بما احتواه من الدلیل، وکذا الموضوعات الخارجیّة، کالتواریخ، وسنیّ الأعمار، وأخبار السیرة، لیس فیها شیءٌ یتعبّد به حتّی تأتی فیه المناقشة السندیّة، وإنّما هی أُمور ممکنة، یکفی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الالتزام بها ونفی احتمال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الخبر به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لم یمنع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الالتزام بمحتوی الخبر الوارد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 محکمٌ، أو فرعٌ ملتزَمٌ، ولم تترتّب علی الالتزام به مخالفة واضحة، أو لم تقم علی خلافه أدلّةٌ معارضةٌ، کفی الخبر الواحد فی احتماله لکونه ممکناً، وإذا غلب علی الظنّ وقوعه باعتبار کثرة ورود </w:t>
      </w:r>
    </w:p>
    <w:p>
      <w:pPr>
        <w:pStyle w:val="BookText"/>
        <w:rPr/>
      </w:pPr>
      <w:r>
        <w:rPr>
          <w:rFonts w:ascii="IRNazanin" w:hAnsi="IRNazanin" w:eastAsia="IRNazanin"/>
          <w:color w:val="111111"/>
          <w:sz w:val="28"/>
          <w:sz w:val="28"/>
          <w:szCs w:val="28"/>
          <w:rtl w:val="true"/>
          <w:lang w:bidi="fa-IR"/>
        </w:rPr>
        <w:t>الأخبار به أو توافرها، أو صدور مثل ذلک الخبر من أهله الخاصّین بعلمه، أو ما یماثل ذلک من القرائن والمناسبات المقارنة، کفی ذلک مقنعاً للالتزام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وبما أنّ موضوع قسم الأُصول من الکافی ، وخاصّةً الباب الّذی أورد فیه الأحادیث المذکورة الدالّة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الأئمّة علیهم السلام بوقت موتهم وأنّ لهم الاختیار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موضوع خارج عن مجال الأحکام والتعبّد بها، ولیس الالتزام به منافیاً لأصلٍ من الأُصول الثابتة، ولا لفرعٍ من الفروع الشرعیّة، ولا معارضاً لآیة قرآنیّة، ولا لحدیثٍ ثابتٍ فی السنّة، ولا ینفیه دلیلٌ عقلیٌّ، وقد وردت به هذه المجموعة من الأحادیث والآثار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کان طریقها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أصبح من الممکن والمحتمل والمعقول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توافرت الأحادیث وتکرّرت، کما هو فی أحادیث الباب، ودلّت القرائن الأُخری المذکورة فی کتب السیرة والتاریخ، وأیّدت الأحادیث المنبئة عن تلک المضامین، حصل من مجموع ذلک وثوقٌ واطمئنان بثبوته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ینظر فی مثل ذلک إلی مفردات الأسانید ومناقشتها رجالیّاً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ناحیةٍ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المنهج السائد فی عرف قدماء العلماء وأعلام الطائفة، هو اللجوء إلی المناقشة الرجالیّة فی الأسانید، ومعالجة اختلاف الحدیث بذلک، فی خصوص موارد التعارض والاختلاف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علی هذه السیرة وقیام العمل بها، باعتمادهم فی الفقه وغیره علی الأحادیث المرسلة المقبولة والمتداولة وإن کانت لا سند لها، فضلاً عن المقطوعة الأسانید، فی صورة انفرادها بالحکم فی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وللبحث عن هذا المنهج، وقبوله أو مناقشته، مجال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الکلینی لم یکن غافلاً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وجود هذه الأسماء فی أسانید الأحادیث، لتسجیله لها وعقد باب لها فی کتابه، کیف، وهو من روّاد علم الرجال، وقد ألّف کتاباً فی هذا العلم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للنجاشی،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جامع الرواة للأردبیلی،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الفوائد الرجالیة،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الشیعة، ج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مصفّی المقال، ص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الأعلام للزرکلی،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ولاحظ کتاب الشیخ الکلینی البغدادی للسیّد العمیدی، ص </w:t>
      </w:r>
      <w:r>
        <w:rPr>
          <w:rFonts w:eastAsia="IRNazanin" w:cs="IRNazanin"/>
          <w:color w:val="111111"/>
          <w:sz w:val="28"/>
          <w:szCs w:val="28"/>
          <w:lang w:bidi="fa-IR"/>
        </w:rPr>
        <w:t>120</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اتّهام الرواة لهذه الأحادیث بالارتفاع والغلوّ، ومحاسبة المؤلّف الکلینی علی إیرادها؛ لأنّها تحتوی علی ثبوت علم الغیب للأئمّة علیهم السلام، فهذا مبنیٌ علی الجهل بأبسط المصطلحات المتداولة بین العلماء، فالغلوّ اسمٌ یطلق علی نسبة الربوبیّة إلی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بینما هذا الباب معنونٌ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الأئمّة یعلمون متی یموتون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فعنوان الباب یتحدّث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یناقض القول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فجمیع رواة هذا الباب، یبتعدون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الغلوّ المصطلح، قطعاً، فکیف یتّهمهم بالغلوّ؟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والکلینیُّ نفسه ممّن ألّف کتاباً فی الردّ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القرامطة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 فرقة تُنسب إلی الغلاة </w:t>
      </w:r>
      <w:r>
        <w:rPr>
          <w:rStyle w:val="FootnoteAnchor"/>
          <w:rtl w:val="true"/>
        </w:rPr>
        <w:footnoteReference w:id="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للنجاشی، 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الفهرست للطوسی، ص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معالم العلماء لابن شهر آشوب،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جامع‌الرواة،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لؤلؤة البحرین للبحرانی، ص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هدیّة العارفین للبغدادی، مج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الفوائد الرجالیة،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ولاحظ کتاب الشیخ الکلینی البغدادی للسیّد العمیدی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 یدلّ علی استیعاب الکلینی وتخصّصه فی أمر الفِرَق، فکیف یحاسب بمثل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قول الکلینی فی عنوان الباب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وأنّهم لا یموتون إلّاباختیارٍ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أنّ الموت الإلهی الّذی قهرَ اللّهُ بهِ عباده وما سواه، بدون استثناء، وتفرّد هو بالبقاء دونهم، لا بدّ أن یشمل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مفرّ لهم منه، وإنّما امتازوا بین سائر الخلائق بأن جعل اللّهُ اختیارهم لموتهم إلیهم، وهذا یوحی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لهم اختیار وقت الموت، فیختارون الآجال المعلّقة قبل أن تُحتم، فیکون ذلک بإرادة منهم واختیار وعلم، رغبةً منهم فی سرعة لقاء اللّه، وتحقیقاً للآثار العظیمة المترتّبة علی شهادتهم فی ذلک الوقت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أنسبُ بکون إقداماتهم مع کامل اختیارهم، وعدم کونها مفروضة علیهم، وأنسب بکون ذلک مطابقاً لقضاء اللّه وقدره، فهو یعنی إرادة اللّه منهم لِما أقدموا علیه، من دون حتم، وإلّا، فإنْ کان قضاءاً مبرَماً وأجلاً حتْماً لازماً، فکیف یکونون مختارین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معنی موافقتهم علی ما لیس لهم الخروج عنه إلی غیره؟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لهم اختیار نوع الموت الّذی یموتون به، من القتل بالسیف ضربةً واحدةً، کما اختار الإمام أمیر المؤمنین علیه السلام ذلک، أو بشرب السُمّ أو أکل المسموم کما اختاره أکثر الأئمّة علیهم السلام، أو بتقطیع الأوصال وفری الأوداج واحتمال النصال والسهام وآلام الحرب والنضال، وتحمّل العطش والظمأ، کما جری علی الإمام سیّد الشهداء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ولایأبی عموم لفظ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یموتون إلّاباختیارٍ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الحمل علی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فی المعنی الثانی بُعداً اجتماعیاً هامّاً،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الأئمّة الأطهار علیهم السلام کانوا یعلمون من خلال الظروف، والأحداث، والمؤشّرات والمجریات، المحیطة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حاجة إلی الاعتماد علی الغیب وإخباره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الخلفاء الظلمة، والمتغلّبین الجهلة علی حکم العباد والبلاد، سیقدمون علی إزهاق أرواحهم المقدّسة بکلّ وسیلة تمکّنهم؛ لأنّهم لا یطیقون تحمّل وجود الأئمّة علیهم السلام الرافضین للحکومات الجائرة والفاسدة، والّتی تحکم وتتحکّم علی الرقاب بالباطل وباسم الإسلام، لیشوّهوا سمعته الناصعة بتصرّفاتهم الشوهاء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الأئمّة الأطهار تجسیداً للمعارضة الحقّة الحیّة، ولو کانوا فی حالة من السکوت، وعدم مدّ الید إلی الأسلحة الحدیدیّة، لکنّ وجوداتهم الشریفة کانت قنابل قابلة للانفجار فی أیّ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وتعالیمهم کانت تمثّل الصرخات المدوّیة علی أهل الباطل، ودروسهم وسیرتهم کانت تمثّل الشرارات ضدّ تلک الحکومات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تطیق الأنظمة الفاسدة وجود هؤلاء الأئمّة، لحظة 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الأئمّة علیهم السلام یعلمون أنّ مصیرهم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الموت، ویعرفون أنّ الظلمة یکیدون لهم المکائد، ویتربّصون بهم الدوائر، ویدبّرون لقتلهم والتخلّص من وجودهم، ویسعون فی أن ینفّذوا جرائمهم فی السرّ والخفاء، لئلّا یتحمّلوا مسؤولیة ذلک، ولا یحاسَبوا علیه أمامَ الناس والتاریخ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تمّ لهم إبادة هؤلاء الأئمّة سرّاً وبالطریقة الّتی یرغبون فیها، لکان أنفع لهم، وأنجع لأغراضهم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الأئمّة علیهم السلام لا بدّ أن یُحبِطوا هذه المکیدة علی الظلمة القتلة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 ذلک علیهم أن یأخذوا بأیدیهم زمام المبادرة فی هذا المجال المهمّ الخطر، ویختاروا بأنفسهم أفضل أشکال الموت الّذی یُعلن مظلومیتهم، ویصرخ بظُلاماتهم، </w:t>
      </w:r>
    </w:p>
    <w:p>
      <w:pPr>
        <w:pStyle w:val="BookText"/>
        <w:rPr/>
      </w:pPr>
      <w:r>
        <w:rPr>
          <w:rFonts w:ascii="IRNazanin" w:hAnsi="IRNazanin" w:eastAsia="IRNazanin"/>
          <w:color w:val="111111"/>
          <w:sz w:val="28"/>
          <w:sz w:val="28"/>
          <w:szCs w:val="28"/>
          <w:rtl w:val="true"/>
          <w:lang w:bidi="fa-IR"/>
        </w:rPr>
        <w:t>ویفضح قاتلیهم، ویُعلن عن الإجرام والکید الّذی جری علیهم، ولا تضیع هدراً نفوسهم البریئة، ولا دماؤهم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کان الإمام أمیرُ المؤمنین علیّ علیه السلام یُقتل فی بیته، أو فی بعض الأزقّة والطرق، خارج المسجد، فمن کان یفنّد الدعایات الکاذبة الّتی بثّها بنو أُمیّة بین أهل الشام بأنّ علیّاً علیه السلام لا 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سمعوا أنّه قُتل فی المسجد، تنبّهوا إلی زیف تلک الدعایات المضلّلة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الإمام الحسین علیه السلام یُقتل فی المدینة، فمن کان یطّلع علی قضیّته؟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إذا کان یُقتل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فمضافاً إلی أنّه کان یُعاب علیه أنّ حرمة الحرم قد هُتکت بقتله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کان یضیع دمه بین صخب الحجیج وضجیجهم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إذا قُتل الحسین علیه السلام فی أرض غیر کربلاء، فأین؟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کلّ النصوص الّتی تناقلتها الصحف، والأخبار عن جدّه النبی المختار صلی الله علیه و آله و سلم حول الفرات وکربلاء وتربتها الحمراء؟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الاختیار یدلّ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إلی کلّ المعانی العرفانیّة الّتی نستعرضها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تدبیرٍ حکیمٍ، وحنکةٍ سیاسیّةٍ، ورؤیةٍ نافذةٍ، وحزمٍ محکمٍ، قام به الأئمّة علیهم السلام فی حیاتهم السیاسیّة تجاه الظالمین المستحوذین علی جمیع المقدّرات، والّذین سلبوا من الأُمّة کلّ الحرّیات حتّی حریّة انتخاب الموت کمّاً وکیفاً ووقتاً ومکاناً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خروج الأئمّة علیهم السلام بتدابیرهم الحکیمة عن سلطة الحکّام فی هذه المعرکة، وتجاوزهم لإرادتهم وأخذ زمام الاختیار بأیدیهم، وانتخابهم للطریقة المثلی لموتهم، یُعدّ انتصاراً باهراً، فی تلک الظروف الحرجة 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کتابی الحسین علیه السلام سماته وسیرته ما نصّه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وهل المحافظةُ علی النفس، والرغبة فی عدم إراقة الدماء، والخوف من القتل، أُمور تمنع من أداء الواجب، أو تعرقل مسیرة المسؤولیّة الکبری،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المحافظة علی الإسلام وحرماته، وإتمام الحجّة علی الأُمّة بعد دعواتها المتتالیة، واستنجادها المتتابع؟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هل تُعقل المحافظة علی النفس، بعد قطع تلک المراحل النضالیة، والّتی کان أقلّ نتائجها المنظورة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أنّ یزید صمّم وعزم علی الفتک بالإمام علیه السلام الّذی کان </w:t>
      </w:r>
    </w:p>
    <w:p>
      <w:pPr>
        <w:pStyle w:val="BookText"/>
        <w:rPr/>
      </w:pPr>
      <w:r>
        <w:rPr>
          <w:rFonts w:ascii="IRNazanin" w:hAnsi="IRNazanin" w:eastAsia="IRNazanin"/>
          <w:color w:val="111111"/>
          <w:sz w:val="28"/>
          <w:sz w:val="28"/>
          <w:szCs w:val="28"/>
          <w:rtl w:val="true"/>
          <w:lang w:bidi="fa-IR"/>
        </w:rPr>
        <w:t>یجده السدَّ الوحیدَ أمامَ استثمار جهود أبیه فی سبیل المُلک الأُموی العضوض، فلا بدّ من أن یزیحه عن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ویتمنّی الحکم الأُموی لو أنّ الحسین علیه السلام کان یقف هادئاً ساکناً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للحظة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یرکّز فی استهدافه، وقتله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وحبّذا لو کان قتل الحسین علیه السلام بصورة اغتیال، حتّی یضیع دمه، وتهدر قضیّته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أعلن الحسین علیه السلام عن رغبتهم فی أن یقتلوه هکذا، وأنّهم مصمّمون علی ذلک حتّی لو وجدوه فی جُحر 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وأشار یزید إلی جلاوزته أن یحاولوا قتل الحسین أینما وجدوه، ولو کان متعلّقاً بأستار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فلماذا لا یبادرهم الإمام علیه السلام إلی انتخاب أفضل زمان، وفی أفضل مکان، وبأفضل شکلٌ، للقتل؟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عاشوراء المسجّل فی عالم الغیب، والمثبّت فی الصحف الأُولی، وما تلاها من أنباء الغیب الّتی سنستعرضها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والمکان کربلاء الأرض الّتی ذُکر اسمها علی الألسن منذ عصور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الشکل الّذی اختاره للقتل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النضال المستمیت، الّذی ظلّ صداه، وصدی بطولاته، وقعقعات سیوفه، وصرخات الحسین علیه السلام المعلنة عن أهدافه ومظلومیّته، مدوّیةً فی أُذن التاریخ علی طول مداه، یقضّ مضاجع الظالمین، والمزوّرین للحقائق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الحسین علیه السلام وبمثل ما قام به من الإقدام، أثبتَ خلود ذکره، وحدیث مقتله، علی صفحات الدهر، حتّی لا تناله خیاناتُ المحرّفین، ولا جحودُ المنکرین، ولا تزییف المزوّرین، بل یخلدُ خلود الحقّ والدین</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علیه السلام سماته وسیرته، 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الشیخ الکلینیّ وهو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أوثق الناس فی الحدیث وأثبتهم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شهد له النجاشی، قد بنی تألیف کتابه علی أساسٍ محکمٍ، ومن شواهد الإحکام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رحمه الله عقدَ باباً بعنوان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نادر فی ذکر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فیه أحادیث تحلّ مشکلة الاعتراض الأوّل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وفیه الجواب الصریح لقول السائل للأئمّة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أتعلمون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ویجعل نتیجة هذا الباب أصلاً موضوعاً للأبواب التالیة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تلک الأحادیث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حُمران بن أَعْیَن، قال لأبی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قوله جلّ ذکره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فَلا یُظْهِرُ عَلی غَیْبِهِ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اِرْتَضی مِنْ 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ممّن ارتضاه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کان الکلینی یراعی ترتیب أبواب کتابه ترتیباً منهجیّاً برهانیّاً، حتّی تؤتی نتائجها الحتمیّة بشکلٍ منطقیّ مقبول، فجعل من کتابه الکافی للدین سدّاً لا یستطیع الملحدون أن یظهروه بشبههم وتشکیکاتهم، ولا یستطیعون له نقباً</w:t>
      </w:r>
      <w:r>
        <w:rPr>
          <w:rFonts w:eastAsia="IRNazanin" w:cs="IRNazanin"/>
          <w:color w:val="111111"/>
          <w:sz w:val="28"/>
          <w:szCs w:val="28"/>
          <w:rtl w:val="true"/>
          <w:lang w:bidi="fa-IR"/>
        </w:rPr>
        <w:t xml:space="preserve">. </w:t>
      </w:r>
      <w:bookmarkStart w:id="18" w:name="pg14553_191710"/>
    </w:p>
    <w:p>
      <w:pPr>
        <w:pStyle w:val="BookText"/>
        <w:rPr/>
      </w:pPr>
      <w:bookmarkEnd w:id="18"/>
      <w:r>
        <w:rPr>
          <w:rFonts w:ascii="IRNazanin" w:hAnsi="IRNazanin" w:eastAsia="IRNazanin"/>
          <w:color w:val="111111"/>
          <w:sz w:val="28"/>
          <w:sz w:val="28"/>
          <w:szCs w:val="28"/>
          <w:rtl w:val="true"/>
          <w:lang w:bidi="fa-IR"/>
        </w:rPr>
        <w:t>زمینه‌های تاریخی کتاب کافی با تکیه بر جنبه‌های کلامی</w:t>
      </w:r>
    </w:p>
    <w:p>
      <w:pPr>
        <w:pStyle w:val="Heading2"/>
        <w:numPr>
          <w:ilvl w:val="1"/>
          <w:numId w:val="1"/>
        </w:numPr>
        <w:rPr/>
      </w:pPr>
      <w:bookmarkStart w:id="19" w:name="__RefHeading___Toc651665_1878427129"/>
      <w:bookmarkStart w:id="20" w:name="_Toc7"/>
      <w:bookmarkEnd w:id="19"/>
      <w:r>
        <w:rPr>
          <w:rtl w:val="true"/>
        </w:rPr>
        <w:t>زمینه های تاریخی کتاب کافی با تکیه بر جنبه های کلامی</w:t>
      </w:r>
      <w:bookmarkEnd w:id="20"/>
    </w:p>
    <w:p>
      <w:pPr>
        <w:pStyle w:val="Heading3"/>
        <w:numPr>
          <w:ilvl w:val="2"/>
          <w:numId w:val="1"/>
        </w:numPr>
        <w:rPr/>
      </w:pPr>
      <w:bookmarkStart w:id="21" w:name="__RefHeading___Toc651667_1878427129"/>
      <w:bookmarkStart w:id="22" w:name="_Toc8"/>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 xml:space="preserve">زمینه های تاریخی کتاب کافی با تکیه بر جنبه های کلامی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علی معموری</w:t>
      </w:r>
    </w:p>
    <w:p>
      <w:pPr>
        <w:pStyle w:val="Heading3"/>
        <w:numPr>
          <w:ilvl w:val="2"/>
          <w:numId w:val="1"/>
        </w:numPr>
        <w:rPr/>
      </w:pPr>
      <w:bookmarkStart w:id="23" w:name="__RefHeading___Toc651669_1878427129"/>
      <w:bookmarkStart w:id="24" w:name="_Toc9"/>
      <w:bookmarkEnd w:id="23"/>
      <w:r>
        <w:rPr>
          <w:rtl w:val="true"/>
        </w:rPr>
        <w:t>چکیده</w:t>
      </w:r>
      <w:bookmarkEnd w:id="24"/>
    </w:p>
    <w:p>
      <w:pPr>
        <w:pStyle w:val="BookText"/>
        <w:rPr/>
      </w:pPr>
      <w:r>
        <w:rPr>
          <w:rFonts w:ascii="IRNazanin" w:hAnsi="IRNazanin" w:eastAsia="IRNazanin"/>
          <w:color w:val="111111"/>
          <w:sz w:val="28"/>
          <w:sz w:val="28"/>
          <w:szCs w:val="28"/>
          <w:rtl w:val="true"/>
          <w:lang w:bidi="fa-IR"/>
        </w:rPr>
        <w:t>کتاب کافی کلینی، نخستین اثر جامع حدیثی شیعه است که با دربرداشتن ابواب گوناگون اعتقادی، فقهی، تاریخی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جایگاه و اهمیت ویژه‌ای در تاریخ اندیشه شیعه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درصدد شناسایی زمینه‌های تدوین این اثر و جایگاه تاریخی آن بوده، به‌طور خاص بر ابعاد کلامی آن تمرکز نموده، در پی اثبات این ادعا هستیم که روایات کلامی کافی بیش از آن که پایگاه سندی قدرت‌مندی داشته باشند، در چارچوب ایدئولوژی اعتقادی شیعه در آن عصر شکل گرفته و مستندات دیگری برای اثبات درستی آنها چون اعتبار عقلی یا وجود قراینی پیرامونی مبنا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گزارش کوتاهی از زندگی کلینی ارائه داده و سپس به بررسی کتاب کافی و ابعاد کلامی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کافی، حدیث شیعه و ابواب کافی</w:t>
      </w:r>
      <w:r>
        <w:rPr>
          <w:rFonts w:eastAsia="IRNazanin" w:cs="IRNazanin"/>
          <w:color w:val="111111"/>
          <w:sz w:val="28"/>
          <w:szCs w:val="28"/>
          <w:rtl w:val="true"/>
          <w:lang w:bidi="fa-IR"/>
        </w:rPr>
        <w:t>.</w:t>
      </w:r>
    </w:p>
    <w:p>
      <w:pPr>
        <w:pStyle w:val="Heading3"/>
        <w:numPr>
          <w:ilvl w:val="2"/>
          <w:numId w:val="1"/>
        </w:numPr>
        <w:rPr/>
      </w:pPr>
      <w:bookmarkStart w:id="25" w:name="__RefHeading___Toc651671_1878427129"/>
      <w:bookmarkStart w:id="26" w:name="_Toc10"/>
      <w:bookmarkEnd w:id="25"/>
      <w:r>
        <w:rPr>
          <w:rtl w:val="true"/>
        </w:rPr>
        <w:t>شرح حال کلینی</w:t>
      </w:r>
      <w:bookmarkEnd w:id="2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یعقوب کلینی در میانه قرن سوم هجری در روستای کُلِین یا کُلَین </w:t>
      </w:r>
      <w:r>
        <w:rPr>
          <w:rStyle w:val="FootnoteAnchor"/>
          <w:rtl w:val="true"/>
        </w:rPr>
        <w:footnoteReference w:id="11"/>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دقیق ولادت وی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مناطق چندی به نام کلین البته با اختلاف </w:t>
      </w:r>
    </w:p>
    <w:p>
      <w:pPr>
        <w:pStyle w:val="BookText"/>
        <w:rPr/>
      </w:pPr>
      <w:r>
        <w:rPr>
          <w:rFonts w:ascii="IRNazanin" w:hAnsi="IRNazanin" w:eastAsia="IRNazanin"/>
          <w:color w:val="111111"/>
          <w:sz w:val="28"/>
          <w:sz w:val="28"/>
          <w:szCs w:val="28"/>
          <w:rtl w:val="true"/>
          <w:lang w:bidi="fa-IR"/>
        </w:rPr>
        <w:t>کمی در گویش در ایران 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روستای کلین از توابع فشافویه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جنوب‌غربی شهر ری؛ منطقه‌ای در اطراف شهر ورامین؛ روستایی از توابع رودبار، نزدیک قزوین</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دهات کشور، ص</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فرهنگ جغرافیایی ایران،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درخصوص مورد نخست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حموی، معجم البلدان،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لقب رازی نشان‌دهنده انتساب کلینی به شهر ری بوده، اما وسعت جغرافیایی ری در گذشته شامل هر سه منطقه مذکور بوده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نتیجه، لقب رازی کمکی به تعیین دقیق محل ولادت شخصیت مورد نظر نمی‌کند، از این رو برخی شرح حال نویسان در این مسئله، سردرگم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این حال، نزدیک‌تر بودن مورد نخست به شهر ری نسبت به دو مورد دیگر و نیز گویش متفاوت نام دو منطقه دیگر در کنار وجود مقبره‌ای منسوب به پدر کلینی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باعث شده که مورد نخست به عنوان محل تولد کلینی پذیرفته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افزون بر مؤلف کتاب کافی ، شخصیت‌های علمی دیگری نیز به این منطقه نسبت دارند که بیشتر، از محدثان شیعه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اهل سنت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فراوانی از سیر زندگی و تحصیلات کلینی در دست نیست، جز آن که از طریق سلسله اسناد روایات کافی ، فهرست نسبتاً مفصلی از مشایخ حدیث او به دست می‌آید که تعدادشان به بیش از سی نفر می‌رسد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ابوعلی، احمد بن ادریس بن احمد اشعری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عبداللّه بن امیه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احمد بن محمد بن سعید بن عبدالرحمن همدانی معروف به ابن 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احمد بن عاصم عاصمی کوفی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احمد بن</w:t>
      </w:r>
    </w:p>
    <w:p>
      <w:pPr>
        <w:pStyle w:val="BookText"/>
        <w:rPr/>
      </w:pPr>
      <w:r>
        <w:rPr>
          <w:rFonts w:ascii="IRNazanin" w:hAnsi="IRNazanin" w:eastAsia="IRNazanin"/>
          <w:color w:val="111111"/>
          <w:sz w:val="28"/>
          <w:sz w:val="28"/>
          <w:szCs w:val="28"/>
          <w:rtl w:val="true"/>
          <w:lang w:bidi="fa-IR"/>
        </w:rPr>
        <w:t xml:space="preserve">محمد بن عیسی بن عبداللّه بن سعد بن مالک بن احوص بن سائب بن مالک بن عامر اشعری قمی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مهران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یعقوب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خفیف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فضل بن یزید یمانی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حسن حسینی اسود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حسن هاشمی حسنی علوی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علوی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ابوعبداللّه حسین بن محمد بن عمران بن ابی بکر اشعری قمی معروف به ابن عامر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اهل نینوا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ابوسلیمان داود بن کوره قمی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سعد بن عبداللّه بن ابی خلف اشعری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ابوداود سلیمان بن سفیان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سهل بن زیاد آدمی رازی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عبداللّه بن جعفر بن حسین بن مالک بن جامعه حمیری قمی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ابراهیم بن هاشم قمی صاحب تفسیر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حسین سعد آبادی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عبداللّه بن محمد بن عاصم خدیجی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محمد بن ابراهیم بن ابان رازی کلینی معروف به علان، دایی محمد بن یعقوب کلینی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ابی‌القاسم بندار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محمد بن ابی‌القاسم عبداللّه بن عمران برقی قمی خواهرزاده احمد بن محمد بن خالد برقی معروف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کمندانی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ابومحمد قاسم بن علاء آذربایجانی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محمد بن اسماعیل نیشابوری </w:t>
      </w:r>
      <w:r>
        <w:rPr>
          <w:rStyle w:val="FootnoteAnchor"/>
          <w:rtl w:val="true"/>
        </w:rPr>
        <w:footnoteReference w:id="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برخی از این افراد، از جمله محمد بن اسماعیل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مامقانی، همان، ذیل نام؛ نوری، همان،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محمد بن جعفر رزاز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محمد بن ابی عبداللّه جعفر بن محمد بن عون اسدی کوفی ساکن ری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حسن بن فروخ اعرج قمی معروف به صفار صاحب کتاب بصائر الدرجات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طائی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عبداللّه بن جعفر بن حسین بن جامع بن مالک حمیری قمی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عقیل کلینی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محمد بن علی بن معمر کوفی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محمد بن یحیی عطار اشعری قمی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تعداد مشایخ به معنای انعکاس روایات قابل توجهی از هر یک در مجموعۀ </w:t>
      </w:r>
    </w:p>
    <w:p>
      <w:pPr>
        <w:pStyle w:val="BookText"/>
        <w:rPr/>
      </w:pPr>
      <w:r>
        <w:rPr>
          <w:rFonts w:ascii="IRNazanin" w:hAnsi="IRNazanin" w:eastAsia="IRNazanin"/>
          <w:color w:val="111111"/>
          <w:sz w:val="28"/>
          <w:sz w:val="28"/>
          <w:szCs w:val="28"/>
          <w:rtl w:val="true"/>
          <w:lang w:bidi="fa-IR"/>
        </w:rPr>
        <w:t>کافی نیست، بلکه کلینی عمده قریب به اتفاق روایاتش را از هشت نفر زیر نقل کرده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خویی، معجم رجال الحدیث، ذیل هر یک از افراد نام برده شده و نیز برای آگاهی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پژوهش در تاریخ حدیث شیعه، ص </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ابراهیم قمی با </w:t>
      </w:r>
      <w:r>
        <w:rPr>
          <w:rFonts w:eastAsia="IRNazanin" w:cs="IRNazanin"/>
          <w:color w:val="111111"/>
          <w:sz w:val="28"/>
          <w:szCs w:val="28"/>
          <w:lang w:bidi="fa-IR"/>
        </w:rPr>
        <w:t>7068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یحیای عطار اشعری قمی با </w:t>
      </w:r>
      <w:r>
        <w:rPr>
          <w:rFonts w:eastAsia="IRNazanin" w:cs="IRNazanin"/>
          <w:color w:val="111111"/>
          <w:sz w:val="28"/>
          <w:szCs w:val="28"/>
          <w:lang w:bidi="fa-IR"/>
        </w:rPr>
        <w:t>5073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ابوعلی اشعری قمی با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عامر حسین بن محمد اشعری قمی با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اسماعیل نیشابوری با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حمید بن زیاد کوفی با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ادریس اشعری قمی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محمد </w:t>
      </w:r>
      <w:r>
        <w:rPr>
          <w:rStyle w:val="FootnoteAnchor"/>
          <w:rtl w:val="true"/>
        </w:rPr>
        <w:footnoteReference w:id="16"/>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مشایخ کافی نشان‌دهنده سفرهای علمی کلینی در طلب حدیث به شهرهای قم، کوفه، بغداد و احتمالاً نیشابور است، هم‌چنان که وجود تعداد قابل توجهی از مشایخ قمی در این فهرست بر حضور جدی مدرسه قم در مجموعه کافی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کلینی پس از دوره طلب حدیث به شهر ری بازگشته و به عنوان محدثی مورد اعتماد برای شیعیان این شهر شناخته می‌شود و احتمالاً از آن زمان به تألیف کتاب کافی می‌پردازد که در عرض بیست سال به پایان می‌رسد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کلینی در سال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ق در زمان خلافت مقتدر عباسی، ری را به سوی بغداد ترک کرده و دو سال پایانی عمر خود را در این شهر سپری می‌کند و به همین مناسبت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سلسلی</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معروف می‌شود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در مورد دلایل این مهاجرت، سخن روشنی از سوی </w:t>
      </w:r>
    </w:p>
    <w:p>
      <w:pPr>
        <w:pStyle w:val="BookText"/>
        <w:rPr/>
      </w:pPr>
      <w:r>
        <w:rPr>
          <w:rFonts w:ascii="IRNazanin" w:hAnsi="IRNazanin" w:eastAsia="IRNazanin"/>
          <w:color w:val="111111"/>
          <w:sz w:val="28"/>
          <w:sz w:val="28"/>
          <w:szCs w:val="28"/>
          <w:rtl w:val="true"/>
          <w:lang w:bidi="fa-IR"/>
        </w:rPr>
        <w:t>خودش یا شاگردان و اطرافیانش به میان نیامده، اما با مطالعه شرایط اجتماعی و سیاسی آن دوره می‌توان حدس‌هایی در این باره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شهر ری در دوره کلینی شهری چند مذهبی با غالبیت اهل سنت بوده </w:t>
      </w:r>
      <w:r>
        <w:rPr>
          <w:rStyle w:val="FootnoteAnchor"/>
          <w:rtl w:val="true"/>
        </w:rPr>
        <w:footnoteReference w:id="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حموی، 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همانند قم و بغداد جزء مراکز تجمع شیعیان به شمار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بغداد از زمان هارون الرشید به تدریج به مرکز علمی مهمی بدل گشته بود که فرق و مذاهب گوناگون در آن به فعالیت علمی می‌پرداختند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شیعه نیز در منطقه کرخ، تجمع علمی قابل توجهی داشت که با تسلط آل‌بویه بر مناطق وسیعی از سرزمین‌های شرقی خلافت عباسی و حمدانیان در شمال عراق، زمینه رشد و شکوفایی بیشتری یافته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علاوه براین، کلینی همانند هر محدث دیگری علاقه‌مند بود که روایاتش را به مجموعه وسیع‌تری از شاگردان انتقال داده و در قالب سنتِ اجازه نقل حدیث، استمرار و بقای کتابش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همین دو سال کوتاه در کنار راویانی که در ری تربیت نموده بود، کتاب کافی را به تعداد قابل توجهی از راویان بغدادی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مهم‌ترین شاگردان کلینی که بیشتر آنها بغدادی هستند به شرح زیر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ابوالحسن عبدالکریم بن نصر بزاز تنیسی، ابوغالب احمد بن محمد بن سلیمان زراری، ابوعبداللّه محمد بن ابراهیم نعمانی، </w:t>
      </w:r>
      <w:r>
        <w:rPr>
          <w:rStyle w:val="FootnoteAnchor"/>
          <w:rtl w:val="true"/>
        </w:rPr>
        <w:footnoteReference w:id="21"/>
      </w:r>
      <w:r>
        <w:rPr>
          <w:rFonts w:ascii="IRNazanin" w:hAnsi="IRNazanin" w:eastAsia="IRNazanin"/>
          <w:color w:val="111111"/>
          <w:sz w:val="28"/>
          <w:sz w:val="28"/>
          <w:szCs w:val="28"/>
          <w:rtl w:val="true"/>
          <w:lang w:bidi="fa-IR"/>
        </w:rPr>
        <w:t xml:space="preserve">ابومحمد هارون بن موسی تلعکبری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ابوعبداللّه احمد بن محمد صفوانی، ابوالمفضل محمد بن عبداللّه شیبانی، ابوعبداللّه احمد بن ابی رافع صیمری، </w:t>
      </w:r>
      <w:bookmarkStart w:id="27" w:name="pg14553_191715"/>
    </w:p>
    <w:p>
      <w:pPr>
        <w:pStyle w:val="BookText"/>
        <w:rPr/>
      </w:pPr>
      <w:bookmarkEnd w:id="27"/>
      <w:r>
        <w:rPr>
          <w:rFonts w:ascii="IRNazanin" w:hAnsi="IRNazanin" w:eastAsia="IRNazanin"/>
          <w:color w:val="111111"/>
          <w:sz w:val="28"/>
          <w:sz w:val="28"/>
          <w:szCs w:val="28"/>
          <w:rtl w:val="true"/>
          <w:lang w:bidi="fa-IR"/>
        </w:rPr>
        <w:t>ابوالحسین احمد بن علی کوفی، محمد بن محمد بن عصام کلینی، محمد بن علی ماجیلویه، علی بن احمد بن محمد بن عمران دقاق، علی بن احمد بن موسی دقاق، ابوعیسی محمد بن احمد بن محمد بن سنان زاهری، ابوالحسین احمد بن احمد کاتب کوفی، ابوالحسین احمد بن محمد 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کلینی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 بنا به اختلاف روایات در بغداد درگذشت و در همان شهر مدفون شد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شرح‌حال نویسان شیعه، زمان وفات کلینی را شعبان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 در خصوص محل دفن وی نیز به رغم اتفاق نظر بر شهر بغداد و وجود مقبره‌ای منسوب به وی، در مورد محل دقیق آن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همان، مقدمه و غفار، همان،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کافی بنا به گزارش نجاشی در فرصت بسیار کوتاهی با استقبال فراگیری در بغداد روبه‌رو شد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به کلینی آثار دیگری نیز نسبت داده شده </w:t>
      </w:r>
      <w:r>
        <w:rPr>
          <w:rStyle w:val="FootnoteAnchor"/>
          <w:rtl w:val="true"/>
        </w:rPr>
        <w:footnoteReference w:id="25"/>
      </w:r>
      <w:r>
        <w:rPr>
          <w:rFonts w:ascii="IRNazanin" w:hAnsi="IRNazanin" w:eastAsia="IRNazanin"/>
          <w:color w:val="111111"/>
          <w:sz w:val="28"/>
          <w:sz w:val="28"/>
          <w:szCs w:val="28"/>
          <w:rtl w:val="true"/>
          <w:lang w:bidi="fa-IR"/>
        </w:rPr>
        <w:t>که از هیچ کدام اثری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الرد علی القرامطه ، رسائل الأئمة، </w:t>
      </w:r>
      <w:r>
        <w:rPr>
          <w:rStyle w:val="FootnoteAnchor"/>
          <w:rtl w:val="true"/>
        </w:rPr>
        <w:footnoteReference w:id="26"/>
      </w:r>
      <w:r>
        <w:rPr>
          <w:rFonts w:ascii="IRNazanin" w:hAnsi="IRNazanin" w:eastAsia="IRNazanin"/>
          <w:color w:val="111111"/>
          <w:sz w:val="28"/>
          <w:sz w:val="28"/>
          <w:szCs w:val="28"/>
          <w:rtl w:val="true"/>
          <w:lang w:bidi="fa-IR"/>
        </w:rPr>
        <w:t xml:space="preserve">کتاب الرجال ، تعبیر الرؤیا </w:t>
      </w:r>
      <w:r>
        <w:rPr>
          <w:rStyle w:val="FootnoteAnchor"/>
          <w:rtl w:val="true"/>
        </w:rPr>
        <w:footnoteReference w:id="27"/>
      </w:r>
      <w:r>
        <w:rPr>
          <w:rFonts w:ascii="IRNazanin" w:hAnsi="IRNazanin" w:eastAsia="IRNazanin"/>
          <w:color w:val="111111"/>
          <w:sz w:val="28"/>
          <w:sz w:val="28"/>
          <w:szCs w:val="28"/>
          <w:rtl w:val="true"/>
          <w:lang w:bidi="fa-IR"/>
        </w:rPr>
        <w:t>و ماقیل فی الأئمة من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بدون استثنا در منابع رجالی شیعه توثیق و مدح شده و وجود برخی اختلافات در میزان اعتبار روایاتش، نقدی به عدالت و وثاقت وی پدید نیاورده است، هم‌چنین در منابع اهل سنت با توجه خاصی از او یاد شده است</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28" w:name="__RefHeading___Toc651673_1878427129"/>
      <w:bookmarkStart w:id="29" w:name="_Toc11"/>
      <w:bookmarkEnd w:id="28"/>
      <w:r>
        <w:rPr>
          <w:rtl w:val="true"/>
        </w:rPr>
        <w:t>کلینی و نواب اربعه</w:t>
      </w:r>
      <w:bookmarkEnd w:id="2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رابطه کلینی با نواب اربعه امام زمان از نقاط حساس زندگی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کافی ، روایتی دربارۀ توثیق دو تن از نواب امام زمان و تأیید ارتباط آنها با آن حضرت آمده است، </w:t>
      </w:r>
      <w:r>
        <w:rPr>
          <w:rStyle w:val="FootnoteAnchor"/>
          <w:rtl w:val="true"/>
        </w:rPr>
        <w:footnoteReference w:id="29"/>
      </w:r>
      <w:r>
        <w:rPr>
          <w:rFonts w:ascii="IRNazanin" w:hAnsi="IRNazanin" w:eastAsia="IRNazanin"/>
          <w:color w:val="111111"/>
          <w:sz w:val="28"/>
          <w:sz w:val="28"/>
          <w:szCs w:val="28"/>
          <w:rtl w:val="true"/>
          <w:lang w:bidi="fa-IR"/>
        </w:rPr>
        <w:t xml:space="preserve">اما سؤال اصلی در این بحث آن است که آیا کسی از نواب نیز کتاب کلینی </w:t>
      </w:r>
    </w:p>
    <w:p>
      <w:pPr>
        <w:pStyle w:val="BookText"/>
        <w:rPr/>
      </w:pPr>
      <w:r>
        <w:rPr>
          <w:rFonts w:ascii="IRNazanin" w:hAnsi="IRNazanin" w:eastAsia="IRNazanin"/>
          <w:color w:val="111111"/>
          <w:sz w:val="28"/>
          <w:sz w:val="28"/>
          <w:szCs w:val="28"/>
          <w:rtl w:val="true"/>
          <w:lang w:bidi="fa-IR"/>
        </w:rPr>
        <w:t xml:space="preserve">را تأیید و توثیق نموده است؟ قداست کلینی تا آن‌جا در ذهنیت گروهی از شیعیان نفوذ یافته که در جست‌وجوی یافتن قراینی مبنی برعرضه کتاب کافی بر امام زمان و تأیید آن از سوی ایشان برآمده‌اند </w:t>
      </w:r>
      <w:r>
        <w:rPr>
          <w:rStyle w:val="FootnoteAnchor"/>
          <w:rtl w:val="true"/>
        </w:rPr>
        <w:footnoteReference w:id="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r>
        <w:rPr>
          <w:rFonts w:eastAsia="IRNazanin" w:cs="IRNazanin"/>
          <w:color w:val="111111"/>
          <w:sz w:val="28"/>
          <w:szCs w:val="28"/>
          <w:rtl w:val="true"/>
          <w:lang w:bidi="fa-IR"/>
        </w:rPr>
        <w:t>-</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دیگر با شگفتی این پرسش را مطرح نموده‌اند که چگونه کلینی کتاب خود را بر نواب اربعه امام زمان عرضه ننموده و تأیید ایشان را کسب ننموده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آقا بزرگ تهرانی در پاسخ به این سؤال از یک سو لزوم انجام چنین کاری از سوی کلینی را نفی نموده و تنها تلاش متعارف برای گزینش روایات درست را کافی شمرده، و از سوی دیگر به فضای تقیه در آن دوره توجه نموده، انجام چنین کاری را از سوی کلینی منجر به بروز خطرهایی برای نواب شمرده است</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و جالب آن که در موردی مشابه، یکی از نواب برای بررسی اعتبار یک کتاب، آن را برای فقهای قم فرستاده، نظر آنان را در این‌باره جویا می‌شود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با این حال، نمونه‌هایی از عرضه کتاب بر امام زمان از سوی نواب همانند کتاب التکلیف شلمغانی نیز وجود دارد که آن را موردی استثنایی و به دلیل حساسیت ویژه آن کتاب و نویسنده‌اش دانسته‌اند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اینها گذشته، کلینی به استثنای چند مورد اندک و البته مشکوک، از هیچ یک از نواب اربعه حتی با واسطه نیز روایتی نقل ننموده است، </w:t>
      </w:r>
      <w:r>
        <w:rPr>
          <w:rStyle w:val="FootnoteAnchor"/>
          <w:rtl w:val="true"/>
        </w:rPr>
        <w:footnoteReference w:id="34"/>
      </w:r>
      <w:r>
        <w:rPr>
          <w:rFonts w:ascii="IRNazanin" w:hAnsi="IRNazanin" w:eastAsia="IRNazanin"/>
          <w:color w:val="111111"/>
          <w:sz w:val="28"/>
          <w:sz w:val="28"/>
          <w:szCs w:val="28"/>
          <w:rtl w:val="true"/>
          <w:lang w:bidi="fa-IR"/>
        </w:rPr>
        <w:t xml:space="preserve">لذا عده‌ای تلاش نموده‌اند که این مسئله را نیز به ماجرای تقیه یا حضور کوتاه کلینی در بغداد مرتبط دانند، </w:t>
      </w:r>
      <w:r>
        <w:rPr>
          <w:rStyle w:val="FootnoteAnchor"/>
          <w:rtl w:val="true"/>
        </w:rPr>
        <w:footnoteReference w:id="35"/>
      </w:r>
      <w:r>
        <w:rPr>
          <w:rFonts w:ascii="IRNazanin" w:hAnsi="IRNazanin" w:eastAsia="IRNazanin"/>
          <w:color w:val="111111"/>
          <w:sz w:val="28"/>
          <w:sz w:val="28"/>
          <w:szCs w:val="28"/>
          <w:rtl w:val="true"/>
          <w:lang w:bidi="fa-IR"/>
        </w:rPr>
        <w:t xml:space="preserve">در </w:t>
      </w:r>
      <w:bookmarkStart w:id="30" w:name="pg14553_191717"/>
    </w:p>
    <w:p>
      <w:pPr>
        <w:pStyle w:val="BookText"/>
        <w:rPr/>
      </w:pPr>
      <w:bookmarkEnd w:id="30"/>
      <w:r>
        <w:rPr>
          <w:rFonts w:ascii="IRNazanin" w:hAnsi="IRNazanin" w:eastAsia="IRNazanin"/>
          <w:color w:val="111111"/>
          <w:sz w:val="28"/>
          <w:sz w:val="28"/>
          <w:szCs w:val="28"/>
          <w:rtl w:val="true"/>
          <w:lang w:bidi="fa-IR"/>
        </w:rPr>
        <w:t>حالی که کلینی از افراد متعدد دیگر در شهرهای مختلف نقل حدیث نموده و همه روایات کافی الزاماً از طریق ملاقات حضوری نویسنده با راویان فراهم نیامده‌اند و مجرد نقل حدیث از شخصیتی نمی‌تواند خطری برای او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نظر می‌رسد که برای پاسخ به این سؤال باید به دنبال فرضیه‌های دیگری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فرضیه‌ها می‌تواند این باشد که نواب اربعه در جامعه شیعی آن دوره بیش از آن که شخصیتی علمی به شمار آیند، شخصیتی اجرایی برای ارتباط با امام زمان در صورت لزوم شناخته می‌شدند و لذا شیعیان عمدتاً برای حل مشکلات دشوار و غیر طبیعی به ایشان مراجعه نموده و به ندرت جهت سؤال شرعی یا استماع حدیث به آنان رجوع می‌کردند و گویا شیعیان از دوره پایانی غیبت صغرا به این مسئله عادت نموده بودند که نیازهای دینی و مذهبی خود را باید از طریق مراجعه به عالمان و فقیهان و راویان حدیث حل نمایند و لذا در متون روایی معاصر با کلینی نیز روایات چندانی از نواب نقل نشده است، </w:t>
      </w:r>
      <w:r>
        <w:rPr>
          <w:rStyle w:val="FootnoteAnchor"/>
          <w:rtl w:val="true"/>
        </w:rPr>
        <w:footnoteReference w:id="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من لا یحضره الفقیه صدوق تنها چهار روایت، آن هم از کتاب ابوالعباس حمیری از طریق محمد بن عثمان عمری از امام حسن عسکری علیه السلام نقل شده است و البته کلینی نیز یک روایت از همین منبع نقل نموده که در واقع گفت‌وگوی بین حمیری و عمری است، نه روایتی منقول از امام عسکری از طریق عمری،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سؤال یاد شده اساساً بی‌مورد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مهم دیگری نیز آن که کلینی عمده روایات خود را همان گونه که خواهیم گفت از طریق تداول کتبی و نه شفاهی صرف نقل نموده است و لذا افرادی که از آنها نقل حدیث می‌کند همگی از اصحاب تألیفات در بین شیعه بودند، این در حالی است که نواب اربعه تألیفات حدیثی نداشته‌اند</w:t>
      </w:r>
      <w:r>
        <w:rPr>
          <w:rFonts w:eastAsia="IRNazanin" w:cs="IRNazanin"/>
          <w:color w:val="111111"/>
          <w:sz w:val="28"/>
          <w:szCs w:val="28"/>
          <w:rtl w:val="true"/>
          <w:lang w:bidi="fa-IR"/>
        </w:rPr>
        <w:t xml:space="preserve">. </w:t>
      </w:r>
      <w:r>
        <w:rPr>
          <w:rStyle w:val="FootnoteAnchor"/>
          <w:rtl w:val="true"/>
        </w:rPr>
        <w:footnoteReference w:id="37"/>
      </w:r>
    </w:p>
    <w:p>
      <w:pPr>
        <w:pStyle w:val="Heading3"/>
        <w:numPr>
          <w:ilvl w:val="2"/>
          <w:numId w:val="1"/>
        </w:numPr>
        <w:rPr/>
      </w:pPr>
      <w:bookmarkStart w:id="31" w:name="__RefHeading___Toc651675_1878427129"/>
      <w:bookmarkStart w:id="32" w:name="_Toc12"/>
      <w:bookmarkEnd w:id="31"/>
      <w:r>
        <w:rPr>
          <w:rtl w:val="true"/>
        </w:rPr>
        <w:t>کتاب کافی</w:t>
      </w:r>
      <w:bookmarkEnd w:id="3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شانزده هزار و صد و اندی روایت دارد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که در سه بخش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شامل روایات اعتقادی و احیاناً اخلاقی بوده، بخش دوم، روایات فقهی و بخش سوم حاوی خطبه‌ها، نامه‌ها و اندرزهای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شامل </w:t>
      </w:r>
      <w:r>
        <w:rPr>
          <w:rFonts w:eastAsia="IRNazanin" w:cs="IRNazanin"/>
          <w:color w:val="111111"/>
          <w:sz w:val="28"/>
          <w:szCs w:val="28"/>
          <w:lang w:bidi="fa-IR"/>
        </w:rPr>
        <w:t>3785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می‌شود که تقریباً یک چهارم </w:t>
      </w:r>
      <w:bookmarkStart w:id="33" w:name="pg14553_191718"/>
    </w:p>
    <w:p>
      <w:pPr>
        <w:pStyle w:val="BookText"/>
        <w:rPr/>
      </w:pPr>
      <w:bookmarkEnd w:id="33"/>
      <w:r>
        <w:rPr>
          <w:rFonts w:ascii="IRNazanin" w:hAnsi="IRNazanin" w:eastAsia="IRNazanin"/>
          <w:color w:val="111111"/>
          <w:sz w:val="28"/>
          <w:sz w:val="28"/>
          <w:szCs w:val="28"/>
          <w:rtl w:val="true"/>
          <w:lang w:bidi="fa-IR"/>
        </w:rPr>
        <w:t xml:space="preserve">تمام کتاب را به خود اختصاص داده است و روضه کافی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 فروع کافی نزدیک به دوازده هزار روایت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تفصیلی ابواب کتاب به شرح زیر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عناوین باب‌ها و ترتیب آنها اختلافات اندکی در نسخه‌ها به چشم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نجاشی و رجال طوسی، ذیل نام کلینی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جا نسخه چاپی متداول معیار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العقل و الجهل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فضل العلم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التوحید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الایمان و الکفر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الدعاء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فضل القرآن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العشره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الطهاره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الحیض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الجنائز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کتاب الزکاة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الصیام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الجهاد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المعیشه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النکاح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العقیقه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الطلاق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العتق و التدبیر و الکتابه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الصید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الذبائح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الاطعمه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الاشربه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الزی و التجمل و المروءة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الدواجن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الوصایا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المواریث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الشهادات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القضاء و الاحکام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الایمان و النذور و الکفارات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نسخه‌های مخطوط متعددی از این کتاب در دست است و تاکنون چاپ‌های چندی نیز به خود دیده که گزارش نسبتاً کافی جناب آقای دکتر محفوظ در مقدمه کتاب، ضرورتی برای پرداختن دوباره نمی‌نهد</w:t>
      </w:r>
      <w:r>
        <w:rPr>
          <w:rFonts w:eastAsia="IRNazanin" w:cs="IRNazanin"/>
          <w:color w:val="111111"/>
          <w:sz w:val="28"/>
          <w:szCs w:val="28"/>
          <w:rtl w:val="true"/>
          <w:lang w:bidi="fa-IR"/>
        </w:rPr>
        <w:t>.</w:t>
      </w:r>
    </w:p>
    <w:p>
      <w:pPr>
        <w:pStyle w:val="Heading3"/>
        <w:numPr>
          <w:ilvl w:val="2"/>
          <w:numId w:val="1"/>
        </w:numPr>
        <w:rPr/>
      </w:pPr>
      <w:bookmarkStart w:id="34" w:name="__RefHeading___Toc651677_1878427129"/>
      <w:bookmarkStart w:id="35" w:name="_Toc13"/>
      <w:bookmarkEnd w:id="34"/>
      <w:r>
        <w:rPr>
          <w:rtl w:val="true"/>
        </w:rPr>
        <w:t>زمینۀ تاریخی و انگیزه های تدوین</w:t>
      </w:r>
      <w:bookmarkEnd w:id="3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زندگی کلینی در قرن سه و چهار از جهات گوناگون، دوره‌ای پر آشوب و به شدت تأثیرگذار در دوره‌های بعد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افول خلافت عباسی، روند روز افزون پیدایش مکاتب و دیدگاه‌های متنوع، نهضت تدوین متون در حوزه‌های متنوع فرهنگ اسلامی و شدت گرفتن منازعات و مجادلات فرقه‌های اسلامی و نیز ادیان در تماس با مسلمانان از مهم‌ترین شاخصه‌های این دوره است که هر یک به گونه‌ای در تدوین مجموعه کافی تأثیرگذار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برخی از این ویژگی‌ها </w:t>
      </w:r>
    </w:p>
    <w:p>
      <w:pPr>
        <w:pStyle w:val="BookText"/>
        <w:rPr/>
      </w:pPr>
      <w:r>
        <w:rPr>
          <w:rFonts w:ascii="IRNazanin" w:hAnsi="IRNazanin" w:eastAsia="IRNazanin"/>
          <w:color w:val="111111"/>
          <w:sz w:val="28"/>
          <w:sz w:val="28"/>
          <w:szCs w:val="28"/>
          <w:rtl w:val="true"/>
          <w:lang w:bidi="fa-IR"/>
        </w:rPr>
        <w:t>را بررسی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 سیاسی عصر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عباسیان از میانه قرن سه در اثر عوامل متعددی، اقتدار گذشته خود را به کلی از دست داده و رو به ضعف و افول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مجموعه‌ای از امیرنشین‌های مستقل که گاه هر یک از آنها چندین برابر مناطق تحت سیطرۀ خلیفه عباسی وسعت داشت، در کنار دخالت‌های مستقیم و غیرمستقیم این امیران در نصب و عزل خلیفه، از شخص خلیفه جز نمادی تشریفاتی باقی نگذاشته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دستگاه‌های خلافت رقیب، مانند فاطمیان در مصر و شورش‌های گسترده‌ای مانند ماجرای قرمطیان و بردگان موسوم به اصحاب زنج نیز بر شدت بحران سیاسی نهاد خلافت می‌افزود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شیعیان در این فضای غیر متمرکز از فشار استبداد دستگاه حاکم، احساس رهایی نموده و به جریان تأسیس پایه‌های نظری تشیع، سرعت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فاصله‌ای کوتاه مدارس شیعی قابل توجهی در مناطق مختلف جهان اسلام از بغداد تا خراسان و قم پدید آمد و کتاب‌های تفسیر، رجال، حدیث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نگارش درآمد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منازعات فرقه‌ها و مذهب‌ها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قرن دوم به تدریج با پیدایش مجموعه منازعات کلامی، فقهی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تمایزهایی میان دیدگاه‌های مختلف پدید آمده که به شکل‌گیری فرق و مذاهب اسلامی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روز افزون واگرایی در قالب ظهور مستمر فرقه‌ها در قرن سوم، سرعت و شدت فوق‌العاده‌ای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به عنوان یکی از نخستین فرقه‌های پدید آمده در تاریخ علاوه بر انشعاب بغداد از بصره که زادگاه اعتزال بود، شعبه‌های فراوان دیگری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مسئله جبر و اختیار، رابطه ایمان و عمل، معنا و مفهوم توحید، شیوه تقریر صفات، به‌ویژه علم و کلام الهی، رابطه ذات و صفات، رابطه قدرت و اراده مطلق با عدالت و مبدأ آفرینش جهان، از مهم‌ترین مسائل مطرح میان معتزله بود که به پیدایش آن انشعابات انجامید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غفار، همان، ص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آگاهی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بدوی، مذاهب الاسلامیین، 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جبر و اختیار به‌طور مشخص در نیمه دوم قرن اول در اندیشه‌های معبد جهنی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غیلان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پس از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جعد بن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حدود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جهم بن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نشار، الفکر الفلسفی فی الاسلام،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مسئله رابطه ایمان و عمل در قالب منازعاتی بین مرجئه و محکّمه،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شکل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اهل حدیث با پای‌بندی خردگریزانه نسبت به ظواهر آیات و روایات،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زمینه‌ساز پیدایش پاره‌ای اعتقادات کلامی مانند تشبیه و تجسیم بودند که بعدها پیروان آن، نام حشویه را به خود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موضع استوار ابن‌حنبل در دفاع از برخی عقاید اهل حدیث مانند خلق قرآن در دورۀ محنت، موجب پیدایش جریانی موسوم به حنبلیان در داخل اهل حدیث شد که در مقایسه با برخی شاخص‌های دیگر این گروه هماند شافعی از بنیادگرایی بیشتری برخوردار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بنیادگرایی افراطی اهل حدیث تا جایی ادامه یافت که بازگشت اشعری از اعتزال و تلاش وی برای تحکیم مواضع اهل حدیث با استفاده از ابزارهای دانش کلام به دلیل به رسمیت شناختن این دانش که جماعت اهل حدیث احیاناً با اصل و اساس آن و نه پاره‌ای معتقدات کلامی مخالف بودند با اقبال چندانی روبه‌رو نشده و بلکه درگیری‌های مدیدی در حد تکفیر بین اشعریان و جماعت اهل حدیث پدید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اهل رأی در برابر اهل حدیث، افزون بر معتزله، شامل حنفیان نیز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کلامی ابوحنیفه نیز همانند معتزله، رنگ خردگرایی داشت و البته او برخلاف معتزله که علاقه چندانی به فقه از خود نشان نمی‌دادند و احیاناً از ریشه با این دانش مخالف بودند، به نظریه‌پردازی در فقه نیز پرداخته که بر مبنای آن مذهبی فقهی نیز به‌وجود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راه‌های عقلی در فهم احکام تعبدی فقه چون قیاس، به‌طور طبیعی واکنش اهل حدیث را در پی داشت </w:t>
      </w:r>
      <w:r>
        <w:rPr>
          <w:rStyle w:val="FootnoteAnchor"/>
          <w:rtl w:val="true"/>
        </w:rPr>
        <w:footnoteReference w:id="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الرساله، ص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این بخش غالب دیدگاه‌های شیعی به‌رغم التزام برخی از آنها به رویکرد خردگرایی در ابعاد کلامی، در بخش فقه با این رویکرد به مخالفت برخاسته و با اهل حدیث بیشتر همراهی می‌کردند، گرچه پای‌بندی برخی فقها و گاه متکلمان شیعه نسبت به مشروعیت قیاس نیز گزارش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کنار این جریان‌های درون دینی به پاره‌ای جریان‌های برون دینی با نگاه انتقادی نسبت به اسلام در این قرن برمی‌خوریم که ابن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شاخص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اوج این حوادث در میانه دوم قرن سه، یعنی دوره حیات کلینی در حال شکل‌گیری بود و وی در زادگاه خود و نیز شهرهای دیگری چون بغداد و نیشابور با این مکاتب و دیدگاه‌ها روبه‌رو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اینها همه، انشعاب‌های داخلی شیعه در دوره پایانی عصر حضور و نیز ابهام‌ها و درگیری‌های پدید آمده در دوره موسوم به غیبت صغرا برلزوم و اهمیت توجه نسبت به این مسئله نزد هر دانشمند شیعی می‌افزود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تدوین 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سوم، به‌ویژه در حوزه حدیث‌نگاری، دوره اوج تدوین متون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تدوین موطأ در نیمه دوم قرن دو به عنوان نخستین جامع حدیثی اهل سنت، از آغاز قرن سوم شاهد پیدایش مجموعه وسیعی از جوامع حدیثی چون مصنف‌ها و مسانید و سنن هستیم که با ظهور مسند احمد و سپس صحاح بخاری و مسلم و ترمذی به نقطه اوج خود رسیده و در ادامه، سه سنن مهم دیگر از مجموعه موسوم به صحاح شش‌گانه در دهه‌های پایانی همین قرن عرضه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نخستین تفاسیر روایی جامع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با این قرن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تدوین‌های متنوع دیگری</w:t>
      </w:r>
    </w:p>
    <w:p>
      <w:pPr>
        <w:pStyle w:val="BookText"/>
        <w:rPr/>
      </w:pPr>
      <w:r>
        <w:rPr>
          <w:rFonts w:ascii="IRNazanin" w:hAnsi="IRNazanin" w:eastAsia="IRNazanin"/>
          <w:color w:val="111111"/>
          <w:sz w:val="28"/>
          <w:sz w:val="28"/>
          <w:szCs w:val="28"/>
          <w:rtl w:val="true"/>
          <w:lang w:bidi="fa-IR"/>
        </w:rPr>
        <w:t xml:space="preserve">در حوزه کلام، </w:t>
      </w:r>
      <w:r>
        <w:rPr>
          <w:rStyle w:val="FootnoteAnchor"/>
          <w:rtl w:val="true"/>
        </w:rPr>
        <w:footnoteReference w:id="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جاحظ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الحسن اشعری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تاریخ،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نیز در این قرن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شیعیان در حوزه حدیث تا قبل از کافی ، افزون بربخشی از اصول چهار صدگانه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نوعی نوشته‌های ابتدایی نزدیک به صحیفه‌های اهل سنت در قرن اول بوده و فاقد نظم و منظق متداول در گونه‌های مختلف تدوین حدیثی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مجموعه محدودی از تدوین‌های حدیثی را در اختیار داشتند که قابل مقایسه با جوامع حدیثی اهل سنت در آن زمان نبود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در مقدمه ارزش‌های که بر کتاب کافی خود نگاشته به خوبی از فضای تاریخی عصر خود و ارتباط آن با انگیزه‌های وی در تدوین کتاب پرده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از یکی از دوستانش که هویتش برای ما روشن نیست یاد می‌کند که از روزگار خود چنین گلایه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جهل و نادانی بر مردمان چیره شده و آنان به راه‌هایی چون استحسان روی آورده و در عین حال که به شکلی افراطی در مهم‌ترین مسائل تنها به عقل خویش بسنده نموده، کورکورانه به تقلید از گذشتگان مشغول‌اند و به این صورت، ترس از آن می‌رود که سرچشمه‌های دانش به نابودی گراید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کلینی در پاسخ این اظهار گلایه، مردمان را بر دو دسته نموده، دستورهای خداوند را خطاب به انسان‌های مکلف دانسته و عدم آن را به معنای بطلان شریعت‌ها و کتاب‌های آسمانی که دیدگاه طبیعت‌پرستان است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خداوند بنا به حکمت و عدالتش به بیان دستوراتش پرداخته و پیمان‌هایش را بر بندگانش عرضه نموده و از آنان خواست که برای دریافت این دستورات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نمایند و برای فهم آن به تفقه در دین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دانشی ضروری‌تر از دانش دین نبوده و هیچ خطری بالاتری از عمل به گمان‌های بی‌اساس در این قلمرو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که </w:t>
      </w:r>
      <w:bookmarkStart w:id="36" w:name="pg14553_191723"/>
    </w:p>
    <w:p>
      <w:pPr>
        <w:pStyle w:val="BookText"/>
        <w:rPr/>
      </w:pPr>
      <w:bookmarkEnd w:id="36"/>
      <w:r>
        <w:rPr>
          <w:rFonts w:ascii="IRNazanin" w:hAnsi="IRNazanin" w:eastAsia="IRNazanin"/>
          <w:color w:val="111111"/>
          <w:sz w:val="28"/>
          <w:sz w:val="28"/>
          <w:szCs w:val="28"/>
          <w:rtl w:val="true"/>
          <w:lang w:bidi="fa-IR"/>
        </w:rPr>
        <w:t>خداوند گمراهی او را خواسته باشد او را به دامان استحسان و تقلید و تأویل‌های جاهلانه افکنده و هر کس خداوند هدایتش را خواهان باشد او را با یقینی استوار به سرچشمه کتاب و سنت پیامبر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مقطع پایانی مقدمه، کلینی از درخواست این دوست ناشناس یاد می‌کند که کاش کتابی نگاشته می شد که در همه زمینه‌های دینی، روایات صادقین و سنت‌های الهی را در خود جمع داشت و بدین ترتیب، اختلاف بین روایات که عامل سردرگمی در بسیاری مسائل است بر چیده شده و مرجعی برای هر جویای حقیقتی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کلینی به این درخواست جواب مثبت داده و معیارهای گزینش حدیث را در این کتاب یاد می‌کند</w:t>
      </w:r>
      <w:r>
        <w:rPr>
          <w:rFonts w:eastAsia="IRNazanin" w:cs="IRNazanin"/>
          <w:color w:val="111111"/>
          <w:sz w:val="28"/>
          <w:szCs w:val="28"/>
          <w:rtl w:val="true"/>
          <w:lang w:bidi="fa-IR"/>
        </w:rPr>
        <w:t>.</w:t>
      </w:r>
    </w:p>
    <w:p>
      <w:pPr>
        <w:pStyle w:val="Heading3"/>
        <w:numPr>
          <w:ilvl w:val="2"/>
          <w:numId w:val="1"/>
        </w:numPr>
        <w:rPr/>
      </w:pPr>
      <w:bookmarkStart w:id="37" w:name="__RefHeading___Toc651679_1878427129"/>
      <w:bookmarkStart w:id="38" w:name="_Toc14"/>
      <w:bookmarkEnd w:id="37"/>
      <w:r>
        <w:rPr>
          <w:rtl w:val="true"/>
        </w:rPr>
        <w:t>معیارهای گزینش حدیث</w:t>
      </w:r>
      <w:bookmarkEnd w:id="38"/>
    </w:p>
    <w:p>
      <w:pPr>
        <w:pStyle w:val="BookText"/>
        <w:rPr/>
      </w:pPr>
      <w:r>
        <w:rPr>
          <w:rFonts w:ascii="IRNazanin" w:hAnsi="IRNazanin" w:eastAsia="IRNazanin"/>
          <w:color w:val="111111"/>
          <w:sz w:val="28"/>
          <w:sz w:val="28"/>
          <w:szCs w:val="28"/>
          <w:rtl w:val="true"/>
          <w:lang w:bidi="fa-IR"/>
        </w:rPr>
        <w:t>دربارۀ معیارهای کلینی در گزینش روایات، دیدگاه گوناگون و گاه متضادی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با استناد به روایت‌هایی در تأیید کافی یا هم عصر بودن کلینی با نواب امام زمان، تمام روایاتش را درست و غیر قابل مناقشه شمرده </w:t>
      </w:r>
      <w:r>
        <w:rPr>
          <w:rStyle w:val="FootnoteAnchor"/>
          <w:rtl w:val="true"/>
        </w:rPr>
        <w:footnoteReference w:id="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مقابل، برخی دیگر با اتهام کلینی به گزینش سلیقه‌ای، اعتبار کتابش را به‌طور کلی خدشه دار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این حال، کمتر کسی از دانشمندان شیعی از اخباریان گرفته و اصولیان با صراحت به خود اجازه رو در رویی با کلینی و نقد جدی وی نموده، گرچه در مواردی، به‌ویژه هنگام ناسازگاری دو روایت، عملاً به روایتی از کافی عمل ننموده باشند، حتی کسانی چون محقق نراقی از شخصیت‌های بارز اصولی نیز گاه همانند اخباریان بر درستی تمام روایات کافی اصرار ورزیده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محقق نایینی نیز نقل شده که بررسی و گفت‌وگو در سندهای کافی کاری ناممکن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از پرداختن به معیارهای نقد کلینی نباید فراموش کرد که دانش درایة الحدیث در آن دوره هنوز شکل نگرفته بود و دانش رجال نیز گام‌های نخستین خود </w:t>
      </w:r>
    </w:p>
    <w:p>
      <w:pPr>
        <w:pStyle w:val="BookText"/>
        <w:rPr/>
      </w:pPr>
      <w:r>
        <w:rPr>
          <w:rFonts w:ascii="IRNazanin" w:hAnsi="IRNazanin" w:eastAsia="IRNazanin"/>
          <w:color w:val="111111"/>
          <w:sz w:val="28"/>
          <w:sz w:val="28"/>
          <w:szCs w:val="28"/>
          <w:rtl w:val="true"/>
          <w:lang w:bidi="fa-IR"/>
        </w:rPr>
        <w:t>را برمی‌داشت، بنابراین به طور طبیعی کلینی همانند بسیاری از محدثان آن دوره به صراحت از روش خود پرده برنداشته است، با این حال با بررسی مجموعه روایات کافی و مقایسۀ تطبیقی سلسله اسانید آن و نیز بررسی شیوۀ گزینش حدیث در منابع هم عصر کلینی می‌توان تا حدودی از معیارهای وی در گزینش حدیث پرده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سند در روایات از قرن دوم به بعد به تدریج، توجه محدثان را به خود جلب کرد، گرچه، پیدایش نظریه نقد سندی در بین اهل سنت به حدود دو قرن بعد از آن و در بین شیعه به قرن هفت در دوره مدرسه حلّه باز می‌گردد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تاریخچه مسئله اسناد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 SI/IE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مسئله به آن معنا نیست که تا پیش از تبلور نظریه نقد سندی، محدثان بدون هیچ‌گونه مبنایی به‌طور سلیقه‌ای به گزینش احادیث می‌پرداختند، بلکه واقعیت آن است که شیوه‌های جایگزین دیگری در آن دوره، مرسوم بود که به دلایلی در دوره‌های بعد، از اهمیت آن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شیوه‌های جایگزین در دو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محتوایی برمبنای مقایسه روایت با قرآن، عقل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متون حدیثی برمبنای گردآوری مجموعه قراین مبنی بر اعتبار یک صحیفه یا اصل، جدای از وضعیت سندی تک تک روایات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دسته‌بندی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در پایان مقدمه خود به پاره‌ای از معیارهای متن محور در گزینش حدیث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روایات بر قرآن و پذیرش هر آن چه موافق قرآن است و ردّ هرآنچه مخالف قرآن است؛ </w:t>
      </w:r>
      <w:r>
        <w:rPr>
          <w:rStyle w:val="FootnoteAnchor"/>
          <w:rtl w:val="true"/>
        </w:rPr>
        <w:footnoteReference w:id="45"/>
      </w:r>
      <w:r>
        <w:rPr>
          <w:rFonts w:ascii="IRNazanin" w:hAnsi="IRNazanin" w:eastAsia="IRNazanin"/>
          <w:color w:val="111111"/>
          <w:sz w:val="28"/>
          <w:sz w:val="28"/>
          <w:szCs w:val="28"/>
          <w:rtl w:val="true"/>
          <w:lang w:bidi="fa-IR"/>
        </w:rPr>
        <w:t xml:space="preserve">پذیرش روایاتی که شیعه در درستی آن اتفاق نظر دارد؛ ترجیح روایات مخالف اهل سنت در موارد تعارض اخبار </w:t>
      </w:r>
      <w:r>
        <w:rPr>
          <w:rStyle w:val="FootnoteAnchor"/>
          <w:rtl w:val="true"/>
        </w:rPr>
        <w:footnoteReference w:id="46"/>
      </w:r>
      <w:r>
        <w:rPr>
          <w:rFonts w:ascii="IRNazanin" w:hAnsi="IRNazanin" w:eastAsia="IRNazanin"/>
          <w:color w:val="111111"/>
          <w:sz w:val="28"/>
          <w:sz w:val="28"/>
          <w:szCs w:val="28"/>
          <w:rtl w:val="true"/>
          <w:lang w:bidi="fa-IR"/>
        </w:rPr>
        <w:t xml:space="preserve">و در مواردی‌که نتوان هیچ یک از معیارهای یاد شده را به‌کار برد و روایات متعارض در وضعیتی مشابه </w:t>
      </w:r>
    </w:p>
    <w:p>
      <w:pPr>
        <w:pStyle w:val="BookText"/>
        <w:rPr/>
      </w:pPr>
      <w:r>
        <w:rPr>
          <w:rFonts w:ascii="IRNazanin" w:hAnsi="IRNazanin" w:eastAsia="IRNazanin"/>
          <w:color w:val="111111"/>
          <w:sz w:val="28"/>
          <w:sz w:val="28"/>
          <w:szCs w:val="28"/>
          <w:rtl w:val="true"/>
          <w:lang w:bidi="fa-IR"/>
        </w:rPr>
        <w:t>باشند، از اظهار نظر در درستی یا نادرستی هر یک پرهیز نموده و در مقام عمل به هر یک بسنده کنیم قابل قبول خواهد بود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معیار بر مبنای برخی روایات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یأیهما أخذتم من باب التسلیم وسعکم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 برخلاف نظربرخی معاصران، نه تنها دلیلی برگزینش سلیقه‌ای‌نیست، بلکه روشی عقلایی است که در صورت عدم امکان گزینش روایتی از میان روایات متعارض، از مصادره یک روایت به نفع روایت دیگر پرهیز نموده، بدون اظهار نظر در اعتبار هر روایت به یکی از آنها بر مبنای قاعده اصولی تخییر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مازندرانی، شرح 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معارف، تاریخ عمومی حدیث، ص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اصولیان متأخر با انتقاد از روش نقد محتوایی، آن را سلیقه‌ای و غیر قابل اعتماد شمرده‌اند، این در حالی است که خواهیم دید روش نقد سند محور نیز با تکیه بر مشخصات ظاهری افراد نمی‌تواند صحت صدور روایت را به اثبات رسانده و تنها حجیت فقهی را به دنبال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نوع دوم از نقد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متون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نهادیم، ابتدا توجه به این مسئله ضروری است که در عصر کلینی، دوره تداول شفاهی احادیث تقریباً به پایان رسیده و قریب به اتفاق روایات در قالب دست نوشته‌های پراکنده‌ای به نگارش درآمده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گفته شد که در نگاهی به مجموعه روایات کافی کلینی به این واقعیت برمی‌خوریم که راوی عمده قریب به اتفاق این روایات، هشت نفر مشخص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قمی، محمد بن یحیی عطار، ابوعلی اشعری، حسین بن محمد قمی، محمد بن اسماعیل نیشابوری، حمید بن زیاد کوفی، احمد بن ادریس قمی،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بیشتر این افراد خود صاحب اثر بودند، در سلسله سند آنها نیز تعداد قابل توجهی از صاحبان اصول قرار دارد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و از سوی دیگر می‌دانیم که کلینی در کتاب خود با نقل روایات مرسل و آوردن برخی تعابیر مبهم در سلسله سندها و نقل قول از راویان مجهول و گاه مقدوح، از جمله پاره‌ای از غالیان و فطحیه و واقفیه، به معیار سند در ارزش‌گذاری احادیث توجه چندانی نشان نداده و بخش عمده‌ای از روایات کافی بنا بر ارزش‌گذاری سندی در قالب دسته‌بندی مدرسه </w:t>
      </w:r>
    </w:p>
    <w:p>
      <w:pPr>
        <w:pStyle w:val="BookText"/>
        <w:rPr/>
      </w:pPr>
      <w:r>
        <w:rPr>
          <w:rFonts w:ascii="Amiri" w:hAnsi="Amiri" w:eastAsia="Amiri" w:cs="Amiri"/>
          <w:color w:val="111111"/>
          <w:sz w:val="28"/>
          <w:sz w:val="28"/>
          <w:szCs w:val="28"/>
          <w:rtl w:val="true"/>
          <w:lang w:bidi="ar-SA"/>
        </w:rPr>
        <w:t xml:space="preserve">حلّه، </w:t>
      </w:r>
      <w:r>
        <w:rPr>
          <w:rStyle w:val="FootnoteAnchor"/>
          <w:rtl w:val="true"/>
        </w:rPr>
        <w:footnoteReference w:id="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حلّه به دوره احیای فقه شیعه در قرن ششم هجری گفته می‌شود که با میراث وسیع و متنوع فقهی، کلامی‌و حدیثی، تأثیرات نسبتاً ماندگار و قابل توجهی در اندیشه شیعه برجای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ارزش‌گذاری مدرسه حلّه، روایات برمبنای دو معیار عدالت و وثاقت که جنبه کاملاً سندی دارند، ارزش‌گذاری شده و به قراین محتوایی یا پیرامونی توجهی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مشابه همین وضعیت در خصوص من لا یحضره الفقیه شیخ صدوق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عمده‌ای از روایات او از طریق پدرش علی بن بابویه، ابن ولید و سعد بن عبداللّه اشعری نقل شده که همگی آثار متعدد داشته، علاوه بر این، عمده مشایخ این سه نفر نیز از اصحاب اصول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افزون براین او اساساً روایات کتابش را با حذف سلسله سند آورده که نشان دهنده میزان اهمیت وی به ارزش‌گذاری سندی در نقد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در پایان کتاب در مشیخه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استدراک برخی سندها در قالب نظام طبقات پرداخته است با این حال، بخش قابل توجهی از روایاتش هم‌چنان بدون سند و نیز بسیاری از افراد واقع در سلسله سندهای وی جزء ضعفا و مجاهیل به شمار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گفتنی است که وی برخلاف ادعای شیخ مفید به دنبال گردآوری صرف نبوده، بلکه اعتقاد کامل به درستی روایات منقوله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 برخلاف نظر برخی معاصران به منظور تسهیل مراجعه عموم به کتابش، دست به حذف سلسله سند نزده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همان‌گونه که مجلسی در روضة المتقین بیان می‌دارد، تفاوت مبنای قدمای حدیث‌گرا و متأخران اصول‌گرا در میزان توجه و اهتمام به سند در نقد حدیث، دلیل اصلی سبک شیخ صدوق در من لایحضره الفقیه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از یک سو در نگارش دو کتاب تهذیب و</w:t>
      </w:r>
    </w:p>
    <w:p>
      <w:pPr>
        <w:pStyle w:val="BookText"/>
        <w:rPr/>
      </w:pPr>
      <w:r>
        <w:rPr>
          <w:rFonts w:ascii="IRNazanin" w:hAnsi="IRNazanin" w:eastAsia="IRNazanin"/>
          <w:color w:val="111111"/>
          <w:sz w:val="28"/>
          <w:sz w:val="28"/>
          <w:szCs w:val="28"/>
          <w:rtl w:val="true"/>
          <w:lang w:bidi="fa-IR"/>
        </w:rPr>
        <w:t>استبصار به همان شیوۀ مشیخه‌نویسی شیخ صدوق عمل کرده و از سوی دیگر خود در الفهرست تصریح می‌کند که بسیاری از صاحبان اصول و تصانیفِ نخستین شیعه از دوره امامان، بر مذاهب فاسد بوده‌اند و به رغم آن، منابع ایشان برای ما معتبر و مورد اعتماد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الفهرست، ص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شیعه با این پیشینه به مدرسه اصولیان حلّه پا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فقیهان این مدرسه بدون آن که دغدغه حدیثی مستقلی داشته باشند، در پی رفع نیازهای فقهی و روش‌مند ساختن استناد به روایات در فقه بودند که از عصر شیخ طوسی به تفصیل و تفریع فروع </w:t>
      </w:r>
      <w:r>
        <w:rPr>
          <w:rStyle w:val="FootnoteAnchor"/>
          <w:rtl w:val="true"/>
        </w:rPr>
        <w:footnoteReference w:id="51"/>
      </w:r>
      <w:r>
        <w:rPr>
          <w:rFonts w:ascii="IRNazanin" w:hAnsi="IRNazanin" w:eastAsia="IRNazanin"/>
          <w:color w:val="111111"/>
          <w:sz w:val="28"/>
          <w:sz w:val="28"/>
          <w:szCs w:val="28"/>
          <w:rtl w:val="true"/>
          <w:lang w:bidi="fa-IR"/>
        </w:rPr>
        <w:t>گراییده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در جریان رقابت با اهل سنت در این اندیشه بودند که از طریق تولید داخلی هر آن‌چه آنها دارند و شیعه ندارد، مانند فقه القرآن، قرائات، درایه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امکان هماوردی و رقابت را در خود حفظ و تقویت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عامل، موجب شد که شخصیت‌هایی چون ابن طاووس و محقق حلی‌در پی تأسیس نظام منطقی و ریاضی گونه‌ای برای نقد حدیث برمبنای دو پارامتر کاملاً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یک سو نسبت به نقد به اصطلاح خویش غیر علمی مدرسه اصحاب حدیث شیعه اعتراض داشته و از سوی دیگر اعتقاد داشتند که پاره‌ای قراین در اختیار گذشتگان بوده که از میان رفته است، لذا به نوعی با تسامح در به‌کارگیری اصطلاح به دیدگاه انسداد باب علم منتهی شده و با صرف نظر از ادامه تلاش برای کشف صحت صدور روایات، به تلاش جهت استخراج سیستمی برای رفع تکلیف و امکان پاسخ‌گویی در برابر خداوند پرداختند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این جریان، بدون تغییر قابل ملاحظه‌ای در مدرسه لبنان ادامه می‌یابد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دورۀ صفویه با زمینۀ مناسبی که برای جریان اخباری پدید آورد، شاهد بازسازی مجدد و گرچه به طور طبیعی تا حدی متفاوت مدرسه اهل حدیث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سه اثر دیگر از جوامع حدیثی شیعه پدید آمد که هر کدام به گونه‌ای نقدی بنیادی نسبت به زیر ساخت‌های مدرسه حلّه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پایه نظری این جریان را قبل از این ملا امین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الفوائد المدنیه با تلاش در تمایز دو مکتب اهل حدیث و اصولیان شیعه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متقدمان و متأخران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نقد جدی و بسیار شدید نسبت به مبانی فقهی، رجالی و حتی کلامی اصولیان برداشته بود که حمایت نظری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مشرق الشمسین و مجلسی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روضة المتقین در تقویت این جریان بی‌تأثیر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الوافی ، نقدهای تند و تیزی نسبت به مبانی رجالی و فقهی مدرسه حلّه وارد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بیان تفاوت روش نقد حدیث نزد قدما و متأخران، تقسیم احادیث به صحیح، حسن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را ناآشنا برای متقدمان شمرده و حدیث صحیح را نزد ایشان حدیثی می‌داند که مجموعه‌ای از قراین مبنی بر صحت را همراه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چند شماره به ذکر قراین یادشده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روایت در نسخه‌های متعددی از اصول اربعمائه که به طور متصل از امامان معصوم علیهم السلام نقل شده‌اند؛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تکرار روایت در یک یا چند اصل از راه‌های گوناگون و با سندهای متعدد و معتبر؛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روایت در یکی از آثار شناخته شده اصحاب اجماع، مانند زراره و محمد بن مسلم که همه شیعیان بر درستی روایاتشان گواهی می‌دهند؛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روایت در اثری شناخته شده از راویانی که بر درستی روایاتشان یا مشروعیت عمل به آنها اتفاق نظر وجود دارد؛ کسانی مانند یونس بن عبدالرحمن و عمار ساباطی؛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روایت در یکی از آثاری که بریکی از امامان عرضه شده و مندرجات آن را تأیید نموده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روایت در کتابی که مراجعه به آن در بین شیعیان رواج یافته و مرجعی </w:t>
      </w:r>
      <w:bookmarkStart w:id="39" w:name="pg14553_191729"/>
    </w:p>
    <w:p>
      <w:pPr>
        <w:pStyle w:val="BookText"/>
        <w:rPr/>
      </w:pPr>
      <w:bookmarkEnd w:id="39"/>
      <w:r>
        <w:rPr>
          <w:rFonts w:ascii="IRNazanin" w:hAnsi="IRNazanin" w:eastAsia="IRNazanin"/>
          <w:color w:val="111111"/>
          <w:sz w:val="28"/>
          <w:sz w:val="28"/>
          <w:szCs w:val="28"/>
          <w:rtl w:val="true"/>
          <w:lang w:bidi="fa-IR"/>
        </w:rPr>
        <w:t>معتبر نزد شیعیان شده است، ماند تألیفات ابن مهزیار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ذکر عبارت‌هایی از صاحبان کتب اربعه براین ادعای خود گواه می‌آورد و با ذکر انتقادهایی چند به نظریه مقابل که از آنِ مدرسه حلّه است این بخش را نیز به پایان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نکته در زمره انتقادهای فیض، تمرکز دستگاه نقد سندی حلّه بر حجیت و بی‌توجهی به کشف واقع است، چرا که مجرد بدکیشی یا وجود انحراف در عقاید فرد به معنای دروغ‌گویی او نیست و هم‌چنین فضایل اخلاقی راوی با آسان‌گیری او در نقل احادیث منافاتی ندارد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فأی مدخلٍ لفساد العقیدة فی صدق حدیث المرء إذا کان ثقةً فی مذهبه و أی مناقاةٍ للممدوحیة بفضیلة ما مع المسامحة فی نقل 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برای استخراج معیارهای نقد حدیث نزد کلینی و بیان تفاوت‌های آن با نقد سندی حلّه در آثار دیگر حدیث پژوهان متأخر شیعه نیز دنبال شده و افزون بر مطالب فیض کاشانی، گاه به انتقادهای وارده از سوی اصولیانِ مخالف این روش نیز پرداخته‌اند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 عاملی، وسائل الشیعه، ج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نوری،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eastAsia="IRNazanin" w:cs="IRNazanin"/>
          <w:color w:val="111111"/>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Heading3"/>
        <w:numPr>
          <w:ilvl w:val="2"/>
          <w:numId w:val="1"/>
        </w:numPr>
        <w:rPr/>
      </w:pPr>
      <w:bookmarkStart w:id="40" w:name="__RefHeading___Toc651681_1878427129"/>
      <w:bookmarkStart w:id="41" w:name="_Toc15"/>
      <w:bookmarkEnd w:id="40"/>
      <w:r>
        <w:rPr>
          <w:rtl w:val="true"/>
        </w:rPr>
        <w:t>معرفی ابواب کلامی</w:t>
      </w:r>
      <w:bookmarkEnd w:id="4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کلامی کافی که نزدیک به یک چهارم آن را تشکیل می‌دهد، در شکل‌دهی به مکتب کلامی شیعه نقش مؤثری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رده‌بندی روایات کلامی کافی ، نظامی ابتکاری پدید آورده که از یک جهت ناظر به مسائل محوری آن دوره در منازعات فرق و مذاهب بوده، و از سوی دیگر تلاش نموده در ترتیبی منطقی، عمده مباحث کلامی را در کتاب خود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مهم دیگری که در این بخش از کتاب کلینی به چشم می‌خورد، تلاش وی برای پایان بخشیدن به مجادلات کلامی درون مذهبی شیعیان با تکیه بر نقاط محوری و سعی در گردآوری دیدگاه‌های گوناگون پیرامون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کار کلینی هنگامی به درستی شناخته می‌شود که بدانیم وی در دوره موسوم به حیرت می‌زیسته است؛ دوره‌ای که شیعیان به دلیل </w:t>
      </w:r>
    </w:p>
    <w:p>
      <w:pPr>
        <w:pStyle w:val="BookText"/>
        <w:rPr/>
      </w:pPr>
      <w:r>
        <w:rPr>
          <w:rFonts w:ascii="IRNazanin" w:hAnsi="IRNazanin" w:eastAsia="IRNazanin"/>
          <w:color w:val="111111"/>
          <w:sz w:val="28"/>
          <w:sz w:val="28"/>
          <w:szCs w:val="28"/>
          <w:rtl w:val="true"/>
          <w:lang w:bidi="fa-IR"/>
        </w:rPr>
        <w:t>غیبت امام و در دست‌رس نبودن امامان قبلی و نیز پیدایش فرقه‌ها و دیدگاه‌های گوناگون بین شیعیان، سرگردان و حیران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تحقق این هدف با تعیین سرفصل‌هایی مشترک، به نقل حدیث از شخصیت‌های گوناگون که گاه در زمان حیات خود درگیری‌هایی با هم داشتند پرداخته و از نقل احادیث شبهه برانگیز این راویان پرهیز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شاخص این عمل کلینی را می‌توان در جمع روایات هشامین مشاهده نمود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از درگیری‌های کلامی این دو صحابی و پیروانشان می‌توان به برخی گزارش‌ها مبنی بر وجودتألیفاتی در این باره مراجعه نمود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ما بین هشام بن حکم و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العباس حمیری از مشایخ قم که نجاشی از آن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هیچ یک از این نمونه منابع به دست ما نرسیده و لذا جز از طریق مقایسه روایات آن دو و نقل قول‌های موجود در منابع فرقه‌ها و مذهب‌ها نمی‌توان به نقاط تفصیلی اختلاف آن دو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نقل روایات مقبول نزد عموم شیعیان از شخصیت‌هایی جنجال برانگیز، مانند ابن ابی یعفور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فضل بن شاذان نیشابوری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همین راستا قابل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باب کلینی با قرار دادن فیلتری اعتقادی، تمام سعی خود را برای دفاع از شخصیت‌هایی چون هشام بن حکم که در بین فرقه‌ها و مذاهب دیگر نیز حضور داشته و اتهام‌های گوناگونی از قبیل تجسیم و تشبیه به او نسبت داده است، مبذول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او برای نخستین بار پایگاه نیرومندی از درون جبهه اهل حدیث علیه جریان‌های اهل جبر و تشبیه و تجسیم بنیان گذارده و بدین وسیله، پایگاه مشترکی با اصحاب کلام بر ضد طیفی از اصحاب حدیث تأسیس می‌نماید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تلاش وی برای حذف برخی روایات شبهه برانگیز تا جایی استمرار یافته که گاه روایات نسبتاً مسلم </w:t>
      </w:r>
    </w:p>
    <w:p>
      <w:pPr>
        <w:pStyle w:val="BookText"/>
        <w:rPr/>
      </w:pPr>
      <w:r>
        <w:rPr>
          <w:rFonts w:ascii="IRNazanin" w:hAnsi="IRNazanin" w:eastAsia="IRNazanin"/>
          <w:color w:val="111111"/>
          <w:sz w:val="28"/>
          <w:sz w:val="28"/>
          <w:szCs w:val="28"/>
          <w:rtl w:val="true"/>
          <w:lang w:bidi="fa-IR"/>
        </w:rPr>
        <w:t xml:space="preserve">بین اهل حدیث شیعه را نیاورده </w:t>
      </w:r>
      <w:r>
        <w:rPr>
          <w:rStyle w:val="FootnoteAnchor"/>
          <w:rtl w:val="true"/>
        </w:rPr>
        <w:footnoteReference w:id="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می‌توان از احادیث سهو و نسیان نبی یاد کرد که تقریباً همه اهل حدیث شیعه آن را 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به رساله مخطوط محقق شوشتری در همین موضوع با عنوان سهو النبی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منازعات بعدی هیچ یک از پیروان مکاتب کلامی شیعه از قم و بغداد گرفته تا مدرسه حلّه نسبت به کتاب کافی حساسیتی جدی از خود نشان نداده و در عمدۀ موارد بدون هیچ دغدغه‌ای به نقل روایات آن بدون توجه به وضعیت سندی آنها پرداخته‌اند و به این دلیل وی نوعی مصونیت از اتهام‌های متداول آن زمان، مانند غلوّ و تقصیر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می‌توانیم وی را نقطه وسط میان دو جریان عقل‌گرایی کلامی و سنت‌گرایی حدیثی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به‌رغم پرهیز از لحن متکلمانه و پای‌بندی به سنت نقل حدیث، کتاب خود را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نموده و در آن با دفاع از مشروعیت و اعتبار عقل به مثابه نعمت و امانتی خدادادی، چهره‌ای کاملاً عقلانی به مذهب شیعه می‌بخشد که برای متکلمان شیعه بسیار جذاب و دل‌نشین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لازم است متذکر شویم که متکلمان شیعه معمولاً در مراجعه به احادیث، معیارهای عقلی را مبنا قرار داده و هر روایت موافق دیدگاه عقلی کلام شیعه را پذیرفته و گاه روایات مشهور و تهی از ایراد سندی را به دلیل مخالفت با آن، رد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این رو وجود تعداد محدودی از روایات ناسازگار با روحیه خردگرایی برخی متکلمان بغداد، مانند روایات عالم ذر به استثنای برخی شخصیت‌های تندرو در خردگرایی و نزدیک به معتزله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واکنش نسبتاً ملایمی از سوی متکلمان بغداد روبه‌رو شده است؛ روایاتی که در دوره‌های بعد با اتفاق نظرِ نسبی از سوی شیعیان پذیرفته شده و این منازعه به سود کلینی خاتمه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از بحث به معرفی مهم‌ترین کتاب‌ها و ابواب کلامی کافی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کتاب خود را با این کتاب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دلیل این انتخاب را آن می‌شمرد که عقل، معیار تکلیف و ثواب و عقاب الهی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سعی دارد به اهمیت تعقل در دین از یک سو و پرهیز از خردگرایی افراطی و تعبدگریزی از سوی دیگر توجه داده، نوعی عقل دینی‌تعریف نماید و آن را در نقش بستر دین داری به عنوان مبنا و اساس کتاب خود برگزیند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فضل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تأکید بر تفقه در دین و پرهیز از راه‌های غیر یقینی و گمان‌آور به نوعی دنباله کتاب عقل و جهل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کتاب، برخی روایاتی در فضیلت دانش‌اندوزی آورده و سپس ابوابی را به نهی از اظهار نظر گمانی در مسائل دینی و استفاده از روش‌های نامعتبر، مانند قیاس و نتایج برآمده از آن که پیدایش بدعت در دین است،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ضمن چند باب، از کتاب و سنت به عنوان مبنا و اساس فهم دین یاد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مهم‌ترین بخش‌های کافی است که به موضوعات گوناگون مربوط به شناخت خداوند و صفاتش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عناوین باب‌های این کتاب از مسائل مورد مناقشه متکلمان و فیلسوفان عصر کلینی گرفته شده و روایات مربوط به آن، ذیل هر یک شناسایی و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گاه عنوان باب در هیچ یک از روایات به‌کار نرفته و در واقع، درج این روایت ذیل این باب از اجتهادات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برهان‌های مبتنی بر حدوث عالم که معمولاً در مناظره‌های امام صادق علیه السلام به گروه موسوم به زنادقه و دهریون بیان شده، در آغاز این کتاب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احادیث مربوط به شیء بودن خداوند و در عین حال منزه بودن او از جسمانیت که منشأ اتهام هشام بن حکم به تجسیم و تشبیه بوده است بابی را به خود اختصاص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کلینی به مسئله کلام الهی که محور مجادله‌های موسوم به خلق قرآن بین اصحاب حدیث و معتزله بوده و نیز مسئله رؤیت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پای‌بندی حنابله به ظواهر آیات و نیز وجود پاره‌ای روایات مورد مناقشه، عامل پیدایش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دیگری در تقسیم صفات به ذاتی و فعلی، و بیان ماهیت برخی پدیده‌های الوهی، همانند عرش و کرسی، در ادامه آمده و سپس به بررسی منازعات مربوط به افعال الهی، از قبیل مسئله بداء، جبر و اختیار، خیر و شر، سعادت و شقاوت، حجت خداوند بر بندگان و دخالت او در هدایت افراد پرداخته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کتاب کافی که شاخصه شیعی آن را به روشنی نمود می‌دهد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آغاز آن بر محل نزاع شیعه و اهل سنت در باب ضرورتِ نیاز به حجت تکیه کرده و سپس سعی نموده ضمن بیان تفاوت پیامبر و امام، تعریف مشخصی از مفهوم شیعی امام در مقایسه با مفهوم اعتزالی و زیدی آن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ضرورت شناخت امام و وجوب اطاعت از وی پرداخته و سپس مجموعه‌ای از صفات و ویژگی‌های امامان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به دلیل اشتمال بر صفاتی احیاناً اختلاف برانگیز و نیز وجود تعداد قابل توجهی از راویان غالی در زمره اسناد آن، از جنجالی‌ترین بخش‌های کافی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نقش و جایگاه امام در شرایط دوره کلینی برای حفظ هویت خاص شیعی و تمایز از دیگر فرقه‌ها به شدت ضروری می‌نمود و لذا کلینی ناگزیر به میراث حدیثی غالیان و مفوضه نیز روی آورده و از میان آن، دست به گزینش زده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امر به طور طبیعی احتمال وجود روایاتی قابل نقد را در این موضوع تقویت می‌نماید، با این حال اتفاق نظر تدریجی شیعیان بر مضامین این روایات و انقراض دیدگاه‌های منتقد که بر شخصیت بشری امامان بیشتر تکیه می‌کردند، زمینه اختلاف فراوانی در میان شیعیان برجای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بین این بخش از کتاب به مستندات روایی امامت هر امام پرداخته و نیز ابواب مربوط به غیبت امام دوازدهم را نیز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روایات مربوط به خمس البته بدون درج بابی به آنها در بخش فقهی کتاب به‌طور مختصر و در مقام بیان یکی از ویژگی‌های امامان در این کتاب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 توجه به دیدگاه‌های مشهور شیعه در آن دوره، مبنی بر اباحه خمس در عصر غیبت زمینه‌ساز پیدایش برخی نظریه‌های انتقادی در حوزه فقه سیاسی شیعه و به طور خاص، دربارۀ مسئله ولایت فقیه شده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طباطبایی، همان، ص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باره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تطور الفکر السیاسی الشیعی من نظریة الشوری الی ولایة الفقیه، فصل الموقف من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مستندات شیعی تحریف قرآن نیز در این کتاب بیان شده‌اند </w:t>
      </w:r>
      <w:r>
        <w:rPr>
          <w:rStyle w:val="FootnoteAnchor"/>
          <w:rtl w:val="true"/>
        </w:rPr>
        <w:footnoteReference w:id="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 تحریف در بخش نوادر کتاب القرآن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دانشمندان شیعی متأخر در توجیه آن، یا اعتبار آنها را مورد تردید قرار داده و یا ظواهر آن را تأویل و بی‌ارتباط به مسئله تحریف شمرده‌اند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در حالی است که اعتقاد به تحریف در بین شیعه همانند برخی مذاهب دیگر سابقه داشته و افزون بر محدثانی چون عیاشی و علی بن ابراهیم قمی، از متکلمانی چون نوبختیان نیز اعتقاد به وقوع نوعی تحریف در قرآن گزارش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هر روی، احتمال اعتماد کلینی به مسئله تحریف منتفی نیست، گرچه این مسئله به بررسی بیشتر و مستقلی نیاز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ضمن کتاب الحجه، بخشی جداگانه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زندگی تک تک چهارده معصوم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این بخش درج فصلی در آن راجع به تعداد امامان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تعداد امامان همواره از نقاط اختلاف برانگیز بین شیعه بوده که معمولاً پس از مرگ هر امام به عرصه مجادله‌ها کشیده شده و در بسیاری موارد، عامل پیدایش فرقه‌های نوظهور شیعی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آغاز غیبت امام دوازدهم در دوره موسوم به حیرت که بسیاری از شیعیان در مسئله جانشین امام عسکری علیه السلام دچار تردید شده بودند، طبق معمول به بحث گذارده می‌شود و جالب آن که دیدگاه‌های متفاوتی، مانند اعتقاد به سیزده امام یا نامعین بودن تعداد امامان و استمرار آنها در حال غیبت مطرح می‌شود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در این میان، کلینی با درج این فصل و گردآوری روایاتی منقول از امامان گذشته در صدد تثبیت این اندیشه برمی‌آید که تعداد امامان امری الهی و تعیین شده از زمان پیامبر صلی الله علیه و آله بوده </w:t>
      </w:r>
      <w:bookmarkStart w:id="42" w:name="pg14553_191735"/>
    </w:p>
    <w:p>
      <w:pPr>
        <w:pStyle w:val="BookText"/>
        <w:rPr/>
      </w:pPr>
      <w:bookmarkEnd w:id="4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525</w:t>
      </w:r>
      <w:r>
        <w:rPr>
          <w:rFonts w:eastAsia="IRNazanin" w:cs="IRNazanin"/>
          <w:color w:val="111111"/>
          <w:sz w:val="28"/>
          <w:szCs w:val="28"/>
          <w:rtl w:val="true"/>
          <w:lang w:bidi="fa-IR"/>
        </w:rPr>
        <w:t>-</w:t>
      </w:r>
      <w:r>
        <w:rPr>
          <w:rFonts w:eastAsia="IRNazanin" w:cs="IRNazanin"/>
          <w:color w:val="111111"/>
          <w:sz w:val="28"/>
          <w:szCs w:val="28"/>
          <w:lang w:bidi="fa-IR"/>
        </w:rPr>
        <w:t>534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احادیث طینت و عالم ذر آغاز شده که در محورهای منازعه متکلمان بغداد با محدثان قم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احادیث فطرت در ادامه آمده و سپس به بیان مفاهیم بنیادی نظام دینی قرآن، یعنی مفهوم ایمان و رابطه آن با اسلام و درجه‌های هر یک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رابطه ایمان و اسلام و نقش گناهان کبیره در آن از دهه‌های پایانی سده نخست در فهرست مباحث کلامی درآمده و از عوامل پیدایش برخی فرقه‌ها، چون مرجئه و خوارج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پایانی کتاب که بخش عمده آن است، مجموعه‌ای از احادیث اخلاقی را در بردارد</w:t>
      </w:r>
      <w:r>
        <w:rPr>
          <w:rFonts w:eastAsia="IRNazanin" w:cs="IRNazanin"/>
          <w:color w:val="111111"/>
          <w:sz w:val="28"/>
          <w:szCs w:val="28"/>
          <w:rtl w:val="true"/>
          <w:lang w:bidi="fa-IR"/>
        </w:rPr>
        <w:t>.</w:t>
      </w:r>
    </w:p>
    <w:p>
      <w:pPr>
        <w:pStyle w:val="Heading3"/>
        <w:numPr>
          <w:ilvl w:val="2"/>
          <w:numId w:val="1"/>
        </w:numPr>
        <w:rPr/>
      </w:pPr>
      <w:bookmarkStart w:id="43" w:name="__RefHeading___Toc651683_1878427129"/>
      <w:bookmarkStart w:id="44" w:name="_Toc16"/>
      <w:bookmarkEnd w:id="43"/>
      <w:r>
        <w:rPr>
          <w:rtl w:val="true"/>
        </w:rPr>
        <w:t>نتیجه گیری</w:t>
      </w:r>
      <w:bookmarkEnd w:id="44"/>
    </w:p>
    <w:p>
      <w:pPr>
        <w:pStyle w:val="BookText"/>
        <w:rPr/>
      </w:pPr>
      <w:r>
        <w:rPr>
          <w:rFonts w:ascii="IRNazanin" w:hAnsi="IRNazanin" w:eastAsia="IRNazanin"/>
          <w:color w:val="111111"/>
          <w:sz w:val="28"/>
          <w:sz w:val="28"/>
          <w:szCs w:val="28"/>
          <w:rtl w:val="true"/>
          <w:lang w:bidi="fa-IR"/>
        </w:rPr>
        <w:t>در این مقاله پس از مباحثی مقدماتی دربارۀ سیر زندگی کلینی به موضوع مبنای گزینش روایات در کتاب کافی پرداخته و دربارۀ مسئله ارتباط کلینی با نواب اربعه که گروهی از اخباریان برای اثبات اعتبار کافی از آن بهره‌برداری کرده بودند نیز بحث شد، و در نهایت به بررسی مهم‌ترین ابواب کلامی کافی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این بحث مختصر، نتیجه گرفته می‌شود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کافی به رغم اهمیت فراوان، از اعتبار صددرصدی برخوردار نبوده و از جنبه‌های گوناگون قابل نقد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نقد سندی کافی نباید از این نکته غافل ماند که این شیوه نقد در دوره کلینی رایج نبوده و لذا مبنای گزینش وی باید شناسایی شده و به هنگام نقد احادیث به آن توجه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کافی وضعیت تاریخی جامعه شیعه را در آن دوره، نشان داده و از این جهت می‌تواند به عنوان منبعی تاریخی به‌کار گرفته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کافی نقش قابل توجهی در حل اختلافات درون مذهبی، و سازمان‌دهی اندیشه اعتقادی شیعه 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نقد روایات اعتقادی کافی می‌تواند به آسیب‌شناسی اندیشه کلامی شیعه یاری رساند</w:t>
      </w:r>
      <w:r>
        <w:rPr>
          <w:rFonts w:eastAsia="IRNazanin" w:cs="IRNazanin"/>
          <w:color w:val="111111"/>
          <w:sz w:val="28"/>
          <w:szCs w:val="28"/>
          <w:rtl w:val="true"/>
          <w:lang w:bidi="fa-IR"/>
        </w:rPr>
        <w:t xml:space="preserve">. </w:t>
      </w:r>
      <w:bookmarkStart w:id="45" w:name="pg14553_191736"/>
    </w:p>
    <w:p>
      <w:pPr>
        <w:pStyle w:val="Heading3"/>
        <w:numPr>
          <w:ilvl w:val="2"/>
          <w:numId w:val="1"/>
        </w:numPr>
        <w:rPr/>
      </w:pPr>
      <w:bookmarkStart w:id="46" w:name="__RefHeading___Toc651685_1878427129"/>
      <w:bookmarkStart w:id="47" w:name="_Toc17"/>
      <w:bookmarkEnd w:id="45"/>
      <w:bookmarkEnd w:id="46"/>
      <w:r>
        <w:rPr>
          <w:rtl w:val="true"/>
        </w:rPr>
        <w:t>فهرست منابع</w:t>
      </w:r>
      <w:bookmarkEnd w:id="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احمد بن علی، لسان المیزان ،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مؤسسه اعلمی،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داود، تقی الدین، رجال ، نجف، المطبعة الحیدریة،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 محمدبن علی، معالم العلماء ،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المطبعة الحیدریة،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دهات کشور ،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وزارت کشور،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اشتهاردی، علی پناه، مجموعة فتاوی ابن جنید ،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جامعه مدرسین،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اصطخری، ابراهیم بن محمد بن اسحاق، مسالک الممالک ، چاپ لیدن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افندی، میرزا عبداللّه، ریاض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انصاری، مرتضی، فرائد الاصول ، به کوشش کنگره شیخ انصاری،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مجمع الفکر الاسلامی،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العلوم، محمدمهدی، الفوائد الرجالیه ، به کوشش محمدصادق بحرالعلوم،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مکتبة الصادق،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بدوی، عبدالرحمن، مذاهب الاسلامیین ، بیروت، دارالعلم للملایین،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تهرانی، آقابزرگ، الذریعة الی تصانیف الشیعه ،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دارالاضواء،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آقا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نشریۀ سفینه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تخصصی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سال اول، شماره دوم، بهار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وسائل الشیعه ،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مؤسسه آل‌البیت علیهم السلام،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حلی، حسن بن یوسف، خلاصة الأقوال ، به کوشش جواد قیومی،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نشر الفقاهه،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4553_191738"/>
      <w:bookmarkStart w:id="49" w:name="pg14553_191738"/>
      <w:bookmarkEnd w:id="49"/>
    </w:p>
    <w:p>
      <w:pPr>
        <w:pStyle w:val="BookText"/>
        <w:rPr/>
      </w:pPr>
      <w:bookmarkStart w:id="50" w:name="pg14553_191738"/>
      <w:bookmarkEnd w:id="50"/>
      <w:r>
        <w:rPr>
          <w:rFonts w:ascii="IRNazanin" w:hAnsi="IRNazanin" w:eastAsia="IRNazanin"/>
          <w:color w:val="111111"/>
          <w:sz w:val="28"/>
          <w:sz w:val="28"/>
          <w:szCs w:val="28"/>
          <w:rtl w:val="true"/>
          <w:lang w:bidi="fa-IR"/>
        </w:rPr>
        <w:t>فقه الکلینی دراسة و تحلیل</w:t>
      </w:r>
    </w:p>
    <w:p>
      <w:pPr>
        <w:pStyle w:val="Heading2"/>
        <w:numPr>
          <w:ilvl w:val="1"/>
          <w:numId w:val="1"/>
        </w:numPr>
        <w:rPr/>
      </w:pPr>
      <w:bookmarkStart w:id="51" w:name="__RefHeading___Toc651687_1878427129"/>
      <w:bookmarkStart w:id="52" w:name="_Toc18"/>
      <w:bookmarkEnd w:id="51"/>
      <w:r>
        <w:rPr>
          <w:rtl w:val="true"/>
        </w:rPr>
        <w:t>فقه الکلینی دراسة و تحلیل</w:t>
      </w:r>
      <w:bookmarkEnd w:id="52"/>
    </w:p>
    <w:p>
      <w:pPr>
        <w:pStyle w:val="Heading3"/>
        <w:numPr>
          <w:ilvl w:val="2"/>
          <w:numId w:val="1"/>
        </w:numPr>
        <w:rPr/>
      </w:pPr>
      <w:bookmarkStart w:id="53" w:name="__RefHeading___Toc651689_1878427129"/>
      <w:bookmarkStart w:id="54" w:name="_Toc19"/>
      <w:bookmarkEnd w:id="53"/>
      <w:r>
        <w:rPr>
          <w:rtl w:val="true"/>
        </w:rPr>
        <w:t>اشارة</w:t>
      </w:r>
      <w:bookmarkEnd w:id="54"/>
    </w:p>
    <w:p>
      <w:pPr>
        <w:pStyle w:val="BookText"/>
        <w:rPr/>
      </w:pPr>
      <w:r>
        <w:rPr>
          <w:rFonts w:ascii="IRNazanin" w:hAnsi="IRNazanin" w:eastAsia="IRNazanin"/>
          <w:color w:val="111111"/>
          <w:sz w:val="28"/>
          <w:sz w:val="28"/>
          <w:szCs w:val="28"/>
          <w:rtl w:val="true"/>
          <w:lang w:bidi="fa-IR"/>
        </w:rPr>
        <w:t xml:space="preserve">فقه الکلینی دراسة و تحلیل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الشیخ صفاء الدین الخزرجی</w:t>
      </w:r>
    </w:p>
    <w:p>
      <w:pPr>
        <w:pStyle w:val="Heading3"/>
        <w:numPr>
          <w:ilvl w:val="2"/>
          <w:numId w:val="1"/>
        </w:numPr>
        <w:rPr/>
      </w:pPr>
      <w:bookmarkStart w:id="55" w:name="__RefHeading___Toc651691_1878427129"/>
      <w:bookmarkStart w:id="56" w:name="_Toc20"/>
      <w:bookmarkEnd w:id="55"/>
      <w:r>
        <w:rPr>
          <w:rtl w:val="true"/>
        </w:rPr>
        <w:t>چکیده</w:t>
      </w:r>
      <w:bookmarkEnd w:id="56"/>
    </w:p>
    <w:p>
      <w:pPr>
        <w:pStyle w:val="BookText"/>
        <w:rPr/>
      </w:pPr>
      <w:r>
        <w:rPr>
          <w:rFonts w:ascii="IRNazanin" w:hAnsi="IRNazanin" w:eastAsia="IRNazanin"/>
          <w:color w:val="111111"/>
          <w:sz w:val="28"/>
          <w:sz w:val="28"/>
          <w:szCs w:val="28"/>
          <w:rtl w:val="true"/>
          <w:lang w:bidi="fa-IR"/>
        </w:rPr>
        <w:t>در این نوشتار، پس از اشاره‌ای کوتاه به زندگی و جایگاه علمی کلینی، از کتاب الکافی سخن به میان آمده و به دیدگاه علمی دربارۀ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این مقافله بررسی کتاب فقهی فروع الکافی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دنبال مباحث پیش‌گفته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بخش، به روایات فقهی الکافی و استنتاجات مختلف فقها از این روایات پرداخته و روایاتی را از ابواب مختلف کتاب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عُرفت شخصیة ثقة الإسلام محمّد بن یعقوب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بالحدیث أکثر من اشتهارها بالفقه، وذلک من خلال مصنّفه الکبیر الکافی الذی وضعه فی الاُصول والفروع، حیث طغت سمعة هذا المصنَّف علی سائر الجوانب العلمیة الاُخری فی شخصیة مؤلّفه، فقد عکف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لیست بالقصیرة علی جمع أحادیثه من الاُصول المعتمدة مقدّماً من خلال هذا الجهد الاستثنائی الذی دام عشرین عاماً عطاءً علمیاً کبیراً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یشار أیضاً إلی سبب آخر فی ضمور البعد الفقهی فی عطائه العلمی، ألا وهو عدم تصنیفه فی هذا المجال؛ حیث لم یترک أثراً فقهیاً فی عداد مؤلّفاته الستّة التی کتبها</w:t>
      </w:r>
      <w:r>
        <w:rPr>
          <w:rFonts w:eastAsia="IRNazanin" w:cs="IRNazanin"/>
          <w:color w:val="111111"/>
          <w:sz w:val="28"/>
          <w:szCs w:val="28"/>
          <w:rtl w:val="true"/>
          <w:lang w:bidi="fa-IR"/>
        </w:rPr>
        <w:t xml:space="preserve">. </w:t>
      </w:r>
      <w:bookmarkStart w:id="57" w:name="pg14553_191739"/>
    </w:p>
    <w:p>
      <w:pPr>
        <w:pStyle w:val="BookText"/>
        <w:rPr/>
      </w:pPr>
      <w:bookmarkEnd w:id="57"/>
      <w:r>
        <w:rPr>
          <w:rFonts w:ascii="IRNazanin" w:hAnsi="IRNazanin" w:eastAsia="IRNazanin"/>
          <w:color w:val="111111"/>
          <w:sz w:val="28"/>
          <w:sz w:val="28"/>
          <w:szCs w:val="28"/>
          <w:rtl w:val="true"/>
          <w:lang w:bidi="fa-IR"/>
        </w:rPr>
        <w:t>ومن أجل ذلک 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وکما هو المتبادر إلی الأذهان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باستبعاد هذا الجانب فی حیاته، وبالمآل تحجیم دوره فی إطار دائرة الحدیث فحسب، کما هو المشهور والمعروف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فیکون الحدیث عن فقاهته وفقهه تحمیلاً وتمحّلاً فی البحث لا یستمدّ أدلّته من مبرّرات حقیقیة وواقعیة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ثمّة وجهة نظر اُخری تری أنّ ما کتبه الکلینی فی باب الفروع من الکافی قد توفّر علی خبرة وثروة علمیة وفقهیة لا یستهان بها إذا ما قورنت بخبرات الآخرین من فقهاء عصره وأبناء طبقته، من أضراب علی بن بابویه وولده الصدوق، وممّا یعزّز ذلک تعاطی الفقهاء آراءه ونقلهم أقواله فی بحوثهم، ممّا یعکس اهتمامهم بفقهه وآرائه، حتّی أنّهم یستظهرون من روایته للروایة أو عنونته للأبواب الإفتاء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المقال نسعی إلی تسلیط الضوء علی هذا البعد الهامّ من حیاة هذا الفقیه، ودراسة وتحلیل ما وصل إلینا من فقهه وآرائه، لعلّها تکون أساساً لدراسة أعمق وأشمل للباحثین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ویحسن بنا قبل ذلک أن نلمّ إلمامة موجزة بحیاته وسیرته استکمالاً للفائدة المرجوّة</w:t>
      </w:r>
      <w:r>
        <w:rPr>
          <w:rFonts w:eastAsia="IRNazanin" w:cs="IRNazanin"/>
          <w:color w:val="111111"/>
          <w:sz w:val="28"/>
          <w:szCs w:val="28"/>
          <w:rtl w:val="true"/>
          <w:lang w:bidi="fa-IR"/>
        </w:rPr>
        <w:t>.</w:t>
      </w:r>
    </w:p>
    <w:p>
      <w:pPr>
        <w:pStyle w:val="Heading3"/>
        <w:numPr>
          <w:ilvl w:val="2"/>
          <w:numId w:val="1"/>
        </w:numPr>
        <w:rPr/>
      </w:pPr>
      <w:bookmarkStart w:id="58" w:name="__RefHeading___Toc651693_1878427129"/>
      <w:bookmarkStart w:id="59" w:name="_Toc21"/>
      <w:bookmarkEnd w:id="58"/>
      <w:r>
        <w:rPr>
          <w:rtl w:val="true"/>
        </w:rPr>
        <w:t>ثقة الإسلام الکلینی فی سطور</w:t>
      </w:r>
      <w:bookmarkEnd w:id="59"/>
    </w:p>
    <w:p>
      <w:pPr>
        <w:pStyle w:val="BookText"/>
        <w:rPr/>
      </w:pPr>
      <w:r>
        <w:rPr>
          <w:rFonts w:ascii="IRNazanin" w:hAnsi="IRNazanin" w:eastAsia="IRNazanin"/>
          <w:color w:val="111111"/>
          <w:sz w:val="28"/>
          <w:sz w:val="28"/>
          <w:szCs w:val="28"/>
          <w:rtl w:val="true"/>
          <w:lang w:bidi="fa-IR"/>
        </w:rPr>
        <w:t xml:space="preserve">ینتسب شیخنا المترجم أبو جعفر محمّد بن یعقوب الکلینی إلی اُسرة علمیة عریقة من 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 الریّ، التی احتضنته ولیداً فی أواسط القرن الثالث الهجری معاصراً للغیبة الصغری وسفرائها</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الخوئی قدس سره فی 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تأریخ تولّد محمّد بن یعقوب مجهول، فلعلّ تولّده کان بعد وفاة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کانت وفاته علیه السلام سنة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المناسب أیضاً لوفاة ثقة الإسلام سنة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فیکون له من العمر نحو سبعین عاماً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غادر قریته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یحتمل أنها ساهمت فی إعداده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الریّ أوّل محطة له للأخذ من مشایخها، ثمّ انطلق مواصلاً رحلته إلی الکوفة وسوراء ودمشق، وأخیراً ألقی رحله ببغداد مستقرّاً بها، مفیداً ومستفیداً من علمائها، إلی أن وافته المنیّة بها سنة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وقبره فیها معروف یُزار</w:t>
      </w:r>
      <w:r>
        <w:rPr>
          <w:rFonts w:eastAsia="IRNazanin" w:cs="IRNazanin"/>
          <w:color w:val="111111"/>
          <w:sz w:val="28"/>
          <w:szCs w:val="28"/>
          <w:rtl w:val="true"/>
          <w:lang w:bidi="fa-IR"/>
        </w:rPr>
        <w:t xml:space="preserve">. </w:t>
      </w:r>
      <w:bookmarkStart w:id="60" w:name="pg14553_191740"/>
    </w:p>
    <w:p>
      <w:pPr>
        <w:pStyle w:val="Heading3"/>
        <w:numPr>
          <w:ilvl w:val="2"/>
          <w:numId w:val="1"/>
        </w:numPr>
        <w:rPr/>
      </w:pPr>
      <w:bookmarkStart w:id="61" w:name="__RefHeading___Toc651695_1878427129"/>
      <w:bookmarkStart w:id="62" w:name="_Toc22"/>
      <w:bookmarkEnd w:id="60"/>
      <w:bookmarkEnd w:id="61"/>
      <w:r>
        <w:rPr>
          <w:rtl w:val="true"/>
        </w:rPr>
        <w:t>مؤلّفاته</w:t>
      </w:r>
      <w:bookmarkEnd w:id="62"/>
    </w:p>
    <w:p>
      <w:pPr>
        <w:pStyle w:val="BookText"/>
        <w:rPr/>
      </w:pPr>
      <w:r>
        <w:rPr>
          <w:rFonts w:ascii="IRNazanin" w:hAnsi="IRNazanin" w:eastAsia="IRNazanin"/>
          <w:color w:val="111111"/>
          <w:sz w:val="28"/>
          <w:sz w:val="28"/>
          <w:szCs w:val="28"/>
          <w:rtl w:val="true"/>
          <w:lang w:bidi="fa-IR"/>
        </w:rPr>
        <w:t>وهی عبارة عن الکتب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الردّ علی القرامطة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رسائل الأئمّة علیهم السلام ، أو کتاب الرسائل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الرؤیا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الرجال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ما قیل فی الأئمّة من الشعر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الکافی ، وفیه ثلاثون کتاباً، وهو الذی بقی من جمیع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یلوح من کلام بعض العلماء نسبة کتاب له باسم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الفتاوی السبعة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أنها سبعة عشر موضعاً فی السهو فی الصلاة ذکرها فی فروع الکافی بلسان الفتوی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3" w:name="__RefHeading___Toc651697_1878427129"/>
      <w:bookmarkStart w:id="64" w:name="_Toc23"/>
      <w:bookmarkEnd w:id="63"/>
      <w:r>
        <w:rPr>
          <w:rtl w:val="true"/>
        </w:rPr>
        <w:t>مشایخه وتلامذته</w:t>
      </w:r>
      <w:bookmarkEnd w:id="64"/>
    </w:p>
    <w:p>
      <w:pPr>
        <w:pStyle w:val="BookText"/>
        <w:rPr/>
      </w:pPr>
      <w:r>
        <w:rPr>
          <w:rFonts w:ascii="IRNazanin" w:hAnsi="IRNazanin" w:eastAsia="IRNazanin"/>
          <w:color w:val="111111"/>
          <w:sz w:val="28"/>
          <w:sz w:val="28"/>
          <w:szCs w:val="28"/>
          <w:rtl w:val="true"/>
          <w:lang w:bidi="fa-IR"/>
        </w:rPr>
        <w:t xml:space="preserve">تلمّذ قدس سره علی جهبذة من أئمّة الحدیث وحفظته، وهم کثیرون </w:t>
      </w:r>
      <w:r>
        <w:rPr>
          <w:rStyle w:val="FootnoteAnchor"/>
          <w:rtl w:val="true"/>
        </w:rPr>
        <w:footnoteReference w:id="64"/>
      </w:r>
      <w:r>
        <w:rPr>
          <w:rFonts w:ascii="IRNazanin" w:hAnsi="IRNazanin" w:eastAsia="IRNazanin"/>
          <w:color w:val="111111"/>
          <w:sz w:val="28"/>
          <w:sz w:val="28"/>
          <w:szCs w:val="28"/>
          <w:rtl w:val="true"/>
          <w:lang w:bidi="fa-IR"/>
        </w:rPr>
        <w:t>نذکر فیما یلی أشهرهم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إبراهیم الذی أکثر الروایة عنه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حُمَید بن زیاد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یحیی العطّار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إسماعیل النیسابوری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جعفر الرزّاز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تلامذته، فقد تخرّج علیه کوکبة کبیرة من حملة العلم وحفظة الحدیث، نشیر إلی أسماء بعضهم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بن قُولَوَیه رحمه الله صاحب کامل الزیارات ، وقد أجازه روایة کتبه</w:t>
      </w:r>
      <w:r>
        <w:rPr>
          <w:rFonts w:eastAsia="IRNazanin" w:cs="IRNazanin"/>
          <w:color w:val="111111"/>
          <w:sz w:val="28"/>
          <w:szCs w:val="28"/>
          <w:rtl w:val="true"/>
          <w:lang w:bidi="fa-IR"/>
        </w:rPr>
        <w:t>.</w:t>
      </w:r>
      <w:bookmarkStart w:id="65" w:name="pg14553_191741"/>
    </w:p>
    <w:p>
      <w:pPr>
        <w:pStyle w:val="BookText"/>
        <w:rPr/>
      </w:pPr>
      <w:bookmarkEnd w:id="6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أحمد بن موسی الدقّاق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محمّد بن عصام الکلینی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بن موسی بن أحمد بن سعید التلّعکبَری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موسی بن المتوکّل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بعض المصادر الفقهیة أنّ من تلامذته الشیخ الصدوق </w:t>
      </w:r>
      <w:r>
        <w:rPr>
          <w:rStyle w:val="FootnoteAnchor"/>
          <w:rtl w:val="true"/>
        </w:rPr>
        <w:footnoteReference w:id="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ولم ینقله أحد؛ لأنّ الصدوق یروی عن الکلینی بالواسطة، وقد ذُکر طریقه إلیه فی مشیخة الفقیه </w:t>
      </w:r>
      <w:r>
        <w:rPr>
          <w:rFonts w:eastAsia="IRNazanin" w:cs="IRNazanin"/>
          <w:color w:val="111111"/>
          <w:sz w:val="28"/>
          <w:szCs w:val="28"/>
          <w:rtl w:val="true"/>
          <w:lang w:bidi="fa-IR"/>
        </w:rPr>
        <w:t>.</w:t>
      </w:r>
    </w:p>
    <w:p>
      <w:pPr>
        <w:pStyle w:val="Heading3"/>
        <w:numPr>
          <w:ilvl w:val="2"/>
          <w:numId w:val="1"/>
        </w:numPr>
        <w:rPr/>
      </w:pPr>
      <w:bookmarkStart w:id="66" w:name="__RefHeading___Toc651699_1878427129"/>
      <w:bookmarkStart w:id="67" w:name="_Toc24"/>
      <w:bookmarkEnd w:id="66"/>
      <w:r>
        <w:rPr>
          <w:rtl w:val="true"/>
        </w:rPr>
        <w:t>مکانته العلمیة</w:t>
      </w:r>
      <w:bookmarkEnd w:id="67"/>
    </w:p>
    <w:p>
      <w:pPr>
        <w:pStyle w:val="BookText"/>
        <w:rPr/>
      </w:pPr>
      <w:r>
        <w:rPr>
          <w:rFonts w:ascii="IRNazanin" w:hAnsi="IRNazanin" w:eastAsia="IRNazanin"/>
          <w:color w:val="111111"/>
          <w:sz w:val="28"/>
          <w:sz w:val="28"/>
          <w:szCs w:val="28"/>
          <w:rtl w:val="true"/>
          <w:lang w:bidi="fa-IR"/>
        </w:rPr>
        <w:t xml:space="preserve">أشادت کلمات الأعلام من الفریقین بفضله ومکانته، وأذعنت بجهوده العلمیة وعطائه الفذّ، حتّی لُقّب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وإلیک شطراً من کلماتهم المعربة عن فضله عندهم وإکبارهم لشخصه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النجاشی رحمه الله 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أوثق الناس فی الحدیث وأثبتهم، صنّف الکتاب المعروف بالکلینی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یُسمّی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عشرین سنة</w:t>
      </w:r>
      <w:r>
        <w:rPr>
          <w:rFonts w:eastAsia="IRNazanin" w:cs="IRNazanin"/>
          <w:color w:val="111111"/>
          <w:sz w:val="28"/>
          <w:szCs w:val="28"/>
          <w:rtl w:val="true"/>
          <w:lang w:bidi="fa-IR"/>
        </w:rPr>
        <w:t xml:space="preserve">» .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وأثنی علیه شیخ الطائفة الطوسی قدس سره قائلاً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جلیل القدر، عالم بالأخبار</w:t>
      </w:r>
      <w:r>
        <w:rPr>
          <w:rFonts w:eastAsia="IRNazanin" w:cs="IRNazanin"/>
          <w:color w:val="111111"/>
          <w:sz w:val="28"/>
          <w:szCs w:val="28"/>
          <w:rtl w:val="true"/>
          <w:lang w:bidi="fa-IR"/>
        </w:rPr>
        <w:t xml:space="preserve">» . </w:t>
      </w:r>
      <w:r>
        <w:rPr>
          <w:rStyle w:val="FootnoteAnchor"/>
          <w:rtl w:val="true"/>
        </w:rPr>
        <w:footnoteReference w:id="6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ثقة، عارف بالأخبار</w:t>
      </w:r>
      <w:r>
        <w:rPr>
          <w:rFonts w:eastAsia="Amiri" w:cs="Amiri" w:ascii="Amiri" w:hAnsi="Amiri"/>
          <w:color w:val="111111"/>
          <w:sz w:val="28"/>
          <w:szCs w:val="28"/>
          <w:rtl w:val="true"/>
          <w:lang w:bidi="ar-SA"/>
        </w:rPr>
        <w:t xml:space="preserve">» .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واعتبره المحقّق الحلّی ممّن اشتهر فضله وعرف تقدّمه فی نقل الأخبار وصحّة الاختیار وجودة الاعتبار</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وقال السیّد ابن طاووس 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المتّفق علی ثقته وأمانته</w:t>
      </w:r>
      <w:r>
        <w:rPr>
          <w:rFonts w:eastAsia="IRNazanin" w:cs="IRNazanin"/>
          <w:color w:val="111111"/>
          <w:sz w:val="28"/>
          <w:szCs w:val="28"/>
          <w:rtl w:val="true"/>
          <w:lang w:bidi="fa-IR"/>
        </w:rPr>
        <w:t xml:space="preserve">» .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وأطراه الشیخ المجلسی قدس سره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الصدوق، ثقة الإسلام، مقبول طوائف الأنام</w:t>
      </w:r>
      <w:r>
        <w:rPr>
          <w:rFonts w:eastAsia="IRNazanin" w:cs="IRNazanin"/>
          <w:color w:val="111111"/>
          <w:sz w:val="28"/>
          <w:szCs w:val="28"/>
          <w:rtl w:val="true"/>
          <w:lang w:bidi="fa-IR"/>
        </w:rPr>
        <w:t xml:space="preserve">» . </w:t>
      </w:r>
      <w:r>
        <w:rPr>
          <w:rStyle w:val="FootnoteAnchor"/>
          <w:rtl w:val="true"/>
        </w:rPr>
        <w:footnoteReference w:id="7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الأثیر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من أئمّة الإمامیّة وعلمائهم</w:t>
      </w:r>
      <w:r>
        <w:rPr>
          <w:rFonts w:eastAsia="IRNazanin" w:cs="IRNazanin"/>
          <w:color w:val="111111"/>
          <w:sz w:val="28"/>
          <w:szCs w:val="28"/>
          <w:rtl w:val="true"/>
          <w:lang w:bidi="fa-IR"/>
        </w:rPr>
        <w:t xml:space="preserve">» . </w:t>
      </w:r>
      <w:r>
        <w:rPr>
          <w:rStyle w:val="FootnoteAnchor"/>
          <w:rtl w:val="true"/>
        </w:rPr>
        <w:footnoteReference w:id="72"/>
      </w:r>
      <w:r>
        <w:rPr>
          <w:rFonts w:ascii="IRNazanin" w:hAnsi="IRNazanin" w:eastAsia="IRNazanin"/>
          <w:color w:val="111111"/>
          <w:sz w:val="28"/>
          <w:sz w:val="28"/>
          <w:szCs w:val="28"/>
          <w:rtl w:val="true"/>
          <w:lang w:bidi="fa-IR"/>
        </w:rPr>
        <w:t>وقال عنه 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علی مذهب أهل البیت، عالم فی مذهبهم، کبیر فاضل عندهم مشهور</w:t>
      </w:r>
      <w:r>
        <w:rPr>
          <w:rFonts w:eastAsia="IRNazanin" w:cs="IRNazanin"/>
          <w:color w:val="111111"/>
          <w:sz w:val="28"/>
          <w:szCs w:val="28"/>
          <w:rtl w:val="true"/>
          <w:lang w:bidi="fa-IR"/>
        </w:rPr>
        <w:t xml:space="preserve">» . </w:t>
      </w:r>
      <w:r>
        <w:rPr>
          <w:rStyle w:val="FootnoteAnchor"/>
          <w:rtl w:val="true"/>
        </w:rPr>
        <w:footnoteReference w:id="73"/>
      </w:r>
      <w:bookmarkStart w:id="68" w:name="pg14553_191742"/>
    </w:p>
    <w:p>
      <w:pPr>
        <w:pStyle w:val="BookText"/>
        <w:rPr/>
      </w:pPr>
      <w:bookmarkEnd w:id="68"/>
      <w:r>
        <w:rPr>
          <w:rFonts w:ascii="IRNazanin" w:hAnsi="IRNazanin" w:eastAsia="IRNazanin"/>
          <w:color w:val="111111"/>
          <w:sz w:val="28"/>
          <w:sz w:val="28"/>
          <w:szCs w:val="28"/>
          <w:rtl w:val="true"/>
          <w:lang w:bidi="fa-IR"/>
        </w:rPr>
        <w:t>وقال الصفدی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من فقهاء الشیعة والمصنّفین علی مذهبهم</w:t>
      </w:r>
      <w:r>
        <w:rPr>
          <w:rFonts w:eastAsia="IRNazanin" w:cs="IRNazanin"/>
          <w:color w:val="111111"/>
          <w:sz w:val="28"/>
          <w:szCs w:val="28"/>
          <w:rtl w:val="true"/>
          <w:lang w:bidi="fa-IR"/>
        </w:rPr>
        <w:t xml:space="preserve">» . </w:t>
      </w:r>
      <w:r>
        <w:rPr>
          <w:rStyle w:val="FootnoteAnchor"/>
          <w:rtl w:val="true"/>
        </w:rPr>
        <w:footnoteReference w:id="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بالوفیات،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قال ابن حجر</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ووصفه أیضاً بأنّه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رؤساء فضلاء الشیعة فی أیّام المقتدر</w:t>
      </w:r>
      <w:r>
        <w:rPr>
          <w:rFonts w:eastAsia="IRNazanin" w:cs="IRNazanin"/>
          <w:color w:val="111111"/>
          <w:sz w:val="28"/>
          <w:szCs w:val="28"/>
          <w:rtl w:val="true"/>
          <w:lang w:bidi="fa-IR"/>
        </w:rPr>
        <w:t xml:space="preserve">» .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الشیعة وعالم الإمامیة، صاحب التصانیف، أبو جعفر محمّد بن یعقوب الکلینی</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وقال ابن ماکولا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فقهاء الشیعة والمصنّفین فی مذهبهم</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وقال المولی خلیل بن الغازی القزوینی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اعترف المؤالف والمخالف بفضله، 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أوثق الناس فی الحدیث، وأثبتهم وأغورهم فی العلوم</w:t>
      </w:r>
      <w:r>
        <w:rPr>
          <w:rFonts w:eastAsia="IRNazanin" w:cs="IRNazanin"/>
          <w:color w:val="111111"/>
          <w:sz w:val="28"/>
          <w:szCs w:val="28"/>
          <w:rtl w:val="true"/>
          <w:lang w:bidi="fa-IR"/>
        </w:rPr>
        <w:t xml:space="preserve">» .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وأثنی علیه الأفندی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ثقة الإسلام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الأقدم المسلّم بین العامّة والخاصّة، والمفتی لکلا الفریقین</w:t>
      </w:r>
      <w:r>
        <w:rPr>
          <w:rFonts w:eastAsia="IRNazanin" w:cs="IRNazanin"/>
          <w:color w:val="111111"/>
          <w:sz w:val="28"/>
          <w:szCs w:val="28"/>
          <w:rtl w:val="true"/>
          <w:lang w:bidi="fa-IR"/>
        </w:rPr>
        <w:t xml:space="preserve">» .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وقال الشیخ حسن الدمستانی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ثقة الإسلام وواحد الأعلام، خصوصاً فی الحدیث؛ فإنّه جُهینة الأخبار وسابق هذا المضمار، الذی لا یُشقّ له غبار ولا یُعثر له علی عثار</w:t>
      </w:r>
      <w:r>
        <w:rPr>
          <w:rFonts w:eastAsia="IRNazanin" w:cs="IRNazanin"/>
          <w:color w:val="111111"/>
          <w:sz w:val="28"/>
          <w:szCs w:val="28"/>
          <w:rtl w:val="true"/>
          <w:lang w:bidi="fa-IR"/>
        </w:rPr>
        <w:t xml:space="preserve">» .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وقال صاحب الجواهر مثنیاً علیه وعلی علی بن بابویه ومکانتهما عند ولده الصدوق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ریب أنّ الکلینی ووالده من أجلّاء الإمامیة، مع أنّهما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بمکانة عظیمة جدّاً، سیّما والده بل والکلینی أیضاً</w:t>
      </w:r>
      <w:r>
        <w:rPr>
          <w:rFonts w:eastAsia="IRNazanin" w:cs="IRNazanin"/>
          <w:color w:val="111111"/>
          <w:sz w:val="28"/>
          <w:szCs w:val="28"/>
          <w:rtl w:val="true"/>
          <w:lang w:bidi="fa-IR"/>
        </w:rPr>
        <w:t xml:space="preserve">» . </w:t>
      </w:r>
      <w:r>
        <w:rPr>
          <w:rStyle w:val="FootnoteAnchor"/>
          <w:rtl w:val="true"/>
        </w:rPr>
        <w:footnoteReference w:id="82"/>
      </w:r>
    </w:p>
    <w:p>
      <w:pPr>
        <w:pStyle w:val="Heading3"/>
        <w:numPr>
          <w:ilvl w:val="2"/>
          <w:numId w:val="1"/>
        </w:numPr>
        <w:rPr/>
      </w:pPr>
      <w:bookmarkStart w:id="69" w:name="__RefHeading___Toc651701_1878427129"/>
      <w:bookmarkStart w:id="70" w:name="_Toc25"/>
      <w:bookmarkEnd w:id="69"/>
      <w:r>
        <w:rPr>
          <w:rtl w:val="true"/>
        </w:rPr>
        <w:t>وقفة مع کتاب الکافی</w:t>
      </w:r>
      <w:bookmarkEnd w:id="7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شک أنّ کتاب الکافی قد ملأ فراغاً مرجعیاً کبیراً؛ إذ لم یکن إلی عصر مؤلّفه جامع </w:t>
      </w:r>
    </w:p>
    <w:p>
      <w:pPr>
        <w:pStyle w:val="BookText"/>
        <w:rPr/>
      </w:pPr>
      <w:r>
        <w:rPr>
          <w:rFonts w:ascii="IRNazanin" w:hAnsi="IRNazanin" w:eastAsia="IRNazanin"/>
          <w:color w:val="111111"/>
          <w:sz w:val="28"/>
          <w:sz w:val="28"/>
          <w:szCs w:val="28"/>
          <w:rtl w:val="true"/>
          <w:lang w:bidi="fa-IR"/>
        </w:rPr>
        <w:t>للاُصول والفروع یرجع إلیه فی الفقه والحدیث والکلام وغیرها من العلوم، وإنّما الذی کان هو عبارة عن مجموعة من الاُصول والکتب المتفرّقة والمبثوثة بأیدی الرواة وحفظة الحدیث من غیر تنقیة أو تبویب أو استیعاب، فقام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کان خبیراً بالأخبار بصیراً بها ناقداً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بعملیة جمع وضبط وفرز وانتقاء للأحادیث من تلک الاُصول، ثمّ إفراغها ضمن تقسیم صناعی جامع ومبتکر لم یتّفق مثله لکتاب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وتظهر لنا جسامة الجهد الذی بذله الکلینی فی هذا السبیل إذا ما أخذنا بنظر الاعتبار المدّة الزمنیة التی استغرقها تألیف هذا الکتاب، حیث دامت عشرین عاماً، هذا مع ما کان علیه الکلینی من خبرة وکفاءة عالیة تؤهّله للقیام به فی أقصر فرصة ممکنة، سیما مع رواج الحدیث وکتبه واُصوله آنذاک؛ إذ کان الحدیث یشکّل الطابع العامّ واللغة المدرسیة لأغلب العلوم، فلیس أمام الباحث ثمّة صعوبة فی تحصیل تلک المادّة، خصوصاً مع ملاحظة بیئة الکلینی ببغداد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کانت تمثّله من مرکزیة وریادة علی الصعید العلمی، ممّا یعنی توفّر جمیع العوامل والدواعی لإنجاز أیّ عمل علمی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ملاحظة جمیع هذه العوامل والأوضاع منضمّة بعضها إلی بعض، تقودنا إلی القول بأنّ ما قام به الشیخ الکلینی لم یکن عملاً فنّیاً أو تجمیعیاً صرفاً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بالرغم من کونه مهمّة أعظم بها من مهمّة، سیما وهی الاُولی من نوعها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ینمّ ذلک ویکشف عن خبرة وجهد علمی کبیرین کانا الأساس فی جمع أحادیث هذه الموسوعة وتبویبها وتنسیقها وانتقائها من الاُصول المعتمدة بإخراج الصحیح منها، کما أوضحه فی مقدّمة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العمل یعتبر عملاً اجتهادیاً وخبرویاً فی فهم الأخبار وفقهها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فقد احتلّ هذا المصدر المهمّ الصدارة والتقدّم منذ الیوم الأوّل لتألیفه، فقد ارتشف من معینه علماء هذه الاُمّة من فقهائها وأئمة الحدیث فیها من الطبقة الاُولی المعاصرة لزمن تألیفه، مذعنین بقدرة مؤلفه وبراعته فی هذا الفن، مقدّرین له جهده فی هذا الکتاب</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الرجالی القدیم الشیخ النجاشی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کنت أتردّد إلی المسجد المعروف بمسجد اللؤلؤی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مسجد نفطویه النحوی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أقرأ القرآن علی صاحب المسجد وجماعة من أصحابنا یقرؤون کتاب الکافی علی أبی الحسین أحمد بن أحمد الکوفی الکاتب، </w:t>
      </w:r>
    </w:p>
    <w:p>
      <w:pPr>
        <w:pStyle w:val="BookText"/>
        <w:rPr/>
      </w:pPr>
      <w:r>
        <w:rPr>
          <w:rFonts w:ascii="IRNazanin" w:hAnsi="IRNazanin" w:eastAsia="IRNazanin"/>
          <w:color w:val="111111"/>
          <w:sz w:val="28"/>
          <w:sz w:val="28"/>
          <w:szCs w:val="28"/>
          <w:rtl w:val="true"/>
          <w:lang w:bidi="fa-IR"/>
        </w:rPr>
        <w:t>حدّثکم محمّد بن یعقوب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أبا الحسن العقرائی یرویه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وروینا کتبه کلّها عن جماعة شیوخنا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والحسین بن عبد اللّه، وأحمد بن علی بن نوح، عن أبی القاسم جعفر بن قُولَوَیه، عنه</w:t>
      </w:r>
      <w:r>
        <w:rPr>
          <w:rFonts w:eastAsia="IRNazanin" w:cs="IRNazanin"/>
          <w:color w:val="111111"/>
          <w:sz w:val="28"/>
          <w:szCs w:val="28"/>
          <w:rtl w:val="true"/>
          <w:lang w:bidi="fa-IR"/>
        </w:rPr>
        <w:t xml:space="preserve">» . </w:t>
      </w:r>
      <w:r>
        <w:rPr>
          <w:rStyle w:val="FootnoteAnchor"/>
          <w:rtl w:val="true"/>
        </w:rPr>
        <w:footnoteReference w:id="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شهادة تکشف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المرتبة الرفیعة لهذا المصنّف الفذّ، واهتمام الوسط العلمی به آنذاک، وروایته له إجازة وسماعاً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هذا الأثر الخالد رجالات الفقه والحدیث الأوائل ممّن کان له الصدارة فی الفتیا والحدیث، کالشیخ المفید، والسیّد المرتضی، والشیخ الطوسی، والصدوق، وابن قولویه، والنجاشی، والتلعکبری، والزراری، وابن أبی رافع الصیمری، وأبی المفضّل الشیبانی، وابن عبدون،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أطبقت کلمات الأعلام علی تفضیله وترجیحه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المفید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من أجلّ کتب الشیعة وأکثرها فائدة</w:t>
      </w:r>
      <w:r>
        <w:rPr>
          <w:rFonts w:eastAsia="IRNazanin" w:cs="IRNazanin"/>
          <w:color w:val="111111"/>
          <w:sz w:val="28"/>
          <w:szCs w:val="28"/>
          <w:rtl w:val="true"/>
          <w:lang w:bidi="fa-IR"/>
        </w:rPr>
        <w:t xml:space="preserve">» .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وقال الشهید الثانی بأنّه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یعمل الإمامیة مثله</w:t>
      </w:r>
      <w:r>
        <w:rPr>
          <w:rFonts w:eastAsia="IRNazanin" w:cs="IRNazanin"/>
          <w:color w:val="111111"/>
          <w:sz w:val="28"/>
          <w:szCs w:val="28"/>
          <w:rtl w:val="true"/>
          <w:lang w:bidi="fa-IR"/>
        </w:rPr>
        <w:t xml:space="preserve">» .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وقال المجلسی الأوّل بأنّه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أضبط الاُصول، وأحسن مؤلّفات الفرقة الناجیة، وأعظمها</w:t>
      </w:r>
      <w:r>
        <w:rPr>
          <w:rFonts w:eastAsia="IRNazanin" w:cs="IRNazanin"/>
          <w:color w:val="111111"/>
          <w:sz w:val="28"/>
          <w:szCs w:val="28"/>
          <w:rtl w:val="true"/>
          <w:lang w:bidi="fa-IR"/>
        </w:rPr>
        <w:t xml:space="preserve">» .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وقد تفرّد هذا المصنَّف العظیم بمزایا قلّ نظیرها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عهده بزمن النصّ؛ حیث کان تألیفه فی عصر الغیبة الصغری وعهد السفراء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مجموع من الاُصول المعتمدة والکتب المعوّل علیها عند الطائفة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بنقل نصّ الحدیث لا النقل بالمعنی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الالتزام بإیراد جمیع سلسلة السند من المؤلّف إلی المعصوم علیه السلام متّصلاً، وقد یحذف صدر السند، ولعلّه لنقله عن أصل المروی عنه من غیر واسطة أو لحوالته علی ما ذکره قریباً، وهذا فی حکم المذکور</w:t>
      </w:r>
      <w:r>
        <w:rPr>
          <w:rFonts w:eastAsia="IRNazanin" w:cs="IRNazanin"/>
          <w:color w:val="111111"/>
          <w:sz w:val="28"/>
          <w:szCs w:val="28"/>
          <w:rtl w:val="true"/>
          <w:lang w:bidi="fa-IR"/>
        </w:rPr>
        <w:t xml:space="preserve">. </w:t>
      </w:r>
      <w:r>
        <w:rPr>
          <w:rStyle w:val="FootnoteAnchor"/>
          <w:rtl w:val="true"/>
        </w:rPr>
        <w:footnoteReference w:id="87"/>
      </w:r>
      <w:bookmarkStart w:id="71" w:name="pg14553_191745"/>
    </w:p>
    <w:p>
      <w:pPr>
        <w:pStyle w:val="BookText"/>
        <w:rPr/>
      </w:pPr>
      <w:bookmarkEnd w:id="71"/>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جامعیته لفصول المعرفة کافّة؛ من العقائد والأحکام والأخلاق، بعکس أقرانه الثلاثة التی اختصّت بالأحکام والفروع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التبویب وحسن التعبیر عن عناوین الأبواب وانطباقها علی الروایات المنضویة تحتها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فقد حظی هذا المصنّف بعنایة الأعلام منذ القدم، فأولوه اهتماماً فائقاً، شرحاً وتعلیقاً واختصاراً وترجمةً وتحقیقاً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عدّ بعض الباحثین من جملة شروحه الکثیرة اثنی عشر شرحاً، ومن التعلیقات علیه إحدی وعشرین تعلیقة</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مقدمة الکافی للدکتور حسین علی محفوظ،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Heading3"/>
        <w:numPr>
          <w:ilvl w:val="2"/>
          <w:numId w:val="1"/>
        </w:numPr>
        <w:rPr/>
      </w:pPr>
      <w:bookmarkStart w:id="72" w:name="__RefHeading___Toc651703_1878427129"/>
      <w:bookmarkStart w:id="73" w:name="_Toc26"/>
      <w:bookmarkEnd w:id="72"/>
      <w:r>
        <w:rPr>
          <w:rtl w:val="true"/>
        </w:rPr>
        <w:t>إشارة هامّة</w:t>
      </w:r>
      <w:bookmarkEnd w:id="73"/>
    </w:p>
    <w:p>
      <w:pPr>
        <w:pStyle w:val="BookText"/>
        <w:rPr/>
      </w:pPr>
      <w:r>
        <w:rPr>
          <w:rFonts w:ascii="IRNazanin" w:hAnsi="IRNazanin" w:eastAsia="IRNazanin"/>
          <w:color w:val="111111"/>
          <w:sz w:val="28"/>
          <w:sz w:val="28"/>
          <w:szCs w:val="28"/>
          <w:rtl w:val="true"/>
          <w:lang w:bidi="fa-IR"/>
        </w:rPr>
        <w:t>ثمّ إنّ ممّا تجدر إلیه الإشارة هنا هو أنّ کتاب الکافی لم یکن یمثّل جمیع ما عند مصنّفه من تراث روائی؛ فإنّ ثمّة مرویّات له لم یروِها فی هذا الکتاب، ولم أعثر علی من أشار إلی هذا أو تتبّع البحث فیه، والذی وقفت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استقراء 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تلمیذه أبو القاسم جعفر بن محمّد 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کامل الزیارات ، حیث أسند عنه ستّ روایات لم نعثر علیها فی مظانّها من کتاب الکافی ، وکذا ما رواه الشیخ الصدوق فی بعض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المجال لا یسع لذکر تلک الروایات جمیعاً؛ لخروجه عمّا نحن بصدده من البحث، فلذا نکتفی بنقل بعض النماذج للإشارة والتنبیه، عسی أن یوفّق البعض للقیام بتتبّع ذلک وجمع تراثه الروائی مع سائر ما تبقّی من کتبه التی وصلت إلی أیدی بعض العلماء فنقلوا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وإلیک أوّلاً ما رواه تلمیذه ابن قُولَوَیه فی کامل الزیارات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محمّد بن یعقوب، عن عدّة من أصحابنا، عن أحمد بن محمّد بن عیسی، عن علی بن الحکم، عن زیاد بن أبی الحلال، عن أبی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نبیّ ولا وصیّ نبیّ یبقی فی الأرض بأکثر من ثلاثة أیّام، ثمّ ترفع روحه وعظمه ولحمه إلی</w:t>
      </w:r>
      <w:bookmarkStart w:id="74" w:name="pg14553_191746"/>
    </w:p>
    <w:p>
      <w:pPr>
        <w:pStyle w:val="BookText"/>
        <w:rPr/>
      </w:pPr>
      <w:bookmarkEnd w:id="74"/>
      <w:r>
        <w:rPr>
          <w:rFonts w:ascii="IRNazanin" w:hAnsi="IRNazanin" w:eastAsia="IRNazanin"/>
          <w:color w:val="111111"/>
          <w:sz w:val="28"/>
          <w:sz w:val="28"/>
          <w:szCs w:val="28"/>
          <w:rtl w:val="true"/>
          <w:lang w:bidi="fa-IR"/>
        </w:rPr>
        <w:t xml:space="preserve">السماء، وإنّما یؤتی مواضع آثارهم، ویبلغونهم من بعید السلام، ویسمعونهم فی مواضع آثارهم من قریب </w:t>
      </w:r>
      <w:r>
        <w:rPr>
          <w:rFonts w:eastAsia="IRNazanin" w:cs="IRNazanin"/>
          <w:color w:val="111111"/>
          <w:sz w:val="28"/>
          <w:szCs w:val="28"/>
          <w:rtl w:val="true"/>
          <w:lang w:bidi="fa-IR"/>
        </w:rPr>
        <w:t xml:space="preserve">» . </w:t>
      </w:r>
      <w:r>
        <w:rPr>
          <w:rStyle w:val="FootnoteAnchor"/>
          <w:rtl w:val="true"/>
        </w:rPr>
        <w:footnoteReference w:id="8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831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نشر الفقاهة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حدّثنی محمّد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عدّة من أصحابنا، منهم أحمد ابن إدریس ومحمّد بن یحیی، عن العمرکی بن علی، عن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خادماً لأبی جعفر الثانی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أصحابنا، رفعه إلی محمّد بن علی بن الحسین علیهم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زارنی أو زار أحداً من ذرّیتی، زرته یوم القیامة، فأنقذته من هوالها </w:t>
      </w:r>
      <w:r>
        <w:rPr>
          <w:rFonts w:eastAsia="IRNazanin" w:cs="IRNazanin"/>
          <w:color w:val="111111"/>
          <w:sz w:val="28"/>
          <w:szCs w:val="28"/>
          <w:rtl w:val="true"/>
          <w:lang w:bidi="fa-IR"/>
        </w:rPr>
        <w:t xml:space="preserve">» .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حدّثنی محمّد بن یعقوب، عن عدّة من رجاله، عن أحمد بن محمّد بن عیسی، عن عبد الرحمن بن أبی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الثانی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لمن زار قبر رسول اللّه صلی الله علیه و آله و سلم متعمّداً؟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الجنّة </w:t>
      </w:r>
      <w:r>
        <w:rPr>
          <w:rFonts w:eastAsia="IRNazanin" w:cs="IRNazanin"/>
          <w:color w:val="111111"/>
          <w:sz w:val="28"/>
          <w:szCs w:val="28"/>
          <w:rtl w:val="true"/>
          <w:lang w:bidi="fa-IR"/>
        </w:rPr>
        <w:t xml:space="preserve">» . </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حدّثنی محمّد بن یعقوب، عن أحمد بن إدریس، عن محمّد بن عبد الجبّار، عن صفوان، عن ابن مُسکان، عن أبی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أتی قبر الحسین علیه السلام عارفاً بحقّه، غُفر له ما تقدّم من ذنبه وما تأخّر </w:t>
      </w:r>
      <w:r>
        <w:rPr>
          <w:rFonts w:eastAsia="IRNazanin" w:cs="IRNazanin"/>
          <w:color w:val="111111"/>
          <w:sz w:val="28"/>
          <w:szCs w:val="28"/>
          <w:rtl w:val="true"/>
          <w:lang w:bidi="fa-IR"/>
        </w:rPr>
        <w:t xml:space="preserve">» . </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حدّثنی محمّد بن یعقوب، عن محمّد بن یحیی، عن أحمد بن محمّد بن عیسی، عن الحسن بن علی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زیارة قبر أبی الحسن علیه السلام، أمثل زیارة قبر الحسین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 xml:space="preserve">» . </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حدّثنی أبی وعلی بن الحسین ومحمّد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إبراهیم بن هاشم، عن أبیه، عن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بعض أصحابنا أبا الحسن الرضا علیه السلام عمّن أتی قبر الحسین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تعدل عمرة </w:t>
      </w:r>
      <w:r>
        <w:rPr>
          <w:rFonts w:eastAsia="IRNazanin" w:cs="IRNazanin"/>
          <w:color w:val="111111"/>
          <w:sz w:val="28"/>
          <w:szCs w:val="28"/>
          <w:rtl w:val="true"/>
          <w:lang w:bidi="fa-IR"/>
        </w:rPr>
        <w:t xml:space="preserve">» . </w:t>
      </w:r>
      <w:r>
        <w:rPr>
          <w:rStyle w:val="FootnoteAnchor"/>
          <w:rtl w:val="true"/>
        </w:rPr>
        <w:footnoteReference w:id="94"/>
      </w:r>
    </w:p>
    <w:p>
      <w:pPr>
        <w:pStyle w:val="Heading3"/>
        <w:numPr>
          <w:ilvl w:val="2"/>
          <w:numId w:val="1"/>
        </w:numPr>
        <w:rPr/>
      </w:pPr>
      <w:bookmarkStart w:id="75" w:name="__RefHeading___Toc651705_1878427129"/>
      <w:bookmarkStart w:id="76" w:name="_Toc27"/>
      <w:bookmarkEnd w:id="75"/>
      <w:r>
        <w:rPr>
          <w:rtl w:val="true"/>
        </w:rPr>
        <w:t>وأمّا ما رواه الشیخ الصدوق عنه فننقل منه</w:t>
      </w:r>
      <w:r>
        <w:rPr>
          <w:rtl w:val="true"/>
        </w:rPr>
        <w:t>:</w:t>
      </w:r>
      <w:bookmarkEnd w:id="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فی العیون عن محمّد بن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قول اللّه عزّ وجّل لإبلیس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مَنَعَکَ أَنْ تَسْجُدَ لِما خَلَقْتُ بِیَدَیَّ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یعنی بقدرتی وقوّتی </w:t>
      </w:r>
      <w:r>
        <w:rPr>
          <w:rFonts w:eastAsia="Amiri" w:cs="Amiri" w:ascii="Amiri" w:hAnsi="Amiri"/>
          <w:color w:val="111111"/>
          <w:sz w:val="28"/>
          <w:szCs w:val="28"/>
          <w:rtl w:val="true"/>
          <w:lang w:bidi="ar-SA"/>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77" w:name="pg14553_191747"/>
    </w:p>
    <w:p>
      <w:pPr>
        <w:pStyle w:val="BookText"/>
        <w:rPr/>
      </w:pPr>
      <w:bookmarkEnd w:id="77"/>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فی الخصال عن محمّد بن علی بن ماجیلَوَیه عن اثنا عشر إماماً من آل محمّد کلّهم محدّثون بعد رسول اللّه، وعلی بن أبی طالب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8" w:name="__RefHeading___Toc651707_1878427129"/>
      <w:bookmarkStart w:id="79" w:name="_Toc28"/>
      <w:bookmarkEnd w:id="78"/>
      <w:r>
        <w:rPr>
          <w:rtl w:val="true"/>
        </w:rPr>
        <w:t>الملامح العامّة للبعد الفقهی</w:t>
      </w:r>
      <w:bookmarkEnd w:id="79"/>
    </w:p>
    <w:p>
      <w:pPr>
        <w:pStyle w:val="Heading4"/>
        <w:numPr>
          <w:ilvl w:val="3"/>
          <w:numId w:val="1"/>
        </w:numPr>
        <w:rPr/>
      </w:pPr>
      <w:bookmarkStart w:id="80" w:name="__RefHeading___Toc651709_1878427129"/>
      <w:bookmarkStart w:id="81" w:name="_Toc29"/>
      <w:bookmarkEnd w:id="80"/>
      <w:r>
        <w:rPr>
          <w:rtl w:val="true"/>
        </w:rPr>
        <w:t>اشارة</w:t>
      </w:r>
      <w:bookmarkEnd w:id="81"/>
    </w:p>
    <w:p>
      <w:pPr>
        <w:pStyle w:val="BookText"/>
        <w:rPr/>
      </w:pPr>
      <w:r>
        <w:rPr>
          <w:rFonts w:ascii="IRNazanin" w:hAnsi="IRNazanin" w:eastAsia="IRNazanin"/>
          <w:color w:val="111111"/>
          <w:sz w:val="28"/>
          <w:sz w:val="28"/>
          <w:szCs w:val="28"/>
          <w:rtl w:val="true"/>
          <w:lang w:bidi="fa-IR"/>
        </w:rPr>
        <w:t>تنحصر دراسة هذا البعد فی حدود القسم الثانی من کتاب الکافی ، أی قسم الفروع؛ إذ لا سبیل لاستکشاف الملامح العامّة من فقهه وتسلیط الضوء علیها غیر ما بثّه من آراء واستدلالات وبیانات فقهیة خلال بحوثه الروائیة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 فی هذا القسم من کتابه نحو عشرة آلاف حدیث من أبواب الفقه کافّة، من الطهارة إلی الدیات، مبوّباً هذه الأحادیث بتقسیم فنّی مبتکر ودقیق، خالٍ من التکرار والتداخل والخلط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ختم بعض الأبواب بالنوادر من الأخبار، سالکاً فی بیان الأحادیث الفقهیة مسلک أهل الحدیث فی إیراد الأخبار فی کلّ مسألة وباب مع بیانٍ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اقتضی الأمر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لموارد تعارض الأخبار، أو بیان رأیه وفتواه علی ضوء الروایات التی ینقلها، أو ببحث فروع الباب ومسائله بحثاً فقهیاً استدلالیاً قبل إیراد الأخبار الواردة فیها، کما فعل ذلک فی أوّل کتاب الإرث، أو بتلخیص عامّ لمضمون مجموعة من الأبواب وأحادیثها، کما فعل ذلک فی باب السهو والشکّ فی کتاب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ضمّن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تمشّیاً مع طریقة الفقهاء فی بحوثهم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استشهادات عدیدة لکلمات وآراء من سبقه من الفقهاء من أصحاب الأئمّة علیهم السلام؛ من أمثال زُرارة بن أعیَن، ویونس بن عبد الرحمن، والفضل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أجل توضیح هذه الموارد نتوقّف عندها؛ لتسلیط الضوء علیها وإیضاحها بشکل أکثر تفصیلاً</w:t>
      </w:r>
      <w:r>
        <w:rPr>
          <w:rFonts w:eastAsia="IRNazanin" w:cs="IRNazanin"/>
          <w:color w:val="111111"/>
          <w:sz w:val="28"/>
          <w:szCs w:val="28"/>
          <w:rtl w:val="true"/>
          <w:lang w:bidi="fa-IR"/>
        </w:rPr>
        <w:t>:</w:t>
      </w:r>
    </w:p>
    <w:p>
      <w:pPr>
        <w:pStyle w:val="Heading4"/>
        <w:numPr>
          <w:ilvl w:val="3"/>
          <w:numId w:val="1"/>
        </w:numPr>
        <w:rPr/>
      </w:pPr>
      <w:bookmarkStart w:id="82" w:name="__RefHeading___Toc651711_1878427129"/>
      <w:bookmarkStart w:id="83" w:name="_Toc30"/>
      <w:bookmarkEnd w:id="82"/>
      <w:r>
        <w:rPr/>
        <w:t>1</w:t>
      </w:r>
      <w:r>
        <w:rPr>
          <w:rtl w:val="true"/>
        </w:rPr>
        <w:t>-</w:t>
      </w:r>
      <w:r>
        <w:rPr>
          <w:rtl w:val="true"/>
        </w:rPr>
        <w:t>بیان الفتوی علی ضوء الأخبار والاستدلال علیها</w:t>
      </w:r>
      <w:bookmarkEnd w:id="83"/>
    </w:p>
    <w:p>
      <w:pPr>
        <w:pStyle w:val="BookText"/>
        <w:rPr/>
      </w:pPr>
      <w:r>
        <w:rPr>
          <w:rFonts w:ascii="IRNazanin" w:hAnsi="IRNazanin" w:eastAsia="IRNazanin"/>
          <w:color w:val="111111"/>
          <w:sz w:val="28"/>
          <w:sz w:val="28"/>
          <w:szCs w:val="28"/>
          <w:rtl w:val="true"/>
          <w:lang w:bidi="fa-IR"/>
        </w:rPr>
        <w:t>قد ذکر الفقهاء أنّ الغسلة الثانیة فی الوضوء سنّة، بل ادُّعی 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الشیخ الکلینی قدس سره إلی أنّه لا یؤجر علی الثانیة، مستدلّاً علی ذلک بقول أبی عبد اللّه علیه السلام</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480</w:t>
      </w:r>
      <w:r>
        <w:rPr>
          <w:rFonts w:eastAsia="IRNazanin" w:cs="IRNazanin"/>
          <w:color w:val="111111"/>
          <w:sz w:val="28"/>
          <w:szCs w:val="28"/>
          <w:rtl w:val="true"/>
          <w:lang w:bidi="fa-IR"/>
        </w:rPr>
        <w:t>.</w:t>
      </w:r>
      <w:bookmarkStart w:id="84" w:name="pg14553_191748"/>
    </w:p>
    <w:p>
      <w:pPr>
        <w:pStyle w:val="BookText"/>
        <w:rPr/>
      </w:pPr>
      <w:bookmarkEnd w:id="8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وضوء علی علیه السلام إلّامرّة مرّة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ولمّا کان هذا الحدیث یحکی فعله علیه السلام، فهو من سنخ أحادیث الوضوءات البیانیة التی قد یرد علیها أنّه علیه السلام قد اکتفی بالواجب من الغسل، فإنّ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وکأنّه یجیب علی هذا الإشکال المقدّر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أنّ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ورد علیه أمران کلاهما للّه‌طاعة أخذ بأحوطهما وأشدّهما علی بدنه</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تعرّض بعد ذلک للروایات المعارضة الدالّة علی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جامعاً بینهما بأنّ ذلک لمن لم یقنعه مرّة واستزاد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فالملاحظ فی هذه الممارسة الاجتهادیة أنّه لم یقتصر فیها علی إیراد الخبر إیراداً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دأب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علّل ذلک مبیّناً الوجه فی هذه العلّة؛ وهو الحدیث المروی عنه علیه السلام من أنّه کان إذا ورد علیه أمران کلاهما للّه‌طاعة أخذ بأحوطهما، وهی التفاتة ظریفة فی المقام، وبذلک فانّه یجیب عن إشکال مطویّ ومقدّر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لم یقف عند أحد طرفی الأدلّة فی المسألة، بل أورد الروایات المعارضة لها، ثمّ صار بصدد التوجیه والجمع بینهما</w:t>
      </w:r>
      <w:r>
        <w:rPr>
          <w:rFonts w:eastAsia="IRNazanin" w:cs="IRNazanin"/>
          <w:color w:val="111111"/>
          <w:sz w:val="28"/>
          <w:szCs w:val="28"/>
          <w:rtl w:val="true"/>
          <w:lang w:bidi="fa-IR"/>
        </w:rPr>
        <w:t>.</w:t>
      </w:r>
    </w:p>
    <w:p>
      <w:pPr>
        <w:pStyle w:val="Heading4"/>
        <w:numPr>
          <w:ilvl w:val="3"/>
          <w:numId w:val="1"/>
        </w:numPr>
        <w:rPr/>
      </w:pPr>
      <w:bookmarkStart w:id="85" w:name="__RefHeading___Toc651713_1878427129"/>
      <w:bookmarkStart w:id="86" w:name="_Toc31"/>
      <w:bookmarkEnd w:id="85"/>
      <w:r>
        <w:rPr/>
        <w:t>2</w:t>
      </w:r>
      <w:r>
        <w:rPr>
          <w:rtl w:val="true"/>
        </w:rPr>
        <w:t>-</w:t>
      </w:r>
      <w:r>
        <w:rPr>
          <w:rtl w:val="true"/>
        </w:rPr>
        <w:t>الجمع بین الأخبار المتعارضة</w:t>
      </w:r>
      <w:bookmarkEnd w:id="86"/>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بین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هو موضع وفاق بینهم </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الجدّ وکذا الجدّة، لأبٍ کانا أم لاُمٍّ، لا یرثان مع وجود الأبوین، فهما بمنزلة الأخ مع وجود الأبوین لا یرثان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عقد الشیخ الکلینی باباً فی إرث الجدّ أورد فیه ما یدلّ علی أنّ الجدّ یقاسم الإخوة فهو بمنزلتهم، ثمّ أورد فی باب إرث ابن الأخ والجدّ أخباراً تدلّ علی أنّ لهما السدس طعمة، معقباً علیها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قد روی، وهی أخبار صحیحة</w:t>
      </w:r>
      <w:r>
        <w:rPr>
          <w:rFonts w:eastAsia="IRNazanin" w:cs="IRNazanin"/>
          <w:color w:val="111111"/>
          <w:sz w:val="28"/>
          <w:szCs w:val="28"/>
          <w:rtl w:val="true"/>
          <w:lang w:bidi="fa-IR"/>
        </w:rPr>
        <w:t>»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فی مقام علاج التعارض ورفعه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إلّاأنّ إجماع العصابة أنّ منزلة الجدّ منزلة الأخ من الأب یرث میراث الأخ، وإذا کانت منزلة الجدّ منزلة الأخ من الأب یرث ما یرث الأخ، یجوز أن تکون هذه أخباراً خاصّة، إلّاأنّه أخبرنی بعض أصحابنا أنّ رسول اللّه صلی الله علیه و آله أطعم الجدّ السدس مع الأب ولم یعطه مع الولد، ولیس هذا أیضاً ممّا یوافق </w:t>
      </w:r>
    </w:p>
    <w:p>
      <w:pPr>
        <w:pStyle w:val="BookText"/>
        <w:rPr/>
      </w:pPr>
      <w:r>
        <w:rPr>
          <w:rFonts w:ascii="Amiri" w:hAnsi="Amiri" w:eastAsia="Amiri" w:cs="Amiri"/>
          <w:color w:val="111111"/>
          <w:sz w:val="28"/>
          <w:sz w:val="28"/>
          <w:szCs w:val="28"/>
          <w:rtl w:val="true"/>
          <w:lang w:bidi="ar-SA"/>
        </w:rPr>
        <w:t>إجماع العصابة أنّ منزلة الأخ والجدّ بمنزلة واحدة</w:t>
      </w:r>
      <w:r>
        <w:rPr>
          <w:rFonts w:eastAsia="Amiri" w:cs="Amiri" w:ascii="Amiri" w:hAnsi="Amiri"/>
          <w:color w:val="111111"/>
          <w:sz w:val="28"/>
          <w:szCs w:val="28"/>
          <w:rtl w:val="true"/>
          <w:lang w:bidi="ar-SA"/>
        </w:rPr>
        <w:t xml:space="preserve">» . </w:t>
      </w:r>
      <w:r>
        <w:rPr>
          <w:rStyle w:val="FootnoteAnchor"/>
          <w:rtl w:val="true"/>
        </w:rPr>
        <w:footnoteReference w:id="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الکافی،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الملاحِظ لهذا النصّ یجده أنّه قد انطوی علی عملیة اجتهادیة توازن بین کفّتی الروایات المتعارضة فی مسألة إرث الجدّ لتحسم التنافی بینهما لصالح الأخبار التی قام الإجماع علی مدلولها، بمعنی عدم توریثه، ومن هنا فإنّ ما ورد فی إطعامهما السدس محمول علی الندب، قال فی الجواهر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المحکی عن الکلینی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اعترافه بأنّ اجماع العصابة علی تنزیل الجد منزلة الأخ المعلوم عدم مشارکته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بإرادة الندب له</w:t>
      </w:r>
      <w:r>
        <w:rPr>
          <w:rFonts w:eastAsia="IRNazanin" w:cs="IRNazanin"/>
          <w:color w:val="111111"/>
          <w:sz w:val="28"/>
          <w:szCs w:val="28"/>
          <w:rtl w:val="true"/>
          <w:lang w:bidi="fa-IR"/>
        </w:rPr>
        <w:t xml:space="preserve">» .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وکذا فی مسألة وجود أب وجدّ ولم یکن له ولد، حیث ورد بعض الأخبار بإطعامه السدس فی هذه الصورة خاصّة، فإنّه صرّح أیضاً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أیضاً ممّا یوافق إجماع العصابة أنّ منزلة الأخ والجدّ بمنزلة واحدة</w:t>
      </w:r>
      <w:r>
        <w:rPr>
          <w:rFonts w:eastAsia="IRNazanin" w:cs="IRNazanin"/>
          <w:color w:val="111111"/>
          <w:sz w:val="28"/>
          <w:szCs w:val="28"/>
          <w:rtl w:val="true"/>
          <w:lang w:bidi="fa-IR"/>
        </w:rPr>
        <w:t xml:space="preserve">» .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المعروف بین الإمامیة أنّ من شرائط القصد فی السفر ألّا یکون سفره أکثر من حضره، کالمکاری والملّاح وغیرهم، بل ادُّعی علیه الإجماع، إلّاما عن ظاهر العمّانی من وجوب القصد علی کلّ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فتوی المشهور الروایات المستفیضة </w:t>
      </w:r>
      <w:r>
        <w:rPr>
          <w:rStyle w:val="FootnoteAnchor"/>
          <w:rtl w:val="true"/>
        </w:rPr>
        <w:footnoteReference w:id="100"/>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الکلینی بسنده عن أبی جعفر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أربعة قد یجب علیهم التمام، فی السفر کانوا أو 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المکاری، والکریّ، والراعی، والاشتقان؛ لأنّه عملهم </w:t>
      </w:r>
      <w:r>
        <w:rPr>
          <w:rFonts w:eastAsia="IRNazanin" w:cs="IRNazanin"/>
          <w:color w:val="111111"/>
          <w:sz w:val="28"/>
          <w:szCs w:val="28"/>
          <w:rtl w:val="true"/>
          <w:lang w:bidi="fa-IR"/>
        </w:rPr>
        <w:t xml:space="preserve">» . </w:t>
      </w:r>
      <w:r>
        <w:rPr>
          <w:rStyle w:val="FootnoteAnchor"/>
          <w:rtl w:val="true"/>
        </w:rPr>
        <w:footnoteReference w:id="101"/>
      </w:r>
      <w:r>
        <w:rPr>
          <w:rFonts w:ascii="IRNazanin" w:hAnsi="IRNazanin" w:eastAsia="IRNazanin"/>
          <w:color w:val="111111"/>
          <w:sz w:val="28"/>
          <w:sz w:val="28"/>
          <w:szCs w:val="28"/>
          <w:rtl w:val="true"/>
          <w:lang w:bidi="fa-IR"/>
        </w:rPr>
        <w:t>وروی أیضاً فی نفس الباب عن أحدهما علیهما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علی الملّاحین فی سفینتهم تقصیر، ولا علی المکاری والجمّال </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أنّه أخرج روایة اُخری معارضة دلّت علی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المکاری إذا جدّ به السیر فلیقصّر </w:t>
      </w:r>
      <w:r>
        <w:rPr>
          <w:rFonts w:eastAsia="Amiri" w:cs="Amiri" w:ascii="Amiri" w:hAnsi="Amiri"/>
          <w:color w:val="111111"/>
          <w:sz w:val="28"/>
          <w:szCs w:val="28"/>
          <w:rtl w:val="true"/>
          <w:lang w:bidi="ar-SA"/>
        </w:rPr>
        <w:t xml:space="preserve">» . </w:t>
      </w:r>
      <w:r>
        <w:rPr>
          <w:rStyle w:val="FootnoteAnchor"/>
          <w:rtl w:val="true"/>
        </w:rPr>
        <w:footnoteReference w:id="10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ذلک إذا جدّ به السیر فجعل المنزلین منزلاً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وجه الجمع هذا شیخ الطائفة فی التهذیب ، وتابعه علیه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الوجه فی هذین </w:t>
      </w:r>
    </w:p>
    <w:p>
      <w:pPr>
        <w:pStyle w:val="BookText"/>
        <w:rPr/>
      </w:pPr>
      <w:r>
        <w:rPr>
          <w:rFonts w:ascii="IRNazanin" w:hAnsi="IRNazanin" w:eastAsia="IRNazanin"/>
          <w:color w:val="111111"/>
          <w:sz w:val="28"/>
          <w:sz w:val="28"/>
          <w:szCs w:val="28"/>
          <w:rtl w:val="true"/>
          <w:lang w:bidi="fa-IR"/>
        </w:rPr>
        <w:t>الخبرین ما ذکره محمّد بن یعقوب الکلینی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محمول علی من یجعل المنزلین منزلاً، فیقصّر فی الطریق ویتمّ فی المنزل</w:t>
      </w:r>
      <w:r>
        <w:rPr>
          <w:rFonts w:eastAsia="IRNazanin" w:cs="IRNazanin"/>
          <w:color w:val="111111"/>
          <w:sz w:val="28"/>
          <w:szCs w:val="28"/>
          <w:rtl w:val="true"/>
          <w:lang w:bidi="fa-IR"/>
        </w:rPr>
        <w:t xml:space="preserve">» . </w:t>
      </w:r>
      <w:r>
        <w:rPr>
          <w:rStyle w:val="FootnoteAnchor"/>
          <w:rtl w:val="true"/>
        </w:rPr>
        <w:footnoteReference w:id="1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الجواهر معلّقاً علی هذا الوجه من الجمع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ولعلّه لأنّه مقتضی الجمع بین الإطلاق والتقیید، ولما یلاقونه فی الفرض من شدّة الجهد والتعب المناسبین لشرعیة القصر، ولانصراف تلک الإطلاقات إلی السیر المتعارف</w:t>
      </w:r>
      <w:r>
        <w:rPr>
          <w:rFonts w:eastAsia="IRNazanin" w:cs="IRNazanin"/>
          <w:color w:val="111111"/>
          <w:sz w:val="28"/>
          <w:szCs w:val="28"/>
          <w:rtl w:val="true"/>
          <w:lang w:bidi="fa-IR"/>
        </w:rPr>
        <w:t xml:space="preserve">» .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وقد عمل بذلک أیضاً من المتأخّرین جماعة، منهم صاحب المدارک و المنتقی ، والمحدّث الکاشانی والفاضل الهندی، وصاحب الذخیرة و الحدائق و المستند </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فی وقت التلبیة للإحرام روایات عدّة، ثمّ جمع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الکلینی عن الحلبی، عن أبی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صلّیت فی مسجد الشجرة فقل وأنت قاعد فی دبر الصلاة قبل أن تقوم ما یقول المحرم، ثمّ قم فامشِ حتّی تبلغ المیل وتستوی بک البیداء، فإذا استوت بک فلبّه </w:t>
      </w:r>
      <w:r>
        <w:rPr>
          <w:rFonts w:eastAsia="IRNazanin" w:cs="IRNazanin"/>
          <w:color w:val="111111"/>
          <w:sz w:val="28"/>
          <w:szCs w:val="28"/>
          <w:rtl w:val="true"/>
          <w:lang w:bidi="fa-IR"/>
        </w:rPr>
        <w:t xml:space="preserve">» .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وروی أیضاً فی نفس الباب عن عبد اللّه بن سنان أنّه سأل أبا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للمتمتّع بالعمرة إلی الحجّ أن یظهر التلبیة فی مسجد الشجرة؟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إنّما لبّی النبیّ صلی الله علیه و آله علی البیداء؛ لأنّ الناس لم یکونوا یعرفون التلبیة، فأحبّ أن یعلّمهم کیف التلبیة </w:t>
      </w:r>
      <w:r>
        <w:rPr>
          <w:rFonts w:eastAsia="IRNazanin" w:cs="IRNazanin"/>
          <w:color w:val="111111"/>
          <w:sz w:val="28"/>
          <w:szCs w:val="28"/>
          <w:rtl w:val="true"/>
          <w:lang w:bidi="fa-IR"/>
        </w:rPr>
        <w:t xml:space="preserve">» .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وأیضاً عن إسحاق بن عمّار،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الرجل فی دبر المکتوبة، أیلبّی حین ینهض به بعیره أو جالساً فی دبر الصلاة؟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ذلک شاء صنع </w:t>
      </w:r>
      <w:r>
        <w:rPr>
          <w:rFonts w:eastAsia="IRNazanin" w:cs="IRNazanin"/>
          <w:color w:val="111111"/>
          <w:sz w:val="28"/>
          <w:szCs w:val="28"/>
          <w:rtl w:val="true"/>
          <w:lang w:bidi="fa-IR"/>
        </w:rPr>
        <w:t xml:space="preserve">» . </w:t>
      </w:r>
      <w:r>
        <w:rPr>
          <w:rStyle w:val="FootnoteAnchor"/>
          <w:rtl w:val="true"/>
        </w:rPr>
        <w:footnoteReference w:id="10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الجمع بینها بالتخییر، وشاهد الجمع عنده هو خبر إسحاق بن عمّار الآنف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عندی من الأمر المتوسّع، إلّاأنّ الفضل فیه أن یظهر التلبیة حیث أظهر النبیّ صلی الله علیه و آله علی طرف البیداء، ولا یجوز لأحد أن یجوز میل البیداء إلّاوقد أظهر التلبیة، وأوّل البیداء أوّل میل یلقاک عن یسار الطریق</w:t>
      </w:r>
      <w:r>
        <w:rPr>
          <w:rFonts w:eastAsia="IRNazanin" w:cs="IRNazanin"/>
          <w:color w:val="111111"/>
          <w:sz w:val="28"/>
          <w:szCs w:val="28"/>
          <w:rtl w:val="true"/>
          <w:lang w:bidi="fa-IR"/>
        </w:rPr>
        <w:t xml:space="preserve">. </w:t>
      </w:r>
      <w:r>
        <w:rPr>
          <w:rStyle w:val="FootnoteAnchor"/>
          <w:rtl w:val="true"/>
        </w:rPr>
        <w:footnoteReference w:id="110"/>
      </w:r>
      <w:bookmarkStart w:id="87" w:name="pg14553_191751"/>
    </w:p>
    <w:p>
      <w:pPr>
        <w:pStyle w:val="BookText"/>
        <w:rPr/>
      </w:pPr>
      <w:bookmarkEnd w:id="87"/>
      <w:r>
        <w:rPr>
          <w:rFonts w:ascii="IRNazanin" w:hAnsi="IRNazanin" w:eastAsia="IRNazanin"/>
          <w:color w:val="111111"/>
          <w:sz w:val="28"/>
          <w:sz w:val="28"/>
          <w:szCs w:val="28"/>
          <w:rtl w:val="true"/>
          <w:lang w:bidi="fa-IR"/>
        </w:rPr>
        <w:t xml:space="preserve">وتبعه علی هذا الوجه من الجمع الشیخ فی الاستبصار، </w:t>
      </w:r>
      <w:r>
        <w:rPr>
          <w:rStyle w:val="FootnoteAnchor"/>
          <w:rtl w:val="true"/>
        </w:rPr>
        <w:footnoteReference w:id="1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والعلّامة المجلسی فی شرحه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8" w:name="__RefHeading___Toc651715_1878427129"/>
      <w:bookmarkStart w:id="89" w:name="_Toc32"/>
      <w:bookmarkEnd w:id="88"/>
      <w:r>
        <w:rPr/>
        <w:t>3</w:t>
      </w:r>
      <w:r>
        <w:rPr>
          <w:rtl w:val="true"/>
        </w:rPr>
        <w:t>-</w:t>
      </w:r>
      <w:r>
        <w:rPr>
          <w:rtl w:val="true"/>
        </w:rPr>
        <w:t>عنایته بالأقوال</w:t>
      </w:r>
      <w:bookmarkEnd w:id="89"/>
    </w:p>
    <w:p>
      <w:pPr>
        <w:pStyle w:val="BookText"/>
        <w:rPr/>
      </w:pPr>
      <w:r>
        <w:rPr>
          <w:rFonts w:ascii="IRNazanin" w:hAnsi="IRNazanin" w:eastAsia="IRNazanin"/>
          <w:color w:val="111111"/>
          <w:sz w:val="28"/>
          <w:sz w:val="28"/>
          <w:szCs w:val="28"/>
          <w:rtl w:val="true"/>
          <w:lang w:bidi="fa-IR"/>
        </w:rPr>
        <w:t>من المسائل المهمّة فی البحث الفقهی الوقوف علی أقوال الآخرین وآرائهم سیّما فی المسائل الخلافیة الحسّاسة؛ وذلک لتحصیل الوفاق والخلاف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نجد الکلینی رحمه الله قد اهتمّ بهذا الجانب فی بعض المسائل الخلافیة الهامّة فی باب الإرث، فتارةً نجده یعنی بنقل أقوال فقهائنا السابقین کیونس والفضل وزرارة، وربما یستغرق نقله عنهم صفحات من کتابه وقد ینحصر النقل عنهم أحیاناً به، وتارةً ینقل آراء جمهور المسلمین ومواضع خلافهم أو وفاقهم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نقله عن الجمهور وعنایته بمواضع إجماع المسلمین والخلاف معهم، فننقل هنا بعض النماذج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الولد</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وُلد الولد یقومون مقام الولد، وکذلک وُلد الإخوة إذا لم یکن ولد الصلب ولا إخوة، وهذا من أمر الولد مجمع علیه، ولا أعلم بین الاُمّة فی ذلک اختلافاً</w:t>
      </w:r>
      <w:r>
        <w:rPr>
          <w:rFonts w:eastAsia="IRNazanin" w:cs="IRNazanin"/>
          <w:color w:val="111111"/>
          <w:sz w:val="28"/>
          <w:szCs w:val="28"/>
          <w:rtl w:val="true"/>
          <w:lang w:bidi="fa-IR"/>
        </w:rPr>
        <w:t xml:space="preserve">» .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میراث البنتین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تکلّم الناس فی أمر الابنتین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جُعل لهما الثلثان،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 الثلثین لما فوق اثنتین؟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بإجماع، 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قیاساً؛ کما إن کان للواحدة النصف کان ذلک دلیلاً علی أنّ لما فوق الواحدة الثلثین، وقال قوم بالتقلید والروایة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یُصب واحد منهم الوجه فی ذلک</w:t>
      </w:r>
      <w:r>
        <w:rPr>
          <w:rFonts w:eastAsia="IRNazanin" w:cs="IRNazanin"/>
          <w:color w:val="111111"/>
          <w:sz w:val="28"/>
          <w:szCs w:val="28"/>
          <w:rtl w:val="true"/>
          <w:lang w:bidi="fa-IR"/>
        </w:rPr>
        <w:t xml:space="preserve">. . .» . </w:t>
      </w:r>
      <w:r>
        <w:rPr>
          <w:rStyle w:val="FootnoteAnchor"/>
          <w:rtl w:val="true"/>
        </w:rPr>
        <w:footnoteReference w:id="113"/>
      </w:r>
      <w:r>
        <w:rPr>
          <w:rFonts w:ascii="IRNazanin" w:hAnsi="IRNazanin" w:eastAsia="IRNazanin"/>
          <w:color w:val="111111"/>
          <w:sz w:val="28"/>
          <w:sz w:val="28"/>
          <w:szCs w:val="28"/>
          <w:rtl w:val="true"/>
          <w:lang w:bidi="fa-IR"/>
        </w:rPr>
        <w:t xml:space="preserve">إلی آخر کلامه الذی </w:t>
      </w:r>
      <w:bookmarkStart w:id="90" w:name="pg14553_191752"/>
    </w:p>
    <w:p>
      <w:pPr>
        <w:pStyle w:val="BookText"/>
        <w:rPr/>
      </w:pPr>
      <w:bookmarkEnd w:id="90"/>
      <w:r>
        <w:rPr>
          <w:rFonts w:ascii="IRNazanin" w:hAnsi="IRNazanin" w:eastAsia="IRNazanin"/>
          <w:color w:val="111111"/>
          <w:sz w:val="28"/>
          <w:sz w:val="28"/>
          <w:szCs w:val="28"/>
          <w:rtl w:val="true"/>
          <w:lang w:bidi="fa-IR"/>
        </w:rPr>
        <w:t>تقدّم نقله بتمامه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الأزواج والإخوة والأخوات</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فریضة الأزواج فأدخلهم علی الولد وعلی الأبوین وعلی جمیع أهل الفرائض علی قدر ما سمّی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فریضتهم اختلاف ولا تنازع، فاختصرنا الکلام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ذکر فریضة الإخوة والأخوات من قبل الاُمّ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کانَ رَجُلٌ یُورَثُ کَلالَةً أَوِ اِمْرَأَةٌ وَ لَهُ أَخٌ أَوْ 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فَلِکُلِّ واحِدٍ مِنْهُمَا اَلسُّدُسُ فَإِنْ کانُوا أَکْثَرَ مِنْ ذلِکَ فَهُمْ شُرَکاءُ فِی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فیه خلاف بین الاُمّة، وکلّ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وَصِیَّةٍ یُوصِینَ بِها أَوْ دَیْنٍ</w:t>
      </w:r>
      <w:r>
        <w:rPr>
          <w:rFonts w:eastAsia="Amiri" w:cs="Amiri" w:ascii="Amiri" w:hAnsi="Amiri"/>
          <w:color w:val="111111"/>
          <w:sz w:val="28"/>
          <w:szCs w:val="28"/>
          <w:rtl w:val="true"/>
          <w:lang w:bidi="ar-SA"/>
        </w:rPr>
        <w:t xml:space="preserve">» . </w:t>
      </w:r>
      <w:r>
        <w:rPr>
          <w:rStyle w:val="FootnoteAnchor"/>
          <w:rtl w:val="true"/>
        </w:rPr>
        <w:footnoteReference w:id="1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فالإخوة من الاُمّ لهم نصیبهم المُسمّی لهم مع الإخوة والأخوات من الأب والاُمّ، والإخوة والأخوات من الاُمّ لا یُزادون علی الثلث ولا ینقصون من السدس، والذکر والاُنثی فیه سواء، وهذا کلّه مجمع علیه، إلّاأن لا یحضر أحد غیرهم</w:t>
      </w:r>
      <w:r>
        <w:rPr>
          <w:rFonts w:eastAsia="IRNazanin" w:cs="IRNazanin"/>
          <w:color w:val="111111"/>
          <w:sz w:val="28"/>
          <w:szCs w:val="28"/>
          <w:rtl w:val="true"/>
          <w:lang w:bidi="fa-IR"/>
        </w:rPr>
        <w:t xml:space="preserve">» .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إنّ الملاحظ لهذه النماذج یلمس من خلالها سعة اطلاع المؤلّف، وعنایته بموارد الخلاف والوفاق فی فقهنا وفقه الجمهور</w:t>
      </w:r>
      <w:r>
        <w:rPr>
          <w:rFonts w:eastAsia="IRNazanin" w:cs="IRNazanin"/>
          <w:color w:val="111111"/>
          <w:sz w:val="28"/>
          <w:szCs w:val="28"/>
          <w:rtl w:val="true"/>
          <w:lang w:bidi="fa-IR"/>
        </w:rPr>
        <w:t>.</w:t>
      </w:r>
    </w:p>
    <w:p>
      <w:pPr>
        <w:pStyle w:val="Heading4"/>
        <w:numPr>
          <w:ilvl w:val="3"/>
          <w:numId w:val="1"/>
        </w:numPr>
        <w:rPr/>
      </w:pPr>
      <w:bookmarkStart w:id="91" w:name="__RefHeading___Toc651717_1878427129"/>
      <w:bookmarkStart w:id="92" w:name="_Toc33"/>
      <w:bookmarkEnd w:id="91"/>
      <w:r>
        <w:rPr/>
        <w:t>4</w:t>
      </w:r>
      <w:r>
        <w:rPr>
          <w:rtl w:val="true"/>
        </w:rPr>
        <w:t>-</w:t>
      </w:r>
      <w:r>
        <w:rPr>
          <w:rtl w:val="true"/>
        </w:rPr>
        <w:t>البحث الاستدلالی فی بعض البحوث الهامّة</w:t>
      </w:r>
      <w:bookmarkEnd w:id="92"/>
    </w:p>
    <w:p>
      <w:pPr>
        <w:pStyle w:val="Heading5"/>
        <w:numPr>
          <w:ilvl w:val="4"/>
          <w:numId w:val="1"/>
        </w:numPr>
        <w:rPr/>
      </w:pPr>
      <w:bookmarkStart w:id="93" w:name="__RefHeading___Toc651719_1878427129"/>
      <w:bookmarkStart w:id="94" w:name="_Toc34"/>
      <w:bookmarkEnd w:id="93"/>
      <w:r>
        <w:rPr>
          <w:rtl w:val="true"/>
        </w:rPr>
        <w:t>اشارة</w:t>
      </w:r>
      <w:bookmarkEnd w:id="94"/>
    </w:p>
    <w:p>
      <w:pPr>
        <w:pStyle w:val="BookText"/>
        <w:rPr/>
      </w:pPr>
      <w:r>
        <w:rPr>
          <w:rFonts w:ascii="IRNazanin" w:hAnsi="IRNazanin" w:eastAsia="IRNazanin"/>
          <w:color w:val="111111"/>
          <w:sz w:val="28"/>
          <w:sz w:val="28"/>
          <w:szCs w:val="28"/>
          <w:rtl w:val="true"/>
          <w:lang w:bidi="fa-IR"/>
        </w:rPr>
        <w:t>إنّ الملاحظ لمصنّفات القدماء یجد اهتماماً خاصّاً منهم ببعض الأبواب الفقهیة، حیث کانت بعض مسائلها مدار البحث والخلاف بین الفریقین، وذلک نظیر مسائل باب الوضوء والنکاح والطلاق والإرث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فی ذلک هو أنّ مدارک تلک الأحکام والفروع هو القرآن الکریم، وهو مصدر مشترک بین الجمیع قطعی الصدور عندهم، ومن هنا فإنّ الجمیع یحاول التمسّک بآیاته وتقریب الاستدلال بها علی مقصوده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نجد أنّ الشیخ الکلینی قدس سره فی کتاب الإرث والفرائض قد عدل عن طریقته التی سار علیها فی مجمل بحوث کتابه بالاقتصار علی إیراد الأخبار، فقام أوّلاً فی أوّل کتاب الإرث ببیان الطبقات وتوضیحها، ثمّ قام فی باب آخر ببیان الفرائض المکتوبة لهم فی الکتاب شارحاً ذلک ببیان وافٍ علی ضوء الآیات المبیّنة للفرائض والأسهم، مع استعراض للأقوال ومواطن الإجماع والخلاف فی تلک المسائل، وطرح المناقشات التی یمکن أن ترد فی البحث مجیباً علیها، ثمّ یشرع بعد ذلک بتبویب الأخبار المتعلّقة </w:t>
      </w:r>
      <w:bookmarkStart w:id="95" w:name="pg14553_191753"/>
    </w:p>
    <w:p>
      <w:pPr>
        <w:pStyle w:val="BookText"/>
        <w:rPr/>
      </w:pPr>
      <w:bookmarkEnd w:id="95"/>
      <w:r>
        <w:rPr>
          <w:rFonts w:ascii="IRNazanin" w:hAnsi="IRNazanin" w:eastAsia="IRNazanin"/>
          <w:color w:val="111111"/>
          <w:sz w:val="28"/>
          <w:sz w:val="28"/>
          <w:szCs w:val="28"/>
          <w:rtl w:val="true"/>
          <w:lang w:bidi="fa-IR"/>
        </w:rPr>
        <w:t>بمسائل کتاب الإرث، کلّ ذلک یضع الباحث أمام نموذج من نماذج البحث الفقهی فی کتاب الکافی ، لیقف عند صورة تعکس مستوی البحث الفقهی لمؤلّفه الفقیه وهو یخرج عن منهجه الحدیثی التقلیدی الذی سار علیه فی کتابه لیحرّر بحثاً فقهیاً استدلالیاً فی فروع ومسائل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الملامح العامّة للبعد الاُصولی</w:t>
      </w:r>
    </w:p>
    <w:p>
      <w:pPr>
        <w:pStyle w:val="BookText"/>
        <w:rPr/>
      </w:pPr>
      <w:r>
        <w:rPr>
          <w:rFonts w:ascii="IRNazanin" w:hAnsi="IRNazanin" w:eastAsia="IRNazanin"/>
          <w:color w:val="111111"/>
          <w:sz w:val="28"/>
          <w:sz w:val="28"/>
          <w:szCs w:val="28"/>
          <w:rtl w:val="true"/>
          <w:lang w:bidi="fa-IR"/>
        </w:rPr>
        <w:t>یظهر للمتتّبع لتأریخ علم الاُصول أنّ التکوین الأوّل لهذا العلم قد 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رسمی ومقرّر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القرنین الرابع والخامس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الجهود العلمیة الاُولی التی سبقت هذه الفترة والتی ظهرت فی بعض مصنّفات أصحاب الأئمّة فی هذا المجال؛ إذ أنّا نتکلّم عن الوجه الرسمی لهذا العلم کصناعة مقررة تمتلک مقوماتها ومنهجها الخاصّ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عاصر فقیهنا الکلینی بدایات تلک المرحلة التی أرسی قواعدها بعض معاصریه من فقهائنا العظام الذین افتقدنا آثارهم وعطاءهم العلمی، الأمر الذی أفقدنا امتلاک تصوّر کامل وجامع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والکلینی بالرغم ممّا اشتهر وعُرف عنه من اهتمامه بأمر الحدیث، فإنّ المتتبّع فی مجموع آرائه وبحوثه الفقهیة التی ضمّنها کتابه الروائی یجد أنّ ثمّة مرتکزات ومنطلقات اُصولیة للبحث الفقهی عند الکلینی، نشیر إلیها لعلّها تکون ومضة فی الکشف عن خلفیات البعد الفقهی عند هذا الفقیه</w:t>
      </w:r>
      <w:r>
        <w:rPr>
          <w:rFonts w:eastAsia="IRNazanin" w:cs="IRNazanin"/>
          <w:color w:val="111111"/>
          <w:sz w:val="28"/>
          <w:szCs w:val="28"/>
          <w:rtl w:val="true"/>
          <w:lang w:bidi="fa-IR"/>
        </w:rPr>
        <w:t>:</w:t>
      </w:r>
    </w:p>
    <w:p>
      <w:pPr>
        <w:pStyle w:val="Heading5"/>
        <w:numPr>
          <w:ilvl w:val="4"/>
          <w:numId w:val="1"/>
        </w:numPr>
        <w:rPr/>
      </w:pPr>
      <w:bookmarkStart w:id="96" w:name="__RefHeading___Toc651721_1878427129"/>
      <w:bookmarkStart w:id="97" w:name="_Toc35"/>
      <w:bookmarkEnd w:id="96"/>
      <w:r>
        <w:rPr/>
        <w:t>1</w:t>
      </w:r>
      <w:r>
        <w:rPr>
          <w:rtl w:val="true"/>
        </w:rPr>
        <w:t xml:space="preserve">. </w:t>
      </w:r>
      <w:r>
        <w:rPr>
          <w:rtl w:val="true"/>
        </w:rPr>
        <w:t>الأدلّة</w:t>
      </w:r>
      <w:bookmarkEnd w:id="97"/>
    </w:p>
    <w:p>
      <w:pPr>
        <w:pStyle w:val="BookText"/>
        <w:rPr/>
      </w:pPr>
      <w:r>
        <w:rPr>
          <w:rFonts w:ascii="IRNazanin" w:hAnsi="IRNazanin" w:eastAsia="IRNazanin"/>
          <w:color w:val="111111"/>
          <w:sz w:val="28"/>
          <w:sz w:val="28"/>
          <w:szCs w:val="28"/>
          <w:rtl w:val="true"/>
          <w:lang w:bidi="fa-IR"/>
        </w:rPr>
        <w:t>یدور محور البحث الفقهی لدی الکلینی علی الأدلّة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السنّة،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الدلیل الأوّل فقد استند إلیه فی مجموعة من آرائه وبحوثه، والدلیل الثانی یمثّل المحور الأساس فی کتابه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الإجماع فقد ارتکن إلیه فی مواضع من کتاب الإرث، مرتئیاً حجیّته بالرغم من عدم الوقوف علی منشأ الحجّیة والاعتبار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وإلیک بعض النماذج والتطبیقات </w:t>
      </w:r>
    </w:p>
    <w:p>
      <w:pPr>
        <w:pStyle w:val="BookText"/>
        <w:rPr/>
      </w:pPr>
      <w:r>
        <w:rPr>
          <w:rFonts w:ascii="IRNazanin" w:hAnsi="IRNazanin" w:eastAsia="IRNazanin"/>
          <w:color w:val="111111"/>
          <w:sz w:val="28"/>
          <w:sz w:val="28"/>
          <w:szCs w:val="28"/>
          <w:rtl w:val="true"/>
          <w:lang w:bidi="fa-IR"/>
        </w:rPr>
        <w:t>فی 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 کتاب الإرث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بیان الفرائض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المال کلّه للولد فی کتابه، ثمّ أدخل علیهم بعد الأبوین والزوجین، فلا یرث مع الولد غیر هؤلاء الأربعة؛ وذلک أنّه عزّوجلّ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یُوصِیکُمُ اَللّهُ فِی أَوْلادِکُمْ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فأجمعت الاُمّة علی أنّ اللّه أراد بهذا القول المیراث، فصار المال کلّه بهذا القول للولد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فإنّ المتأمّل فی هذا النّص یلاحظ کیف أنّه حکّم الإجماع فی فهم النّص، وهی ملاحظة جدیرة بالاهتمام حیث تلفتنا إلی دور الإجماع فی تبیین النصّ وتفسیره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أیضاً فی وجوه الفرائض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جعل الفرائض علی أربعة أصناف، وجعل مخارجها من ستّة أسهم، فبدأ بالولد والوالدین الذین هم الأقربون وبأنفسهم یتقرّبون لا بغیرهم، ولا یسقطون من المیراث أبداً، ولا یرث معهم أحد غیرهم إلّا الزوج والزوجة؛ فإن حضر کلّهم قُسّم المال بینهم علی ما سمّی اللّه عزّوجلّ، وإن حضر بعضهم فکذلک، وإن لم یحضر منهم إلّاواحد فالمال کلّه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یرث معه أحد غیره إذا کان غیره لا یتقرّب بنفسه وإنّما یتقرّب بغیره، إلّاما خصّ اللّه به من طریق الإجماع أنّ ولد الولد یقومون مقام الولد، وکذلک ولد الإخوة إذا لم یکن ولد الصلب ولا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أمر الولد مجمع علیه، ولا أعلم بین الاُمّة فی ذلک اختلافاً</w:t>
      </w:r>
      <w:r>
        <w:rPr>
          <w:rFonts w:eastAsia="IRNazanin" w:cs="IRNazanin"/>
          <w:color w:val="111111"/>
          <w:sz w:val="28"/>
          <w:szCs w:val="28"/>
          <w:rtl w:val="true"/>
          <w:lang w:bidi="fa-IR"/>
        </w:rPr>
        <w:t xml:space="preserve">» .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وهنا نلاحظ أیضاً دور الإجماع فی استثناء إرث ولد الولد من الحکم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أیضاً بعد أن أورد ما یدلّ علی إرث الجدّ والجدّة السدس طعمة المخالف للمجمع علیه من أنّهما لا یرثان ذلک مع وجود الأبوین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یدلّ علی إطعامهم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روی، وهی أخبار صحیحة، إلّاأنّ إجماع العصابة أنّ منزلة الجدّ منزلة الأخ من الأب یرث میراث الأخ</w:t>
      </w:r>
      <w:r>
        <w:rPr>
          <w:rFonts w:eastAsia="IRNazanin" w:cs="IRNazanin"/>
          <w:color w:val="111111"/>
          <w:sz w:val="28"/>
          <w:szCs w:val="28"/>
          <w:rtl w:val="true"/>
          <w:lang w:bidi="fa-IR"/>
        </w:rPr>
        <w:t xml:space="preserve">» . </w:t>
      </w:r>
      <w:r>
        <w:rPr>
          <w:rStyle w:val="FootnoteAnchor"/>
          <w:rtl w:val="true"/>
        </w:rPr>
        <w:footnoteReference w:id="11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جعل الإجماع عاضداً ومرجحاً لأحد شقّی التعارض بین هذه الأخبار، وسیأتی الکلام عن ذلک عند التعرّض لبحث المرجّحات فی حالات التعارض</w:t>
      </w:r>
      <w:r>
        <w:rPr>
          <w:rFonts w:eastAsia="IRNazanin" w:cs="IRNazanin"/>
          <w:color w:val="111111"/>
          <w:sz w:val="28"/>
          <w:szCs w:val="28"/>
          <w:rtl w:val="true"/>
          <w:lang w:bidi="fa-IR"/>
        </w:rPr>
        <w:t xml:space="preserve">. </w:t>
      </w:r>
      <w:bookmarkStart w:id="98" w:name="pg14553_191755"/>
    </w:p>
    <w:p>
      <w:pPr>
        <w:pStyle w:val="Heading5"/>
        <w:numPr>
          <w:ilvl w:val="4"/>
          <w:numId w:val="1"/>
        </w:numPr>
        <w:rPr/>
      </w:pPr>
      <w:bookmarkStart w:id="99" w:name="__RefHeading___Toc651723_1878427129"/>
      <w:bookmarkStart w:id="100" w:name="_Toc36"/>
      <w:bookmarkEnd w:id="98"/>
      <w:bookmarkEnd w:id="99"/>
      <w:r>
        <w:rPr/>
        <w:t>2</w:t>
      </w:r>
      <w:r>
        <w:rPr>
          <w:rtl w:val="true"/>
        </w:rPr>
        <w:t xml:space="preserve">. </w:t>
      </w:r>
      <w:r>
        <w:rPr>
          <w:rtl w:val="true"/>
        </w:rPr>
        <w:t>حجّیة الظواهر</w:t>
      </w:r>
      <w:bookmarkEnd w:id="100"/>
    </w:p>
    <w:p>
      <w:pPr>
        <w:pStyle w:val="BookText"/>
        <w:rPr/>
      </w:pPr>
      <w:r>
        <w:rPr>
          <w:rFonts w:ascii="IRNazanin" w:hAnsi="IRNazanin" w:eastAsia="IRNazanin"/>
          <w:color w:val="111111"/>
          <w:sz w:val="28"/>
          <w:sz w:val="28"/>
          <w:szCs w:val="28"/>
          <w:rtl w:val="true"/>
          <w:lang w:bidi="fa-IR"/>
        </w:rPr>
        <w:t>وهذا ما یظهر منه فی مواطن عدیدة فی کتابه حین استشهد بالنصوص القرآنیة معولاً علی ظاهرها مضافاً إلی نصّها</w:t>
      </w:r>
      <w:r>
        <w:rPr>
          <w:rFonts w:eastAsia="IRNazanin" w:cs="IRNazanin"/>
          <w:color w:val="111111"/>
          <w:sz w:val="28"/>
          <w:szCs w:val="28"/>
          <w:rtl w:val="true"/>
          <w:lang w:bidi="fa-IR"/>
        </w:rPr>
        <w:t>.</w:t>
      </w:r>
    </w:p>
    <w:p>
      <w:pPr>
        <w:pStyle w:val="Heading5"/>
        <w:numPr>
          <w:ilvl w:val="4"/>
          <w:numId w:val="1"/>
        </w:numPr>
        <w:rPr/>
      </w:pPr>
      <w:bookmarkStart w:id="101" w:name="__RefHeading___Toc651725_1878427129"/>
      <w:bookmarkStart w:id="102" w:name="_Toc37"/>
      <w:bookmarkEnd w:id="101"/>
      <w:r>
        <w:rPr/>
        <w:t>3</w:t>
      </w:r>
      <w:r>
        <w:rPr>
          <w:rtl w:val="true"/>
        </w:rPr>
        <w:t xml:space="preserve">. </w:t>
      </w:r>
      <w:r>
        <w:rPr>
          <w:rtl w:val="true"/>
        </w:rPr>
        <w:t>حجّیة خبر الآحاد</w:t>
      </w:r>
      <w:bookmarkEnd w:id="102"/>
    </w:p>
    <w:p>
      <w:pPr>
        <w:pStyle w:val="BookText"/>
        <w:rPr/>
      </w:pPr>
      <w:r>
        <w:rPr>
          <w:rFonts w:ascii="IRNazanin" w:hAnsi="IRNazanin" w:eastAsia="IRNazanin"/>
          <w:color w:val="111111"/>
          <w:sz w:val="28"/>
          <w:sz w:val="28"/>
          <w:szCs w:val="28"/>
          <w:rtl w:val="true"/>
          <w:lang w:bidi="fa-IR"/>
        </w:rPr>
        <w:t>وهی من المسائل التی احتدم الکلام فیها عند الأقدمین من فقهائنا، فذهب البعض إلی منعها وعدم العمل بها بل إلی استحالتها، والحجّة عندهم خصوص الخبر المتواتر، فیما ذهب الآخرون إلی حجّیة أخبار الآحاد واعتبارها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ذهب إلی هذا الرأی فقیهنا المترجم، حیث أفتی فی عدّة مواضع من کتابه بمضمون أخبار الآحاد، کما سنقف علی ذلک عند التعرّض للمجموع من فقهه وفتاواه</w:t>
      </w:r>
      <w:r>
        <w:rPr>
          <w:rFonts w:eastAsia="IRNazanin" w:cs="IRNazanin"/>
          <w:color w:val="111111"/>
          <w:sz w:val="28"/>
          <w:szCs w:val="28"/>
          <w:rtl w:val="true"/>
          <w:lang w:bidi="fa-IR"/>
        </w:rPr>
        <w:t>.</w:t>
      </w:r>
    </w:p>
    <w:p>
      <w:pPr>
        <w:pStyle w:val="Heading5"/>
        <w:numPr>
          <w:ilvl w:val="4"/>
          <w:numId w:val="1"/>
        </w:numPr>
        <w:rPr/>
      </w:pPr>
      <w:bookmarkStart w:id="103" w:name="__RefHeading___Toc651727_1878427129"/>
      <w:bookmarkStart w:id="104" w:name="_Toc38"/>
      <w:bookmarkEnd w:id="103"/>
      <w:r>
        <w:rPr/>
        <w:t>4</w:t>
      </w:r>
      <w:r>
        <w:rPr>
          <w:rtl w:val="true"/>
        </w:rPr>
        <w:t xml:space="preserve">. </w:t>
      </w:r>
      <w:r>
        <w:rPr>
          <w:rtl w:val="true"/>
        </w:rPr>
        <w:t>التعارض</w:t>
      </w:r>
      <w:bookmarkEnd w:id="104"/>
    </w:p>
    <w:p>
      <w:pPr>
        <w:pStyle w:val="BookText"/>
        <w:rPr/>
      </w:pPr>
      <w:r>
        <w:rPr>
          <w:rFonts w:ascii="IRNazanin" w:hAnsi="IRNazanin" w:eastAsia="IRNazanin"/>
          <w:color w:val="111111"/>
          <w:sz w:val="28"/>
          <w:sz w:val="28"/>
          <w:szCs w:val="28"/>
          <w:rtl w:val="true"/>
          <w:lang w:bidi="fa-IR"/>
        </w:rPr>
        <w:t>وهو من أهمّ مسائل علم الاُصول وأجلّها؛ لکثرة ابتلاء الفقیه بها فی مقام البحث والاستنباط، ویُرجع فی مثل هذه الحالات عادةً إلی المرجّحات، وقسّمها الاُصولیون إلی المرجّحات السندیة والمرجّحات الدلالیة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أشار الشیخ الکلینی إلی القسم الثانی منها فی مقدّمة کتابه عند الإشارة إلی اختلاف الأخبار وتعارضها، منبّهاً علی عدم إمکان الجمع بینها بالرأی دون الرجوع إلی الموازین التی أقامها الأئمّة علیهم السلام فی مثل هذه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الموازین بحسب ما حدّدها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الموافقة للکتاب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الجمهور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بالخبر المجمع علیه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لا یسع أحداً تمییز شیء ممّا اختلف الروایة فیه عن العلماء علیهم السلام برأیه، إلّا علی ما أطلقه العالم بقوله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اعرضوها علی کتاب اللّه؛ فما وافق کتاب اللّه عزّوجلّ فخذوه، وما خالف کتاب اللّه فردّوه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دعوا ما وافق القوم، فإنّ الرشد فی خلافهم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خذوا بالمجمع علیه؛ فإنّ المجمع علیه لا ریب فیه</w:t>
      </w:r>
      <w:r>
        <w:rPr>
          <w:rFonts w:eastAsia="IRNazanin" w:cs="IRNazanin"/>
          <w:color w:val="111111"/>
          <w:sz w:val="28"/>
          <w:szCs w:val="28"/>
          <w:rtl w:val="true"/>
          <w:lang w:bidi="fa-IR"/>
        </w:rPr>
        <w:t xml:space="preserve">» . </w:t>
      </w:r>
      <w:bookmarkStart w:id="105" w:name="pg14553_191756"/>
    </w:p>
    <w:p>
      <w:pPr>
        <w:pStyle w:val="BookText"/>
        <w:rPr/>
      </w:pPr>
      <w:bookmarkEnd w:id="105"/>
      <w:r>
        <w:rPr>
          <w:rFonts w:ascii="IRNazanin" w:hAnsi="IRNazanin" w:eastAsia="IRNazanin"/>
          <w:color w:val="111111"/>
          <w:sz w:val="28"/>
          <w:sz w:val="28"/>
          <w:szCs w:val="28"/>
          <w:rtl w:val="true"/>
          <w:lang w:bidi="fa-IR"/>
        </w:rPr>
        <w:t>ثمّ یشیر إلی موارد تطبیق هذه القواعد وقلّة الاطّلاع علی تشخیصها والوقوف علیها، فیقول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ونحن لا نعرف من جمیع ذلک إلّاأقلّة، ولا نجد شیئاً أحوط ولا أوسع من ردّ علم ذلک کلّه إلی العالم علیه السلام، وقبول ما وسّع من الأمر فیه بقوله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بأیّ ما أخذتم من باب التسلیم وسعکم </w:t>
      </w:r>
      <w:r>
        <w:rPr>
          <w:rFonts w:eastAsia="IRNazanin" w:cs="IRNazanin"/>
          <w:color w:val="111111"/>
          <w:sz w:val="28"/>
          <w:szCs w:val="28"/>
          <w:rtl w:val="true"/>
          <w:lang w:bidi="fa-IR"/>
        </w:rPr>
        <w:t xml:space="preserve">» . </w:t>
      </w:r>
      <w:r>
        <w:rPr>
          <w:rStyle w:val="FootnoteAnchor"/>
          <w:rtl w:val="true"/>
        </w:rPr>
        <w:footnoteReference w:id="1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نعثر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حدود التتبّع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تطبیق لهذه المرجّحات سوی المرجّح الثالث فی مسائل باب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ینفی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إعمالها جمیعاً بحسب الواقع عند اختیاره للأخبار التی أوردها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الحجّة السیّد حسن الصدر فی عداد ممیزات کتاب 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غالباً لا یورد الأخبار المعارضة، بل یقتصر علی ما یدلّ علی الباب الذی عنونه، وربما دلّ ذلک علی ترجیحه لما ذکر علی ما لم یذکر</w:t>
      </w:r>
      <w:r>
        <w:rPr>
          <w:rFonts w:eastAsia="IRNazanin" w:cs="IRNazanin"/>
          <w:color w:val="111111"/>
          <w:sz w:val="28"/>
          <w:szCs w:val="28"/>
          <w:rtl w:val="true"/>
          <w:lang w:bidi="fa-IR"/>
        </w:rPr>
        <w:t xml:space="preserve">» .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وعلی أیّ حال، فإنّ من تطبیقات المرجّح الثالث ما أشرنا إلیه سابقاً فی مسألة إرث الجدّ مع وجود الأبوین، حیث قدّم الروایات الدالّة علی منعه من الإرث علی روایات الطعمة سدساً؛ لقیام الإجماع علی الاُولی مع صحّة الروایات الثانیة</w:t>
      </w:r>
      <w:r>
        <w:rPr>
          <w:rFonts w:eastAsia="IRNazanin" w:cs="IRNazanin"/>
          <w:color w:val="111111"/>
          <w:sz w:val="28"/>
          <w:szCs w:val="28"/>
          <w:rtl w:val="true"/>
          <w:lang w:bidi="fa-IR"/>
        </w:rPr>
        <w:t>.</w:t>
      </w:r>
    </w:p>
    <w:p>
      <w:pPr>
        <w:pStyle w:val="Heading3"/>
        <w:numPr>
          <w:ilvl w:val="2"/>
          <w:numId w:val="1"/>
        </w:numPr>
        <w:rPr/>
      </w:pPr>
      <w:bookmarkStart w:id="106" w:name="__RefHeading___Toc651729_1878427129"/>
      <w:bookmarkStart w:id="107" w:name="_Toc39"/>
      <w:bookmarkEnd w:id="106"/>
      <w:r>
        <w:rPr>
          <w:rtl w:val="true"/>
        </w:rPr>
        <w:t>آراؤه النادرة</w:t>
      </w:r>
      <w:bookmarkEnd w:id="107"/>
    </w:p>
    <w:p>
      <w:pPr>
        <w:pStyle w:val="BookText"/>
        <w:rPr/>
      </w:pPr>
      <w:r>
        <w:rPr>
          <w:rFonts w:ascii="IRNazanin" w:hAnsi="IRNazanin" w:eastAsia="IRNazanin"/>
          <w:color w:val="111111"/>
          <w:sz w:val="28"/>
          <w:sz w:val="28"/>
          <w:szCs w:val="28"/>
          <w:rtl w:val="true"/>
          <w:lang w:bidi="fa-IR"/>
        </w:rPr>
        <w:t>نشیر فیما یلی إلی بعض آرائه النادرة المخالفة لرأی المشهور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الغسلة الثانیة فی الوضوء لا یؤجر علیها، فهی لیست مستحبّة عنده،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ووافقه علیه الشیخ الصدوق والبزنطی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نسب ذلک إلی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بالاستحباب</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وفی الاستبصار نفی الخلاف عنه بین المسلمین</w:t>
      </w:r>
      <w:r>
        <w:rPr>
          <w:rFonts w:eastAsia="IRNazanin" w:cs="IRNazanin"/>
          <w:color w:val="111111"/>
          <w:sz w:val="28"/>
          <w:szCs w:val="28"/>
          <w:rtl w:val="true"/>
          <w:lang w:bidi="fa-IR"/>
        </w:rPr>
        <w:t>.</w:t>
      </w:r>
    </w:p>
    <w:p>
      <w:pPr>
        <w:pStyle w:val="Heading3"/>
        <w:numPr>
          <w:ilvl w:val="2"/>
          <w:numId w:val="1"/>
        </w:numPr>
        <w:rPr/>
      </w:pPr>
      <w:bookmarkStart w:id="108" w:name="__RefHeading___Toc651731_1878427129"/>
      <w:bookmarkStart w:id="109" w:name="_Toc40"/>
      <w:bookmarkEnd w:id="108"/>
      <w:r>
        <w:rPr>
          <w:rtl w:val="true"/>
        </w:rPr>
        <w:t>الدلیل</w:t>
      </w:r>
      <w:r>
        <w:rPr>
          <w:rtl w:val="true"/>
        </w:rPr>
        <w:t>:</w:t>
      </w:r>
      <w:bookmarkEnd w:id="10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 ثقة الإسلام لرأیه بقول أبی عبد اللّه علیه السلام فی جواب عبد الکریم عندما سأله عن الوضوء، فأجابه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وضوء علی علیه السلام إلّامرّة مرّة </w:t>
      </w:r>
      <w:r>
        <w:rPr>
          <w:rFonts w:eastAsia="IRNazanin" w:cs="IRNazanin"/>
          <w:color w:val="111111"/>
          <w:sz w:val="28"/>
          <w:szCs w:val="28"/>
          <w:rtl w:val="true"/>
          <w:lang w:bidi="fa-IR"/>
        </w:rPr>
        <w:t xml:space="preserve">» .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دلیل علی أنّ الوضوء إنّما هو مرّة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معلّلاً ذلک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ورد علیه أمران کلاهما للّه‌طاعة أخذ بأحوطهما وأشدّهما علی بدنه، حاملاً ما دلّ علی أنّ الوضوء مرّتان علی من استزاد ولم یقنع بالواحدة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ببعض الصحاح، کصحیحة زرارة عن الصادق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الوضوء مثنی مثنی، من زاد لم یؤجر علیه </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الوضوء،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ونحوه صحیح معاویة بن وهب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وصحیح صفوان بن یحیی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فرض اللّه الوضوء واحدة واحدة، ووضع رسول اللّه صلی الله علیه و آله للناس اثنتین اثنتین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ولکن ثمّة روایة اُخری لم ینقلها فی الکافی کان ینبغی نقلها وهو فی مقام الاستنباط؛ حیث روی عمرو بن أبی المقدام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صلی الله علیه و آله توضأ اثنتین اثنتین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وهی بلا شک تعارض ما رواه عن علی علیه السلام من أنّ وضوءه کان مرّة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جمع بینهما بعض الفقهاء </w:t>
      </w:r>
      <w:r>
        <w:rPr>
          <w:rStyle w:val="FootnoteAnchor"/>
          <w:rtl w:val="true"/>
        </w:rPr>
        <w:footnoteReference w:id="124"/>
      </w:r>
      <w:r>
        <w:rPr>
          <w:rFonts w:ascii="IRNazanin" w:hAnsi="IRNazanin" w:eastAsia="IRNazanin"/>
          <w:color w:val="111111"/>
          <w:sz w:val="28"/>
          <w:sz w:val="28"/>
          <w:szCs w:val="28"/>
          <w:rtl w:val="true"/>
          <w:lang w:bidi="fa-IR"/>
        </w:rPr>
        <w:t xml:space="preserve">بما روی عنه أیضاً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وضع الثانیة لضعف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وکأنّ وجهه أنّ الاثنتین سنّة؛ لئلا یکون قد قصّر المتوضّئ فی المرّة فتأتی الثانیة علی تقصیره، وهم علیهم السلام منزّهون عن احتمال ذلک، فیکون الاستحباب بالنسبة إلی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الجمع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ما دلّ علی أنّ وضوءه کان مرّة مرّة، یدلّ علی أنّ عادته کانت المرّة؛ لکون الثانیة مستحبّة بالنسبة إلی غیره، إلّاأنّه اتّفق له فعلها یوماً من الأیّام لغرض من الأغراض الصحیحة، کعدم تنفّر الناس عنها بترکها من جهته، أو نحو ذلک من الأغراض، فتکون مستحبّة بالنسبة إلیه بالعارض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القول بوجوب غسل الجمعة، حیث عقد باباً أسماه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الغسل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وقد ذهب إلی هذا الرأی أیضاً الصدوقان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والمشهور بل الإجماع علی</w:t>
      </w:r>
    </w:p>
    <w:p>
      <w:pPr>
        <w:pStyle w:val="BookText"/>
        <w:rPr/>
      </w:pPr>
      <w:r>
        <w:rPr>
          <w:rFonts w:ascii="IRNazanin" w:hAnsi="IRNazanin" w:eastAsia="IRNazanin"/>
          <w:color w:val="111111"/>
          <w:sz w:val="28"/>
          <w:sz w:val="28"/>
          <w:szCs w:val="28"/>
          <w:rtl w:val="true"/>
          <w:lang w:bidi="fa-IR"/>
        </w:rPr>
        <w:t>استحبابه</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قال باستحبابه حمل لفظ الوجوب فی عباراتهم وفی الأخبار الواردة فیه علی تأکّد الاستحباب؛ لعدم العلم بکون الوجوب حقیقة فی المعنی المصطلح، بل الظاهر من الأخبار خلافه، ومن قال بالوجوب یحمل السنّة علی مقابل الفرض، أی ما ثبت وجوبه بالسنّة لا بالقرآن، وهذا یظهر أیضاً من 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الجواهر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صریح الغنیة وموضعین من الخلاف الإجماع علیه أی الاستحباب، بل فی أحدهما نسبة القول بالوجوب إلی أهل الظاهر داوود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إنّما عرف ذلک من المصنّف والعلّامة ومن تأخّر عنهما، فنسبوا القول بالوجوب إلی الصدوقین، حیث قالا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وغسل الجمعة سنّة واجبة، فلا تدعه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عن الرسالة و المقنع ، ونحوه الفقیه و الهدایة ، لکن مع ذکر روایة الرخصة فی ترکه للنساء فی السفر لقلّة الماء، بل والکلینی حیث عقد فی الکافی باباً لوجوب ذلک، مع احتمال إرادة السنّة الأکیدة اللّازمة کالأخبار، کما یومئ إلیه أنّه وقع ما یقرب من ذلک ممّن علم أنّ مذهبه الندب، مضافاً إلی ما عرفته سابقاً؛ إذ المتقدّمون بعضهم أعرف بلسان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ویزیده تأییداً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حکی عن ظاهر الصدوق فی الأمالی من القول بالاستحباب مع نسبته له إلی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ریب أنّ الکلینی ووالده من أجلّاء الإمامیة، مع أنّهما عنده بمکانة عظیمة جدّاً سیما والده، بل والکلینی أیضاً؛ لأنّه اُستاذه، هذا علی أنّ قولهما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سنّة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حمل فیه لفظ السنّة علی حقیقته فی زمانهما ونحوه من الاستحباب، کانت عبارتهما أظهر فی نفی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کان فالمختار الأوّل، وعلیه استقرّ المذهب؛ للأصل والإجماع المحکی بل المحصّل، والسیرة المستمرّة المستقیمة فی سائر الأعصار والأمصار</w:t>
      </w:r>
      <w:r>
        <w:rPr>
          <w:rFonts w:eastAsia="IRNazanin" w:cs="IRNazanin"/>
          <w:color w:val="111111"/>
          <w:sz w:val="28"/>
          <w:szCs w:val="28"/>
          <w:rtl w:val="true"/>
          <w:lang w:bidi="fa-IR"/>
        </w:rPr>
        <w:t xml:space="preserve">» . </w:t>
      </w:r>
      <w:r>
        <w:rPr>
          <w:rStyle w:val="FootnoteAnchor"/>
          <w:rtl w:val="true"/>
        </w:rPr>
        <w:footnoteReference w:id="12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الاستشهاد، لإرادة الوجوب حقیقةً فی کلام الکلینی بعدم إیراده خبراً واحداً؛ ممّا یدلّ علی استحبابه ونفی الوجوب عنه، کما فی صحیح ابن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أبا الحسن علیه السلام عن الغسل فی الجمعة والأضحی والفطر،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ولیست فریضة </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بناءً علی إرادة الاستحباب بها، لا ما ثبت بالسنّة فی مقابل ما ثبت بالقرآن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 قدس سره إلی عدم وجوب سجدتی السهو فیما لو سلّم سهواً بعد الأولتین، والمشهور وجوبهما، بل ادُّعی علیه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یستظهر الخلاف فی المسألة أیضاً من جماعة کالعمّانی والشیخ المفید وعلم الهدی وابن حمزة وسلّار، حیث ذکروا الکلام ناسیاً من غیر ذکر السلام </w:t>
      </w:r>
      <w:r>
        <w:rPr>
          <w:rStyle w:val="FootnoteAnchor"/>
          <w:rtl w:val="true"/>
        </w:rPr>
        <w:footnoteReference w:id="1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الکلام،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الشیعة،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ونقل التصریح به عن علی بن بابویه وولده فی المقنع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وقد حاول بعض الفقهاء توجیه کلامهم وإخراجه عن دائرة الخلاف؛ بحمل الکلام الوارد فی کلماتهم علی ما یشمل التسلیم فی غیر محلّه؛ لأنّه من الکلام أیضاً، وهو محتمل کلام الشیخ الصدوق فی بعض نسخ المقنع ، فیکون مراده من الکلام الأعمّ</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وحینئذٍ ینحصر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الکلینی، أو هو ووالد الصدوق؛ حیث لم ینصّ علیه ولا علی الکلام، وذلک لتصریح الکلینی بنفیه، قال فی عداد المواضع التی لا یجب فیها سجود السهو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 یسلّم فی الرکعتین الأولتین ثمّ یذکر فیتمّ قبل أن یتکلّم، فلا سهو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وهو صریح فی سقوط سجدتی السهو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أنّه استند فی ذلک إلی ما رواه عن أبی عبد اللّه علیه السلام فی قضیة ذی الشمالین التی حکمت سجود السهو لمکان الکلام بعد السلام، لا لصرف وقوع السلام فی غیر موضعه</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قائم فلم یدرِ أرکع أم لم یرکع، فلیرکع حتّی یکون علی یقین من رکوعه، فإن رکع ثمّ ذکر أنّه کان قد رکع، فلیرسل نفسه إلی السجود من غیر أن یرفع رأسه من الرکوع فی الرکوع، فإن مضی ورفع رأسه من الرکوع ثمّ ذکر أنّه قد کان رکع، فعلیه أن یعید الصلاة؛ لأنّه قد زاد فی صلاته رکعة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وکأنّ الرکن عنده یتحقّق بالرکوع ورفع الرأس منه معاً، لا بالرکوع حسب لتتحقّق بذلک الزیادة الرکنیة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وافقه علی هذا الرأی السیّد المرتضی والشیخ الطوسی وابن إدریس وابنا حمزة وزهرة، وأکثر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علیه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ذلک، حیث أفتوا ببطلان الصلاة؛ لمکان زیادة الرکن حتّی لو لم یرفع رأسه من الرکوع</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ذخیرة المعاد،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 الکلام،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یستدلّ الشیخ الکلینی وتابعوه لهذا الرأی بروایة مکتفین بإیراد الفتوی 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استدلّ الشهید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ما صدر من المکلّف من حالة الرکوع وإن کان بصورة الرکوع ومنویاً به الرکوع، إلّاأنّه فی الحقیقة لیس برکوع؛ لتبیّن خلافه، والهوی إلی السجود واجب، فیتأدّی الهوی إلی السجود به فلا تتحقّق الزیادة، بخلاف ما لو ذکر بعد رفع رأسه من الرکوع فإنّ الزیادة متحقّقة حینئذٍ؛ لافتقاره إلی هوی إلی السجود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سجد ثمّ ذکر أنّه قد کان سجد سجدتین، فعلیه أن یعید الصلاة؛ لأنّه قد زاد فی صلاته سجدة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والمشهور شهرة عظیمة کادت تکون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بطلان الصلاة بذلک؛ لما دلّ علی عدم بطلانها بزیادة السجدة، کخبر منصور بن حازم عندما سأل أبا عبد اللّه علیه السلام فأجابه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یعید صلاة من سجدة، ویعیدها من رکعة </w:t>
      </w:r>
      <w:r>
        <w:rPr>
          <w:rFonts w:eastAsia="IRNazanin" w:cs="IRNazanin"/>
          <w:color w:val="111111"/>
          <w:sz w:val="28"/>
          <w:szCs w:val="28"/>
          <w:rtl w:val="true"/>
          <w:lang w:bidi="fa-IR"/>
        </w:rPr>
        <w:t xml:space="preserve">» .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وأمّا البطلان الذی أفتی به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وتبعه السیّد والعمّانی وابن إدریس والحلبی وابن زهرة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نعثر له علی دلیل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له فی الجواهر بقاعدة الشغل وإطلاق بعض النصوص التی رواها الشیخ</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رکع فاستیقن أنّه لم یکن سجد إلّاسجدة أو لم یسجد شیئاً، فعلیه إعادة الصلاة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اختار رأیه أیضاً العمّانی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شهرة عظیمة نقلاً وتحصیلاً کادت تکون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عن بعضهم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لیس علیه شیء إلّاقضاء السجدة؛ وذلک للإجماع ولخبر ابن حکیم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نسیت شیئاً من الصلاة رکوعاً أو</w:t>
      </w:r>
      <w:bookmarkStart w:id="110" w:name="pg14553_191761"/>
    </w:p>
    <w:p>
      <w:pPr>
        <w:pStyle w:val="BookText"/>
        <w:rPr/>
      </w:pPr>
      <w:bookmarkEnd w:id="110"/>
      <w:r>
        <w:rPr>
          <w:rFonts w:ascii="Amiri" w:hAnsi="Amiri" w:eastAsia="Amiri" w:cs="Amiri"/>
          <w:color w:val="111111"/>
          <w:sz w:val="28"/>
          <w:sz w:val="28"/>
          <w:szCs w:val="28"/>
          <w:rtl w:val="true"/>
          <w:lang w:bidi="ar-SA"/>
        </w:rPr>
        <w:t xml:space="preserve">سجوداً أو تکبیراً، فاقضِ الذی فاتک سهواً </w:t>
      </w:r>
      <w:r>
        <w:rPr>
          <w:rFonts w:eastAsia="Amiri" w:cs="Amiri" w:ascii="Amiri" w:hAnsi="Amiri"/>
          <w:color w:val="111111"/>
          <w:sz w:val="28"/>
          <w:szCs w:val="28"/>
          <w:rtl w:val="true"/>
          <w:lang w:bidi="ar-SA"/>
        </w:rPr>
        <w:t xml:space="preserve">» . </w:t>
      </w:r>
      <w:r>
        <w:rPr>
          <w:rStyle w:val="FootnoteAnchor"/>
          <w:rtl w:val="true"/>
        </w:rPr>
        <w:footnoteReference w:id="1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الخلل،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نقف للکلینی علی روایة فی ذلک، واحتمل فی الجواهر أن یکون مستنده روایة المعلّی بن خُنیس عن أبی الحسن الماضی علیه السلام، حیث سأله عن ذلک فأجاب علیه السلام</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وإن ذکرها بعد رکوعه أعاد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معلّقاً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أنّه لا جابر لسنده معارض بما سمعت من الأدلّة المستغنیة عن ذکر الترجیح علیه</w:t>
      </w:r>
      <w:r>
        <w:rPr>
          <w:rFonts w:eastAsia="IRNazanin" w:cs="IRNazanin"/>
          <w:color w:val="111111"/>
          <w:sz w:val="28"/>
          <w:szCs w:val="28"/>
          <w:rtl w:val="true"/>
          <w:lang w:bidi="fa-IR"/>
        </w:rPr>
        <w:t xml:space="preserve">» . </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کان قد رکع وعلم أنّه لم یکن تشهّد مضی فی صلاته، فإذا فرغ سجد سجدتی السهو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علیه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قضاؤه بعد الصلاة؛ للإجماع والأخبار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مستند الکلینی ما رواه هو عن الحلبی، عن أبی عبد اللّه علیه السلام</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فإن أنت لم تذکر حتّی ترکع، فامضِ فی صلاتک حتّی تفرغ، فإذا فرغت فاسجد سجدتی السهو بعد التسلیم قبل أن تتکلّم </w:t>
      </w:r>
      <w:r>
        <w:rPr>
          <w:rFonts w:eastAsia="IRNazanin" w:cs="IRNazanin"/>
          <w:color w:val="111111"/>
          <w:sz w:val="28"/>
          <w:szCs w:val="28"/>
          <w:rtl w:val="true"/>
          <w:lang w:bidi="fa-IR"/>
        </w:rPr>
        <w:t xml:space="preserve">» .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إلّا أنّه أفتی فی المواضع التی یجب فیها سجود السهود بقضاء التشهّد أیضاً، قال فیما یجب له سجود السهو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والذی ینسی تشهّده ولا یجلس فی الرکعتین وفاته ذلک حتّی یرکع فی الثالثة، فعلیه سجدتا السهو وقضاء تشهّده إذا فرغ من صلاته</w:t>
      </w:r>
      <w:r>
        <w:rPr>
          <w:rFonts w:eastAsia="IRNazanin" w:cs="IRNazanin"/>
          <w:color w:val="111111"/>
          <w:sz w:val="28"/>
          <w:szCs w:val="28"/>
          <w:rtl w:val="true"/>
          <w:lang w:bidi="fa-IR"/>
        </w:rPr>
        <w:t xml:space="preserve">» .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وهناک مجموعة من الآراء المخالفة للمشهور قد نسبها المجلسی الأوّل قدس سره فی شرحه لکتاب الکافی ، مستظهراً ذلک من إیراد الکلینی لتلک الأخبار وکأنّه یفتی بمضمونها، وهی بحسب تبویبها الفقهی کالتالی</w:t>
      </w:r>
      <w:r>
        <w:rPr>
          <w:rFonts w:eastAsia="IRNazanin" w:cs="IRNazanin"/>
          <w:color w:val="111111"/>
          <w:sz w:val="28"/>
          <w:szCs w:val="28"/>
          <w:rtl w:val="true"/>
          <w:lang w:bidi="fa-IR"/>
        </w:rPr>
        <w:t>:</w:t>
      </w:r>
    </w:p>
    <w:p>
      <w:pPr>
        <w:pStyle w:val="Heading3"/>
        <w:numPr>
          <w:ilvl w:val="2"/>
          <w:numId w:val="1"/>
        </w:numPr>
        <w:rPr/>
      </w:pPr>
      <w:bookmarkStart w:id="111" w:name="__RefHeading___Toc651733_1878427129"/>
      <w:bookmarkStart w:id="112" w:name="_Toc41"/>
      <w:bookmarkEnd w:id="111"/>
      <w:r>
        <w:rPr>
          <w:rtl w:val="true"/>
        </w:rPr>
        <w:t>الطهارة</w:t>
      </w:r>
      <w:r>
        <w:rPr>
          <w:rtl w:val="true"/>
        </w:rPr>
        <w:t xml:space="preserve">: </w:t>
      </w:r>
      <w:r>
        <w:rPr>
          <w:rtl w:val="true"/>
        </w:rPr>
        <w:t>وظیفة الحائض</w:t>
      </w:r>
      <w:bookmarkEnd w:id="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الکافی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الحائض تطهّر یوم الجمعة وتذکر اللّه؟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الطهر فلا، ولکنّها تتوضّأ فی وقت الصلاة ثمّ تستقبل القبلة وتذکر اللّه</w:t>
      </w:r>
      <w:r>
        <w:rPr>
          <w:rFonts w:eastAsia="IRNazanin" w:cs="IRNazanin"/>
          <w:color w:val="111111"/>
          <w:sz w:val="28"/>
          <w:szCs w:val="28"/>
          <w:rtl w:val="true"/>
          <w:lang w:bidi="fa-IR"/>
        </w:rPr>
        <w:t>» .</w:t>
      </w:r>
      <w:bookmarkStart w:id="113" w:name="pg14553_191762"/>
    </w:p>
    <w:p>
      <w:pPr>
        <w:pStyle w:val="BookText"/>
        <w:rPr/>
      </w:pPr>
      <w:bookmarkEnd w:id="113"/>
      <w:r>
        <w:rPr>
          <w:rFonts w:ascii="IRNazanin" w:hAnsi="IRNazanin" w:eastAsia="IRNazanin"/>
          <w:color w:val="111111"/>
          <w:sz w:val="28"/>
          <w:sz w:val="28"/>
          <w:szCs w:val="28"/>
          <w:rtl w:val="true"/>
          <w:lang w:bidi="fa-IR"/>
        </w:rPr>
        <w:t>قال العلّامة المجلسی تعقیباً علی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عدم جواز غسل الجمعة للحائض، وعلی رجحان الوضوء لها فی أوقات الصلوات، وذکر اللّه بقدر الصلاة کما ظهر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فیها الاستحباب، وظاهر المصنّف الوجوب، کما نقل عن ابن بابویه أیضاً لحسنة زرارة، وهو مع عدم صراحته فی الوجوب محمول علی الاستحباب جمعاً بین الأدلّة</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تعلیقة رقم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w:t>
      </w:r>
    </w:p>
    <w:p>
      <w:pPr>
        <w:pStyle w:val="Heading3"/>
        <w:numPr>
          <w:ilvl w:val="2"/>
          <w:numId w:val="1"/>
        </w:numPr>
        <w:rPr/>
      </w:pPr>
      <w:bookmarkStart w:id="114" w:name="__RefHeading___Toc651735_1878427129"/>
      <w:bookmarkStart w:id="115" w:name="_Toc42"/>
      <w:bookmarkEnd w:id="114"/>
      <w:r>
        <w:rPr>
          <w:rtl w:val="true"/>
        </w:rPr>
        <w:t>الصلاة</w:t>
      </w:r>
      <w:r>
        <w:rPr>
          <w:rtl w:val="true"/>
        </w:rPr>
        <w:t xml:space="preserve">: </w:t>
      </w:r>
      <w:r>
        <w:rPr>
          <w:rtl w:val="true"/>
        </w:rPr>
        <w:t>قضاؤها</w:t>
      </w:r>
      <w:bookmarkEnd w:id="11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أیضاً عن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الأوّل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تری الطهر قبل غروب الشمس، کیف تصنع بالصلاة؟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أرادت الطهر بعدما یمضی من زوال الشمس أربعة أقدام فلا تصلّی إلّاالعصر؛ لأنّ وقت الظهر دخل علیها وهی فی الدم وخرج عنها الوقت وهی فی الدم، فلم یجب علیها أن تصلّی الظهر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مناط القضاء إدراک وقت الفضیلة، کما ذهب إلیه بعض الأصحاب، ویظهر من المصنّف اختیار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أنّ الحکم منوط بوقت الإجزاء فی الأوّل والآخر، وهو أحوط</w:t>
      </w:r>
      <w:r>
        <w:rPr>
          <w:rFonts w:eastAsia="IRNazanin" w:cs="IRNazanin"/>
          <w:color w:val="111111"/>
          <w:sz w:val="28"/>
          <w:szCs w:val="28"/>
          <w:rtl w:val="true"/>
          <w:lang w:bidi="fa-IR"/>
        </w:rPr>
        <w:t xml:space="preserve">. </w:t>
      </w:r>
      <w:r>
        <w:rPr>
          <w:rStyle w:val="FootnoteAnchor"/>
          <w:rtl w:val="true"/>
        </w:rPr>
        <w:footnoteReference w:id="143"/>
      </w:r>
    </w:p>
    <w:p>
      <w:pPr>
        <w:pStyle w:val="Heading3"/>
        <w:numPr>
          <w:ilvl w:val="2"/>
          <w:numId w:val="1"/>
        </w:numPr>
        <w:rPr/>
      </w:pPr>
      <w:bookmarkStart w:id="116" w:name="__RefHeading___Toc651737_1878427129"/>
      <w:bookmarkStart w:id="117" w:name="_Toc43"/>
      <w:bookmarkEnd w:id="116"/>
      <w:r>
        <w:rPr>
          <w:rtl w:val="true"/>
        </w:rPr>
        <w:t>الحجّ</w:t>
      </w:r>
      <w:r>
        <w:rPr>
          <w:rtl w:val="true"/>
        </w:rPr>
        <w:t xml:space="preserve">: </w:t>
      </w:r>
      <w:r>
        <w:rPr>
          <w:rtl w:val="true"/>
        </w:rPr>
        <w:t>تروکه</w:t>
      </w:r>
      <w:bookmarkEnd w:id="11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أیضاً 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 جعفر علیه السلام عن رجل قتل قمّلة وهو محرم،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بئسما 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فداؤها؟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فداء لها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وفی روایةٍ اُخری روی أنّ فی ذلک إطعام کفٍّ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فی إلقاء القمّلة أو قتلها کفّاً من الطعام، وربما قیل بالاستحباب کما هو ظاهر المصنّف، ولعلّه أقوی، وحمله بعضهم علی الضرورة</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 عن علی بن أبی حمزة،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متی ینقطع مشی الماشی؟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رمی جمرة العقبة وحلق رأسه، فقد انقطع مشیه فلیزر راکباً </w:t>
      </w:r>
      <w:r>
        <w:rPr>
          <w:rFonts w:eastAsia="IRNazanin" w:cs="IRNazanin"/>
          <w:color w:val="111111"/>
          <w:sz w:val="28"/>
          <w:szCs w:val="28"/>
          <w:rtl w:val="true"/>
          <w:lang w:bidi="fa-IR"/>
        </w:rPr>
        <w:t>»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18" w:name="pg14553_191763"/>
    </w:p>
    <w:p>
      <w:pPr>
        <w:pStyle w:val="Heading3"/>
        <w:numPr>
          <w:ilvl w:val="2"/>
          <w:numId w:val="1"/>
        </w:numPr>
        <w:rPr/>
      </w:pPr>
      <w:bookmarkStart w:id="119" w:name="__RefHeading___Toc651739_1878427129"/>
      <w:bookmarkStart w:id="120" w:name="_Toc44"/>
      <w:bookmarkEnd w:id="118"/>
      <w:bookmarkEnd w:id="119"/>
      <w:r>
        <w:rPr>
          <w:rtl w:val="true"/>
        </w:rPr>
        <w:t>أیّام النحر</w:t>
      </w:r>
      <w:bookmarkEnd w:id="12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 عن محمّد بن مسلم، عن أبی جعفر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الأضحی یومان بعد یوم النحر، ویوم واحد بالأمصار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والخبر المتقدّم خلاف المشهور من جواز التضحیة بمنی أربعة أیّام وفی الأمصار ثلاثة أیّام، وحملها فی التهذیب علی أیّام النحر التی لا یجوز فیها الصوم، والأظهر حمله علی تأکّد الاستحباب، ویظهر من الکلینی قدس سره القول به</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تعلیقة رقم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Heading3"/>
        <w:numPr>
          <w:ilvl w:val="2"/>
          <w:numId w:val="1"/>
        </w:numPr>
        <w:rPr/>
      </w:pPr>
      <w:bookmarkStart w:id="121" w:name="__RefHeading___Toc651741_1878427129"/>
      <w:bookmarkStart w:id="122" w:name="_Toc45"/>
      <w:bookmarkEnd w:id="121"/>
      <w:r>
        <w:rPr>
          <w:rtl w:val="true"/>
        </w:rPr>
        <w:t>النکاح</w:t>
      </w:r>
      <w:bookmarkEnd w:id="12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 عن یونس بن یعقوب وغیره جمیعاً، عن أبی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یحلّ للمرأة أن ینظر عبدها إلی شیء من جسدها، إلّاإلی شعرها غیر متعمّد لذلک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رواه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للمملوک النظر إلیه فی مولاته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بالتعمّد قصد الشهوة، وظاهر الکلینی العمل بتلک الأخبار، وأکثر الأصحاب عملوا بأخبار المنع، وحملوا هذه الأخبار علی التقیّة</w:t>
      </w:r>
      <w:r>
        <w:rPr>
          <w:rFonts w:eastAsia="IRNazanin" w:cs="IRNazanin"/>
          <w:color w:val="111111"/>
          <w:sz w:val="28"/>
          <w:szCs w:val="28"/>
          <w:rtl w:val="true"/>
          <w:lang w:bidi="fa-IR"/>
        </w:rPr>
        <w:t xml:space="preserve">. </w:t>
      </w:r>
      <w:r>
        <w:rPr>
          <w:rStyle w:val="FootnoteAnchor"/>
          <w:rtl w:val="true"/>
        </w:rPr>
        <w:footnoteReference w:id="146"/>
      </w:r>
    </w:p>
    <w:p>
      <w:pPr>
        <w:pStyle w:val="Heading3"/>
        <w:numPr>
          <w:ilvl w:val="2"/>
          <w:numId w:val="1"/>
        </w:numPr>
        <w:rPr/>
      </w:pPr>
      <w:bookmarkStart w:id="123" w:name="__RefHeading___Toc651743_1878427129"/>
      <w:bookmarkStart w:id="124" w:name="_Toc46"/>
      <w:bookmarkEnd w:id="123"/>
      <w:r>
        <w:rPr>
          <w:rtl w:val="true"/>
        </w:rPr>
        <w:t>العقیقة</w:t>
      </w:r>
      <w:bookmarkEnd w:id="12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أیضاً فی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العقیقة ووجوبها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حمزة، عن العبد الصالح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العقیقة واجبة إذا ولد للرجل ولد، فإن أحبَّ أن یسمّیه من یومه فعل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فی حکمها، قال السیّد وابن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واجبة، وادّعی السیّد علیه الإجماع، وهو ظاهر الکلینی أیضاً، وذهب الشیخ ومن تأخّر عنه إلی الاستحباب</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عنه عن أبی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یأکل من العقیقة کلّ أحد إلّاالاُمّ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کراهة أکله للأبوین، وظاهر المصنّف أنّه لا کراهة إلّا للاُمّ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25" w:name="pg14553_191764"/>
    </w:p>
    <w:p>
      <w:pPr>
        <w:pStyle w:val="BookText"/>
        <w:rPr/>
      </w:pPr>
      <w:bookmarkEnd w:id="125"/>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وروی فی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اُقیم علی السارق الحدّ، نُفی إلی بلدة اُخری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أحداً تعرّض للنفی فی السارق وظاهر المصنّف أنّه قال به</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تعلیقة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p>
    <w:p>
      <w:pPr>
        <w:pStyle w:val="Heading3"/>
        <w:numPr>
          <w:ilvl w:val="2"/>
          <w:numId w:val="1"/>
        </w:numPr>
        <w:rPr/>
      </w:pPr>
      <w:bookmarkStart w:id="126" w:name="__RefHeading___Toc651745_1878427129"/>
      <w:bookmarkStart w:id="127" w:name="_Toc47"/>
      <w:bookmarkEnd w:id="126"/>
      <w:r>
        <w:rPr>
          <w:rtl w:val="true"/>
        </w:rPr>
        <w:t>تراثه الفقهی</w:t>
      </w:r>
      <w:bookmarkEnd w:id="127"/>
    </w:p>
    <w:p>
      <w:pPr>
        <w:pStyle w:val="BookText"/>
        <w:rPr/>
      </w:pPr>
      <w:r>
        <w:rPr>
          <w:rFonts w:ascii="IRNazanin" w:hAnsi="IRNazanin" w:eastAsia="IRNazanin"/>
          <w:color w:val="111111"/>
          <w:sz w:val="28"/>
          <w:sz w:val="28"/>
          <w:szCs w:val="28"/>
          <w:rtl w:val="true"/>
          <w:lang w:bidi="fa-IR"/>
        </w:rPr>
        <w:t>من أجل أن تتکامل الصورة عن البعد الفقهی لدی فقیهنا الکلینی، ذلک البعد الذی بقی غائماً فی مجمل نشاطه العلمی، فقد قمنا بتتبّع تراثه الفقهی، وجمع شتاته وتبویبه وترتیبه، عسی أن یکون انطلاقة لدراسة أعمق وأوسع حول البعد الفقهی عند الشیخ الکلینی</w:t>
      </w:r>
      <w:r>
        <w:rPr>
          <w:rFonts w:eastAsia="IRNazanin" w:cs="IRNazanin"/>
          <w:color w:val="111111"/>
          <w:sz w:val="28"/>
          <w:szCs w:val="28"/>
          <w:rtl w:val="true"/>
          <w:lang w:bidi="fa-IR"/>
        </w:rPr>
        <w:t>.</w:t>
      </w:r>
    </w:p>
    <w:p>
      <w:pPr>
        <w:pStyle w:val="Heading3"/>
        <w:numPr>
          <w:ilvl w:val="2"/>
          <w:numId w:val="1"/>
        </w:numPr>
        <w:rPr/>
      </w:pPr>
      <w:bookmarkStart w:id="128" w:name="__RefHeading___Toc651747_1878427129"/>
      <w:bookmarkStart w:id="129" w:name="_Toc48"/>
      <w:bookmarkEnd w:id="128"/>
      <w:r>
        <w:rPr>
          <w:rtl w:val="true"/>
        </w:rPr>
        <w:t>الوضوء</w:t>
      </w:r>
      <w:bookmarkEnd w:id="129"/>
    </w:p>
    <w:p>
      <w:pPr>
        <w:pStyle w:val="BookText"/>
        <w:rPr/>
      </w:pPr>
      <w:r>
        <w:rPr>
          <w:rFonts w:ascii="IRNazanin" w:hAnsi="IRNazanin" w:eastAsia="IRNazanin"/>
          <w:color w:val="111111"/>
          <w:sz w:val="28"/>
          <w:sz w:val="28"/>
          <w:szCs w:val="28"/>
          <w:rtl w:val="true"/>
          <w:lang w:bidi="fa-IR"/>
        </w:rPr>
        <w:t>الکلینی بسنده عن أحمد بن محمّد بن أبی نصر، عن عبد الکریم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الوضوء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کان وضوء علیّ علیه السلام إلّامرّة مرّة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الشیخ الکلینی معلقاً علی هذا الخبر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دلیل علی أنّ الوضوء إنّما هو مرّة مرّة؛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ورد علیه أمران کلاهما للّه‌طاعة أخذ بأحوطهما وأشدّهما علی بدنه، وإنّ الذی جاء عنهم علیهم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الوضوء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هو لمن لم یقنعه مرّة واستزاد،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زاد علی مرّتین لم یؤجر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أقصی غایة الحدّ فی الوضوء الذی من تجاوزه أثم ولم یکن له وضوء، وکان کمن صلّی الظهر خمس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یطلق علیه السلام فی المرّتین لکان سبیلهما سبیل الثلاث</w:t>
      </w:r>
      <w:r>
        <w:rPr>
          <w:rFonts w:eastAsia="IRNazanin" w:cs="IRNazanin"/>
          <w:color w:val="111111"/>
          <w:sz w:val="28"/>
          <w:szCs w:val="28"/>
          <w:rtl w:val="true"/>
          <w:lang w:bidi="fa-IR"/>
        </w:rPr>
        <w:t xml:space="preserve">» . </w:t>
      </w:r>
      <w:r>
        <w:rPr>
          <w:rStyle w:val="FootnoteAnchor"/>
          <w:rtl w:val="true"/>
        </w:rPr>
        <w:footnoteReference w:id="149"/>
      </w:r>
    </w:p>
    <w:p>
      <w:pPr>
        <w:pStyle w:val="Heading3"/>
        <w:numPr>
          <w:ilvl w:val="2"/>
          <w:numId w:val="1"/>
        </w:numPr>
        <w:rPr/>
      </w:pPr>
      <w:bookmarkStart w:id="130" w:name="__RefHeading___Toc651749_1878427129"/>
      <w:bookmarkStart w:id="131" w:name="_Toc49"/>
      <w:bookmarkEnd w:id="130"/>
      <w:r>
        <w:rPr>
          <w:rtl w:val="true"/>
        </w:rPr>
        <w:t>الصلاة</w:t>
      </w:r>
      <w:bookmarkEnd w:id="131"/>
    </w:p>
    <w:p>
      <w:pPr>
        <w:pStyle w:val="Heading4"/>
        <w:numPr>
          <w:ilvl w:val="3"/>
          <w:numId w:val="1"/>
        </w:numPr>
        <w:rPr/>
      </w:pPr>
      <w:bookmarkStart w:id="132" w:name="__RefHeading___Toc651751_1878427129"/>
      <w:bookmarkStart w:id="133" w:name="_Toc50"/>
      <w:bookmarkEnd w:id="132"/>
      <w:r>
        <w:rPr/>
        <w:t>1</w:t>
      </w:r>
      <w:r>
        <w:rPr>
          <w:rtl w:val="true"/>
        </w:rPr>
        <w:t xml:space="preserve">. </w:t>
      </w:r>
      <w:r>
        <w:rPr>
          <w:rtl w:val="true"/>
        </w:rPr>
        <w:t>وقت صلاة المغرب</w:t>
      </w:r>
      <w:bookmarkEnd w:id="13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الکلینی عن زرارة والفُضیل،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لکلّ صلاة وقتاً، غیر المغرب فإنّ وقتها واحد، ووقتها وجوبها، ووقت فوتها سقوط الشفق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روی أیضاً أنّ </w:t>
      </w:r>
      <w:bookmarkStart w:id="134" w:name="pg14553_191765"/>
    </w:p>
    <w:p>
      <w:pPr>
        <w:pStyle w:val="BookText"/>
        <w:rPr/>
      </w:pPr>
      <w:bookmarkEnd w:id="134"/>
      <w:r>
        <w:rPr>
          <w:rFonts w:ascii="IRNazanin" w:hAnsi="IRNazanin" w:eastAsia="IRNazanin"/>
          <w:color w:val="111111"/>
          <w:sz w:val="28"/>
          <w:sz w:val="28"/>
          <w:szCs w:val="28"/>
          <w:rtl w:val="true"/>
          <w:lang w:bidi="fa-IR"/>
        </w:rPr>
        <w:t>لها وقتین آخر وقتها سقوط الشفق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 بعد هذا الخبر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ولیس هذا ممّا یخالف الحدیث الأوّل أنّ لها وقتاً واحداً؛ لأنّ الشفق هو الحمرة، ولیس بین غیبوبة الشمس وبین غیبوبة الشفق إلّاشیء یسیر؛ وذلک أنّ علامة غیبوبة الشمس بلوغ الحمرة القبلة، ولیس بین بلوغ الحمرة القبلة وبین غیبوبتها إلّاقدر ما یصلّی الإنسان صلاة المغرب ونوافلها إذا صلّاها علی تؤدة وسکون، وقد تفقّدت ذلک غیر مرّة؛ ولذلک صار وقت المغرب ضیّقاً</w:t>
      </w:r>
      <w:r>
        <w:rPr>
          <w:rFonts w:eastAsia="IRNazanin" w:cs="IRNazanin"/>
          <w:color w:val="111111"/>
          <w:sz w:val="28"/>
          <w:szCs w:val="28"/>
          <w:rtl w:val="true"/>
          <w:lang w:bidi="fa-IR"/>
        </w:rPr>
        <w:t xml:space="preserve">» . </w:t>
      </w:r>
      <w:r>
        <w:rPr>
          <w:rStyle w:val="FootnoteAnchor"/>
          <w:rtl w:val="true"/>
        </w:rPr>
        <w:footnoteReference w:id="1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283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135" w:name="__RefHeading___Toc651753_1878427129"/>
      <w:bookmarkStart w:id="136" w:name="_Toc51"/>
      <w:bookmarkEnd w:id="135"/>
      <w:r>
        <w:rPr/>
        <w:t>2</w:t>
      </w:r>
      <w:r>
        <w:rPr>
          <w:rtl w:val="true"/>
        </w:rPr>
        <w:t xml:space="preserve">. </w:t>
      </w:r>
      <w:r>
        <w:rPr>
          <w:rtl w:val="true"/>
        </w:rPr>
        <w:t>التطوّع فی وقت الفریضة</w:t>
      </w:r>
      <w:bookmarkEnd w:id="136"/>
    </w:p>
    <w:p>
      <w:pPr>
        <w:pStyle w:val="BookText"/>
        <w:rPr/>
      </w:pPr>
      <w:r>
        <w:rPr>
          <w:rFonts w:ascii="IRNazanin" w:hAnsi="IRNazanin" w:eastAsia="IRNazanin"/>
          <w:color w:val="111111"/>
          <w:sz w:val="28"/>
          <w:sz w:val="28"/>
          <w:szCs w:val="28"/>
          <w:rtl w:val="true"/>
          <w:lang w:bidi="fa-IR"/>
        </w:rPr>
        <w:t>روی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أنهم سمعوا أبا جعفر علیه السلام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یصلّی من النهار حتّی تزول الشمس، ولا من اللیل بعدما یصلّی العشاء الآخرة حتّی ینتصف اللیل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معنی هذا أنّه لیس وقت صلاة فریضة ولا سنّة؛ لأنّ الأوقات کلّها قد بیّنها رسول اللّه صلی الله علیه و آله و سلم، فأمّا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وتقدیم النوافل وتأخیرها فلا بأس</w:t>
      </w:r>
      <w:r>
        <w:rPr>
          <w:rFonts w:eastAsia="IRNazanin" w:cs="IRNazanin"/>
          <w:color w:val="111111"/>
          <w:sz w:val="28"/>
          <w:szCs w:val="28"/>
          <w:rtl w:val="true"/>
          <w:lang w:bidi="fa-IR"/>
        </w:rPr>
        <w:t xml:space="preserve">» . </w:t>
      </w:r>
      <w:r>
        <w:rPr>
          <w:rStyle w:val="FootnoteAnchor"/>
          <w:rtl w:val="true"/>
        </w:rPr>
        <w:footnoteReference w:id="151"/>
      </w:r>
    </w:p>
    <w:p>
      <w:pPr>
        <w:pStyle w:val="Heading4"/>
        <w:numPr>
          <w:ilvl w:val="3"/>
          <w:numId w:val="1"/>
        </w:numPr>
        <w:rPr/>
      </w:pPr>
      <w:bookmarkStart w:id="137" w:name="__RefHeading___Toc651755_1878427129"/>
      <w:bookmarkStart w:id="138" w:name="_Toc52"/>
      <w:bookmarkEnd w:id="137"/>
      <w:r>
        <w:rPr/>
        <w:t>3</w:t>
      </w:r>
      <w:r>
        <w:rPr>
          <w:rtl w:val="true"/>
        </w:rPr>
        <w:t xml:space="preserve">. </w:t>
      </w:r>
      <w:r>
        <w:rPr>
          <w:rtl w:val="true"/>
        </w:rPr>
        <w:t>أحکام الخلل</w:t>
      </w:r>
      <w:bookmarkEnd w:id="138"/>
    </w:p>
    <w:p>
      <w:pPr>
        <w:pStyle w:val="BookText"/>
        <w:rPr/>
      </w:pPr>
      <w:r>
        <w:rPr>
          <w:rFonts w:ascii="IRNazanin" w:hAnsi="IRNazanin" w:eastAsia="IRNazanin"/>
          <w:color w:val="111111"/>
          <w:sz w:val="28"/>
          <w:sz w:val="28"/>
          <w:szCs w:val="28"/>
          <w:rtl w:val="true"/>
          <w:lang w:bidi="fa-IR"/>
        </w:rPr>
        <w:t>المواضع التی تجب فیها 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مواضع السهو التی قد ذکرنا فیها الأثر سبعة عشر موضعاً، سبعة منها یجب علی الساهی فیها إعادة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ینسی تکبیرة الافتتاح ولا یذکرها حتّی یرکع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ینسی رکوعه وسجوده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لا یدری رکعة صلّی أم رکعتین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یسهو فی المغرب والفجر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یزید فی صلاته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لا یدری زاد أو نقص ولا یقع وهمه علی 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ینصرف عن الصلاة بکلّیته قبل أن یتمّها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المواضع التی تجب فیها سجدتا السهو ولا تجب فیها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مواضع لا یجب فیها إعادة الصلاة ویجب فیها سجدتا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یسهو فیسلّم فی الرکعتین ثمّ یتکلّم من غیر أن یحوِّل وجهه وینصرف عن القبلة، فعلیه أن یتمّ صلاته ثمّ یسجد سجدتی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ینسی تشهّده ولا یجلس فی الرکعتین وفاته ذلک حتّی یرکع فی الثالثة، فعلیه سجدتا السهو وقضاء تشهّده إذا فرغ من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لا یدری أربعاً صلّی أو خمساً، علیه سجدتا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یسهو فی بعض صلاته فیتکلّم بکلام لا ینبغی له، مثل أمر ونهی من غیر تعمّد، فعلیه سجدتا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أربعة مواضع یجب فیها سجدتا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المواضع التی لا تجب فیها الإعادة ولا سجدتا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مواضع لا یجب فیها إعادة الصلاة ولا سجدتا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یدرک سهوه قبل أن یفوته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الذی یحتاج أن یقوم فیجلس أو یحتاج أن یجلس فیقوم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یذکر ذلک قبل أن یدخل فی حالة اُخری فیقضیه، لا سهو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یسلّم فی الرکعتین الأولتین ثمّ یذکر فیتمُّ قبل أن یتکلّم، فلا سهو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سهو علی الإمام إذا حفظ علیه من 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سهو علی من خلف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سهو فی 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سهو فی نافلة ولا إعادة فی نافلة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ستّة مواضع لا یجب فیها إعادة الصلاة ولا سجدتا 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الشکّ فی أفعال الصلاة</w:t>
      </w:r>
    </w:p>
    <w:p>
      <w:pPr>
        <w:pStyle w:val="BookText"/>
        <w:rPr/>
      </w:pPr>
      <w:r>
        <w:rPr>
          <w:rFonts w:ascii="IRNazanin" w:hAnsi="IRNazanin" w:eastAsia="IRNazanin"/>
          <w:color w:val="111111"/>
          <w:sz w:val="28"/>
          <w:sz w:val="28"/>
          <w:szCs w:val="28"/>
          <w:rtl w:val="true"/>
          <w:lang w:bidi="fa-IR"/>
        </w:rPr>
        <w:t>وأمّا الذی یشکّ فی تکبیرة الافتتاح ولا یدری کبّر أم لم یکبّر، فعلیه أن یکبّر متی ما ذکر قبل أن یرکع، ثمّ یقرأ ثمّ یرکع، وإن شکّ وهو راکع فلم یدرِ کبّر أو لم یکبّر تکبیرة الافتتاح مضی فی صلاته ولا شیء علیه، فإن استیقن أنّه لم یکبّر أعاد الصلاة حینئذٍ</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شکّ وهو قائم فلم یدرِ أرکع أم لم یرکع، فلیرکع حتّی یکون علی یقین من </w:t>
      </w:r>
    </w:p>
    <w:p>
      <w:pPr>
        <w:pStyle w:val="BookText"/>
        <w:rPr/>
      </w:pPr>
      <w:r>
        <w:rPr>
          <w:rFonts w:ascii="IRNazanin" w:hAnsi="IRNazanin" w:eastAsia="IRNazanin"/>
          <w:color w:val="111111"/>
          <w:sz w:val="28"/>
          <w:sz w:val="28"/>
          <w:szCs w:val="28"/>
          <w:rtl w:val="true"/>
          <w:lang w:bidi="fa-IR"/>
        </w:rPr>
        <w:t xml:space="preserve">رکوعه، فإن رکع ثمّ ذکر أنّه قد کان رکع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فلیرسل نفسه إلی السجود من غیر أن یرفع رأسه من الرکوع فی الرکوع، فإن مضی ورفع رأسه من الرکوع ثمّ ذکر أنّه قد کان رکع فعلیه أن یعید الصلاة؛ لأنّه قد زاد فی صلاته رکعة، فإن سجد ثمّ شکّ فلم یدرِ أرکع أم لم یرکع، فعلیه أن یمضی فی صلاته ولا شیء علیه فی شکّه، إلّاأن یستیقن أنّه لم یکن رکع، فإن استیقن ذلک فعلیه أن یستقبل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سجد ولم یدرِ أسجد سجدتین أم سجدة، فعلیه أن یسجد اُخری حتّی یکون علی یقین من السّجدتین، فإن سجد ثمّ ذکر أنّه قد کان سجد سجدتین، فعلیه أن یعید الصلاة؛ لأنّه قد زاد فی صلاته سجدة، فإن شکّ بعدما قام فلم یدرِ أکان سجد أو سجدتین فعلیه أن یمضی فی صلاته ولا شیء علیه، وإن استیقن أنّه لم یسجد إلّا واحدة، فعلیه أن ینحطَّ فیسجد اُخری ولا شیء علیه، وإن کان قد قرأ ثمّ ذکر أنّه لم یکن سجد إلّاواحدة، فعلیه أن یسجد اُخری، ثمّ یقوم فیقرأ ویرکع ولا شیء علیه، وإن رکع فاستیقن أنّه لم یکن سجد إلّاسجدة أو لم یسجد شیئاً، فعلیه إعادة الصلاة</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362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السهو فی التشهد</w:t>
      </w:r>
    </w:p>
    <w:p>
      <w:pPr>
        <w:pStyle w:val="BookText"/>
        <w:rPr/>
      </w:pPr>
      <w:r>
        <w:rPr>
          <w:rFonts w:ascii="IRNazanin" w:hAnsi="IRNazanin" w:eastAsia="IRNazanin"/>
          <w:color w:val="111111"/>
          <w:sz w:val="28"/>
          <w:sz w:val="28"/>
          <w:szCs w:val="28"/>
          <w:rtl w:val="true"/>
          <w:lang w:bidi="fa-IR"/>
        </w:rPr>
        <w:t>وإن سها فقام من قبل أن یتشهّد فی الرکعتین، فعلیه أن یجلس ویتشهّد ما لم یرکع، ثمّ یقوم فیمضی فی صلاته ولا شیء علیه، وإن کان قد رکع وعلم أنّه لم یکن تشهّد مضی فی صلاته، فإذا فرغ منها سجد سجدتی السّهو، ولیس علیه فی حال الشکّ شیء ما لم یستیقن</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السهو فی اثنتین وأربع</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شکّ فلم یدرِ اثنتین صلّی أو أربعاً؛ فإن ذهب وهمه إلی الأربع سلّم ولا شیء علیه، وإن ذهب وهمه إلی أنّه قد صلّی رکعتین صلّی اُخریین ولا شیء علیه، فإن استوی وهمه سلّم ثمّ صلّی رکعتین قائماً بفاتحة الکتاب، فإن کان صلّی رکعتین کانتا هاتان الرکعتان تمام الأربعة، وإن کان صلّی أربعاً کانتا هاتان نافلة</w:t>
      </w:r>
      <w:r>
        <w:rPr>
          <w:rFonts w:eastAsia="IRNazanin" w:cs="IRNazanin"/>
          <w:color w:val="111111"/>
          <w:sz w:val="28"/>
          <w:szCs w:val="28"/>
          <w:rtl w:val="true"/>
          <w:lang w:bidi="fa-IR"/>
        </w:rPr>
        <w:t xml:space="preserve">. </w:t>
      </w:r>
      <w:r>
        <w:rPr>
          <w:rStyle w:val="FootnoteAnchor"/>
          <w:rtl w:val="true"/>
        </w:rPr>
        <w:footnoteReference w:id="154"/>
      </w:r>
      <w:bookmarkStart w:id="139" w:name="pg14553_191768"/>
    </w:p>
    <w:p>
      <w:pPr>
        <w:pStyle w:val="BookText"/>
        <w:rPr/>
      </w:pPr>
      <w:bookmarkEnd w:id="139"/>
      <w:r>
        <w:rPr>
          <w:rFonts w:ascii="IRNazanin" w:hAnsi="IRNazanin" w:eastAsia="IRNazanin"/>
          <w:color w:val="111111"/>
          <w:sz w:val="28"/>
          <w:sz w:val="28"/>
          <w:szCs w:val="28"/>
          <w:rtl w:val="true"/>
          <w:lang w:bidi="fa-IR"/>
        </w:rPr>
        <w:t>السهو فی اثنتین وثلاث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شکّ فلم یدرِ أرکعتین صلّی أم ثلاثاً فذهب وهمه إلی الرکعتین فعلیه أن یصلّی اُخریین ولا شیء علیه، وإن ذهب وهمه إلی الثلاث فعلیه أن یصلّی رکعة واحدة ولا شیء علیه، وإن استوی وهمه وهو مستیقن فی الرکعتین فعلیه أن یصلّی رکعة وهو قائمٌ ثمّ یسلّم ویصلّی رکعتین وهو قاعدٌ بفاتحة الکتاب، وإن کان صلّی رکعتین فالتی قام فیها قبل تسلیمه تمام الأربعة، والرکعتان اللّتان صلّاهما وهو قاعد مکان رکعة وقد تمّت صلاته، وإن کان قد صلّی ثلاثاً فالتی قام فیها تمام الأربع، وکانت الرکعتان اللّتان صلّاهما وهو جالسٌ نافلة</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السهو فی ثلاث وأربع</w:t>
      </w:r>
    </w:p>
    <w:p>
      <w:pPr>
        <w:pStyle w:val="BookText"/>
        <w:rPr/>
      </w:pPr>
      <w:r>
        <w:rPr>
          <w:rFonts w:ascii="IRNazanin" w:hAnsi="IRNazanin" w:eastAsia="IRNazanin"/>
          <w:color w:val="111111"/>
          <w:sz w:val="28"/>
          <w:sz w:val="28"/>
          <w:szCs w:val="28"/>
          <w:rtl w:val="true"/>
          <w:lang w:bidi="fa-IR"/>
        </w:rPr>
        <w:t>فإن شکّ فلم یدرِ أثلاثاً صلّی أم أربعاً؛ فإن ذهب وهمه إلی الثلاث فعلیه أن یصلّی اُخری ثمّ یسلّم ولا شیء علیه، وإن ذهب وهمه إلی الأربع سلّم ولا شیء علیه، وإن استوی وهمه فی الثلاث والأربع سلّم علی حال شکّه وصلّی رکعتین من جلوس بفاتحة الکتاب، فإن کان صلّی ثلاثاً کانت هاتان الرکعتان برکعة تمام الأربع، وإن کان صلّی أربعاً کانت هاتان الرکعتان نافلة له</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السهو فی أربع وخمس</w:t>
      </w:r>
    </w:p>
    <w:p>
      <w:pPr>
        <w:pStyle w:val="BookText"/>
        <w:rPr/>
      </w:pPr>
      <w:r>
        <w:rPr>
          <w:rFonts w:ascii="IRNazanin" w:hAnsi="IRNazanin" w:eastAsia="IRNazanin"/>
          <w:color w:val="111111"/>
          <w:sz w:val="28"/>
          <w:sz w:val="28"/>
          <w:szCs w:val="28"/>
          <w:rtl w:val="true"/>
          <w:lang w:bidi="fa-IR"/>
        </w:rPr>
        <w:t>فإن شکّ فلم یدرِ أربعاً صلّی أو خمساً؛ فإن ذهب وهمه إلی الأربع سلّم ولا شیء علیه، وإن ذهب وهمه إلی الخمس أعاد الصلاة، وإن استوی وهمه سلّم وسجد سجدتی السهو وهما المرغمتان</w:t>
      </w:r>
      <w:r>
        <w:rPr>
          <w:rFonts w:eastAsia="IRNazanin" w:cs="IRNazanin"/>
          <w:color w:val="111111"/>
          <w:sz w:val="28"/>
          <w:szCs w:val="28"/>
          <w:rtl w:val="true"/>
          <w:lang w:bidi="fa-IR"/>
        </w:rPr>
        <w:t xml:space="preserve">. </w:t>
      </w:r>
      <w:r>
        <w:rPr>
          <w:rStyle w:val="FootnoteAnchor"/>
          <w:rtl w:val="true"/>
        </w:rPr>
        <w:footnoteReference w:id="157"/>
      </w:r>
    </w:p>
    <w:p>
      <w:pPr>
        <w:pStyle w:val="Heading3"/>
        <w:numPr>
          <w:ilvl w:val="2"/>
          <w:numId w:val="1"/>
        </w:numPr>
        <w:rPr/>
      </w:pPr>
      <w:bookmarkStart w:id="140" w:name="__RefHeading___Toc651757_1878427129"/>
      <w:bookmarkStart w:id="141" w:name="_Toc53"/>
      <w:bookmarkEnd w:id="140"/>
      <w:r>
        <w:rPr>
          <w:rtl w:val="true"/>
        </w:rPr>
        <w:t>الصوم</w:t>
      </w:r>
      <w:bookmarkEnd w:id="14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الکلینی عن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یأتی جاریته فی شهر رمضان بالنهار فی السفر؟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عرف هذا حقّ شهر رمضان، إنّ له فی اللیل سبحاً طویلاً </w:t>
      </w:r>
      <w:r>
        <w:rPr>
          <w:rFonts w:eastAsia="IRNazanin" w:cs="IRNazanin"/>
          <w:color w:val="111111"/>
          <w:sz w:val="28"/>
          <w:szCs w:val="28"/>
          <w:rtl w:val="true"/>
          <w:lang w:bidi="fa-IR"/>
        </w:rPr>
        <w:t xml:space="preserve">» . </w:t>
      </w:r>
      <w:bookmarkStart w:id="142" w:name="pg14553_191769"/>
    </w:p>
    <w:p>
      <w:pPr>
        <w:pStyle w:val="BookText"/>
        <w:rPr/>
      </w:pPr>
      <w:bookmarkEnd w:id="142"/>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عندی أن یوقّر الرجل شهر رمضان ویمسک عن النساء فی السفر بالنهار، إلّاأن یکون تغلبه الشهوة ویخاف علی نفسه، فقد رخّص له أن یأتی الحلال کما رُخّص للمسافر الذی لا یجد الماء إذا غلبه الشبق أن یأتی الحلال،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ویؤجر فی ذلک، کما أنّه إذا أتی الحرام أثم</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43" w:name="__RefHeading___Toc651759_1878427129"/>
      <w:bookmarkStart w:id="144" w:name="_Toc54"/>
      <w:bookmarkEnd w:id="143"/>
      <w:r>
        <w:rPr>
          <w:rtl w:val="true"/>
        </w:rPr>
        <w:t>الحجّ</w:t>
      </w:r>
      <w:bookmarkEnd w:id="144"/>
    </w:p>
    <w:p>
      <w:pPr>
        <w:pStyle w:val="Heading3"/>
        <w:numPr>
          <w:ilvl w:val="2"/>
          <w:numId w:val="1"/>
        </w:numPr>
        <w:rPr/>
      </w:pPr>
      <w:bookmarkStart w:id="145" w:name="__RefHeading___Toc651761_1878427129"/>
      <w:bookmarkStart w:id="146" w:name="_Toc55"/>
      <w:bookmarkEnd w:id="145"/>
      <w:r>
        <w:rPr>
          <w:rtl w:val="true"/>
        </w:rPr>
        <w:t>وقت التلبیة</w:t>
      </w:r>
      <w:bookmarkEnd w:id="146"/>
    </w:p>
    <w:p>
      <w:pPr>
        <w:pStyle w:val="BookText"/>
        <w:rPr/>
      </w:pPr>
      <w:r>
        <w:rPr>
          <w:rFonts w:ascii="IRNazanin" w:hAnsi="IRNazanin" w:eastAsia="IRNazanin"/>
          <w:color w:val="111111"/>
          <w:sz w:val="28"/>
          <w:sz w:val="28"/>
          <w:szCs w:val="28"/>
          <w:rtl w:val="true"/>
          <w:lang w:bidi="fa-IR"/>
        </w:rPr>
        <w:t>الکلینی عن إسحاق بن عمّار، عن أبی الحسن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أحرم الرجل فی دبر المکتوبة، أیلبّی حین ینهض به بعیره أو جالساً فی دبر الصلاة؟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ذلک شاء صنع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عندی من الأمر المتوسّع، إلّاأنّ الفضل فیه أن یظهر التلبیة حیث أظهر النبیّ صلی الله علیه و آله و سلم علی طرف البیداء، ولا یجوز لأحد أن یجوز میل البیداء إلّاوقد أظهر التلبیة، وأوّل البیداء أوّل میل یلقاک عن یسار الطریق</w:t>
      </w:r>
      <w:r>
        <w:rPr>
          <w:rFonts w:eastAsia="IRNazanin" w:cs="IRNazanin"/>
          <w:color w:val="111111"/>
          <w:sz w:val="28"/>
          <w:szCs w:val="28"/>
          <w:rtl w:val="true"/>
          <w:lang w:bidi="fa-IR"/>
        </w:rPr>
        <w:t xml:space="preserve">» . </w:t>
      </w:r>
      <w:r>
        <w:rPr>
          <w:rStyle w:val="FootnoteAnchor"/>
          <w:rtl w:val="true"/>
        </w:rPr>
        <w:footnoteReference w:id="159"/>
      </w:r>
    </w:p>
    <w:p>
      <w:pPr>
        <w:pStyle w:val="Heading3"/>
        <w:numPr>
          <w:ilvl w:val="2"/>
          <w:numId w:val="1"/>
        </w:numPr>
        <w:rPr/>
      </w:pPr>
      <w:bookmarkStart w:id="147" w:name="__RefHeading___Toc651763_1878427129"/>
      <w:bookmarkStart w:id="148" w:name="_Toc56"/>
      <w:bookmarkEnd w:id="147"/>
      <w:r>
        <w:rPr>
          <w:rtl w:val="true"/>
        </w:rPr>
        <w:t>الخمس والأنفال</w:t>
      </w:r>
      <w:bookmarkEnd w:id="148"/>
    </w:p>
    <w:p>
      <w:pPr>
        <w:pStyle w:val="Heading3"/>
        <w:numPr>
          <w:ilvl w:val="2"/>
          <w:numId w:val="1"/>
        </w:numPr>
        <w:rPr/>
      </w:pPr>
      <w:bookmarkStart w:id="149" w:name="__RefHeading___Toc651765_1878427129"/>
      <w:bookmarkStart w:id="150" w:name="_Toc57"/>
      <w:bookmarkEnd w:id="149"/>
      <w:r>
        <w:rPr>
          <w:rtl w:val="true"/>
        </w:rPr>
        <w:t>الفیء والأنفال وتفسیر الخمس وحدوده وما یجب فیه</w:t>
      </w:r>
      <w:bookmarkEnd w:id="15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الدنیا کلّها بأسرها لخلیفته، حیث یقول للملائکة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جاعِلٌ فِی اَلْأَرْضِ خَلِیفَةً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فکانت الدنیا بأسرها لآدم، وصارت بعده لأبرار ولده وخلفائه، فما غلب علیه أعداؤهم ثمّ رجع إلیهم بحرب أو غلبة سُمّی فیئاً؛ وهو أن یفیء إلیهم بغلبة وحرب، وکان حکمه فیه 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للّه وللرسول ولقرابة الرسول، فهذا هو الفیء الراجع؛ وإنّما یکون الراجع ما کان فی ید غیرهم فاُخذ منهم بالسیف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رجع إلیهم من غیر أن یوجَف علیه بخیل ولا رکاب فهو الأنفال؛ هو للّه‌وللرسول خاصّة، لیس لأحد فیه الشرکة وإنّما جُعل </w:t>
      </w:r>
      <w:bookmarkStart w:id="151" w:name="pg14553_191770"/>
    </w:p>
    <w:p>
      <w:pPr>
        <w:pStyle w:val="BookText"/>
        <w:rPr/>
      </w:pPr>
      <w:bookmarkEnd w:id="151"/>
      <w:r>
        <w:rPr>
          <w:rFonts w:ascii="IRNazanin" w:hAnsi="IRNazanin" w:eastAsia="IRNazanin"/>
          <w:color w:val="111111"/>
          <w:sz w:val="28"/>
          <w:sz w:val="28"/>
          <w:szCs w:val="28"/>
          <w:rtl w:val="true"/>
          <w:lang w:bidi="fa-IR"/>
        </w:rPr>
        <w:t>الشرکة فی شیء قوتل علیه، فجُعل لمن قاتل من الغنائم أربعة أسهم، وللرسول سهم، والذی للرسول صلی الله علیه و آله و سلم یقسمه علی ستّة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له، وثلاثة للیتامی والمساکین وابن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الأنفال فلیس هذه سبیلها، کان للرسول صلی الله علیه و آله و سلم خاصّة، وکانت فدک لرسول اللّه صلی الله علیه و آله و سلم خاصّة؛ لأنّه صلی الله علیه و آله و سلم فتحها وأمیر المؤمنین علیه السلام، لم یکن معهما أحد، فزال عنها اسم الفیء ولزمها اسم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الآجام والمعادن والبحار والمفاوز هی للإمام خاصّة، فإن عمل فیها قومٌ بإذن الإمام فلهم أربعة أخماس، وللإمام خمس، والذی للإمام یجری مجری الخمس، ومن عمل فیها بغیر إذن الإمام فالإمام یأخذه کلّه، لیس لأحد فیه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من عمّر شیئاً أو أجری قناة أو عمل فی أرض خراب بغیر إذن صاحب الأرض فلیس له ذلک، فإن شاء أخذها منه کلّها وإن شاء ترکها فی یده</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52" w:name="__RefHeading___Toc651767_1878427129"/>
      <w:bookmarkStart w:id="153" w:name="_Toc58"/>
      <w:bookmarkEnd w:id="152"/>
      <w:r>
        <w:rPr>
          <w:rtl w:val="true"/>
        </w:rPr>
        <w:t>کتاب المواریث</w:t>
      </w:r>
      <w:bookmarkEnd w:id="153"/>
    </w:p>
    <w:p>
      <w:pPr>
        <w:pStyle w:val="Heading4"/>
        <w:numPr>
          <w:ilvl w:val="3"/>
          <w:numId w:val="1"/>
        </w:numPr>
        <w:rPr/>
      </w:pPr>
      <w:bookmarkStart w:id="154" w:name="__RefHeading___Toc651769_1878427129"/>
      <w:bookmarkStart w:id="155" w:name="_Toc59"/>
      <w:bookmarkEnd w:id="154"/>
      <w:r>
        <w:rPr/>
        <w:t>1</w:t>
      </w:r>
      <w:r>
        <w:rPr>
          <w:rtl w:val="true"/>
        </w:rPr>
        <w:t xml:space="preserve">. </w:t>
      </w:r>
      <w:r>
        <w:rPr>
          <w:rtl w:val="true"/>
        </w:rPr>
        <w:t>باب وجوه الفرائض</w:t>
      </w:r>
      <w:bookmarkEnd w:id="155"/>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الفرائض علی أربعة أصناف، وجعل مخارجها من ستّة أسهم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فبدأ بالولد والوالدین الذین هم الأقربون وبأنفسهم یتقرّبون لا بغیرهم، ولا یسقطون من المیراث أبداً، ولا یرث معهم أحد غیرهم إلّاالزوج والزوجة، فإن حضر کلّهم قُسِّم المال بینهم علی ما سمَّی اللّه عزّوجلّ، وإن حضر بعضهم فکذلک، وإن لم یحضر منهم إلّاواحد فالمال کله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یرث معه أحد غیره إذا کان غیره لا یتقرَّب بنفسه وإنّما یتقرّب بغیره، إلّاما خصّ اللّه به من طریق الإجماع أنّ ولد الولد یقومون مقام الولد، وکذلک ولد الإخوة إذا لم یکن ولد الصلب ولا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أمر الولد مجمع علیه، ولا أعلم بین الاُمّة فی ذلک اختلافاً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فهؤلاء أحد الأصناف الأربعة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الصنف الثانی فهو الزوج والزوجة، فإنّ اللّه عزوجل ثنّی بذکرهما بعد ذکر الولد والوالدین، فلهم السهم المسمّی لهم، ویرثون مع کلّ أحد، ولا یسقطون من </w:t>
      </w:r>
      <w:bookmarkStart w:id="156" w:name="pg14553_191771"/>
    </w:p>
    <w:p>
      <w:pPr>
        <w:pStyle w:val="BookText"/>
        <w:rPr/>
      </w:pPr>
      <w:bookmarkEnd w:id="156"/>
      <w:r>
        <w:rPr>
          <w:rFonts w:ascii="IRNazanin" w:hAnsi="IRNazanin" w:eastAsia="IRNazanin"/>
          <w:color w:val="111111"/>
          <w:sz w:val="28"/>
          <w:sz w:val="28"/>
          <w:szCs w:val="28"/>
          <w:rtl w:val="true"/>
          <w:lang w:bidi="fa-IR"/>
        </w:rPr>
        <w:t>المیراث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الصنف الثالث فهم الکلالة؛ وهم الإخوة والأخوات إذا لم یکن ولد ولا الوالدان؛ لأنّهم لا یتقرّبون بأنفسهم وإنّما یتقرّبون بالوالدین، فمن تقرّب بنفسه کان أولی بالمیراث ممّن تقرّب بغیره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للمیّت ولد ووالدان أو واحد منهم لم تکن الإخوة والأخوات کلالة؛ لقول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یَسْتَفْتُونَکَ قُلِ اَللّهُ یُفْتِیکُمْ فِی اَلْکَلالَةِ إِنِ اِمْرُؤٌ هَلَکَ لَیْسَ لَهُ وَلَدٌ وَ لَهُ أُخْتٌ فَلَها نِصْفُ ما تَرَکَ وَ هُوَ یَرِثُها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یَکُنْ لَها 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جعل اللّه لهم المیراث بشرط، وقد یسقطون فی مواضع </w:t>
      </w:r>
      <w:r>
        <w:rPr>
          <w:rStyle w:val="FootnoteAnchor"/>
          <w:rtl w:val="true"/>
        </w:rPr>
        <w:footnoteReference w:id="161"/>
      </w:r>
      <w:r>
        <w:rPr>
          <w:rFonts w:ascii="IRNazanin" w:hAnsi="IRNazanin" w:eastAsia="IRNazanin"/>
          <w:color w:val="111111"/>
          <w:sz w:val="28"/>
          <w:sz w:val="28"/>
          <w:szCs w:val="28"/>
          <w:rtl w:val="true"/>
          <w:lang w:bidi="fa-IR"/>
        </w:rPr>
        <w:t>ولا یرثون شیئاً، ولیسوا بمنزلة الولد والوالدین الذین لا یسقطون عن المیراث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یحضر ولد ولا والدان فللکلالة سهامهم المسمّاة لهم، لا یرث معهم أحدٌ غیرهم إذا لم یکن ولد إلّامن کان فی مثل معناهم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الصنف الرابع فهم اُولو الأرحام الذین هم أبعد </w:t>
      </w:r>
      <w:r>
        <w:rPr>
          <w:rStyle w:val="FootnoteAnchor"/>
          <w:rtl w:val="true"/>
        </w:rPr>
        <w:footnoteReference w:id="162"/>
      </w:r>
      <w:r>
        <w:rPr>
          <w:rFonts w:ascii="IRNazanin" w:hAnsi="IRNazanin" w:eastAsia="IRNazanin"/>
          <w:color w:val="111111"/>
          <w:sz w:val="28"/>
          <w:sz w:val="28"/>
          <w:szCs w:val="28"/>
          <w:rtl w:val="true"/>
          <w:lang w:bidi="fa-IR"/>
        </w:rPr>
        <w:t>من الکلالة، فإذا لم یحضر ولد ولا والدان ولا کلالة، فالمیراث لاُولی الأرحام منهم؛ الأقرب منهم فالأقرب، یأخذ کلّ واحد منهم نصیب من یتقرّب بقرابته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یرث اُولو الأرحام مع الولد ولا مع الوالدین ولا مع الکلالة شیئاً، وإنّما یرث اُولو الأرحام بالرحم، فأقربهم إلی المیّت أحقّهم بالمیراث، وإذا استووا فی البطون فلقرابة الاُمّ الثلث ولقرابة الأب الثلثان، وإذا کان أحد الفریقین أبعد فالمیراث للأقرب علی ما نحن ذاکروه إن شاء اللّه</w:t>
      </w:r>
      <w:r>
        <w:rPr>
          <w:rFonts w:eastAsia="IRNazanin" w:cs="IRNazanin"/>
          <w:color w:val="111111"/>
          <w:sz w:val="28"/>
          <w:szCs w:val="28"/>
          <w:rtl w:val="true"/>
          <w:lang w:bidi="fa-IR"/>
        </w:rPr>
        <w:t xml:space="preserve">. </w:t>
      </w:r>
      <w:r>
        <w:rPr>
          <w:rStyle w:val="FootnoteAnchor"/>
          <w:rtl w:val="true"/>
        </w:rPr>
        <w:footnoteReference w:id="163"/>
      </w:r>
    </w:p>
    <w:p>
      <w:pPr>
        <w:pStyle w:val="Heading4"/>
        <w:numPr>
          <w:ilvl w:val="3"/>
          <w:numId w:val="1"/>
        </w:numPr>
        <w:rPr/>
      </w:pPr>
      <w:bookmarkStart w:id="157" w:name="__RefHeading___Toc651771_1878427129"/>
      <w:bookmarkStart w:id="158" w:name="_Toc60"/>
      <w:bookmarkEnd w:id="157"/>
      <w:r>
        <w:rPr/>
        <w:t>2</w:t>
      </w:r>
      <w:r>
        <w:rPr>
          <w:rtl w:val="true"/>
        </w:rPr>
        <w:t xml:space="preserve">. </w:t>
      </w:r>
      <w:r>
        <w:rPr>
          <w:rtl w:val="true"/>
        </w:rPr>
        <w:t>باب بیان الفرائض فی الکتاب</w:t>
      </w:r>
      <w:bookmarkEnd w:id="15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المال کلّه للولد فی کتابه، ثمّ أدخل علیهم بعدُ الأبوین والزوجین، فلا یرث مع الولد غیر هؤلاء الأربعة؛ وذلک أنّه عزّوجلّ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یُوصِیکُمُ اَللّهُ فِی أَوْلادِکُمْ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فأجمعت الاُمّة علی أنّ اللّه أراد بهذا القول المیراث، فصار المال کلّه بهذا القول للولد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فصل الاُنثی من الذکر،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لِلذَّکَرِ مِثْلُ حَظِّ اَلْأُنْثَیَیْنِ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لم </w:t>
      </w:r>
    </w:p>
    <w:p>
      <w:pPr>
        <w:pStyle w:val="BookText"/>
        <w:rPr/>
      </w:pPr>
      <w:r>
        <w:rPr>
          <w:rFonts w:ascii="Amiri" w:hAnsi="Amiri" w:eastAsia="Amiri" w:cs="Amiri"/>
          <w:color w:val="111111"/>
          <w:sz w:val="28"/>
          <w:sz w:val="28"/>
          <w:szCs w:val="28"/>
          <w:rtl w:val="true"/>
          <w:lang w:bidi="ar-SA"/>
        </w:rPr>
        <w:t>یقل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لِلذَّکَرِ مِثْلُ حَظِّ اَلْأُنْثَیَیْنِ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لکان إجماعهم علی ما عنی اللّه به من القول یوجب المال کلّه للولد؛ الذکر والاُنثی فیه سواء، فلمّا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لِلذَّکَرِ مِثْلُ حَظِّ اَلْأُنْثَیَیْنِ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کان هذا تفصیل المال، وتمییز الذکر من الاُنثی فی القسمة، وتفضیل الذکر علی الاُنثی، فصار المال کلّه مقسوماً بین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لِلذَّکَرِ مِثْلُ حَظِّ اَلْأُنْثَیَیْنِ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کُنَّ نِساءً فَوْقَ اِثْنَتَیْنِ فَلَهُنَّ ثُلُثا ما تَرَکَ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فلولا أنّه عزّوجلّ أراد بهذا القول ما یتّصل بهذا، کان قد قسّم بعض المال وترک بعضاً مهملاً، ولکنّه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بهذا أن یوصل الکلام إلی منتهی قسمة المیراث کلّه،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کانَتْ واحِدَةً فَلَهَا اَلنِّصْفُ وَ لِأَبَوَیْهِ لِکُلِّ واحِدٍ مِنْهُمَا اَلسُّدُسُ مِمّا تَرَکَ إِنْ کانَ لَهُ 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فصار المال کلّه مقسوماً بین البنات وبین الأبوین، فکان ما یفضل من المال مع الابنة الواحدة ردّاً علیهم علی قدر سهامهم التی قسمها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حکمهم فیما بقی من المال کحکم ما قسّمه اللّه عزّوجلّ علی نحو ما قسمه؛ لأنّهم کلّهم اُولو الأرحام، وهم أقرب الأقربین، وصارت القسمة للبنات النصف والثلثان مع الأبوین فقط، وإذا لم یکن أبوان فالمال کلّه للولد بغیر سهام إلّاما فرض اللّه عزّوجلّ للأزواج، علی ما بیّناه فی أوّل الکلام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إنّما جعل المال کلّه للولد علی ظاهر الکتاب، ثمّ أدخل علیهم الأبوین والزوجین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تکلّم الناس فی أمر الابنتین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جُعل لهما الثلثان واللّه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 الثلثین لما فوق اثنتین؟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بإجماع، 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قیاساً؛ کما إن کان للواحدة النصف کان ذلک دلیلاً علی أنّ لما فوق الواحدة الثلثین، وقال قوم بالتقلید والروایة</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یُصِب واحد منهم الوجه فی ذلک،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جعل حظّ الاُنثیین الثلثین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لِلذَّکَرِ مِثْلُ حَظِّ اَلْأُنْثَیَیْنِ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وذلک أنّه إذا ترک الرجل بنتاً وابناً فللذکر مثل </w:t>
      </w:r>
    </w:p>
    <w:p>
      <w:pPr>
        <w:pStyle w:val="BookText"/>
        <w:rPr/>
      </w:pPr>
      <w:r>
        <w:rPr>
          <w:rFonts w:ascii="IRNazanin" w:hAnsi="IRNazanin" w:eastAsia="IRNazanin"/>
          <w:color w:val="111111"/>
          <w:sz w:val="28"/>
          <w:sz w:val="28"/>
          <w:szCs w:val="28"/>
          <w:rtl w:val="true"/>
          <w:lang w:bidi="fa-IR"/>
        </w:rPr>
        <w:t>حظّ الاُنثیین، وهو الثلثان، فحظّ الاُنثیین الثلثان، واکتفی بهذا البیان أن یکون ذکر الاُنثیین بالثلثین، وهذا بیان قد جهله کلّهم، والحمد للّه‌کثیراً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جعل المیراث کلّه للأبوین إذا لم یکن له ولد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یَکُنْ لَهُ وَلَدٌ وَ وَرِثَهُ أَبَواهُ فَلِأُمِّهِ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یجعل للأب تسمیة إنّما له ما 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حجب الاُمّ عن الثلث بالإخوة،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کانَ لَهُ إِخْوَةٌ فَلِأُمِّهِ اَلسُّدُسُ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یورث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الأبوین إذا لم یکن له ولد إلّاالزوج والمرأة، وکلّ فریضة لم یسمِّ للأب فیها سهماً فإنّما له ما بقی، وکلّ فریضة سُمّی للأب فیها سهماً، کان ما فضل من المال مقسوماً علی قدر السهام فی مثل ابنة وأبوین علی ما بیّناه أوّلاً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ذکر فریضة الأزواج فأدخلهم علی الولد وعلی الأبوین وعلی جمیع أهل الفرائض علی قدر ما سمّی لهم، ولیس فی فریضتهم اختلاف ولا تنازع، فاختصرنا الکلام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ذکر فریضة الإخوة والأخوات من قبل الاُمّ،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کانَ رَجُلٌ یُورَثُ کَلالَةً أَوِ اِمْرَأَةٌ وَ لَهُ أَخٌ أَوْ 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فَلِکُلِّ واحِدٍ مِنْهُمَا اَلسُّدُسُ فَإِنْ کانُوا أَکْثَرَ مِنْ ذلِکَ فَهُمْ شُرَکاءُ فِی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فیه خلاف بین الاُمّة، وکلّ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وَصِیَّةٍ یُوصِی بِها أَوْ دَیْنٍ</w:t>
      </w:r>
      <w:r>
        <w:rPr>
          <w:rFonts w:eastAsia="Amiri" w:cs="Amiri" w:ascii="Amiri" w:hAnsi="Amiri"/>
          <w:color w:val="111111"/>
          <w:sz w:val="28"/>
          <w:szCs w:val="28"/>
          <w:rtl w:val="true"/>
          <w:lang w:bidi="ar-SA"/>
        </w:rPr>
        <w:t xml:space="preserve">» . </w:t>
      </w:r>
      <w:r>
        <w:rPr>
          <w:rStyle w:val="FootnoteAnchor"/>
          <w:rtl w:val="true"/>
        </w:rPr>
        <w:footnoteReference w:id="164"/>
      </w:r>
      <w:r>
        <w:rPr>
          <w:rFonts w:ascii="IRNazanin" w:hAnsi="IRNazanin" w:eastAsia="IRNazanin"/>
          <w:color w:val="111111"/>
          <w:sz w:val="28"/>
          <w:sz w:val="28"/>
          <w:szCs w:val="28"/>
          <w:rtl w:val="true"/>
          <w:lang w:bidi="fa-IR"/>
        </w:rPr>
        <w:t>فالإخوة من الاُمّ لهم نصیبهم المسمّی لهم مع الإخوة والأخوات من الأب والاُمّ، والإخوة والأخوات من الاُمّ لا یزادون علی الثلث ولا ینقصون من السدس، والذکر والاُنثی فیه سواء، وهذا کلّه مجمع علیه، إلّاأن لا یحضر أحد غیرهم، فیکون ما بقی لاُولی الأرحام ویکونوا هم أقرب الأرحام، وذو السهم أحقُّ ممّن لا سهم له، فیصیر المال کلّه لهم علی هذه الجهة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ذکر الکلالة للأب؛ وهم الإخوة والأخوات من الأب والاُمّ، والإخوة والأخوات من الأب إذا لم یحضر إخوة وأخوات لأب واُمّ،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یَسْتَفْتُونَکَ قُلِ اَللّهُ یُفْتِیکُمْ فِی اَلْکَلالَةِ إِنِ اِمْرُؤٌ هَلَکَ لَیْسَ لَهُ وَلَدٌ وَ لَهُ أُخْتٌ فَلَها نِصْفُ ما تَرَکَ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والباقی یکون لأقرب الأرحام، وهی أقرب اُولی الأرحام، فیکون الباقی لها سهم اُولی الأرحام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یَرِثُها إِنْ لَمْ یَکُنْ لَها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یعنی للأخ المال کلّه إذا لم یکن لها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کانَتَا اِثْنَتَیْنِ فَلَهُمَا اَلثُّلُثانِ مِمّا تَرَکَ وَ إِنْ کانُوا إِخْوَةً رِجالاً وَ نِساءً فَلِلذَّکَرِ مِثْلُ حَظِّ اَلْأُنْثَیَیْنِ</w:t>
      </w:r>
      <w:r>
        <w:rPr>
          <w:rFonts w:eastAsia="Amiri" w:cs="Amiri" w:ascii="Amiri" w:hAnsi="Amiri"/>
          <w:color w:val="111111"/>
          <w:sz w:val="28"/>
          <w:szCs w:val="28"/>
          <w:rtl w:val="true"/>
          <w:lang w:bidi="ar-SA"/>
        </w:rPr>
        <w:t xml:space="preserve">» . </w:t>
      </w:r>
      <w:r>
        <w:rPr>
          <w:rStyle w:val="FootnoteAnchor"/>
          <w:rtl w:val="true"/>
        </w:rPr>
        <w:footnoteReference w:id="165"/>
      </w:r>
      <w:r>
        <w:rPr>
          <w:rFonts w:ascii="IRNazanin" w:hAnsi="IRNazanin" w:eastAsia="IRNazanin"/>
          <w:color w:val="111111"/>
          <w:sz w:val="28"/>
          <w:sz w:val="28"/>
          <w:szCs w:val="28"/>
          <w:rtl w:val="true"/>
          <w:lang w:bidi="fa-IR"/>
        </w:rPr>
        <w:t>ولا یصیرون کلالة إلّاإذا لم یکن ولدٌ ولا والدٌ، فحینئذٍ یصیرون کلالة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یرث مع </w:t>
      </w:r>
    </w:p>
    <w:p>
      <w:pPr>
        <w:pStyle w:val="BookText"/>
        <w:rPr/>
      </w:pPr>
      <w:r>
        <w:rPr>
          <w:rFonts w:ascii="IRNazanin" w:hAnsi="IRNazanin" w:eastAsia="IRNazanin"/>
          <w:color w:val="111111"/>
          <w:sz w:val="28"/>
          <w:sz w:val="28"/>
          <w:szCs w:val="28"/>
          <w:rtl w:val="true"/>
          <w:lang w:bidi="fa-IR"/>
        </w:rPr>
        <w:t>الکلالة أحدٌ من اُولی الأرحام، إلّاالإخوة والأخوات من الاُمّ والزوج والزوجة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 وتقدّس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سمّاهم کلالة إذا لم یکن ولد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یَسْتَفْتُونَکَ قُلِ اَللّهُ یُفْتِیکُمْ فِی اَلْکَلالَةِ إِنِ اِمْرُؤٌ هَلَکَ لَیْسَ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جعلهم کلالة إذا لم یکن ولد، فلم زعمت أنّهم لا یکونون کلالة مع الاُمّ؟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أجمعوا جمیعاً أنّهم لا یکونون کلالة مع الأب وإن لم یکن ولد، والاُمّ فی هذا بمنزلة الأب؛ لأنّهما جمیعاً یتقرّبان بأنفسهما، ویستویان فی المیراث مع الولد، ولا یسقطان أبداً من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ما بقی یکون للاُخت الواحدة وللاُختین وما زاد علی ذلک، فما معنی التسمیة لهنَّ النصف والثلثان؛ فهذا کلّه صائر لهنّ وراجع إلیهنّ، وهذا یدلّ علی أنّ ما بقی فهو لغیرهم وهم العصبة؟</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العصبة فی کتاب اللّه ولا فی سنّة رسول اللّه صلی الله علیه و آله و سلم، وإنّما ذکر اللّه ذلک وسمّاه؛ لأنّه قد یجامعهنّ الإخوة من الاُمّ ویجامعهنّ الزوج والزوجة، فسمّی ذلک لیدلّ کیف کان القسمة، وکیف یدخل النقصان علیهنّ، وکیف ترجع الزیادة إلیهنّ علی قدر السهام والأنصباء إذا کنّ لا یحطن بالمیراث أبداً علی حال واحدة؛ لیکون العمل فی سهامهم کالعمل فی سهام الولد علی قدر ما یجامع الولد من الزوج والأبوین، ولو لم یسمّ ذلک لم یهتد لهذا الذی بیّناه، وباللّه التوفیق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ذکر اُولی الأرحام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لیعیّن أنّ البعض الأقرب أولی من البعض الأبعد، وأنّهم أولی من الحلفاء والموالی، وهذا بإجماع إن شاء اللّه؛ لأنّ قولهم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یوجب إجماع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ذکر إبطال العصبة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نَصِیبٌ مِمّا تَرَکَ اَلْوالِدانِ وَ اَلْأَقْرَبُونَ وَ لِلنِّساءِ نَصِیبٌ مِمّا تَرَکَ اَلْوالِدانِ وَ اَلْأَقْرَبُونَ مِمّا قَلَّ مِنْهُ أَوْ کَثُرَ نَصِیباً مَفْرُوضاً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یقل فیما بقی هو للرجال دون النساء، فما فرض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فی موضع حرم فیه علی النساء بل أوجب للنساء فی کلّ ما قلَّ أو کثر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ذکر اللّه عزّوجلّ فی کتابه من الفرائض، فکّل ما خالف هذا علی ما بیّنّاه فهو </w:t>
      </w:r>
      <w:bookmarkStart w:id="159" w:name="pg14553_191775"/>
    </w:p>
    <w:p>
      <w:pPr>
        <w:pStyle w:val="BookText"/>
        <w:rPr/>
      </w:pPr>
      <w:bookmarkEnd w:id="159"/>
      <w:r>
        <w:rPr>
          <w:rFonts w:ascii="Amiri" w:hAnsi="Amiri" w:eastAsia="Amiri" w:cs="Amiri"/>
          <w:color w:val="111111"/>
          <w:sz w:val="28"/>
          <w:sz w:val="28"/>
          <w:szCs w:val="28"/>
          <w:rtl w:val="true"/>
          <w:lang w:bidi="ar-SA"/>
        </w:rPr>
        <w:t>ردّ علی اللّه وعلی رسوله صلی الله علیه و آله و سلم، وحکم بغیر ما أنزل اللّه؛ وهذا نظیر ما حکی اللّه عزّوجلّ عن المشرکین حیث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ما فِی بُطُونِ هذِهِ اَلْأَنْعامِ خالِصَةٌ لِذُکُورِنا وَ مُحَرَّمٌ عَلی أَزْواجِنا</w:t>
      </w:r>
      <w:r>
        <w:rPr>
          <w:rFonts w:eastAsia="Amiri" w:cs="Amiri" w:ascii="Amiri" w:hAnsi="Amiri"/>
          <w:color w:val="111111"/>
          <w:sz w:val="28"/>
          <w:szCs w:val="28"/>
          <w:rtl w:val="true"/>
          <w:lang w:bidi="ar-SA"/>
        </w:rPr>
        <w:t xml:space="preserve">» . </w:t>
      </w:r>
      <w:r>
        <w:rPr>
          <w:rStyle w:val="FootnoteAnchor"/>
          <w:rtl w:val="true"/>
        </w:rPr>
        <w:footnoteReference w:id="1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کتاب أبی نعیم الطحّان رواه عن شریک، عن إسماعیل بن أبی خالد، عن حکیم بن جابر، </w:t>
      </w:r>
      <w:r>
        <w:rPr>
          <w:rStyle w:val="FootnoteAnchor"/>
          <w:rtl w:val="true"/>
        </w:rPr>
        <w:footnoteReference w:id="167"/>
      </w:r>
      <w:r>
        <w:rPr>
          <w:rFonts w:ascii="IRNazanin" w:hAnsi="IRNazanin" w:eastAsia="IRNazanin"/>
          <w:color w:val="111111"/>
          <w:sz w:val="28"/>
          <w:sz w:val="28"/>
          <w:szCs w:val="28"/>
          <w:rtl w:val="true"/>
          <w:lang w:bidi="fa-IR"/>
        </w:rPr>
        <w:t>عن زید بن ثابت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قضاء الجاهلیة أن یورث الرجال دون النساء</w:t>
      </w:r>
      <w:r>
        <w:rPr>
          <w:rFonts w:eastAsia="IRNazanin" w:cs="IRNazanin"/>
          <w:color w:val="111111"/>
          <w:sz w:val="28"/>
          <w:szCs w:val="28"/>
          <w:rtl w:val="true"/>
          <w:lang w:bidi="fa-IR"/>
        </w:rPr>
        <w:t xml:space="preserve">. </w:t>
      </w:r>
      <w:r>
        <w:rPr>
          <w:rStyle w:val="FootnoteAnchor"/>
          <w:rtl w:val="true"/>
        </w:rPr>
        <w:footnoteReference w:id="168"/>
      </w:r>
    </w:p>
    <w:p>
      <w:pPr>
        <w:pStyle w:val="Heading4"/>
        <w:numPr>
          <w:ilvl w:val="3"/>
          <w:numId w:val="1"/>
        </w:numPr>
        <w:rPr/>
      </w:pPr>
      <w:bookmarkStart w:id="160" w:name="__RefHeading___Toc651773_1878427129"/>
      <w:bookmarkStart w:id="161" w:name="_Toc61"/>
      <w:bookmarkEnd w:id="160"/>
      <w:r>
        <w:rPr/>
        <w:t>3</w:t>
      </w:r>
      <w:r>
        <w:rPr>
          <w:rtl w:val="true"/>
        </w:rPr>
        <w:t xml:space="preserve">. </w:t>
      </w:r>
      <w:r>
        <w:rPr>
          <w:rtl w:val="true"/>
        </w:rPr>
        <w:t>میراث الجدّ والجدّة</w:t>
      </w:r>
      <w:bookmarkEnd w:id="161"/>
    </w:p>
    <w:p>
      <w:pPr>
        <w:pStyle w:val="BookText"/>
        <w:rPr/>
      </w:pPr>
      <w:r>
        <w:rPr>
          <w:rFonts w:ascii="IRNazanin" w:hAnsi="IRNazanin" w:eastAsia="IRNazanin"/>
          <w:color w:val="111111"/>
          <w:sz w:val="28"/>
          <w:sz w:val="28"/>
          <w:szCs w:val="28"/>
          <w:rtl w:val="true"/>
          <w:lang w:bidi="fa-IR"/>
        </w:rPr>
        <w:t>الکلینی بسنده عن عبد الرحمن بن أبی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وعنده أبان بن تغلب،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 ابنتی هلکت واُمّی حیّة، فقال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لاُمّک شیء، فقال أبو عبد اللّه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أعطها السدس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بسنده أیضاً عن إسماعیل بن منصور، عن بعض أصحابه، عن أبی عبد اللّه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اجتمع أربع جدّات، ثنتین من قبل الاُمّ وثنتین من قبل الأب، طرحت واحدة من قبل الاُمّ بالقرعة، فکان السدس بین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إذا اجتمع أربعة أجداد أسقط واحد من قبل الاُمّ بالقرعة وکان السدس بین الثلاثة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قد روی، وهی أخبار صحیحة، إلّاأنّ إجماع العصابة أنّ منزلة الجدّ منزلة الأخ من الأب؛ یرث میراث الأخ، وإذا کانت منزلة الجدّ منزلة الأخ من الأب یرث ما یرث الأخ یجوز أن تکون هذه أخبار خاصّة، إلّاأنّه أخبرنی بعض أصحابنا أنّ رسول اللّه صلی الله علیه و آله و سلم أطعم الجدّ السدس مع الأب ولم یعطه مع الولد، ولیس هذا أیضاً ممّا یوافق إجماع العصابة أنّ منزلة الأخ والجدّ بمنزلة واحدة</w:t>
      </w:r>
      <w:r>
        <w:rPr>
          <w:rFonts w:eastAsia="IRNazanin" w:cs="IRNazanin"/>
          <w:color w:val="111111"/>
          <w:sz w:val="28"/>
          <w:szCs w:val="28"/>
          <w:rtl w:val="true"/>
          <w:lang w:bidi="fa-IR"/>
        </w:rPr>
        <w:t xml:space="preserve">. </w:t>
      </w:r>
      <w:r>
        <w:rPr>
          <w:rStyle w:val="FootnoteAnchor"/>
          <w:rtl w:val="true"/>
        </w:rPr>
        <w:footnoteReference w:id="169"/>
      </w:r>
    </w:p>
    <w:p>
      <w:pPr>
        <w:pStyle w:val="Heading3"/>
        <w:numPr>
          <w:ilvl w:val="2"/>
          <w:numId w:val="1"/>
        </w:numPr>
        <w:rPr/>
      </w:pPr>
      <w:bookmarkStart w:id="162" w:name="__RefHeading___Toc651775_1878427129"/>
      <w:bookmarkStart w:id="163" w:name="_Toc62"/>
      <w:bookmarkEnd w:id="162"/>
      <w:r>
        <w:rPr>
          <w:rtl w:val="true"/>
        </w:rPr>
        <w:t>الدیات</w:t>
      </w:r>
      <w:bookmarkEnd w:id="163"/>
    </w:p>
    <w:p>
      <w:pPr>
        <w:pStyle w:val="Heading3"/>
        <w:numPr>
          <w:ilvl w:val="2"/>
          <w:numId w:val="1"/>
        </w:numPr>
        <w:rPr/>
      </w:pPr>
      <w:bookmarkStart w:id="164" w:name="__RefHeading___Toc651777_1878427129"/>
      <w:bookmarkStart w:id="165" w:name="_Toc63"/>
      <w:bookmarkEnd w:id="164"/>
      <w:r>
        <w:rPr>
          <w:rtl w:val="true"/>
        </w:rPr>
        <w:t>القسامة</w:t>
      </w:r>
      <w:bookmarkEnd w:id="16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الکلینی بسنده عن أبی عمرو المتطبّب،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علی أبی عبد اللّه علیه السلام ما أفتی به أمیر المؤمنین علیه السلام فی الدیات، فممّا أفتی به أفتی فی الجسد، وجعله ستّ فرائض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النفس، والبصر، والسمع، والکلام، ونقص الصوت من الغنن والبحح، والشلل من الیدین والرجلین، ثمّ جعل مع کلّ شیء من هذه قسامة علی نحو ما بلغت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والقسامة جعل فی النفس علی العمد خمسین رجلاً، وجعل فی النفس علی الخطأ خمسة وعشرین رجلاً، وعلی ما بلغت دیته من الجروح ألف دینار ستّة نفر، فما کان دون ذلک فبحسابه من ستة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والقسامة فی النفس والسمع والبصر والعقل والصوت من الغنن والبحح ونقص الیدین والرجلین، فهو من ستّة أجزاء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اُصیب الرجل من هذه الأجزاء الستّة وقیس ذلک، فإن کان سدس بصره أو سمعه أو کلامه أو غیر ذلک حلف هو وحده، وإن کان ثلث بصره حلف هو وحلف معه رجل واحد، وإن کان نصف بصره حلف هو وحلف معه رجلان، وإن کان ثلثی بصره حلف هو وحلف معه ثلاثة نفر، وإن کان أربعة أخماس بصره حلف هو وحلف معه أربعة نفر، وإن کان بصره کلّه حلف هو وحلف معه خمسة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القسامة کلّها فی الجروح، فإن لم یکن للمصاب من یحلف معه ضوعفت علیه الأیمان، فإن کان سدس بصره حلف مرّة واحدة، وإن کان الثلث حلف مرّتین، وإن کان النصف حلف ثلاث مرّات، وإن کان الثلثین حلف أربع مرّات، وإن کان خمسة أسداس حلف خمس مرّات، وإن کان کلّه حلف ستّ مرّات ثمّ یعطی</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359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14553_191778"/>
      <w:bookmarkStart w:id="167" w:name="pg14553_191778"/>
      <w:bookmarkEnd w:id="167"/>
    </w:p>
    <w:p>
      <w:pPr>
        <w:pStyle w:val="BookText"/>
        <w:rPr/>
      </w:pPr>
      <w:bookmarkStart w:id="168" w:name="pg14553_191778"/>
      <w:bookmarkEnd w:id="168"/>
      <w:r>
        <w:rPr>
          <w:rFonts w:ascii="IRNazanin" w:hAnsi="IRNazanin" w:eastAsia="IRNazanin"/>
          <w:color w:val="111111"/>
          <w:sz w:val="28"/>
          <w:sz w:val="28"/>
          <w:szCs w:val="28"/>
          <w:rtl w:val="true"/>
          <w:lang w:bidi="fa-IR"/>
        </w:rPr>
        <w:t>کلینی و عقل‌گرایی</w:t>
      </w:r>
    </w:p>
    <w:p>
      <w:pPr>
        <w:pStyle w:val="Heading2"/>
        <w:numPr>
          <w:ilvl w:val="1"/>
          <w:numId w:val="1"/>
        </w:numPr>
        <w:rPr/>
      </w:pPr>
      <w:bookmarkStart w:id="169" w:name="__RefHeading___Toc651779_1878427129"/>
      <w:bookmarkStart w:id="170" w:name="_Toc64"/>
      <w:bookmarkEnd w:id="169"/>
      <w:r>
        <w:rPr>
          <w:rtl w:val="true"/>
        </w:rPr>
        <w:t>کلینی و عقل گرایی</w:t>
      </w:r>
      <w:bookmarkEnd w:id="170"/>
    </w:p>
    <w:p>
      <w:pPr>
        <w:pStyle w:val="Heading3"/>
        <w:numPr>
          <w:ilvl w:val="2"/>
          <w:numId w:val="1"/>
        </w:numPr>
        <w:rPr/>
      </w:pPr>
      <w:bookmarkStart w:id="171" w:name="__RefHeading___Toc651781_1878427129"/>
      <w:bookmarkStart w:id="172" w:name="_Toc65"/>
      <w:bookmarkEnd w:id="171"/>
      <w:r>
        <w:rPr>
          <w:rtl w:val="true"/>
        </w:rPr>
        <w:t>اشارة</w:t>
      </w:r>
      <w:bookmarkEnd w:id="172"/>
    </w:p>
    <w:p>
      <w:pPr>
        <w:pStyle w:val="BookText"/>
        <w:rPr/>
      </w:pPr>
      <w:r>
        <w:rPr>
          <w:rFonts w:ascii="IRNazanin" w:hAnsi="IRNazanin" w:eastAsia="IRNazanin"/>
          <w:color w:val="111111"/>
          <w:sz w:val="28"/>
          <w:sz w:val="28"/>
          <w:szCs w:val="28"/>
          <w:rtl w:val="true"/>
          <w:lang w:bidi="fa-IR"/>
        </w:rPr>
        <w:t xml:space="preserve">کلینی و عقل گرایی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محمد اخوان</w:t>
      </w:r>
    </w:p>
    <w:p>
      <w:pPr>
        <w:pStyle w:val="Heading3"/>
        <w:numPr>
          <w:ilvl w:val="2"/>
          <w:numId w:val="1"/>
        </w:numPr>
        <w:rPr/>
      </w:pPr>
      <w:bookmarkStart w:id="173" w:name="__RefHeading___Toc651783_1878427129"/>
      <w:bookmarkStart w:id="174" w:name="_Toc66"/>
      <w:bookmarkEnd w:id="173"/>
      <w:r>
        <w:rPr>
          <w:rtl w:val="true"/>
        </w:rPr>
        <w:t>چکیده</w:t>
      </w:r>
      <w:bookmarkEnd w:id="174"/>
    </w:p>
    <w:p>
      <w:pPr>
        <w:pStyle w:val="BookText"/>
        <w:rPr/>
      </w:pPr>
      <w:r>
        <w:rPr>
          <w:rFonts w:ascii="IRNazanin" w:hAnsi="IRNazanin" w:eastAsia="IRNazanin"/>
          <w:color w:val="111111"/>
          <w:sz w:val="28"/>
          <w:sz w:val="28"/>
          <w:szCs w:val="28"/>
          <w:rtl w:val="true"/>
          <w:lang w:bidi="fa-IR"/>
        </w:rPr>
        <w:t xml:space="preserve">موضوع این نوشتار، بررسی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مرحوم محمد بن یعقوب کلینی رحمه الله فقیه و محدث والا مقام شیعه در قرن‌های سوم و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پرداختن به این مسئله، نشان دادن جامعیت شخصیت کلینی رحمه الله به عنوان دانشمندی است که در آغوش اسلام و مکتب تشیع پرورش یافته و حدیث‌گزاری وی، موجب ظاهرگرایی و عقل‌گریزی ایشان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نخست به معرفی کوتاه کلینی رحمه الله پرداخته، سپس موضوعات دیگر مربوط به بحث را بررسی خواهیم کرد</w:t>
      </w:r>
      <w:r>
        <w:rPr>
          <w:rFonts w:eastAsia="IRNazanin" w:cs="IRNazanin"/>
          <w:color w:val="111111"/>
          <w:sz w:val="28"/>
          <w:szCs w:val="28"/>
          <w:rtl w:val="true"/>
          <w:lang w:bidi="fa-IR"/>
        </w:rPr>
        <w:t>.</w:t>
      </w:r>
    </w:p>
    <w:p>
      <w:pPr>
        <w:pStyle w:val="Heading3"/>
        <w:numPr>
          <w:ilvl w:val="2"/>
          <w:numId w:val="1"/>
        </w:numPr>
        <w:rPr/>
      </w:pPr>
      <w:bookmarkStart w:id="175" w:name="__RefHeading___Toc651785_1878427129"/>
      <w:bookmarkStart w:id="176" w:name="_Toc67"/>
      <w:bookmarkEnd w:id="175"/>
      <w:r>
        <w:rPr>
          <w:rtl w:val="true"/>
        </w:rPr>
        <w:t>زندگینامۀ کلینی</w:t>
      </w:r>
      <w:bookmarkEnd w:id="17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کلینی رحمه الله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دیده به جهان گشود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زادگاه ایشان در زمان تولدش، از اهمیت والایی برخوردار بوده؛ تا آن‌جا که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زمان پس از بغداد، بزرگ‌تر از سایر شهرها دانسته‌اند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هیچ کدام از رجالیان و مورخان زادروز کلینی رحمه الله را مشخص نکرده‌اند، لیکن برخی آن را زمان حیات امام یازدهم، امام حسن عسکری علیه السلام، دانسته‌اند؛ </w:t>
      </w:r>
      <w:r>
        <w:rPr>
          <w:rStyle w:val="FootnoteAnchor"/>
          <w:rtl w:val="true"/>
        </w:rPr>
        <w:footnoteReference w:id="1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 العلوم، السید مهدی، فوائد الرجالیة،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مکتبة الصادق، تهران، چاپ اول،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برخی دیگر این سخن را بی وجه پنداشته‌اند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بعضی دیگر از دانشیان، با توجه به گفته محققی مانند ابن الاثیر جزری که مرحوم کلینی رحمه 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رأس سدۀ سوم هجری شمرده است، نتیجه گرفته‌اند که ایشان می‌بایست در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سن کمال بوده و مقداری بیش از چهل بهار بر وی گذشته باشد؛ یعنی در عصر امام عسکری علیه السلام متولد شده باشد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به هر رو، این مسئله چندان مهم نیست، بلکه مهم‌تر از آن، این است که ایشان در عصری بسیار پر حادثه، یعنی دوران غیبت صغرای امام زمان علیه السلام می‌زیسته و با زمان‌شناسی ستودنی خویش، توانسته رسالت خود را به بهترین شکل به انجام رساند و 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خوبی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خاندان کلینی رحمه الله گفتنی است که پدر بزرگوار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عالمان بزرگ دین بوده و هم اکنون نیز آرامگاه او در کلین، مشهور است و جز این، اطلاعی دیگر از او در دست نیست</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مادر ایشان، از خاندانی دانشمند بوده و نزدیکان وی، از قبیل جد و پدر، عمو و برادرش، همه از برگزیدگان و دانشوران بزرگ بوده‌اند</w:t>
      </w:r>
      <w:r>
        <w:rPr>
          <w:rFonts w:eastAsia="IRNazanin" w:cs="IRNazanin"/>
          <w:color w:val="111111"/>
          <w:sz w:val="28"/>
          <w:szCs w:val="28"/>
          <w:rtl w:val="true"/>
          <w:lang w:bidi="fa-IR"/>
        </w:rPr>
        <w:t xml:space="preserve">. </w:t>
      </w:r>
      <w:r>
        <w:rPr>
          <w:rStyle w:val="FootnoteAnchor"/>
          <w:rtl w:val="true"/>
        </w:rPr>
        <w:footnoteReference w:id="17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تباری بزرگ و دانشمند،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کلینی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خود پروریده و او را به عالم اسلام تقدیم کرده است</w:t>
      </w:r>
      <w:r>
        <w:rPr>
          <w:rFonts w:eastAsia="IRNazanin" w:cs="IRNazanin"/>
          <w:color w:val="111111"/>
          <w:sz w:val="28"/>
          <w:szCs w:val="28"/>
          <w:rtl w:val="true"/>
          <w:lang w:bidi="fa-IR"/>
        </w:rPr>
        <w:t xml:space="preserve">. </w:t>
      </w:r>
      <w:bookmarkStart w:id="177" w:name="pg14553_191780"/>
    </w:p>
    <w:p>
      <w:pPr>
        <w:pStyle w:val="Heading3"/>
        <w:numPr>
          <w:ilvl w:val="2"/>
          <w:numId w:val="1"/>
        </w:numPr>
        <w:rPr/>
      </w:pPr>
      <w:bookmarkStart w:id="178" w:name="__RefHeading___Toc651787_1878427129"/>
      <w:bookmarkStart w:id="179" w:name="_Toc68"/>
      <w:bookmarkEnd w:id="177"/>
      <w:bookmarkEnd w:id="178"/>
      <w:r>
        <w:rPr>
          <w:rtl w:val="true"/>
        </w:rPr>
        <w:t>ابعاد شخصیت کلینی</w:t>
      </w:r>
      <w:bookmarkEnd w:id="179"/>
    </w:p>
    <w:p>
      <w:pPr>
        <w:pStyle w:val="BookText"/>
        <w:rPr/>
      </w:pPr>
      <w:r>
        <w:rPr>
          <w:rFonts w:ascii="IRNazanin" w:hAnsi="IRNazanin" w:eastAsia="IRNazanin"/>
          <w:color w:val="111111"/>
          <w:sz w:val="28"/>
          <w:sz w:val="28"/>
          <w:szCs w:val="28"/>
          <w:rtl w:val="true"/>
          <w:lang w:bidi="fa-IR"/>
        </w:rPr>
        <w:t>می‌توان مدعی شد که شیخ کلینی رحمه الله از وثاقت و اعتبار کامل برخوردار بوده و شخصیت برجسته و چند بعدی ایشان، سبب شده که از دیرباز تا به حال، کسی از سیره نگاران سخنی در قدح وی نگوید و در عوض هر کس به گونه‌ای، او را مدح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نگاهی به دیدگاه‌های بزرگان دربارۀ ایشان می‌افکنیم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رجالی بزرگ شیعه مرحوم ابوالعباس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کلینی رحمه الله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کلینی، که علّان کلینی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شهری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دایی‌اش بوده است، استاد برجسته عالمان ما به روزگار خودش در 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موثق‌ترین مردم در حدیث گزاری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کتاب کافی را طی بیست سال نگاشته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ما تمام کتاب‌های ایشان را از گروهی از استادان خویش نقل کرده‌ایم</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کلینی،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کلینی، با کنیه ابوجعفر اعور، فردی والاقدر و آشنا به روایات است که تألیفات بسیاری از جمله کتاب معروف کافی دارد و ما کتاب‌های ایشان را در کتاب خود به نام الفهرست معرفی کرده‌ایم</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همو در الفهرست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کلینی که کنیه‌اش ابوجعفر است، فردی مورد وثوق و دانا به روایات است و کتاب‌هایی از جمله کافی دارد که شامل سی کتاب است و نخستین بخش آن، کتاب عقل و فضیلت علم نام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شیخ مفید محمد بن محمد بن نعمان راجع به تمام کتاب‌های ایشان برای ما گزارش کرده است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مرحوم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کلینی را ستوده است</w:t>
      </w:r>
      <w:r>
        <w:rPr>
          <w:rFonts w:eastAsia="IRNazanin" w:cs="IRNazanin"/>
          <w:color w:val="111111"/>
          <w:sz w:val="28"/>
          <w:szCs w:val="28"/>
          <w:rtl w:val="true"/>
          <w:lang w:bidi="fa-IR"/>
        </w:rPr>
        <w:t xml:space="preserve">. </w:t>
      </w:r>
      <w:r>
        <w:rPr>
          <w:rStyle w:val="FootnoteAnchor"/>
          <w:rtl w:val="true"/>
        </w:rPr>
        <w:footnoteReference w:id="18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مفید، اسطوانه بزرگ دیگر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ستایش کتاب </w:t>
      </w:r>
    </w:p>
    <w:p>
      <w:pPr>
        <w:pStyle w:val="BookText"/>
        <w:rPr/>
      </w:pPr>
      <w:r>
        <w:rPr>
          <w:rFonts w:ascii="IRNazanin" w:hAnsi="IRNazanin" w:eastAsia="IRNazanin"/>
          <w:color w:val="111111"/>
          <w:sz w:val="28"/>
          <w:sz w:val="28"/>
          <w:szCs w:val="28"/>
          <w:rtl w:val="true"/>
          <w:lang w:bidi="fa-IR"/>
        </w:rPr>
        <w:t xml:space="preserve">کافی ، آن را از بزرگ‌ترین کتاب‌های شیعه و پرفایده‌ترین آنها دانسته است </w:t>
      </w:r>
      <w:r>
        <w:rPr>
          <w:rStyle w:val="FootnoteAnchor"/>
          <w:rtl w:val="true"/>
        </w:rPr>
        <w:footnoteReference w:id="1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راد، محمد علی، نگاهی به جوامع حدیثی شیعه،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 درسی مرکز تربیت مدرس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گواه عظمت نویسنده کتاب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رجالیان متأخر شیعه نیز، هر کدام به نیکوترین شکل، کلینی را ستوده‌اند که به خاطر رعایت اختصار از بازگویی اقوالشان خودداری کرده، تنها منابع آن سخنان را یادآوری می‌کنیم</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دانشمندان رجالی معتبر اهل سنت نیز هر کدام به گونه‌ای از کلینی به عظمت و نیکی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کهن‌ترین منبعی که یافته‌ایم، مربوط به عبدالغنی بن سعید الازدی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کلینی رحمه الله را ستوده است</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پس از او، حافظ، ابن ماکولا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کلینی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کلینی به ضم کاف و لام مکسور و حرف یاء پیش از حرف نون، همان ابو جعفر محمد بن یعقوب کلینی رازی، از فقیهان و مؤلفان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احمد بن ابراهیم صیمری و دیگران از وی نقل حدیث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محله دروازه کوفه و در زنجیر در بغداد ساکن بوده و در همان شهر به سال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ق وفات یافته و در مقبره‌اش دروازه کوفه مدفون شده است</w:t>
      </w:r>
      <w:r>
        <w:rPr>
          <w:rFonts w:eastAsia="IRNazanin" w:cs="IRNazanin"/>
          <w:color w:val="111111"/>
          <w:sz w:val="28"/>
          <w:szCs w:val="28"/>
          <w:rtl w:val="true"/>
          <w:lang w:bidi="fa-IR"/>
        </w:rPr>
        <w:t xml:space="preserve">» .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کلینی آورده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که به او محمد بن علی ابو جعفر کلینی هم گفته می‌شود، از علمای شیعه بوده که به دمشق مسافرت کرده و در شهر بعلبک از ابو حسین محمد بن علی جعفری سمرقندی و محمد بن احمد بن خفاف نیشابوری و علی بن ابراهیم بن هاشم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نقل حدیث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عبدالغنی بن سعید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همان محمد بن یعقوب کلینی است که از مؤلفان شیعه است و طبق مکتب اهل بیت علیهم السلام می‌نگاشته است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تاریخ دمشق، ج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دارالفکر، بیروت،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سعادات، مبارک بن محمد 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دربارۀ کلینی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از جمله فقیهانی است که در سال سیصد هجری می‌زیسته و جزء عالمان شیعه بوده است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عز الدین، ابو الحسن 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این سال محمد بن یعقوب وفات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وی یکی از عالمان شیعی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با یاء نقطه دار در پایین آن و پس از آن حرف نون، با صدای کشیده تلفظ می‌شود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امام شمس الدین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کلینی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محمد بن یعقوب کلینی است که از سران دانشمندان شیعه در روزگار مقتدر عباسی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منسوب به کلین از شهرهای تابع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همو در کتاب‌های دیگرش نیز کلینی رحمه الله را به عظمت فراوان یاد کرده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صلاح الدین خلیل بن ایبک صفدی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کلینی گوید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شیعی مذهب، همان محمد بن یعقوب ابو جعفر کلینی، به ضم کاف و اماله لام است که پیش از یاء آخر، نون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اهل ری بوده تا هنگام درگذشتش در بغداد سکونت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فقیهان شیعه بوده که طبق مذهب آنان می‌نگاشته است</w:t>
      </w:r>
      <w:r>
        <w:rPr>
          <w:rFonts w:eastAsia="IRNazanin" w:cs="IRNazanin"/>
          <w:color w:val="111111"/>
          <w:sz w:val="28"/>
          <w:szCs w:val="28"/>
          <w:rtl w:val="true"/>
          <w:lang w:bidi="fa-IR"/>
        </w:rPr>
        <w:t xml:space="preserve">. </w:t>
      </w:r>
      <w:r>
        <w:rPr>
          <w:rStyle w:val="FootnoteAnchor"/>
          <w:rtl w:val="true"/>
        </w:rPr>
        <w:footnoteReference w:id="191"/>
      </w:r>
      <w:bookmarkStart w:id="180" w:name="pg14553_191783"/>
    </w:p>
    <w:p>
      <w:pPr>
        <w:pStyle w:val="BookText"/>
        <w:rPr/>
      </w:pPr>
      <w:bookmarkEnd w:id="180"/>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کلینی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محمد بن یعقوب کلینی رازی از فقیهان و مؤلفان شیعه بوده که به زنجیری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محله در زنجیر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سکونتش در زنجیر بغداد معروف شده است</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العسقلانی، تبصیر المنتبه،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737</w:t>
      </w:r>
      <w:r>
        <w:rPr>
          <w:rFonts w:ascii="IRNazanin" w:hAnsi="IRNazanin" w:eastAsia="IRNazanin"/>
          <w:color w:val="111111"/>
          <w:sz w:val="28"/>
          <w:sz w:val="28"/>
          <w:szCs w:val="28"/>
          <w:rtl w:val="true"/>
          <w:lang w:bidi="fa-IR"/>
        </w:rPr>
        <w:t xml:space="preserve">، المکتبة العلمیة، بیروت، بی تا؛ همو، لسان المیزان،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 xml:space="preserve">، رقم ترجمه </w:t>
      </w:r>
      <w:r>
        <w:rPr>
          <w:rFonts w:eastAsia="IRNazanin" w:cs="IRNazanin"/>
          <w:color w:val="111111"/>
          <w:sz w:val="28"/>
          <w:szCs w:val="28"/>
          <w:lang w:bidi="fa-IR"/>
        </w:rPr>
        <w:t>8277</w:t>
      </w:r>
      <w:r>
        <w:rPr>
          <w:rFonts w:ascii="IRNazanin" w:hAnsi="IRNazanin" w:eastAsia="IRNazanin"/>
          <w:color w:val="111111"/>
          <w:sz w:val="28"/>
          <w:sz w:val="28"/>
          <w:szCs w:val="28"/>
          <w:rtl w:val="true"/>
          <w:lang w:bidi="fa-IR"/>
        </w:rPr>
        <w:t>، دار احیاء التراث العربی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بیروت،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فیروز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رحمه الله را از فقهای شیعه شمرده است</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کلینی را جزء فقهای شیعه دانسته است</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خیر الدین 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کلینی را شیخ و رهبر شیعه در بغداد نامیده است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برخی از دانشیان غیر مسلمان مغرب زمین نیز از تمجید شیخ کلینی فروگذار نکرده‌اند </w:t>
      </w:r>
      <w:r>
        <w:rPr>
          <w:rStyle w:val="FootnoteAnchor"/>
          <w:rtl w:val="true"/>
        </w:rPr>
        <w:footnoteReference w:id="196"/>
      </w:r>
      <w:r>
        <w:rPr>
          <w:rFonts w:ascii="IRNazanin" w:hAnsi="IRNazanin" w:eastAsia="IRNazanin"/>
          <w:color w:val="111111"/>
          <w:sz w:val="28"/>
          <w:sz w:val="28"/>
          <w:szCs w:val="28"/>
          <w:rtl w:val="true"/>
          <w:lang w:bidi="fa-IR"/>
        </w:rPr>
        <w:t>که جای دقت بسیار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نقل قول‌های بالا این است که کلینی رحمه الله از شخصیت چند بعدی و والایی برخوردار بوده؛ بدان پایه که از نگاه رجالیان فرهیخته، وی به عنوان فقیه و حدیث نگاری استوارنگار، صاحب قلم، فاضل، پیشوا، مجدد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نامبردار گردیده است</w:t>
      </w:r>
      <w:r>
        <w:rPr>
          <w:rFonts w:eastAsia="IRNazanin" w:cs="IRNazanin"/>
          <w:color w:val="111111"/>
          <w:sz w:val="28"/>
          <w:szCs w:val="28"/>
          <w:rtl w:val="true"/>
          <w:lang w:bidi="fa-IR"/>
        </w:rPr>
        <w:t>.</w:t>
      </w:r>
    </w:p>
    <w:p>
      <w:pPr>
        <w:pStyle w:val="Heading3"/>
        <w:numPr>
          <w:ilvl w:val="2"/>
          <w:numId w:val="1"/>
        </w:numPr>
        <w:rPr/>
      </w:pPr>
      <w:bookmarkStart w:id="181" w:name="__RefHeading___Toc651789_1878427129"/>
      <w:bookmarkStart w:id="182" w:name="_Toc69"/>
      <w:bookmarkEnd w:id="181"/>
      <w:r>
        <w:rPr>
          <w:rtl w:val="true"/>
        </w:rPr>
        <w:t>فراگیری و فرادهی علمی</w:t>
      </w:r>
      <w:bookmarkEnd w:id="18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رقمی که در مورد مشایخ کلینی گزارش شده، چهل و هشت تن است</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در مورد شاگردان وی نیز شانزده نفر گزارش شده است</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برخی دیگر رقم شاگردان ایشان را بیست و سه نفر شمارش کرده‌اند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بررسی در مورد چهره‌هایی که به عنوان استادان و دانشجویان کلینی مطرح شده‌اند، می‌تواند گویای سخت‌کوشی ایشان در فراگیری و فرادهی علمی باشد؛ به </w:t>
      </w:r>
      <w:bookmarkStart w:id="183" w:name="pg14553_191784"/>
    </w:p>
    <w:p>
      <w:pPr>
        <w:pStyle w:val="BookText"/>
        <w:rPr/>
      </w:pPr>
      <w:bookmarkEnd w:id="183"/>
      <w:r>
        <w:rPr>
          <w:rFonts w:ascii="IRNazanin" w:hAnsi="IRNazanin" w:eastAsia="IRNazanin"/>
          <w:color w:val="111111"/>
          <w:sz w:val="28"/>
          <w:sz w:val="28"/>
          <w:szCs w:val="28"/>
          <w:rtl w:val="true"/>
          <w:lang w:bidi="fa-IR"/>
        </w:rPr>
        <w:t>ویژه اگر به کیفیت آموزش و دشواری‌های آن، در روزگار کلینی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دشواری‌های مورد نظر به سفرهای کلینی رحمه الله در عصر او باز می‌گردد</w:t>
      </w:r>
      <w:r>
        <w:rPr>
          <w:rFonts w:eastAsia="IRNazanin" w:cs="IRNazanin"/>
          <w:color w:val="111111"/>
          <w:sz w:val="28"/>
          <w:szCs w:val="28"/>
          <w:rtl w:val="true"/>
          <w:lang w:bidi="fa-IR"/>
        </w:rPr>
        <w:t>.</w:t>
      </w:r>
    </w:p>
    <w:p>
      <w:pPr>
        <w:pStyle w:val="Heading3"/>
        <w:numPr>
          <w:ilvl w:val="2"/>
          <w:numId w:val="1"/>
        </w:numPr>
        <w:rPr/>
      </w:pPr>
      <w:bookmarkStart w:id="184" w:name="__RefHeading___Toc651791_1878427129"/>
      <w:bookmarkStart w:id="185" w:name="_Toc70"/>
      <w:bookmarkEnd w:id="184"/>
      <w:r>
        <w:rPr>
          <w:rtl w:val="true"/>
        </w:rPr>
        <w:t>سفرهای کلینی</w:t>
      </w:r>
      <w:bookmarkEnd w:id="185"/>
    </w:p>
    <w:p>
      <w:pPr>
        <w:pStyle w:val="BookText"/>
        <w:rPr/>
      </w:pPr>
      <w:r>
        <w:rPr>
          <w:rFonts w:ascii="IRNazanin" w:hAnsi="IRNazanin" w:eastAsia="IRNazanin"/>
          <w:color w:val="111111"/>
          <w:sz w:val="28"/>
          <w:sz w:val="28"/>
          <w:szCs w:val="28"/>
          <w:rtl w:val="true"/>
          <w:lang w:bidi="fa-IR"/>
        </w:rPr>
        <w:t>شک نیست که هجرت یکی از عوامل تمدن ساز در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در زندگی شخصیت‌های دوران ساز نیز نقشی والا داشته 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قهرمان سخن ما، به دقت و صراحت، از سفرهایش یاد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شیخ طوسی رحمه الله، که به روزگار کلینی رحمه الله نزدیک بوده، یادآور شده که کلینی به سال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در بغداد حدیث گفته است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راد، محمدعلی، نگاهی به جوامع حدیثی شیعه،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جزوه درسی مرکز تربیت مدرس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بی‌تا به نقل از الاستبصار،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از این سخن نباید نتیجه گرفت که ایشان در اواخر عمرش به بغداد هجرت کرده و حداکثر به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زندگی را بدرود گفته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زیرا دست کم، مجدد نامیده شدن کلینی رحمه الله توسط ابن اثیر 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موجب این احتمال شود که وی بیش از یک سفر، به بغداد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بیان این نکته ضروری است که دقت در سخنان رجالیان نزدیک به روزگار کلینی رحمه الله ما را به این امر خستو می‌کند که کلینی سفرهای فراوانی به نقاط مختلف از جمله بغداد داشته است و اگر جز این بود، فراهم آوردن آثار علمی گوناگون به ویژه موسوعه حدیثی گسترده‌ای چون کافی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کرده که کافی ظرف بیست سال نگاشته شده، این نکته را می‌فهماند که کلینی رحمه الله در طول آن مدت به جمع آوری حدیث مشغول بوده است و چون کافی از تنوع و موضوعات گوناگون برخوردار بوده و نمی‌توانسته آن مجموعه به صورت آماده یک جا فراهم باشد، به ناچار کلینی مسافرت‌های فراوانی انجام داده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رجالیانی چون ابن ماکولا و ابن عساکر که به روزگار کلینی نزدیک بوده‌اند، به سفرهای ایشان به دمشق و بغداد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سخن ابن ماکولا که نقل شد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ینزل بباب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روشنی استمرار را </w:t>
      </w:r>
      <w:bookmarkStart w:id="186" w:name="pg14553_191785"/>
    </w:p>
    <w:p>
      <w:pPr>
        <w:pStyle w:val="BookText"/>
        <w:rPr/>
      </w:pPr>
      <w:bookmarkEnd w:id="186"/>
      <w:r>
        <w:rPr>
          <w:rFonts w:ascii="IRNazanin" w:hAnsi="IRNazanin" w:eastAsia="IRNazanin"/>
          <w:color w:val="111111"/>
          <w:sz w:val="28"/>
          <w:sz w:val="28"/>
          <w:szCs w:val="28"/>
          <w:rtl w:val="true"/>
          <w:lang w:bidi="fa-IR"/>
        </w:rPr>
        <w:t>فهمانده، گویای این است که کلینی بیش از یک سفر به بغداد کرده، و طی سفرهای مکررش به بغداد، تنها کانون عمده دانش در جهان اسلام در قرن‌های سوم و چهارم هجری، در دروازه کوفه اتراق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ملاحظۀ برخی شواهدی که بعضی از پژوهشگران معاصر یافته‌اند، تا براساس آنها نتیجه بگیرند که کلینی به خراسان، کوفه و حجاز سفر کرده بود و این امور از مطاوی برخی کلمات کلینی بر می‌آید، جالب توجه و ارزشمند است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فصل‌نامۀ علوم الحدیث،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پس از معرفی کوتاه کلینی طی فرازهای بالا و برداشتن یک گام عمده در شناخت وی و فهم اجمالی عقل گرایی او، باید به بخش دیگری بپردازی تا ضمن آن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 گوییم</w:t>
      </w:r>
      <w:r>
        <w:rPr>
          <w:rFonts w:eastAsia="IRNazanin" w:cs="IRNazanin"/>
          <w:color w:val="111111"/>
          <w:sz w:val="28"/>
          <w:szCs w:val="28"/>
          <w:rtl w:val="true"/>
          <w:lang w:bidi="fa-IR"/>
        </w:rPr>
        <w:t>:</w:t>
      </w:r>
    </w:p>
    <w:p>
      <w:pPr>
        <w:pStyle w:val="Heading3"/>
        <w:numPr>
          <w:ilvl w:val="2"/>
          <w:numId w:val="1"/>
        </w:numPr>
        <w:rPr/>
      </w:pPr>
      <w:bookmarkStart w:id="187" w:name="__RefHeading___Toc651793_1878427129"/>
      <w:bookmarkStart w:id="188" w:name="_Toc71"/>
      <w:bookmarkEnd w:id="187"/>
      <w:r>
        <w:rPr>
          <w:rtl w:val="true"/>
        </w:rPr>
        <w:t>تحدیث و تعقل</w:t>
      </w:r>
      <w:bookmarkEnd w:id="188"/>
    </w:p>
    <w:p>
      <w:pPr>
        <w:pStyle w:val="BookText"/>
        <w:rPr/>
      </w:pPr>
      <w:r>
        <w:rPr>
          <w:rFonts w:ascii="IRNazanin" w:hAnsi="IRNazanin" w:eastAsia="IRNazanin"/>
          <w:color w:val="111111"/>
          <w:sz w:val="28"/>
          <w:sz w:val="28"/>
          <w:szCs w:val="28"/>
          <w:rtl w:val="true"/>
          <w:lang w:bidi="fa-IR"/>
        </w:rPr>
        <w:t>در آینه کافی ، چهرۀ مرحوم کلینی به عنوان محدثی سترگ و کم‌نظیر، بل بی‌نظیر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می‌خواهیم ببینیم چگونه میان چنین شأنی را می‌توان با خردگرایی جمع کرد؟</w:t>
      </w:r>
    </w:p>
    <w:p>
      <w:pPr>
        <w:pStyle w:val="BookText"/>
        <w:rPr/>
      </w:pPr>
      <w:r>
        <w:rPr>
          <w:rFonts w:ascii="IRNazanin" w:hAnsi="IRNazanin" w:eastAsia="IRNazanin"/>
          <w:color w:val="111111"/>
          <w:sz w:val="28"/>
          <w:sz w:val="28"/>
          <w:szCs w:val="28"/>
          <w:rtl w:val="true"/>
          <w:lang w:bidi="fa-IR"/>
        </w:rPr>
        <w:t>به طور اصولی میان حدیث گزاری یعنی ظاهرگرایی با اندیشه ورزی ناسازگاری وجود دارد؛ زیرا مقتضای حدیث گروی، تعبد بدان و وانهادن پرسش گری از عقل و خلع آن از مسند داوری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خردگرایی در هر چهره‌ای که رخ نماید، عقل محوری و اندیشه سالاری را به همراه 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تقابل دو اندیشه ظاهرگرایی و عقل‌گرایی را اندکی به شرح‌تر در جای دیگر آورده‌ام، </w:t>
      </w:r>
      <w:r>
        <w:rPr>
          <w:rStyle w:val="FootnoteAnchor"/>
          <w:rtl w:val="true"/>
        </w:rPr>
        <w:footnoteReference w:id="202"/>
      </w:r>
      <w:r>
        <w:rPr>
          <w:rFonts w:ascii="IRNazanin" w:hAnsi="IRNazanin" w:eastAsia="IRNazanin"/>
          <w:color w:val="111111"/>
          <w:sz w:val="28"/>
          <w:sz w:val="28"/>
          <w:szCs w:val="28"/>
          <w:rtl w:val="true"/>
          <w:lang w:bidi="fa-IR"/>
        </w:rPr>
        <w:t>و این‌جا نیز مجال تفصیل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بیان این نکته را سودمند می‌دانم که تقریباً در طول تاریخ اسلام، حدیث‌گزاری با ظاهر گروی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کلینی به حق به عنوان یک استثنای مهم از آن قاعده و کبرای کلی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درستی و به حق نشان داد که تقابل یاد شدۀ دو اندیشه، تقابلی عَرَضی است نه ذاتی</w:t>
      </w:r>
      <w:r>
        <w:rPr>
          <w:rFonts w:eastAsia="IRNazanin" w:cs="IRNazanin"/>
          <w:color w:val="111111"/>
          <w:sz w:val="28"/>
          <w:szCs w:val="28"/>
          <w:rtl w:val="true"/>
          <w:lang w:bidi="fa-IR"/>
        </w:rPr>
        <w:t xml:space="preserve">. </w:t>
      </w:r>
      <w:bookmarkStart w:id="189" w:name="pg14553_191786"/>
    </w:p>
    <w:p>
      <w:pPr>
        <w:pStyle w:val="BookText"/>
        <w:rPr/>
      </w:pPr>
      <w:bookmarkEnd w:id="189"/>
      <w:r>
        <w:rPr>
          <w:rFonts w:ascii="IRNazanin" w:hAnsi="IRNazanin" w:eastAsia="IRNazanin"/>
          <w:color w:val="111111"/>
          <w:sz w:val="28"/>
          <w:sz w:val="28"/>
          <w:szCs w:val="28"/>
          <w:rtl w:val="true"/>
          <w:lang w:bidi="fa-IR"/>
        </w:rPr>
        <w:t>چه این‌که میان عقل و دین تباینی نیست و می‌توان محتوای دین را در ترازوی عقل به سنجش‌گری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سخن معصوم و پیراسته از ناسره و گزاف بوده، در معیار عقل برترین عیار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 تقابل عرضی که گفته شد، نتیجه کارکرد ذهن آن دسته از حدیث‌نگاران است که براساس قشری گوی خود، هم‌شأن عقل را از او ستانده‌اند و هم از ارزش حدیث به شدت کاسته‌اند</w:t>
      </w:r>
      <w:r>
        <w:rPr>
          <w:rFonts w:eastAsia="IRNazanin" w:cs="IRNazanin"/>
          <w:color w:val="111111"/>
          <w:sz w:val="28"/>
          <w:szCs w:val="28"/>
          <w:rtl w:val="true"/>
          <w:lang w:bidi="fa-IR"/>
        </w:rPr>
        <w:t>.</w:t>
      </w:r>
    </w:p>
    <w:p>
      <w:pPr>
        <w:pStyle w:val="Heading3"/>
        <w:numPr>
          <w:ilvl w:val="2"/>
          <w:numId w:val="1"/>
        </w:numPr>
        <w:rPr/>
      </w:pPr>
      <w:bookmarkStart w:id="190" w:name="__RefHeading___Toc651795_1878427129"/>
      <w:bookmarkStart w:id="191" w:name="_Toc72"/>
      <w:bookmarkEnd w:id="190"/>
      <w:r>
        <w:rPr>
          <w:rtl w:val="true"/>
        </w:rPr>
        <w:t>منزلت حدیث از نگاه شیعه</w:t>
      </w:r>
      <w:bookmarkEnd w:id="191"/>
    </w:p>
    <w:p>
      <w:pPr>
        <w:pStyle w:val="BookText"/>
        <w:rPr/>
      </w:pPr>
      <w:r>
        <w:rPr>
          <w:rFonts w:ascii="IRNazanin" w:hAnsi="IRNazanin" w:eastAsia="IRNazanin"/>
          <w:color w:val="111111"/>
          <w:sz w:val="28"/>
          <w:sz w:val="28"/>
          <w:szCs w:val="28"/>
          <w:rtl w:val="true"/>
          <w:lang w:bidi="fa-IR"/>
        </w:rPr>
        <w:t>می‌دانیم که حدیث به عنوان سخن عترت پیامبر اسلام صلی الله علیه و آله در کنار قرآن، مبین آن بوده، به عنوان دومین منبع شناخت دین، در ابعاد گوناگون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 هم به عنوان ابزار فهم و قرآن و حدیث و هم به عنوان منبع سوم شناخت، علاوه بر قرآن و حدیث، یک رشته آگاهی‌ها را در اختیار مجتهدان و پژوهشگران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آوری به حدیث، نباید به هیچ رو به مفهوم روگردانی از عقل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منابع سه گانه‌ای که نام برده شد، علاوه بر منبع چهارمی به نام اجماع، از دیدگاه اصولیان، به صورت عرضی و در مجموع منابع استنباط و فقاهت به شمار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کلینی آثار علمی متعدد داشته و طبق برخی گزارش‌ها رقم آنها به ده کتاب می‌رسیده است، </w:t>
      </w:r>
      <w:r>
        <w:rPr>
          <w:rStyle w:val="FootnoteAnchor"/>
          <w:rtl w:val="true"/>
        </w:rPr>
        <w:footnoteReference w:id="2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والکافی، ص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جز موسوعه بزرگ و با ارزش کافی ، کتاب‌های دیگر، اکنون در دست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کافی نیز تک نگاری‌ها و پژوهش‌های بسیار ارزشمندی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این‌جا، قصد دوباره کاری نداشته، تنها به بیان چند نکته تقریباً بدیع دربارۀ کافی می‌پردازیم</w:t>
      </w:r>
      <w:r>
        <w:rPr>
          <w:rFonts w:eastAsia="IRNazanin" w:cs="IRNazanin"/>
          <w:color w:val="111111"/>
          <w:sz w:val="28"/>
          <w:szCs w:val="28"/>
          <w:rtl w:val="true"/>
          <w:lang w:bidi="fa-IR"/>
        </w:rPr>
        <w:t>:</w:t>
      </w:r>
    </w:p>
    <w:p>
      <w:pPr>
        <w:pStyle w:val="Heading3"/>
        <w:numPr>
          <w:ilvl w:val="2"/>
          <w:numId w:val="1"/>
        </w:numPr>
        <w:rPr/>
      </w:pPr>
      <w:bookmarkStart w:id="192" w:name="__RefHeading___Toc651797_1878427129"/>
      <w:bookmarkStart w:id="193" w:name="_Toc73"/>
      <w:bookmarkEnd w:id="192"/>
      <w:r>
        <w:rPr>
          <w:rtl w:val="true"/>
        </w:rPr>
        <w:t>عقل گرایی در کافی</w:t>
      </w:r>
      <w:bookmarkEnd w:id="19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جای کافی ، نشان از خردگرایی مؤلف فرهیخته و اندیشه‌ورز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 که موضوع این پژوهش است، چندان برجسته است که جای انکار ندارد و ما </w:t>
      </w:r>
      <w:bookmarkStart w:id="194" w:name="pg14553_191787"/>
    </w:p>
    <w:p>
      <w:pPr>
        <w:pStyle w:val="BookText"/>
        <w:rPr/>
      </w:pPr>
      <w:bookmarkEnd w:id="194"/>
      <w:r>
        <w:rPr>
          <w:rFonts w:ascii="IRNazanin" w:hAnsi="IRNazanin" w:eastAsia="IRNazanin"/>
          <w:color w:val="111111"/>
          <w:sz w:val="28"/>
          <w:sz w:val="28"/>
          <w:szCs w:val="28"/>
          <w:rtl w:val="true"/>
          <w:lang w:bidi="fa-IR"/>
        </w:rPr>
        <w:t>در ادامه گفتار، به مناسبت هر موضوع و به صورت منظم، مواردی از خردورزی کلینی در کافی را نشان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باید بر این ویژگی کافی انگشت نهاد، که این کتاب از دقت فوق العاده و امانت در گزارش احادیث برخوردار بوده، اسناد روایات را به طور کامل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جهت نبوده که عنوان پرافتخار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آن استوار نگاری کم نظیر، نصیب کلینی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توفیق بزرگ الهی بی دلیل قریب محدث بزرگ شیعه نشده است؛ بلکه با توجه به وضعیت دشوار ارتباطات در عصر او و مشکلات فراوان آن روزگار، چنین وثاقت و امانت ورزی، حاصل خون دل‌های بسیار، رنج‌های جانکاه فراوان و مجاهدت‌های دامنه‌دار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دست مریزاد و آفرین بر آن همه افتخار آفرینی در عرصۀ پژوهش و فرهنگ</w:t>
      </w:r>
      <w:r>
        <w:rPr>
          <w:rFonts w:eastAsia="IRNazanin" w:cs="IRNazanin"/>
          <w:color w:val="111111"/>
          <w:sz w:val="28"/>
          <w:szCs w:val="28"/>
          <w:rtl w:val="true"/>
          <w:lang w:bidi="fa-IR"/>
        </w:rPr>
        <w:t>.</w:t>
      </w:r>
    </w:p>
    <w:p>
      <w:pPr>
        <w:pStyle w:val="Heading3"/>
        <w:numPr>
          <w:ilvl w:val="2"/>
          <w:numId w:val="1"/>
        </w:numPr>
        <w:rPr/>
      </w:pPr>
      <w:bookmarkStart w:id="195" w:name="__RefHeading___Toc651799_1878427129"/>
      <w:bookmarkStart w:id="196" w:name="_Toc74"/>
      <w:bookmarkEnd w:id="195"/>
      <w:r>
        <w:rPr>
          <w:rtl w:val="true"/>
        </w:rPr>
        <w:t>کیفیت و کمیت زمان نگارش</w:t>
      </w:r>
      <w:bookmarkEnd w:id="196"/>
    </w:p>
    <w:p>
      <w:pPr>
        <w:pStyle w:val="BookText"/>
        <w:rPr/>
      </w:pPr>
      <w:r>
        <w:rPr>
          <w:rFonts w:ascii="IRNazanin" w:hAnsi="IRNazanin" w:eastAsia="IRNazanin"/>
          <w:color w:val="111111"/>
          <w:sz w:val="28"/>
          <w:sz w:val="28"/>
          <w:szCs w:val="28"/>
          <w:rtl w:val="true"/>
          <w:lang w:bidi="fa-IR"/>
        </w:rPr>
        <w:t>زمان نگارش کافی از نظر کمی و کیفی، ویژگی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کمی، زمانی طولانی در حدود دو دهه را در بر می‌گرفته است و از نظر کیفی نیز زمانی کاملاً بحرانی و پرماجرا، یعنی زمان غیبت صغرای امام زمان علیه السلام بوده است که دربارۀ آن بعداً، گفتگو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نگارش کافی نیز، آن‌گونه که در مقدمۀ آن از زبان مؤلف گرانقدرش آمده است، بسیار مهم و با ارزش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نگارنده، استوارنگاری و عرضۀ مجموعه‌ای صحیح و سودمند برای رفتار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می‌خواسته اثری پدید آورد که پیراسته و متقن بوده، برخلاف جوامع و منابع حدیثی تا آن روزگار، علاوه بر جامعیت، از روایات ضعیف و غیرقابل اعتماد تهی باشد و باید گفت، در مجموع، کلینی به خوبی از عهدۀ این امر برآمده و توانسته آرمان خود را از نگارش کافی محقق سازد</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محقق کرکی دربارۀ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الوفاء، 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همان، ج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شهید اول دربارۀ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ج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علامه محمدتقی مجلسی دربارۀ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الوافی،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bookmarkStart w:id="197" w:name="pg14553_191788"/>
    </w:p>
    <w:p>
      <w:pPr>
        <w:pStyle w:val="BookText"/>
        <w:rPr/>
      </w:pPr>
      <w:bookmarkEnd w:id="197"/>
      <w:r>
        <w:rPr>
          <w:rFonts w:ascii="IRNazanin" w:hAnsi="IRNazanin" w:eastAsia="IRNazanin"/>
          <w:color w:val="111111"/>
          <w:sz w:val="28"/>
          <w:sz w:val="28"/>
          <w:szCs w:val="28"/>
          <w:rtl w:val="true"/>
          <w:lang w:bidi="fa-IR"/>
        </w:rPr>
        <w:t>بهره‌گیری از منابع نخستین و کهن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 اعتبار کافی به صورتی فوق‌العاده افزوده است، دسترسی کلینی به منابع کهن و دست اول روایی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 تمام گزارش‌ها و حدیث‌گزاری‌ها براساس متونی بوده که همه در اختیار کلینی و دست اول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نیست که فراهم آمدن کافی از منابع اولیه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صحابیان ائمه علیهم السلام بزرگ‌ترین خدمت به فرهنگ با ارزش اسلام و شیعه بوده است؛ چه این‌که بدین ترتیب، یک پایانۀ علمی و اطلاعاتی غنی و موثق از آثار کهن و پراکنده روایی، سامان گرفته و از میان رفتن منابع یاد شده، به طور عمده، طی رخدادهای تاریخی، مشکل خاصی را پدید نیاورده است</w:t>
      </w:r>
      <w:r>
        <w:rPr>
          <w:rFonts w:eastAsia="IRNazanin" w:cs="IRNazanin"/>
          <w:color w:val="111111"/>
          <w:sz w:val="28"/>
          <w:szCs w:val="28"/>
          <w:rtl w:val="true"/>
          <w:lang w:bidi="fa-IR"/>
        </w:rPr>
        <w:t>.</w:t>
      </w:r>
    </w:p>
    <w:p>
      <w:pPr>
        <w:pStyle w:val="Heading3"/>
        <w:numPr>
          <w:ilvl w:val="2"/>
          <w:numId w:val="1"/>
        </w:numPr>
        <w:rPr/>
      </w:pPr>
      <w:bookmarkStart w:id="198" w:name="__RefHeading___Toc651801_1878427129"/>
      <w:bookmarkStart w:id="199" w:name="_Toc75"/>
      <w:bookmarkEnd w:id="198"/>
      <w:r>
        <w:rPr>
          <w:rtl w:val="true"/>
        </w:rPr>
        <w:t>روزگار کلینی</w:t>
      </w:r>
      <w:bookmarkEnd w:id="199"/>
    </w:p>
    <w:p>
      <w:pPr>
        <w:pStyle w:val="Heading4"/>
        <w:numPr>
          <w:ilvl w:val="3"/>
          <w:numId w:val="1"/>
        </w:numPr>
        <w:rPr/>
      </w:pPr>
      <w:bookmarkStart w:id="200" w:name="__RefHeading___Toc651803_1878427129"/>
      <w:bookmarkStart w:id="201" w:name="_Toc76"/>
      <w:bookmarkEnd w:id="200"/>
      <w:r>
        <w:rPr>
          <w:rtl w:val="true"/>
        </w:rPr>
        <w:t>اشارة</w:t>
      </w:r>
      <w:bookmarkEnd w:id="201"/>
    </w:p>
    <w:p>
      <w:pPr>
        <w:pStyle w:val="BookText"/>
        <w:rPr/>
      </w:pPr>
      <w:r>
        <w:rPr>
          <w:rFonts w:ascii="IRNazanin" w:hAnsi="IRNazanin" w:eastAsia="IRNazanin"/>
          <w:color w:val="111111"/>
          <w:sz w:val="28"/>
          <w:sz w:val="28"/>
          <w:szCs w:val="28"/>
          <w:rtl w:val="true"/>
          <w:lang w:bidi="fa-IR"/>
        </w:rPr>
        <w:t>به منظور فهم ارزش تلاش علمی کلینی و عقل گرایی ایشان، آشنایی با روزگار وی،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این راه می‌توان تا حد زیادی خطوط اصلی شخصیت کلینی را تشخیص داده، به عمق مجاهدات وی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دورۀ عمر کلینی در عصر غیبت صغرای امام زمان علیه السلام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عصر به طور کلی از نظر اجتماعی، سیاسی و فرهنگی ویژگی‌هایی داشته که به روشن‌بینی کلینی و عقل‌گرایی او یاری بسیاری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بیان ویژگی‌های یاد شده می‌پردازیم، تا ضمن قدرشناسی از عالمان نستوه آن دوره، به برخی شبهات مربوط به این موضوع نیز، پاسخی گفته باشیم</w:t>
      </w:r>
      <w:r>
        <w:rPr>
          <w:rFonts w:eastAsia="IRNazanin" w:cs="IRNazanin"/>
          <w:color w:val="111111"/>
          <w:sz w:val="28"/>
          <w:szCs w:val="28"/>
          <w:rtl w:val="true"/>
          <w:lang w:bidi="fa-IR"/>
        </w:rPr>
        <w:t>:</w:t>
      </w:r>
    </w:p>
    <w:p>
      <w:pPr>
        <w:pStyle w:val="Heading4"/>
        <w:numPr>
          <w:ilvl w:val="3"/>
          <w:numId w:val="1"/>
        </w:numPr>
        <w:rPr/>
      </w:pPr>
      <w:bookmarkStart w:id="202" w:name="__RefHeading___Toc651805_1878427129"/>
      <w:bookmarkStart w:id="203" w:name="_Toc77"/>
      <w:bookmarkEnd w:id="202"/>
      <w:r>
        <w:rPr/>
        <w:t>1</w:t>
      </w:r>
      <w:r>
        <w:rPr>
          <w:rtl w:val="true"/>
        </w:rPr>
        <w:t xml:space="preserve">. </w:t>
      </w:r>
      <w:r>
        <w:rPr>
          <w:rtl w:val="true"/>
        </w:rPr>
        <w:t>عصر حیات</w:t>
      </w:r>
      <w:bookmarkEnd w:id="203"/>
    </w:p>
    <w:p>
      <w:pPr>
        <w:pStyle w:val="BookText"/>
        <w:rPr/>
      </w:pPr>
      <w:r>
        <w:rPr>
          <w:rFonts w:ascii="IRNazanin" w:hAnsi="IRNazanin" w:eastAsia="IRNazanin"/>
          <w:color w:val="111111"/>
          <w:sz w:val="28"/>
          <w:sz w:val="28"/>
          <w:szCs w:val="28"/>
          <w:rtl w:val="true"/>
          <w:lang w:bidi="fa-IR"/>
        </w:rPr>
        <w:t xml:space="preserve">دوران غیبت صغرا دورۀ حیرت نامیده است؛ </w:t>
      </w:r>
      <w:r>
        <w:rPr>
          <w:rStyle w:val="FootnoteAnchor"/>
          <w:rtl w:val="true"/>
        </w:rPr>
        <w:footnoteReference w:id="2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طباطبایی، حسین، مکتب در فرآیند تکامل،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مؤسسۀ انتشاراتی داروین، نیوجرسی آمریکا،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نیز مجلسی، محمدباقر، بحار الانوار، 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مؤسسة الوفاء، 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نیز ابی جعفر الصدوق، کمال الدین، ص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مؤسسة الاعلمی للمطبوعات، بیروت،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شیعه در سرگردانی عجیبی به سر می‌برده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که اصل مسئلۀ غیبت امام زمان علیه السلام و نیز طولانی شدن</w:t>
      </w:r>
      <w:bookmarkStart w:id="204" w:name="pg14553_191789"/>
    </w:p>
    <w:p>
      <w:pPr>
        <w:pStyle w:val="BookText"/>
        <w:rPr/>
      </w:pPr>
      <w:bookmarkEnd w:id="204"/>
      <w:r>
        <w:rPr>
          <w:rFonts w:ascii="IRNazanin" w:hAnsi="IRNazanin" w:eastAsia="IRNazanin"/>
          <w:color w:val="111111"/>
          <w:sz w:val="28"/>
          <w:sz w:val="28"/>
          <w:szCs w:val="28"/>
          <w:rtl w:val="true"/>
          <w:lang w:bidi="fa-IR"/>
        </w:rPr>
        <w:t>زمان آن‌که از چهل سال فراتر رفته بوده است، تردیدهایی را برانگیخته، معضلات اعتقادی و بحران‌هایی اجتماعی را سبب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دقت‌های عالمانه‌ای در روایات مربوط به امام زمان علیه السلام را می‌طلبیده و از این رو برخی از عالمان بزرگ آن دوره، کتاب‌های مستقلی در این موضوع نگاشته‌اند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الامامة والتبصرة من الحیرة، از علی بن بابویه، پدر شیخ صدوق و الغیبة وکشف الحیرة، از محمد بن احمدصفوانی والغیبة وکشف الحیرة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جلد اول کمال الدین، ص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نیز همو، الخصال از سلامة بن محمد ارزنی و کتاب الغیبة والحیرة، از عبداللّه بن جعفر حمیری، نجاشی از این چند کتاب، در رجال خویش به ترتیب در صفحه‌های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کامل کتاب کمال الدین صدوق نیز کمال الدین وتمام النعمة فی اثبات الغیبة وکشف الحیرة،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مؤسسة الاعلمی للمطبوعات، بیروت،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 نیز همو، عیون اخبار الرضا،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مؤسسة الاعلمی للمطبوعات، بیروت،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روزگاری، دفاع از حریم امامت، تشیع و حدیث، کار بسیار دشواری بوده، که عالمان متعهدی چونان کلینی عهده‌دار آن گردیده، در مقابل طعن و طرد دشمنان گوناگون تشیع، جانانه مقاومت کرده‌اند</w:t>
      </w:r>
      <w:r>
        <w:rPr>
          <w:rFonts w:eastAsia="IRNazanin" w:cs="IRNazanin"/>
          <w:color w:val="111111"/>
          <w:sz w:val="28"/>
          <w:szCs w:val="28"/>
          <w:rtl w:val="true"/>
          <w:lang w:bidi="fa-IR"/>
        </w:rPr>
        <w:t>.</w:t>
      </w:r>
    </w:p>
    <w:p>
      <w:pPr>
        <w:pStyle w:val="Heading4"/>
        <w:numPr>
          <w:ilvl w:val="3"/>
          <w:numId w:val="1"/>
        </w:numPr>
        <w:rPr/>
      </w:pPr>
      <w:bookmarkStart w:id="205" w:name="__RefHeading___Toc651807_1878427129"/>
      <w:bookmarkStart w:id="206" w:name="_Toc78"/>
      <w:bookmarkEnd w:id="205"/>
      <w:r>
        <w:rPr/>
        <w:t>2</w:t>
      </w:r>
      <w:r>
        <w:rPr>
          <w:rtl w:val="true"/>
        </w:rPr>
        <w:t xml:space="preserve">. </w:t>
      </w:r>
      <w:r>
        <w:rPr>
          <w:rtl w:val="true"/>
        </w:rPr>
        <w:t>اختلافات فرقه‌ای</w:t>
      </w:r>
      <w:bookmarkEnd w:id="206"/>
    </w:p>
    <w:p>
      <w:pPr>
        <w:pStyle w:val="BookText"/>
        <w:rPr/>
      </w:pPr>
      <w:r>
        <w:rPr>
          <w:rFonts w:ascii="IRNazanin" w:hAnsi="IRNazanin" w:eastAsia="IRNazanin"/>
          <w:color w:val="111111"/>
          <w:sz w:val="28"/>
          <w:sz w:val="28"/>
          <w:szCs w:val="28"/>
          <w:rtl w:val="true"/>
          <w:lang w:bidi="fa-IR"/>
        </w:rPr>
        <w:t>پس از شهادت امام حسن عسکری علیه السلام، جامعه شیعه دچار تفرقه درونی بسیار شدیدی گردیده، فرقه‌های گوناگونی پدید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اساسی دو گروه اصلی یکی طرفدار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برادر امام عسکری علیه السلام و دیگری طرفدار امامت حضرت مهدی علیه السلام فرزند امام عسکری علیه السلام شدند و گروه‌های فرعی‌تر که تا بیست فرقه نیز گفته شده، نابسامانی عجیبی را بر جامعه شیعی تحمیل کرد</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نیز، برطرف کردن ریشه‌ای اختلافات و پایان دادن به درگیری‌ها، فهم درستی از احادیث مربوط به حضرت مهدی علیه السلام را طلب می‌کرد، تا حقانیت شیعه اثنی عشری به اثبات رسیده، نادرستی ادعاهای برخی دیگر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نیز، به دست توانای محدثان والا مقام شیعه در آن دوره، انجام گرفت </w:t>
      </w:r>
      <w:r>
        <w:rPr>
          <w:rStyle w:val="FootnoteAnchor"/>
          <w:rtl w:val="true"/>
        </w:rPr>
        <w:footnoteReference w:id="208"/>
      </w:r>
      <w:r>
        <w:rPr>
          <w:rFonts w:ascii="IRNazanin" w:hAnsi="IRNazanin" w:eastAsia="IRNazanin"/>
          <w:color w:val="111111"/>
          <w:sz w:val="28"/>
          <w:sz w:val="28"/>
          <w:szCs w:val="28"/>
          <w:rtl w:val="true"/>
          <w:lang w:bidi="fa-IR"/>
        </w:rPr>
        <w:t>و سهم کلینی در این میان بسیار بود که اکنون جای شرح آن نیست</w:t>
      </w:r>
      <w:r>
        <w:rPr>
          <w:rFonts w:eastAsia="IRNazanin" w:cs="IRNazanin"/>
          <w:color w:val="111111"/>
          <w:sz w:val="28"/>
          <w:szCs w:val="28"/>
          <w:rtl w:val="true"/>
          <w:lang w:bidi="fa-IR"/>
        </w:rPr>
        <w:t xml:space="preserve">. </w:t>
      </w:r>
      <w:bookmarkStart w:id="207" w:name="pg14553_191790"/>
    </w:p>
    <w:p>
      <w:pPr>
        <w:pStyle w:val="Heading4"/>
        <w:numPr>
          <w:ilvl w:val="3"/>
          <w:numId w:val="1"/>
        </w:numPr>
        <w:rPr/>
      </w:pPr>
      <w:bookmarkStart w:id="208" w:name="__RefHeading___Toc651809_1878427129"/>
      <w:bookmarkStart w:id="209" w:name="_Toc79"/>
      <w:bookmarkEnd w:id="207"/>
      <w:bookmarkEnd w:id="208"/>
      <w:r>
        <w:rPr/>
        <w:t>3</w:t>
      </w:r>
      <w:r>
        <w:rPr>
          <w:rtl w:val="true"/>
        </w:rPr>
        <w:t xml:space="preserve">. </w:t>
      </w:r>
      <w:r>
        <w:rPr>
          <w:rtl w:val="true"/>
        </w:rPr>
        <w:t>عصر اجتهاد</w:t>
      </w:r>
      <w:bookmarkEnd w:id="209"/>
    </w:p>
    <w:p>
      <w:pPr>
        <w:pStyle w:val="BookText"/>
        <w:rPr/>
      </w:pPr>
      <w:r>
        <w:rPr>
          <w:rFonts w:ascii="IRNazanin" w:hAnsi="IRNazanin" w:eastAsia="IRNazanin"/>
          <w:color w:val="111111"/>
          <w:sz w:val="28"/>
          <w:sz w:val="28"/>
          <w:szCs w:val="28"/>
          <w:rtl w:val="true"/>
          <w:lang w:bidi="fa-IR"/>
        </w:rPr>
        <w:t>ویژگی دیگر عصر غیبت آن بوده که اجتهاد به طور جدی و عمده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دلیل غیبت امام عصر علیه السلام و دسترسی نداشتن به ایشان، برای برآورده کردن نیازهای جامعه، راهی جز اجتهاد و پیدا کردن حکم مسائل جدید در پرتو اصل،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مورد پسند ائمه علیهم السلام نیز بوده است؛ </w:t>
      </w:r>
      <w:r>
        <w:rPr>
          <w:rStyle w:val="FootnoteAnchor"/>
          <w:rtl w:val="true"/>
        </w:rPr>
        <w:footnoteReference w:id="2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توقیع مشهور امام زمان علیه السلام که شیعه را در مسائل تازه به راویان احادیث ارجاع داده‌اند،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پیداست که خوداتکایی مجتهدان و مراجعۀ تودۀ مردم به آنها، مستلزم بهره‌گیری جدی آنان از عقل برای تبلور بخشیدن به اجتهاد و فقاهت بوده و به هیچ رو قشری‌نگری، سلفی‌گری و تقلید برای ایشان روا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کلینی به خصوص، خواهیم دید که چگونه شخصیت فقهی وی، حتی در موسوعه حدیثی کافی به نمایش آمده است</w:t>
      </w:r>
      <w:r>
        <w:rPr>
          <w:rFonts w:eastAsia="IRNazanin" w:cs="IRNazanin"/>
          <w:color w:val="111111"/>
          <w:sz w:val="28"/>
          <w:szCs w:val="28"/>
          <w:rtl w:val="true"/>
          <w:lang w:bidi="fa-IR"/>
        </w:rPr>
        <w:t>.</w:t>
      </w:r>
    </w:p>
    <w:p>
      <w:pPr>
        <w:pStyle w:val="Heading4"/>
        <w:numPr>
          <w:ilvl w:val="3"/>
          <w:numId w:val="1"/>
        </w:numPr>
        <w:rPr/>
      </w:pPr>
      <w:bookmarkStart w:id="210" w:name="__RefHeading___Toc651811_1878427129"/>
      <w:bookmarkStart w:id="211" w:name="_Toc80"/>
      <w:bookmarkEnd w:id="210"/>
      <w:r>
        <w:rPr/>
        <w:t>4</w:t>
      </w:r>
      <w:r>
        <w:rPr>
          <w:rtl w:val="true"/>
        </w:rPr>
        <w:t xml:space="preserve">. </w:t>
      </w:r>
      <w:r>
        <w:rPr>
          <w:rtl w:val="true"/>
        </w:rPr>
        <w:t>نگاهی به مدرسه قم</w:t>
      </w:r>
      <w:bookmarkEnd w:id="211"/>
    </w:p>
    <w:p>
      <w:pPr>
        <w:pStyle w:val="BookText"/>
        <w:rPr/>
      </w:pPr>
      <w:r>
        <w:rPr>
          <w:rFonts w:ascii="IRNazanin" w:hAnsi="IRNazanin" w:eastAsia="IRNazanin"/>
          <w:color w:val="111111"/>
          <w:sz w:val="28"/>
          <w:sz w:val="28"/>
          <w:szCs w:val="28"/>
          <w:rtl w:val="true"/>
          <w:lang w:bidi="fa-IR"/>
        </w:rPr>
        <w:t>ویژگی دیگر روزگار کلینی وجود مدرسه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پرافتخار قم بوده که علی القاعده می‌بایست او پس از کلین و ری، بهره بسیاری از آن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مدرسه قم را در مقابل مدرسه بغداد قرار داده، اولی را ظاهرگرا و عقل گریز و دومی را ژرفانگر و خردگرا دانسته‌اند</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برخی دیگر نیز اصلی‌ترین ویژگی مدرسه قم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بشنوید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و راویان حدیث مدرسه قم که در آن دوره مرکز اصلی و عمدۀ علمی شیعه بود به شدت نسبت به بسط و رخنه افکار و آثار مفوضه عکس العمل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با تمام قوا می‌کوشیدند جلوی سیل عظیم ادبیات غلات را که به </w:t>
      </w:r>
    </w:p>
    <w:p>
      <w:pPr>
        <w:pStyle w:val="BookText"/>
        <w:rPr/>
      </w:pPr>
      <w:r>
        <w:rPr>
          <w:rFonts w:ascii="IRNazanin" w:hAnsi="IRNazanin" w:eastAsia="IRNazanin"/>
          <w:color w:val="111111"/>
          <w:sz w:val="28"/>
          <w:sz w:val="28"/>
          <w:szCs w:val="28"/>
          <w:rtl w:val="true"/>
          <w:lang w:bidi="fa-IR"/>
        </w:rPr>
        <w:t>سرعت گسترش می‌یافت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قم تصمیم گرفتند که هر کس را که به ائمه نسبت فوق بشری بدهد به عنوان غالی معرفی نمایند و چنین کسان را از شهر خود اخراج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متعددی از راویان حدیث به خاطر آن‌که آن‌گونه مطالب را روایت کرده بودندب، در نیمه اول قرن سوم از قم اخراج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دانشمندان حوزه قم که در این دوره عالی‌ترین مقام و مرجع علمی جامعۀ شیعه بودند، تا پایان قرن چهارم، با قدرت و شدت، ضد مفوضه باقی مانده و با انتساب هر گونه وصف فوق بشری به ائمه، برخورد سخت می‌کردند</w:t>
      </w:r>
      <w:r>
        <w:rPr>
          <w:rFonts w:eastAsia="IRNazanin" w:cs="IRNazanin"/>
          <w:color w:val="111111"/>
          <w:sz w:val="28"/>
          <w:szCs w:val="28"/>
          <w:rtl w:val="true"/>
          <w:lang w:bidi="fa-IR"/>
        </w:rPr>
        <w:t xml:space="preserve">. . . . </w:t>
      </w:r>
      <w:r>
        <w:rPr>
          <w:rStyle w:val="FootnoteAnchor"/>
          <w:rtl w:val="true"/>
        </w:rPr>
        <w:footnoteReference w:id="2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در فرآیند تکامل، 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نیز شنیدنی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بخش‌هایی از مواریث فکری مفوضه از اواخر قرن چهارم در سنت علمی شیعه رخنه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تدریج مقبولیت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مجامیع حدیثی مدت‌ها ظهور یافته و حضور چشم‌گیری پیدا کرده بود؛ به خصوص در مجامیع بزرگ، مانند کتاب کافی که به خاطر بزرگی و گستردگی آن، ناچار احادیث ضعیف زیادی هم در آن راه یافته و حتی به نقل برخی بزرگان از کل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آن </w:t>
      </w:r>
      <w:r>
        <w:rPr>
          <w:rFonts w:eastAsia="IRNazanin" w:cs="IRNazanin"/>
          <w:color w:val="111111"/>
          <w:sz w:val="28"/>
          <w:szCs w:val="28"/>
          <w:lang w:bidi="fa-IR"/>
        </w:rPr>
        <w:t>9485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ضعیف و غیر معتبر است</w:t>
      </w:r>
      <w:r>
        <w:rPr>
          <w:rFonts w:eastAsia="IRNazanin" w:cs="IRNazanin"/>
          <w:color w:val="111111"/>
          <w:sz w:val="28"/>
          <w:szCs w:val="28"/>
          <w:rtl w:val="true"/>
          <w:lang w:bidi="fa-IR"/>
        </w:rPr>
        <w:t xml:space="preserve">» .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گمان می‌رود در غلوستیزی مدرسه قم و طعن زدن در کافی 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رویارو قرار دادن دو حوزه شیعی قم و بغداد، مقرون حقیقت است و نه نسبت غلوستیزی به مدرسه قم آن‌گونه بوده که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قم و بغداد، بعداً، اندکی بحث می‌شود و اکنون می‌گوییم ماهیت اندیشه عقل‌گرای شیعه به طور اصولی ایجاب می‌کرده که هیچ ستیزی با عقل نداشته باشد و دلیل خاصی نیز برای تفکیک اندیشه مدرسه قم و بغداد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اخباری‌گری در شیعه را، باید استثنایی دانست که در گرو شرایط ویژه‌ای بوده است؛ اما در مورد مدرسه قم، وضعیت از نظر تاریخی آن گونه نبوده که در سده‌های سوم و چهارم، عقل گریز نامیده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بزرگان مدرسه قم،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نمی‌توان مدعی شد که هم و غم </w:t>
      </w:r>
    </w:p>
    <w:p>
      <w:pPr>
        <w:pStyle w:val="BookText"/>
        <w:rPr/>
      </w:pPr>
      <w:r>
        <w:rPr>
          <w:rFonts w:ascii="IRNazanin" w:hAnsi="IRNazanin" w:eastAsia="IRNazanin"/>
          <w:color w:val="111111"/>
          <w:sz w:val="28"/>
          <w:sz w:val="28"/>
          <w:szCs w:val="28"/>
          <w:rtl w:val="true"/>
          <w:lang w:bidi="fa-IR"/>
        </w:rPr>
        <w:t>اصلی خود را مبارزه با تفویض و غلو می‌دانسته و می‌کوشیده‌اند ائمه علیهم السلام را افرادی عادی معرفی کنند؛ زیرا مقامات گوناگونی که برای ائمه علیهم السلام منظور می‌شود، به گونه‌ای تحت الشعاع عصمت و نصب الهی امام قرار دارند و هنگامی که این دو امر پذیرفته شود، پذیرش برخی مسائل دیگر، از قبیل اعجاز و دخل و تصرف در طبیعت، نباید غلو نامیده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صدوق رحمه الله در مورد نصب الهی و عصمت امام تأکید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فرمودۀ خدای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خدای تو به فرشتگان گفت می‌خواهم روی زمین خلیفه‌ای قرار 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کسی که دلش پاک باشد شایستگی مقام خلافت را دارد تا امین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فرد آلوده‌ای در نظر گرفته شود به مردم خیانت خواهد کرد؛ زیرا به عنوان مثال اگر دلالی باربر خیانتکاری را به بازرگانی معرفی کند تا کالایی را جابه جا کند و آن فرد خیانت کند، دلال خائن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چگونه خیانتگری بر خدا رواست؟ </w:t>
      </w:r>
      <w:r>
        <w:rPr>
          <w:rStyle w:val="FootnoteAnchor"/>
          <w:rtl w:val="true"/>
        </w:rPr>
        <w:footnoteReference w:id="2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عصمت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که در سخن هر کسی احتمالاتی هست، اما بسیاری از آیات قرآن و سنت، بنابر اجماع فرقه‌های اسلامی، صحیح و صریح بوده تغییرناپذیر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ضروری است کسی که از دروغ و خطا در امان باشد آورنده قرآن و سنت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اگر به چنین فردی نیاز باشد، نباید دروغگو باشد تا اهداف خدا در قرآن و اهداف پیامبر صلی الله علیه و آله در سنت را به راستی گزارش کند و اگر چنین چیزی واجب باشد، باید او معصوم باشد</w:t>
      </w:r>
      <w:r>
        <w:rPr>
          <w:rFonts w:eastAsia="IRNazanin" w:cs="IRNazanin"/>
          <w:color w:val="111111"/>
          <w:sz w:val="28"/>
          <w:szCs w:val="28"/>
          <w:rtl w:val="true"/>
          <w:lang w:bidi="fa-IR"/>
        </w:rPr>
        <w:t>. . .»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گذشت، قرآن نیاز به ترجمانی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باید قرآن را تفسیر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باید معصوم باشد تا پذیرش سخن او لازم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عصمت، مفسر ضروری باشد، امت نمی‌تواند عهده‌دار این امر باشد؛ زیرا خود دچار اختلاف‌اند و برخی، برخی را تکفیر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ثابت شدن این امر، ضرورتاً، معصوم، فقط کسی است که از او یاد کردیم و او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استدلال کردیم که امام جز معصوم کسی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نشان دادیم که پیامبر صلی الله علیه و آله باید بر امامت امام معصوم تصریح کند؛ زیرا عصمت در چهره کسی آشکار نمی‌شود تا مردم آن را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خدای علام الغیوب باید او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امامت با نص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باره نصوص و احادیث صحیحی داریم که از پیشوایان معصوم آنها را نقل کرده‌ایم</w:t>
      </w:r>
      <w:r>
        <w:rPr>
          <w:rFonts w:eastAsia="IRNazanin" w:cs="IRNazanin"/>
          <w:color w:val="111111"/>
          <w:sz w:val="28"/>
          <w:szCs w:val="28"/>
          <w:rtl w:val="true"/>
          <w:lang w:bidi="fa-IR"/>
        </w:rPr>
        <w:t xml:space="preserve">» . </w:t>
      </w:r>
      <w:r>
        <w:rPr>
          <w:rStyle w:val="FootnoteAnchor"/>
          <w:rtl w:val="true"/>
        </w:rPr>
        <w:footnoteReference w:id="2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معانی الاخبار، ص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الاعلمی للمطبوعات، بیروت، چاپ اول،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کافی نیز چگونه می‌توان مدعی شد که بیش از نیمی از آن روایات ضعیف است، آن هم به این دلیل که مفوضه، بر ساخته‌های خود را از طریق مؤلف کتاب وارد آن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روایاتی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آمده، معادل نیمی از روایات کافی است؟ و مگر روایات مربوط به نصب و عصمت امام، محتوایی خلاف عقل دارند که دست کم از راه نقد مضمونی تخطئه شوند؟ اگر به راستی چنین بود، خود کلینی و صدوق که در فهم و نقد حدیث کم نظیر بوده‌اند، با زیر پا گذاشتن تعهد و تقوای خویش، به نقل این قبیل روایات مبادرت کرده، </w:t>
      </w:r>
      <w:r>
        <w:rPr>
          <w:rStyle w:val="FootnoteAnchor"/>
          <w:rtl w:val="true"/>
        </w:rPr>
        <w:footnoteReference w:id="215"/>
      </w:r>
      <w:r>
        <w:rPr>
          <w:rFonts w:ascii="IRNazanin" w:hAnsi="IRNazanin" w:eastAsia="IRNazanin"/>
          <w:color w:val="111111"/>
          <w:sz w:val="28"/>
          <w:sz w:val="28"/>
          <w:szCs w:val="28"/>
          <w:rtl w:val="true"/>
          <w:lang w:bidi="fa-IR"/>
        </w:rPr>
        <w:t>کم‌ترین نقدی انجام نداده، حتی به تأیید و مدلل کردن آنها می‌پرداختند؟</w:t>
      </w:r>
    </w:p>
    <w:p>
      <w:pPr>
        <w:pStyle w:val="BookText"/>
        <w:rPr/>
      </w:pPr>
      <w:r>
        <w:rPr>
          <w:rFonts w:ascii="IRNazanin" w:hAnsi="IRNazanin" w:eastAsia="IRNazanin"/>
          <w:color w:val="111111"/>
          <w:sz w:val="28"/>
          <w:sz w:val="28"/>
          <w:szCs w:val="28"/>
          <w:rtl w:val="true"/>
          <w:lang w:bidi="fa-IR"/>
        </w:rPr>
        <w:t>ادعای دیگری، از سوی نویسنده‌ای است که در بند شیعه و تعقل قبل از ایشان نقل قول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شیعه در قرون نخستین هجری، تا دوران غیبت صغرا، از خردورزی به دور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مکتب تشیع هم در دوران اولیۀ آن، در اوایل قرن دوم هجری، گرایش غالب مخالفت با بحث‌های کلامی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آن بود که چون امام بالاترین و عالی‌ترین مرجع شریعت است، همه سؤالات و استفسارات باید به او ارجاع داده شود و رهنمودهای او که از نظر شیعیان حقیقت خالص و بیانگر واقع بود، پیروی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جایی برای اجتهاد و استدلال عقلانی و به تبع، بحث و مناظره و زورآزمایی در مباحث دینی نمی‌بود</w:t>
      </w:r>
      <w:r>
        <w:rPr>
          <w:rFonts w:eastAsia="IRNazanin" w:cs="IRNazanin"/>
          <w:color w:val="111111"/>
          <w:sz w:val="28"/>
          <w:szCs w:val="28"/>
          <w:rtl w:val="true"/>
          <w:lang w:bidi="fa-IR"/>
        </w:rPr>
        <w:t>. . .»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وجود، این گرایش کلامی و استدلالی در جامعه شیعه هم‌چنان به شکل یک </w:t>
      </w:r>
    </w:p>
    <w:p>
      <w:pPr>
        <w:pStyle w:val="BookText"/>
        <w:rPr/>
      </w:pPr>
      <w:r>
        <w:rPr>
          <w:rFonts w:ascii="IRNazanin" w:hAnsi="IRNazanin" w:eastAsia="IRNazanin"/>
          <w:color w:val="111111"/>
          <w:sz w:val="28"/>
          <w:sz w:val="28"/>
          <w:szCs w:val="28"/>
          <w:rtl w:val="true"/>
          <w:lang w:bidi="fa-IR"/>
        </w:rPr>
        <w:t>گرایش کوچک و غیر اصلی باقی ماند، چه اکثریت عظیم دانشمندان آن مکتب همواره از هرگونه استدلال عقلی در مباحث مذهبی و از مناظرات و مشاجرات کلامی خودداری و دوری کرده و تمام هم و غم خود را صرف نقل و روایت احادیث و سخنان ائمه طاهرین می‌نمودند و همین گاه، آنان را در مجادلات و کشمکش‌های سخت با طرفداران گرایش کلامی قرار می‌داد</w:t>
      </w:r>
      <w:r>
        <w:rPr>
          <w:rFonts w:eastAsia="IRNazanin" w:cs="IRNazanin"/>
          <w:color w:val="111111"/>
          <w:sz w:val="28"/>
          <w:szCs w:val="28"/>
          <w:rtl w:val="true"/>
          <w:lang w:bidi="fa-IR"/>
        </w:rPr>
        <w:t>.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سنتی کلام شیعه تا پایان دورۀ حضور ائمه اطهار در اواسط قرن سوم به عنوان تنها گرایش کلامی و عقلی در تشیع امامی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از میانه‌های این قرن به بعد، آرا و نظریات کلامی معتزله به تدریج به وسیله نسل جدیدی از دانشمندان که به زودی مکتب نوین و عقل‌گرایی در کلام شیعه به وجود آوردند، در تشیع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طلیعه‌داران این مکتب نوین، جهان بینی معتزله را در مورد عدل و صفات الهی و آزادی و اختیار انسان پذیرفتند؛ اما در عین حال، مبانی مکتب تشیع را در مورد امامت هم‌چنان حفظ کرده و از آن شدیداً پشتیبانی می‌نمودند</w:t>
      </w:r>
      <w:r>
        <w:rPr>
          <w:rFonts w:eastAsia="IRNazanin" w:cs="IRNazanin"/>
          <w:color w:val="111111"/>
          <w:sz w:val="28"/>
          <w:szCs w:val="28"/>
          <w:rtl w:val="true"/>
          <w:lang w:bidi="fa-IR"/>
        </w:rPr>
        <w:t>.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 که اکثریت مطلق دانشمندان شیعه، تا پایان قرن سوم هجری از استدلال عقلی و اجتهاد در فقه به شدت خودداری کرده و کار و تلاش علمی خود را در نقل و ضبط گفته‌های معصومین، در مسائل مختلف منحصر و متمرکز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آن بود که فرد هر چند دانشمند و در کار تحلیل و نظر ورزیده باشد، شریعت قلمرو وحی است نه عقل و چون امام به مثابه منبع موثق دانش مذهبی و مرجع تفسیر درست شریعت و وحی در جامعه حضور داشت، پس جایی برای ظن و تخمین و اجتهاد و اعمال نظر در خطه شرع و دین نبود</w:t>
      </w:r>
      <w:r>
        <w:rPr>
          <w:rFonts w:eastAsia="IRNazanin" w:cs="IRNazanin"/>
          <w:color w:val="111111"/>
          <w:sz w:val="28"/>
          <w:szCs w:val="28"/>
          <w:rtl w:val="true"/>
          <w:lang w:bidi="fa-IR"/>
        </w:rPr>
        <w:t xml:space="preserve">» . </w:t>
      </w:r>
      <w:r>
        <w:rPr>
          <w:rStyle w:val="FootnoteAnchor"/>
          <w:rtl w:val="true"/>
        </w:rPr>
        <w:footnoteReference w:id="2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در فرایند تکامل،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بالا عاری از حقیقت و سند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بر عکس آنچه ادعا شده، شیعه به لحاظ دسترسی به امامان علیهم السلام و دانش الهی آنان، قوی‌ترین مکاتب کلامی، فقهی و اصولی را در همان عهد ائمه علیهم السلام به وجود آورده که ثمرات آن در دوره‌های بعد آشکار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سخن بسیار سخیف است که به لحاظ حضور امامان در جامعه شیعی، دانشمندان این مکتب، از عقل ورزی خودداری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حوزۀ دین، حوزه عقل نیست؛ یا این‌که اکثریت عظیم دانشمندان شیعه از مناظره، تن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خود امامان علیهم السلام با لجوج‌ترین افراد، حاضر به مناظره می‌شدند و جزئیات گفتگوهای آنان ثبت شده است، </w:t>
      </w:r>
      <w:r>
        <w:rPr>
          <w:rStyle w:val="FootnoteAnchor"/>
          <w:rtl w:val="true"/>
        </w:rPr>
        <w:footnoteReference w:id="21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می‌توان به کتاب‌های ارزشمند شیخ صدوق رحمه الله در این زمینه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 عیون اخبار الرضا، التوحید والامالی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شیعه را عقل گریز و مخالف مناظره معرفی کرد؟</w:t>
      </w:r>
    </w:p>
    <w:p>
      <w:pPr>
        <w:pStyle w:val="BookText"/>
        <w:rPr/>
      </w:pPr>
      <w:r>
        <w:rPr>
          <w:rFonts w:ascii="IRNazanin" w:hAnsi="IRNazanin" w:eastAsia="IRNazanin"/>
          <w:color w:val="111111"/>
          <w:sz w:val="28"/>
          <w:sz w:val="28"/>
          <w:szCs w:val="28"/>
          <w:rtl w:val="true"/>
          <w:lang w:bidi="fa-IR"/>
        </w:rPr>
        <w:t>برخلاف ادعای نادرست بالا، در زمینه کلام، با ارزش‌ترین میراث شیعه مربوط به دوران ائمه علیهم السلام است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این ادعا نیز که کلام شیعی در باب صفات خدا و آزادی انسان وام‌دار معتزله است، به کلی خلاف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بهترین آموزش‌ها از سوی امامان علیهم السلام، در این امور داده شده است، </w:t>
      </w:r>
      <w:r>
        <w:rPr>
          <w:rStyle w:val="FootnoteAnchor"/>
          <w:rtl w:val="true"/>
        </w:rPr>
        <w:footnoteReference w:id="219"/>
      </w:r>
      <w:r>
        <w:rPr>
          <w:rFonts w:ascii="IRNazanin" w:hAnsi="IRNazanin" w:eastAsia="IRNazanin"/>
          <w:color w:val="111111"/>
          <w:sz w:val="28"/>
          <w:sz w:val="28"/>
          <w:szCs w:val="28"/>
          <w:rtl w:val="true"/>
          <w:lang w:bidi="fa-IR"/>
        </w:rPr>
        <w:t xml:space="preserve">چگونه می‌توان گفت شیعه در این مسائل از معتزله تغذیه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نهج البلاغه که آغاز کنیم، عالی‌ترین استدلال‌ها در مقولات عدل، صفات باری و آزادی انسان را مشاهده می‌کنیم، </w:t>
      </w:r>
      <w:r>
        <w:rPr>
          <w:rStyle w:val="FootnoteAnchor"/>
          <w:rtl w:val="true"/>
        </w:rPr>
        <w:footnoteReference w:id="220"/>
      </w:r>
      <w:r>
        <w:rPr>
          <w:rFonts w:ascii="IRNazanin" w:hAnsi="IRNazanin" w:eastAsia="IRNazanin"/>
          <w:color w:val="111111"/>
          <w:sz w:val="28"/>
          <w:sz w:val="28"/>
          <w:szCs w:val="28"/>
          <w:rtl w:val="true"/>
          <w:lang w:bidi="fa-IR"/>
        </w:rPr>
        <w:t xml:space="preserve">آیا شاگردان ائمه علیهم السلام و دانشمندان شیعه تا پایان قرن سوم، هیچ ارتباط علمی با امامان خود نداشته و در عوض، در مقابل چند عالم معتزلی، برای فراگیری خداشناسی و انسان‌شناسی زانو زده بودند؟ </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 فقه و اصول نیز، حتی از عهد خود پیامبر اسلام صلی الله علیه و آله اجتهاد انجام می‌گرفته و در روزگار ائمه علیهم السلام نیز به بهترین شکل، شالوده‌های فقه و اصول شیعه ریخته شده و دانشمندان بزرگی، با آثار گرانبهایی در این دوره، در دو رشتۀ فقه و اصول، پا به عرصه </w:t>
      </w:r>
    </w:p>
    <w:p>
      <w:pPr>
        <w:pStyle w:val="BookText"/>
        <w:rPr/>
      </w:pPr>
      <w:r>
        <w:rPr>
          <w:rFonts w:ascii="IRNazanin" w:hAnsi="IRNazanin" w:eastAsia="IRNazanin"/>
          <w:color w:val="111111"/>
          <w:sz w:val="28"/>
          <w:sz w:val="28"/>
          <w:szCs w:val="28"/>
          <w:rtl w:val="true"/>
          <w:lang w:bidi="fa-IR"/>
        </w:rPr>
        <w:t>وجود نهاده و بالیده‌اند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فقه شیعه و نیز دانش اصول فقه، به شکل بسیار جدی و منظم در عصر ائمه شیعه و با هدایت و خواست آنها، پی ریزی شده به ثمردهی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تاریخی در این مورد به اندازه‌ای محکم و موثق است که جای کم‌ترین تردید و انکاری باقی نمی‌گذارند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القائینی، علی، علم الاصول تاریخاً وتطوراً، مکتب الاعلام الاسلامی، قم؛ نیز گرجی، ابوالقاسم، تاریخ فقه و فقها، سازمان مطالعه و تدوین کتب علوم انسانی دانشگاه‌ها،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این نکته لازم است که صاحب سخن پیش گفته، خود در جایی بدین سخن معترف شده که در عصر امام عسکری علیه السلام باب اجتهاد، توسط خود آن بزرگوار گشوده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 بسیار کمی که از موارد جواب‌های فقهی آن حضرت در دست است، مکرر دیده می‌شود که ایشان از جواب دقیق نسبت به مورد، طفره رفته و به بیان کبرای کلی حکم فقهی پرداخته‌اند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نظر شکلی نیز جوابات ایشان بسیاری اوقات به عبارت ان شاء اللّه ختم می‌شد که بیشتر به آن پاسخ‌ها صورت فتوا می‌داد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انسان وقتی به تاریخ امامت از آغاز دورۀ حضرت عسکری علیه السلام تا پایان دورۀ غیبت صغرا از دور نظر می‌افکند، به خوبی می‌بیند که چگونه این دوره به صورت یک مرحلۀ آماده‌سازی و انتقالی برای تغییرات بعدی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دوره‌ای که طی آن، جامعۀ شیعه آماده و پرورش داده می‌شد تا مشکلات و مسائل عقیدتی و فقهی خود را بدون نیاز به مراجعه به امام حاضر حل کند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این سخن با سخنان قبلی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شیعه را تا پایان قرن سوم از هرگونه خردورزی و اجتهاد تهی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تهافت 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 بخش از سخن این شد که شیعه در قرون نخستین اسلامی کاملاً اهل تعقل بوده و حضور امامان علیهم السلام نیز مانعی بر سر راه این مسئله نبوده یا خردگرایی، بی‌حرمتی به ساحت مقدس ایشان به شمار نمی‌رفته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در روزگاری که عصر شکوفایی علوم اسلامی و صف آرایی مکاتب فقهی و کلامی به شمار </w:t>
      </w:r>
      <w:bookmarkStart w:id="212" w:name="pg14553_191797"/>
    </w:p>
    <w:p>
      <w:pPr>
        <w:pStyle w:val="BookText"/>
        <w:rPr/>
      </w:pPr>
      <w:bookmarkEnd w:id="212"/>
      <w:r>
        <w:rPr>
          <w:rFonts w:ascii="IRNazanin" w:hAnsi="IRNazanin" w:eastAsia="IRNazanin"/>
          <w:color w:val="111111"/>
          <w:sz w:val="28"/>
          <w:sz w:val="28"/>
          <w:szCs w:val="28"/>
          <w:rtl w:val="true"/>
          <w:lang w:bidi="fa-IR"/>
        </w:rPr>
        <w:t>می‌رفته، شیعه نمی‌توانسته حرف‌های خود را نزند و گرنه در آن عصر پرحادثه به کلی از میان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ویژگی دیگر روزگار کلینی، خردگرایی عالمان و بزرگان شیعه در آن عصر در تداوم دوران ائمه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این امر ضروری است که در آینده توضیحی در مورد احادیثی که از رأی و نظر نهی کرده‌اند، خواهد آمد تا هر سوء تفاهمی از میان برود</w:t>
      </w:r>
      <w:r>
        <w:rPr>
          <w:rFonts w:eastAsia="IRNazanin" w:cs="IRNazanin"/>
          <w:color w:val="111111"/>
          <w:sz w:val="28"/>
          <w:szCs w:val="28"/>
          <w:rtl w:val="true"/>
          <w:lang w:bidi="fa-IR"/>
        </w:rPr>
        <w:t>.</w:t>
      </w:r>
    </w:p>
    <w:p>
      <w:pPr>
        <w:pStyle w:val="Heading3"/>
        <w:numPr>
          <w:ilvl w:val="2"/>
          <w:numId w:val="1"/>
        </w:numPr>
        <w:rPr/>
      </w:pPr>
      <w:bookmarkStart w:id="213" w:name="__RefHeading___Toc651813_1878427129"/>
      <w:bookmarkStart w:id="214" w:name="_Toc81"/>
      <w:bookmarkEnd w:id="213"/>
      <w:r>
        <w:rPr>
          <w:rtl w:val="true"/>
        </w:rPr>
        <w:t>اوضاع سیاسی عصر کلینی</w:t>
      </w:r>
      <w:bookmarkEnd w:id="214"/>
    </w:p>
    <w:p>
      <w:pPr>
        <w:pStyle w:val="BookText"/>
        <w:rPr/>
      </w:pPr>
      <w:r>
        <w:rPr>
          <w:rFonts w:ascii="IRNazanin" w:hAnsi="IRNazanin" w:eastAsia="IRNazanin"/>
          <w:color w:val="111111"/>
          <w:sz w:val="28"/>
          <w:sz w:val="28"/>
          <w:szCs w:val="28"/>
          <w:rtl w:val="true"/>
          <w:lang w:bidi="fa-IR"/>
        </w:rPr>
        <w:t>از زمان متوکل عباسی و عصر امام هادی علیه السلام شیعه از رهگذر سخت‌گیری‌ها و تعرض‌های دولت، دچار مشکلات فراوانی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ائمه علیهم السلام شیعه با تمهیدات و سیاست‌های ویژه‌ای، به مقابله برخاسته و به رغم تمام مشکلات، موفق به حفظ و هدایت شیعه در آن روزگار سخت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خفقان شدید و ستم‌های بی اندازۀ بنی عباس، منجر به غیبت امام عصر علیه السلام بنا به خواست و اراده الهی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صغرا نیز روند ستمگری‌ها پی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موازات آن به خاطر فساد مالی، اخلاقی و سیاسی دربار عباسی و مرکز خلافت یعنی بغداد، </w:t>
      </w:r>
      <w:r>
        <w:rPr>
          <w:rStyle w:val="FootnoteAnchor"/>
          <w:rtl w:val="true"/>
        </w:rPr>
        <w:footnoteReference w:id="2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والکافی،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مسعودی، مروج الذهب،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دارالاندلس، بیروت،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 رشد نسبی شیعه و تشکیل دولت‌های محلی شیعی به ویژه در ایران فراهم آمد و از این رهگذر، تا حدود زیادی اوضاع به سود شیعه رقم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اسنادی در دست نیست تا بتوان به نقش آل بویه در گسترش فرهنگ شیعی، یا میزان ارتباط میان عالمی چون کلینی و آنها و در نتیجه بهره‌گیری وی از یاری‌ها و امکانات آنان، پی برد، لیکن می‌توان اجمالاً مدعی شد که اگر مساعدت‌های آل بویه نبود و دانشمندان شیعه دست کم از آزادی عمل برخوردار نمی‌بودند، عادتاً انجام چنان کارهای بزرگ علمی مقدور نمی‌شد</w:t>
      </w:r>
      <w:r>
        <w:rPr>
          <w:rFonts w:eastAsia="IRNazanin" w:cs="IRNazanin"/>
          <w:color w:val="111111"/>
          <w:sz w:val="28"/>
          <w:szCs w:val="28"/>
          <w:rtl w:val="true"/>
          <w:lang w:bidi="fa-IR"/>
        </w:rPr>
        <w:t xml:space="preserve">. </w:t>
      </w:r>
      <w:r>
        <w:rPr>
          <w:rStyle w:val="FootnoteAnchor"/>
          <w:rtl w:val="true"/>
        </w:rPr>
        <w:footnoteReference w:id="225"/>
      </w:r>
      <w:bookmarkStart w:id="215" w:name="pg14553_191798"/>
    </w:p>
    <w:p>
      <w:pPr>
        <w:pStyle w:val="Heading3"/>
        <w:numPr>
          <w:ilvl w:val="2"/>
          <w:numId w:val="1"/>
        </w:numPr>
        <w:rPr/>
      </w:pPr>
      <w:bookmarkStart w:id="216" w:name="__RefHeading___Toc651815_1878427129"/>
      <w:bookmarkStart w:id="217" w:name="_Toc82"/>
      <w:bookmarkEnd w:id="215"/>
      <w:bookmarkEnd w:id="216"/>
      <w:r>
        <w:rPr>
          <w:rtl w:val="true"/>
        </w:rPr>
        <w:t>پیدایش زمینه های اجتماعی و فرهنگی توسعه</w:t>
      </w:r>
      <w:bookmarkEnd w:id="217"/>
    </w:p>
    <w:p>
      <w:pPr>
        <w:pStyle w:val="BookText"/>
        <w:rPr/>
      </w:pPr>
      <w:r>
        <w:rPr>
          <w:rFonts w:ascii="IRNazanin" w:hAnsi="IRNazanin" w:eastAsia="IRNazanin"/>
          <w:color w:val="111111"/>
          <w:sz w:val="28"/>
          <w:sz w:val="28"/>
          <w:szCs w:val="28"/>
          <w:rtl w:val="true"/>
          <w:lang w:bidi="fa-IR"/>
        </w:rPr>
        <w:t xml:space="preserve">آخرین ویژگی روزگار کلینی را باید به طور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اجتماعی و فرهنگی در زادگاه خود او و نیز در قم و عاصمه جهان اسلام، مدینة السلام، بغداد، سعۀ صدر کافی و شرایط کاملاً مساعد برای ابراز عقیده و اندیشه وجود داشته است و با توجه به چنین شرایطی بوده که کلینی به فکر تدوین موسوعه حدیثی بزرگ خویش و اظهار دیگر اندیشه‌های خود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توضیحات بیشتری در مورد سه شهر یاد شده،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زیست کلینی یا دورۀ غیبت صغرا را باید از یک نظر، دورانی سازنده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که شیعه در این دوره خود را بازیافت، فلسفه غیبت امام دوازدهم علیه السلام خویش را به درستی فهمید و برای یک دورۀ طولانی‌تر خود را آماده کرد تا بتواند در غیاب حجت حق، امام منتظر، وظایف سنگین خود را به درستی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دو نکته را نباید از یاد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سختی روزگار غیبت صغرا که به راستی عصر حیرت نامیده شده بود، و دیگری خدمات برجسته عالمان بزرگوار شیعه در آن روزگار دشوار غیبت صغرا و مدتی پس از آن، در خصوص تشریح فلسفۀ غیبت و بررسی مسائل گوناگون مربوط به آن، که این مهم را می‌توان در آثار مربوط به آن دوره به درستی مشاهده کرد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کمال الدین صدوق، الغیبة شیخ طوسی که اندکی بعدتر نگاشته شده است، الامامیة والتبصرة من الحیرة، علی بن بابویه والد صدوق، غیبت نعمانی از محمد بن ابراهیم بن جعفر کاتب و</w:t>
      </w:r>
      <w:r>
        <w:rPr>
          <w:rFonts w:eastAsia="IRNazanin" w:cs="IRNazanin"/>
          <w:color w:val="111111"/>
          <w:sz w:val="28"/>
          <w:szCs w:val="28"/>
          <w:rtl w:val="true"/>
          <w:lang w:bidi="fa-IR"/>
        </w:rPr>
        <w:t>. . . .</w:t>
      </w:r>
    </w:p>
    <w:p>
      <w:pPr>
        <w:pStyle w:val="Heading3"/>
        <w:numPr>
          <w:ilvl w:val="2"/>
          <w:numId w:val="1"/>
        </w:numPr>
        <w:rPr/>
      </w:pPr>
      <w:bookmarkStart w:id="218" w:name="__RefHeading___Toc651817_1878427129"/>
      <w:bookmarkStart w:id="219" w:name="_Toc83"/>
      <w:bookmarkEnd w:id="218"/>
      <w:r>
        <w:rPr>
          <w:rtl w:val="true"/>
        </w:rPr>
        <w:t>ری، قم و بغداد در عصر کلینی</w:t>
      </w:r>
      <w:bookmarkEnd w:id="21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آشنایی با دشواری‌های عصر غیبت صغرا و روزگار کلینی که عمدتاً مربوط به مذهب وی، مسائل اعتقادی و مبانی مکتب تشیع می‌شده است، اکنون نوبت به بازگویی آسانی‌ها و زمینه‌های مساعدی می‌رسد که اندکی پیش‌تر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زمینه‌ها مربوط به سه شهر ری، قم و بغداد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زادگاه کلینی است، گفتنی است که برخلاف قم، که شهری شیعه نشین بوده، ری پیروان مذاهب مختلف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مذاهب رسمی فقهی اهل سنت، مذاهب فکری گوناگون از قبیل معتزله، نجاریّه، اشاعره، کرامیّه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نیز در ری حضور رسمی داشتند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کریمان، حسین، ری باستان،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فصل نهم کتاب دربارۀ محله‌های ری و نقشه ری باستان‌در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انجمن آثار ملی، اسفند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این امر فضای مناسب فکری در ری و تلاش‌های فکری و علمی اندیشمندان هر فرقه و مذهب به سود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تشیع نیز در ری، از زمان ورود اسلام به این شهر و فتح شدنش، جدی بوده و رقم بالایی از اصحاب ائمه علیهم السلام و راویان حدیث به این شهر هجرت کرده، در آن ساکن شدند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بدین ترتیب حجم بالایی از علما و دانشمندان مذاهب مختلف اسلامی، به ویژه تشیع در مراکز علمی این شهر، پرورش یافته‌اند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با توجه به اوضاع فرهنگی و اجتماعی ری در صدر اسلام به ویژه قرن سوم هجری، می‌توان پذیرفت که مجموعه شرایط خوب و مناسب، به ویژه کانون‌های علمی و منابع لازم انسانی و کتابخانه‌ای در دسترس کلینی بوده </w:t>
      </w:r>
      <w:r>
        <w:rPr>
          <w:rStyle w:val="FootnoteAnchor"/>
          <w:rtl w:val="true"/>
        </w:rPr>
        <w:footnoteReference w:id="230"/>
      </w:r>
      <w:r>
        <w:rPr>
          <w:rFonts w:ascii="IRNazanin" w:hAnsi="IRNazanin" w:eastAsia="IRNazanin"/>
          <w:color w:val="111111"/>
          <w:sz w:val="28"/>
          <w:sz w:val="28"/>
          <w:szCs w:val="28"/>
          <w:rtl w:val="true"/>
          <w:lang w:bidi="fa-IR"/>
        </w:rPr>
        <w:t>تا توانسته به تلاش‌های گسترده علمی، از جمله تدوین کافی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نزدیکی زادگاه کلینی قابل ذکر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سابقه تشیع در این شهر طولانی و غلبه آن بر این شهر مثال زدنی است</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این امر مجال کافی و زمینه بسیار خوبی را به وجود آورده بوده تا فرهنگ پربار شیعی و علوم گوناگون اسلامی در این شهر، رشد چشمگیری داشته 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اوضاع اجتماعی و مذهبی قم سبب شده بود تا انبوه سادات و هاشمیان و </w:t>
      </w:r>
    </w:p>
    <w:p>
      <w:pPr>
        <w:pStyle w:val="BookText"/>
        <w:rPr/>
      </w:pPr>
      <w:r>
        <w:rPr>
          <w:rFonts w:ascii="IRNazanin" w:hAnsi="IRNazanin" w:eastAsia="IRNazanin"/>
          <w:color w:val="111111"/>
          <w:sz w:val="28"/>
          <w:sz w:val="28"/>
          <w:szCs w:val="28"/>
          <w:rtl w:val="true"/>
          <w:lang w:bidi="fa-IR"/>
        </w:rPr>
        <w:t>محدثان و دانشمندان شیعه در این شهر گرد آیند و به رشد علوم اسلامی یاری رسانند</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مدرسه قم را نباید مدرسۀ بسته‌ای پنداشت که جز اندیشه‌های ناب تشیع، هیچ فکر مخالفی در آن مطرح نمی‌شده است، آن هم به این دلیل که برخی راویانی که از ضعیفان نقل حدیث می‌کرده‌اند، از این شهر اخراج شده‌اند؛ زیرا همان روات، چندی در این مدرسه اقامت گزیده و حرف‌های خود را بر زبان آورده‌اند و سپس متولیان حوزۀ قم بنابر وظیفه خود، با این اقدام مبادرت به پیرایش احادیث شیعه، از احادیث ضعاف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اسطوانه‌ای از مدرسه قم و جهان تشیع، چونان مرحوم شیخ صدوق رحمه الله بخش بزرگی از عمر خویش را صرف سفرهای فراوان و فراگیری و فرادهی علمی کرده و در کمال حریت و دور از هر تعصبی با صاحبان اندیشه، از فرق مختلف و دانشیان آن روزگار عمرش را سپری کرده است</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به هر رو، مدرسۀ قم، در تکوین شخصیت کلینی و یاری‌گری ایشان برای سامان دهی به میراث‌های گرانبهای علمی‌اش، نقش مهمی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متأسفانه از چند و چون این امر و یا میزان حضور او در این مدرسه، اطلاعی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شعله حیات کلینی در آن‌جا به خاموشی گراییده است، یادآوری چند نکته سودمند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سلطه ترک‌ها به مرکز خلافت و دربار عباسی، موجب سلب اراده از خلیفه، هرج و مرج، فساد مالی و اخلاقی و حاکمیت برخی زنان دربار، بر امور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پیامدهای ناخوشایندی به همراه داشته؛ از جمله حکومت مرکزی دچار ضعف بسیار گردیده، در نتیجه حکومت‌های محلی متعددی در جای جای کشور پهناور اسلامی، به قدرت رسیده بودند</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بغداد از فضای باز فکری فوق العاده‌ای برخوردار بوده و حقیقتاً می‌توانسته </w:t>
      </w:r>
      <w:bookmarkStart w:id="220" w:name="pg14553_191801"/>
    </w:p>
    <w:p>
      <w:pPr>
        <w:pStyle w:val="BookText"/>
        <w:rPr/>
      </w:pPr>
      <w:bookmarkEnd w:id="220"/>
      <w:r>
        <w:rPr>
          <w:rFonts w:ascii="IRNazanin" w:hAnsi="IRNazanin" w:eastAsia="IRNazanin"/>
          <w:color w:val="111111"/>
          <w:sz w:val="28"/>
          <w:sz w:val="28"/>
          <w:szCs w:val="28"/>
          <w:rtl w:val="true"/>
          <w:lang w:bidi="fa-IR"/>
        </w:rPr>
        <w:t>مرکز فرهنگی جهان اسلام و شهر بین الملل و بین المذاهب اسلامی به شمار رود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نیز عزیة الاطرقچی، الحیاة الاجتماعیة فی بغداد،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مطبعة جامعة بغداد، چاپ اول،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گواهی مورخان، بغداد، در نتیجه همان فضای فکری بازی که داشته، این امکان را یافته که کانون علوم گوناگون اسلامی شده، خدمت بسیار بزرگی به فرهنگ اسلامی و بشری نماید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مذاهب گوناگون اسلامی در بغداد حضور چشمگیر و فعال داشته‌اند و در این مورد نیز مشکل جدی و عمده‌ای پیش نیامده با یکدیگر هم زیستی داشته‌اند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مذاهب مختلف از جمله شیعه، در مقیاس گسترده‌ای بدین شهر رو آورده، در آن ساکن شدند و آن را کانون فعالیت‌های علمی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در قرن سوم هجری جلوۀ ویژه‌ای داشته است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چهار نایب خاص امام زمان علیه السلام در دوره غیبت صغرا، در این شهر نیز، می‌توانسته نشان از اهمیت آن داشته باشد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با توجه به اهمیت بالای بغداد، کلینی حضور خود را در آن‌جا ضروری می‌دیده و چنان‌که قبلاً ملاحظه گردید، این حضور گسترده، از چشم رجالیان دور نمانده است؛ گر چه برخی هم مانند خطیب بغدادی، بنا به هر دلیلی، از آن یادی نکرده است</w:t>
      </w:r>
      <w:r>
        <w:rPr>
          <w:rFonts w:eastAsia="IRNazanin" w:cs="IRNazanin"/>
          <w:color w:val="111111"/>
          <w:sz w:val="28"/>
          <w:szCs w:val="28"/>
          <w:rtl w:val="true"/>
          <w:lang w:bidi="fa-IR"/>
        </w:rPr>
        <w:t>.</w:t>
      </w:r>
    </w:p>
    <w:p>
      <w:pPr>
        <w:pStyle w:val="Heading3"/>
        <w:numPr>
          <w:ilvl w:val="2"/>
          <w:numId w:val="1"/>
        </w:numPr>
        <w:rPr/>
      </w:pPr>
      <w:bookmarkStart w:id="221" w:name="__RefHeading___Toc651819_1878427129"/>
      <w:bookmarkStart w:id="222" w:name="_Toc84"/>
      <w:bookmarkEnd w:id="221"/>
      <w:r>
        <w:rPr>
          <w:rtl w:val="true"/>
        </w:rPr>
        <w:t>عقل گرایی کلینی در حوزۀ عقاید</w:t>
      </w:r>
      <w:bookmarkEnd w:id="222"/>
    </w:p>
    <w:p>
      <w:pPr>
        <w:pStyle w:val="Heading4"/>
        <w:numPr>
          <w:ilvl w:val="3"/>
          <w:numId w:val="1"/>
        </w:numPr>
        <w:rPr/>
      </w:pPr>
      <w:bookmarkStart w:id="223" w:name="__RefHeading___Toc651821_1878427129"/>
      <w:bookmarkStart w:id="224" w:name="_Toc85"/>
      <w:bookmarkEnd w:id="223"/>
      <w:r>
        <w:rPr>
          <w:rtl w:val="true"/>
        </w:rPr>
        <w:t>اشارة</w:t>
      </w:r>
      <w:bookmarkEnd w:id="22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تعبیری بسیار زیباست که در اسلام، حوزه عقاید، قُرق گاه عقل است؛ </w:t>
      </w:r>
      <w:r>
        <w:rPr>
          <w:rStyle w:val="FootnoteAnchor"/>
          <w:rtl w:val="true"/>
        </w:rPr>
        <w:footnoteReference w:id="240"/>
      </w:r>
      <w:r>
        <w:rPr>
          <w:rFonts w:ascii="IRNazanin" w:hAnsi="IRNazanin" w:eastAsia="IRNazanin"/>
          <w:color w:val="111111"/>
          <w:sz w:val="28"/>
          <w:sz w:val="28"/>
          <w:szCs w:val="28"/>
          <w:rtl w:val="true"/>
          <w:lang w:bidi="fa-IR"/>
        </w:rPr>
        <w:t>برخلاف مسیحیت که ورود عقل را به این قلمرو ممنوع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نیز </w:t>
      </w:r>
      <w:bookmarkStart w:id="225" w:name="pg14553_191802"/>
    </w:p>
    <w:p>
      <w:pPr>
        <w:pStyle w:val="BookText"/>
        <w:rPr/>
      </w:pPr>
      <w:bookmarkEnd w:id="225"/>
      <w:r>
        <w:rPr>
          <w:rFonts w:ascii="IRNazanin" w:hAnsi="IRNazanin" w:eastAsia="IRNazanin"/>
          <w:color w:val="111111"/>
          <w:sz w:val="28"/>
          <w:sz w:val="28"/>
          <w:szCs w:val="28"/>
          <w:rtl w:val="true"/>
          <w:lang w:bidi="fa-IR"/>
        </w:rPr>
        <w:t>به خوبی این نکته را دریافته بوده که عقل‌گرایی را در این منطقه به طور جدی مطرح کرده و پای احادیث را به این وادی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موسوعه حدیثی بزرگ خویش را با اصول کافی آغازیده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حجمی بالا، به حدی که چندان از فروع کافی مربوط به احکام عملی زندگی دنیایی، چیزی کم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اعتقادی حتماً باید بهرۀ کافی از استدلال داشته باشند تا مورد پذیرش اندیشه‌ها قرار گیرند و گرنه در حوزۀ عقاید، کاربردی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اصول کافی در می‌یابیم که احادیث آن از این امتیاز برخوردارند و مؤلف آن، استادانه، گزینش خوبی انجام داده، روایات مناسبی را در هر مورد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مواردی می‌پردازیم تا به کمک آنها شیوۀ عقل‌گرایانه کلینی را در اصول کافی ، نشان داده، نحوۀ بهره‌گیری او را از احادیث، در حیطه عقاید آشکار کنیم</w:t>
      </w:r>
      <w:r>
        <w:rPr>
          <w:rFonts w:eastAsia="IRNazanin" w:cs="IRNazanin"/>
          <w:color w:val="111111"/>
          <w:sz w:val="28"/>
          <w:szCs w:val="28"/>
          <w:rtl w:val="true"/>
          <w:lang w:bidi="fa-IR"/>
        </w:rPr>
        <w:t>:</w:t>
      </w:r>
    </w:p>
    <w:p>
      <w:pPr>
        <w:pStyle w:val="Heading4"/>
        <w:numPr>
          <w:ilvl w:val="3"/>
          <w:numId w:val="1"/>
        </w:numPr>
        <w:rPr/>
      </w:pPr>
      <w:bookmarkStart w:id="226" w:name="__RefHeading___Toc651823_1878427129"/>
      <w:bookmarkStart w:id="227" w:name="_Toc86"/>
      <w:bookmarkEnd w:id="226"/>
      <w:r>
        <w:rPr/>
        <w:t>1</w:t>
      </w:r>
      <w:r>
        <w:rPr>
          <w:rtl w:val="true"/>
        </w:rPr>
        <w:t xml:space="preserve">. </w:t>
      </w:r>
      <w:r>
        <w:rPr>
          <w:rtl w:val="true"/>
        </w:rPr>
        <w:t>تبویب و نام گذاری‌ها</w:t>
      </w:r>
      <w:bookmarkEnd w:id="227"/>
    </w:p>
    <w:p>
      <w:pPr>
        <w:pStyle w:val="BookText"/>
        <w:rPr/>
      </w:pPr>
      <w:r>
        <w:rPr>
          <w:rFonts w:ascii="IRNazanin" w:hAnsi="IRNazanin" w:eastAsia="IRNazanin"/>
          <w:color w:val="111111"/>
          <w:sz w:val="28"/>
          <w:sz w:val="28"/>
          <w:szCs w:val="28"/>
          <w:rtl w:val="true"/>
          <w:lang w:bidi="fa-IR"/>
        </w:rPr>
        <w:t>انتخاب خبیرانه و مجتهدانۀ عناوین کتاب‌ها، فصول و ابواب در اصول کافی ، خبر از اندیشۀ والای نگارندۀ آن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ممکن است این کار ساده به نظر آید، لیکن انجام آن، آن هم در یک نگاشتۀ حدیثی که باید محتوای روایات کاملاً منظور شود، کار چندان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کلینی آمیزه‌ای از تحدیث و تعقل را در کافی به نمایش گذاشته و بدین‌سان، هنر خویش را آشکار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یک اثر روایی، در پهنه اصول اعتقادی، اگر بنا باشد استدلال‌های کلامی و انتظار شخصی یک پژوهشگر نیاید، بلکه متن روایات به عنوان آموزش‌های اعتقادی بازگو شود، کاری جز آنچه کلینی انجام داده، شدنی نیست</w:t>
      </w:r>
      <w:r>
        <w:rPr>
          <w:rFonts w:eastAsia="IRNazanin" w:cs="IRNazanin"/>
          <w:color w:val="111111"/>
          <w:sz w:val="28"/>
          <w:szCs w:val="28"/>
          <w:rtl w:val="true"/>
          <w:lang w:bidi="fa-IR"/>
        </w:rPr>
        <w:t>.</w:t>
      </w:r>
    </w:p>
    <w:p>
      <w:pPr>
        <w:pStyle w:val="Heading4"/>
        <w:numPr>
          <w:ilvl w:val="3"/>
          <w:numId w:val="1"/>
        </w:numPr>
        <w:rPr/>
      </w:pPr>
      <w:bookmarkStart w:id="228" w:name="__RefHeading___Toc651825_1878427129"/>
      <w:bookmarkStart w:id="229" w:name="_Toc87"/>
      <w:bookmarkEnd w:id="228"/>
      <w:r>
        <w:rPr/>
        <w:t>2</w:t>
      </w:r>
      <w:r>
        <w:rPr>
          <w:rtl w:val="true"/>
        </w:rPr>
        <w:t xml:space="preserve">. </w:t>
      </w:r>
      <w:r>
        <w:rPr>
          <w:rtl w:val="true"/>
        </w:rPr>
        <w:t>جامعیت اصول کافی</w:t>
      </w:r>
      <w:bookmarkEnd w:id="22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 دیگر اصول کافی ، به عنوان طرحی نو و کاری ابتکاری، جامعیت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کافی تمامی مسائل اعتقادی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جزئیات و فروع بسیار ظریفی در آن و ضمن احادیث آمده که می‌تواند الهام بخش اهل کلام و حکیمان بوده و باب </w:t>
      </w:r>
    </w:p>
    <w:p>
      <w:pPr>
        <w:pStyle w:val="BookText"/>
        <w:rPr/>
      </w:pPr>
      <w:r>
        <w:rPr>
          <w:rFonts w:ascii="IRNazanin" w:hAnsi="IRNazanin" w:eastAsia="IRNazanin"/>
          <w:color w:val="111111"/>
          <w:sz w:val="28"/>
          <w:sz w:val="28"/>
          <w:szCs w:val="28"/>
          <w:rtl w:val="true"/>
          <w:lang w:bidi="fa-IR"/>
        </w:rPr>
        <w:t>گفتگوهای بدیع و شیرینی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گزینش کلینی مجال خوبی برای تضارب آرا و جولان اندیشه‌ها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مناسب است ضمن اشاره به نخستین بخش اصول کافی ، یعنی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شبهه‌ای پاسخ گوییم که قبلاً به آن اشاره شد و آن این‌که پاره‌ای روایات در اصول کافی آمده که از اظهار رأی، نهی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روایات یاد شده در کتاب فضل العلم، جلد اول اصول کافی ، در سه باب آمده باشد، که به ترتیب عناوین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 عن القول بغیر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بغیر 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 والرأی والمقائیس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بیستم کتاب فضل العلم کافی هم، عنوانش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الی الکتاب والسنة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ابواب روایاتی آمده که سخن هوس‌آلود جاهلانه، یا رفتار ناآگاهانه نیز، بدعت‌گذاری، اظهار نظر بی مورد و قیاس کردن را تخطئه کرده و به جای آنها راه هدایت و رستگاری را بازگشت به قرآن و سنت پیامبر صلی الله علیه و آله و ائمه علیهم السلام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پرسید پس از ملاحظه دقیق روایات مورد بحث، چگونه می‌توان ممنوع بودن اندیشه و اظهارنظر منطقی را از آنها نتیجه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این نتیجه‌گیری امکان ندارد؛ بلکه اندیشیدن در حوزۀ عقاید تنها کاری است که یک مسلمان باید انجام دهد و ملاحظه روایات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 گواهی بر این مدعا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موارد اظهارنظر کلینی در زمینه مسائل اعتقادی در اصول کافی فراوان نیست و شاید علت آن عزم وی بر تحفظ بر متون روایی بوده است، لیکن همان چند موردی که به اظهارنظر پرداخته، سخنان محققانه و با ارزشی بر زبان آورده که گویای گستردگی دانش وی، به ویژه در کلام و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 از موارد یاد شده را مرور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پس از بیان حدیثی از امیرالمؤمنین علیه السلام دربارۀ شناخت ذات حق به کمک خودش، یا به تعبیر فلسفی برهان لمّی، چنین فرموده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سخن امام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خدا بشناسید این است که خدا اشخاص، نورها، جوهرها و اعیان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اعیان همان جوهرهاست و جوهرها همان </w:t>
      </w:r>
    </w:p>
    <w:p>
      <w:pPr>
        <w:pStyle w:val="BookText"/>
        <w:rPr/>
      </w:pPr>
      <w:r>
        <w:rPr>
          <w:rFonts w:ascii="IRNazanin" w:hAnsi="IRNazanin" w:eastAsia="IRNazanin"/>
          <w:color w:val="111111"/>
          <w:sz w:val="28"/>
          <w:sz w:val="28"/>
          <w:szCs w:val="28"/>
          <w:rtl w:val="true"/>
          <w:lang w:bidi="fa-IR"/>
        </w:rPr>
        <w:t>روح‌هاست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خدای بزرگ به جسم و روحی شباهت نداشته هیچ کس نیز توان آفریدن روحِ دارای احساس و ادراک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او خالق روح‌ها و تن‌هاست و آن‌گاه که خدا شبیه هیچ جسم و روحی نباشد، پس راهی جز شناخت خدا به کمک ذاتش نیست و تشبیه خدا به روح، بدن یا نور شناخت خدا نیست</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المکتبة الاسلامیة، تهران، چاپ چهارم،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ملاحظه می‌شود کلینی با تکیه بر خالقیت خدا و تفرد او در این امر و قدرت فوق العادۀ او، نتیجه گرفت که نباید او را به مخلوقاتش تشبیه کرد؛ زیرا در این حالت او با سایر موجودات فرقی نداشته خالق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صریحاً جوهر بودن از خدا، علاوه بر جسمیت نفی شده است، گویای عمق بینش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جوهر نباشد، یعنی ممکن الوجود و مخلوق نیست تا نیازمند خالق باشد و در این صورت تنها خالق و واجب الوجود است؛ یعنی قائم به ذات و بی نیاز از علت است و در نتیجه باید او را به کمک خودش 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مورد، بیانی از کلینی در پایان باب اراده از کتاب التوحید اصول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بیان نسبتاً مفصل، ضابطه‌ای برای تشخیص صفات ذات از صفات فعل مطرح کرده تا وضعیت اراده به عنوان صفت فعل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سخن ایشان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به دو چیزی که هر دو جنبه وجودی دارند، موصوف گردد، چنین صفتی، صفت فعل خواهد بود؛ زیرا برای خدا در جهان هستی اموری منظور می‌شود که برخی را اراده کرده برخی دیگر را اراده نمی‌کند؛ بعضی را می‌پسندد و بعضی را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اراده از صفات ذات باشد، باید اراده نقیض خود را همراه داشته باشد و ذات حق محل اجتماع آن دو باشد؛ در حالی که این امر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صفات ذات مانند علم و قدرت که از ذات حق جدا نمی‌شوند، نمی‌توان چیزی را یافت که از دایره علم و قدرت حق بیرون بوده، آن را غیر معلوم و غیر مقدور خدا دانست؛ یا این‌که همزمان او را به علم و جهل یا قدرت و عجز موصوف نمی‌دانیم و اثبات یکی از نقیضین مفهومش نفی دیگری است</w:t>
      </w:r>
      <w:r>
        <w:rPr>
          <w:rFonts w:eastAsia="IRNazanin" w:cs="IRNazanin"/>
          <w:color w:val="111111"/>
          <w:sz w:val="28"/>
          <w:szCs w:val="28"/>
          <w:rtl w:val="true"/>
          <w:lang w:bidi="fa-IR"/>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همان طور که ملاحظه می‌شود این بیان، کاملاً فنی بوده، تعریف قانع کننده‌ای در صفات ذات و فعل به دست می‌دهد و وضع اراده را به خصوص روشن می‌کند که صفت فعل بوده و همراه کار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سوم نیز بیانی از ایشان در کتاب التوحید ، در باب تأویل الصمد، به دنبال حدیث دوم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معنای درست در تفسیر صمد است، نه آن تفسیری که اهل تشبیه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آنها صمد، موجود توخالی است؛ زیرا تو خالی بودن صفت جسم است و خدای با عظمت از این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 از آن است که اوهام بر صفاتش آگاه شده، یا اوج بزرگی‌اش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اهل تشبیه در این مورد با سخن خدا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مانندی ندارد، ناسازگار است و خدا برتر از آن است که مانند اجسام 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درست صمد در روایات از زبان دانایان واقعی بازگو شده و آن سروری است که مقصود و هدف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درستی است که با آیه لیس کمثله شیء سازگار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مصمود در لغت به معنای مقصود است و حضرت ابوطالب علیه السلام نیز در شعرش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جمره دوری را که قصدش می‌کنند بالای آن با سنگ‌های بزرگ رمی می‌شود </w:t>
      </w:r>
      <w:r>
        <w:rPr>
          <w:rStyle w:val="FootnoteAnchor"/>
          <w:rtl w:val="true"/>
        </w:rPr>
        <w:footnoteReference w:id="2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بیان، کلینی ذوق و احاطه خود را بر ادبیات جاهلی و اسلامی به خوبی نشان داده، و با کمک گرفتن از لغت و شعر، به تفسیر صمد و توضیح حدیث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بعدی هم سخن مفصلی از کلینی راجع به یکی از خطبه‌های امیرالمؤمنین علیه السلام در همان کتاب التوحید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خطبه، یکی از خطبه‌های مشهور ایشان است تا جایی که همگان از آن باخبرند و این خطبه برای هر کس که در جستجوی دانش توحید باشد، کافی است؛ اگر در آن تدبر کرده، محتوایش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جن و انس با هم تلاش کنند که بدون یاری گرفتن از پیامبری معنای توحید را آشکار کنند نمی‌توانند مانند سخن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مادرم و پدرم فدایش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آورند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نخست راه توحید را به مردم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بخش از سخن مولا نمی‌نگرید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از چیزی آفریده شده و نه جهان را از چیزی آفریده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 اول حدوث را نفی کرده و با سخن بعدی دیدگاه کسانی را نفی کرده که گفته‌اند همه چیز حادث است و برخی چیزها از برخی دیگر پدید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 علیه السلام می‌خواسته سخن دوگانه پرستان را نفی کند که گمان می‌کرده‌اند خدا هر چیزی را از ریشه‌ای و بنابر الگویی آفریده است</w:t>
      </w:r>
      <w:r>
        <w:rPr>
          <w:rFonts w:eastAsia="IRNazanin" w:cs="IRNazanin"/>
          <w:color w:val="111111"/>
          <w:sz w:val="28"/>
          <w:szCs w:val="28"/>
          <w:rtl w:val="true"/>
          <w:lang w:bidi="fa-IR"/>
        </w:rPr>
        <w:t>.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طور ایشان دیدگاه تشبیه گرایان را که خدا را به شمش طلا یا بلور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جهت طول و هنجار تشبیه کرده‌اند، رد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سپس ایشان حلول خدا را در موجودات نفی کرده، ضمن این‌که خدا را با هر چیز و جدای از هر چیز دانسته و بدین ترتیب ویژگی‌های اجسام و اعراض را از خدا نفی کرده، چه این‌که جدایی و دوری ویژگی اجسام است و حلول در جسم و اتحاد آن با ویژگی اعراض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اما دانش حق بر پدیده‌ها احاطه دارد و آنها را با حکمتش آفریده یعنی با احاطه و تدبیرش بدون ترکیب با اشیاء با آنها همراه شده است</w:t>
      </w:r>
      <w:r>
        <w:rPr>
          <w:rFonts w:eastAsia="IRNazanin" w:cs="IRNazanin"/>
          <w:color w:val="111111"/>
          <w:sz w:val="28"/>
          <w:szCs w:val="28"/>
          <w:rtl w:val="true"/>
          <w:lang w:bidi="fa-IR"/>
        </w:rPr>
        <w:t xml:space="preserve">» . </w:t>
      </w:r>
      <w:r>
        <w:rPr>
          <w:rStyle w:val="FootnoteAnchor"/>
          <w:rtl w:val="true"/>
        </w:rPr>
        <w:footnoteReference w:id="2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جالبی که در آغاز سخن کلینی آمده، شهرت و رواج کلام مولا امیرالمؤمنین علیه السلام در میان اهل سنت است؛ اما مهم، میزان دقت متفکران اهل سنت در خطبه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تاریخ، برای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گزارش کرده، فراوانی اندیشه‌های شرک آلود مجسمه و مشبهه، اهل حدیث، اشاعره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مورد خدا و صفات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شیعه، به ویژه توسط کلینی که این مقال مربوط به عقل‌گرایی ایشان است، سخنان امیرالمؤمنین علیه السلام به بهترین شکل مورد تکریم قرار گرفته و با دقیق‌ترین فهم‌های عقلانی که در بالا ملاحظه فرمودید، همراه شده است</w:t>
      </w:r>
      <w:r>
        <w:rPr>
          <w:rFonts w:eastAsia="IRNazanin" w:cs="IRNazanin"/>
          <w:color w:val="111111"/>
          <w:sz w:val="28"/>
          <w:szCs w:val="28"/>
          <w:rtl w:val="true"/>
          <w:lang w:bidi="fa-IR"/>
        </w:rPr>
        <w:t xml:space="preserve">. </w:t>
      </w:r>
      <w:bookmarkStart w:id="230" w:name="pg14553_191807"/>
    </w:p>
    <w:p>
      <w:pPr>
        <w:pStyle w:val="BookText"/>
        <w:rPr/>
      </w:pPr>
      <w:bookmarkEnd w:id="23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موردی که بازگو می‌شود، بخشی از کتاب الحجه اصول کافی دربارۀ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 و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بزرگ تمام دنیا را برای خلیفه‌اش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خلیفه‌ای روی زمین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جهان اختصاص به حضرت آدم علیه السلام دارد و پس از ایشان به فرزندان شایسته‌اش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اموالی که به ناروا، در دست دشمنان فرزندان صالح حضرت آدم علیه السلام قرار می‌گیرد و سپس به صالحان بر می‌گردد، فیء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فیء با درگیری نظامی به دست می‌آید و آنچه بدون جهاد و درگیری به دست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ویژه خدا و پیامبرش می‌باشد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31" w:name="__RefHeading___Toc651827_1878427129"/>
      <w:bookmarkStart w:id="232" w:name="_Toc88"/>
      <w:bookmarkEnd w:id="231"/>
      <w:r>
        <w:rPr>
          <w:rtl w:val="true"/>
        </w:rPr>
        <w:t>چالش با قرامطه</w:t>
      </w:r>
      <w:bookmarkEnd w:id="232"/>
    </w:p>
    <w:p>
      <w:pPr>
        <w:pStyle w:val="Heading4"/>
        <w:numPr>
          <w:ilvl w:val="3"/>
          <w:numId w:val="1"/>
        </w:numPr>
        <w:rPr/>
      </w:pPr>
      <w:bookmarkStart w:id="233" w:name="__RefHeading___Toc651829_1878427129"/>
      <w:bookmarkStart w:id="234" w:name="_Toc89"/>
      <w:bookmarkEnd w:id="233"/>
      <w:r>
        <w:rPr>
          <w:rtl w:val="true"/>
        </w:rPr>
        <w:t>اشارة</w:t>
      </w:r>
      <w:bookmarkEnd w:id="234"/>
    </w:p>
    <w:p>
      <w:pPr>
        <w:pStyle w:val="BookText"/>
        <w:rPr/>
      </w:pPr>
      <w:r>
        <w:rPr>
          <w:rFonts w:ascii="IRNazanin" w:hAnsi="IRNazanin" w:eastAsia="IRNazanin"/>
          <w:color w:val="111111"/>
          <w:sz w:val="28"/>
          <w:sz w:val="28"/>
          <w:szCs w:val="28"/>
          <w:rtl w:val="true"/>
          <w:lang w:bidi="fa-IR"/>
        </w:rPr>
        <w:t>الرد علی القرامطة یکی از آثار از میان رفته کلینی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 یاد شده در دست می‌بود، میزان عقل‌گرایی کلینی آشکارتر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 ناگزیریم با کمک گرفتن از شواهد و قراین و به صورت حدس و تخمین، به وارسی اندیشه‌های کلینی در این موضوع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دقیقاً کلینی در زمان ظهور قرامطه به سر می‌برده و از نزدیک شاهد اندیشه‌ها، گفتار و رفتار آنان بوده، به خود، اجازۀ تخطئه آنها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کلینی در روزگاری دیرتر از عصر قرامطه به سر برده بود، به طور عمد، می‌بایست به بررسی تاریخی آنها و بالتبع به نقد فکری و رفتاری آنها 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معاصرت با آنان، علی القاعده می‌بایست، نقد کلینی در مورد آنها بیشتر جنبه اعتقادی داشته باشد؛ به ویژه این‌که، او یک متفکر برجسته و یک محدث والامقام بوده، در نتیجه از او انتظار می‌رفته جهان بینی قرمطی را نقد کند، نه این‌که به صورت یک موضع‌گیری سیاسی بخواهد به محکوم کردن اعمال آنها بپردازد؛ چه این‌که نقد فکری، مقدم بر نقد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یک گزارش تاریخی، از متکلم و حدیث گزاری که معاصر کلینی، بوده، مبادرت می‌شود، تا به کمک آن شیوۀ کلینی و ضمناً ماهیت قرامطه برای ما آشکارتر شود</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bookmarkStart w:id="235" w:name="pg14553_191808"/>
    </w:p>
    <w:p>
      <w:pPr>
        <w:pStyle w:val="BookText"/>
        <w:rPr/>
      </w:pPr>
      <w:bookmarkEnd w:id="235"/>
      <w:r>
        <w:rPr>
          <w:rFonts w:ascii="IRNazanin" w:hAnsi="IRNazanin" w:eastAsia="IRNazanin"/>
          <w:color w:val="111111"/>
          <w:sz w:val="28"/>
          <w:sz w:val="28"/>
          <w:szCs w:val="28"/>
          <w:rtl w:val="true"/>
          <w:lang w:bidi="fa-IR"/>
        </w:rPr>
        <w:t xml:space="preserve">سعد بن عبداللّه ابی خلف الاشعری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روزگار کلینی و نیز قرمطیان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گزارشگری ثقه بوده است، </w:t>
      </w:r>
      <w:r>
        <w:rPr>
          <w:rStyle w:val="FootnoteAnchor"/>
          <w:rtl w:val="true"/>
        </w:rPr>
        <w:footnoteReference w:id="2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النجاشی، ص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رجال الطوسی، ص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رقم ترجمه </w:t>
      </w:r>
      <w:r>
        <w:rPr>
          <w:rFonts w:eastAsia="IRNazanin" w:cs="IRNazanin"/>
          <w:color w:val="111111"/>
          <w:sz w:val="28"/>
          <w:szCs w:val="28"/>
          <w:lang w:bidi="fa-IR"/>
        </w:rPr>
        <w:t>6141</w:t>
      </w:r>
      <w:r>
        <w:rPr>
          <w:rFonts w:ascii="IRNazanin" w:hAnsi="IRNazanin" w:eastAsia="IRNazanin"/>
          <w:color w:val="111111"/>
          <w:sz w:val="28"/>
          <w:sz w:val="28"/>
          <w:szCs w:val="28"/>
          <w:rtl w:val="true"/>
          <w:lang w:bidi="fa-IR"/>
        </w:rPr>
        <w:t xml:space="preserve">، الفهرست،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رقم ترجمه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به طور مبسوط افکار آنها را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اکنون اصول فکری آنان را طبق نقل سعد بن عبداللّه بازگو می‌کنیم</w:t>
      </w:r>
      <w:r>
        <w:rPr>
          <w:rFonts w:eastAsia="IRNazanin" w:cs="IRNazanin"/>
          <w:color w:val="111111"/>
          <w:sz w:val="28"/>
          <w:szCs w:val="28"/>
          <w:rtl w:val="true"/>
          <w:lang w:bidi="fa-IR"/>
        </w:rPr>
        <w:t>:</w:t>
      </w:r>
    </w:p>
    <w:p>
      <w:pPr>
        <w:pStyle w:val="Heading4"/>
        <w:numPr>
          <w:ilvl w:val="3"/>
          <w:numId w:val="1"/>
        </w:numPr>
        <w:rPr/>
      </w:pPr>
      <w:bookmarkStart w:id="236" w:name="__RefHeading___Toc651831_1878427129"/>
      <w:bookmarkStart w:id="237" w:name="_Toc90"/>
      <w:bookmarkEnd w:id="236"/>
      <w:r>
        <w:rPr>
          <w:rtl w:val="true"/>
        </w:rPr>
        <w:t>یک</w:t>
      </w:r>
      <w:r>
        <w:rPr>
          <w:rtl w:val="true"/>
        </w:rPr>
        <w:t xml:space="preserve">. </w:t>
      </w:r>
      <w:r>
        <w:rPr>
          <w:rtl w:val="true"/>
        </w:rPr>
        <w:t>باطنی‌گری</w:t>
      </w:r>
      <w:bookmarkEnd w:id="237"/>
    </w:p>
    <w:p>
      <w:pPr>
        <w:pStyle w:val="BookText"/>
        <w:rPr/>
      </w:pPr>
      <w:r>
        <w:rPr>
          <w:rFonts w:ascii="IRNazanin" w:hAnsi="IRNazanin" w:eastAsia="IRNazanin"/>
          <w:color w:val="111111"/>
          <w:sz w:val="28"/>
          <w:sz w:val="28"/>
          <w:szCs w:val="28"/>
          <w:rtl w:val="true"/>
          <w:lang w:bidi="fa-IR"/>
        </w:rPr>
        <w:t>نخستین ویژگی قرمطیان، باطن‌گرایی و تأویل آیات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تمام واجبات در قرآن و سنت، ظاهر و باطنی در نظر می‌گرفته‌اند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تأویل کردن آنها هیچ مرزی نداشته و افراط می‌کرده‌اند؛ به علاوه، هیچ دلیلی نیز برای تأویل‌های خود اقامه نمی‌کرده‌اند</w:t>
      </w:r>
      <w:r>
        <w:rPr>
          <w:rFonts w:eastAsia="IRNazanin" w:cs="IRNazanin"/>
          <w:color w:val="111111"/>
          <w:sz w:val="28"/>
          <w:szCs w:val="28"/>
          <w:rtl w:val="true"/>
          <w:lang w:bidi="fa-IR"/>
        </w:rPr>
        <w:t>.</w:t>
      </w:r>
    </w:p>
    <w:p>
      <w:pPr>
        <w:pStyle w:val="Heading4"/>
        <w:numPr>
          <w:ilvl w:val="3"/>
          <w:numId w:val="1"/>
        </w:numPr>
        <w:rPr/>
      </w:pPr>
      <w:bookmarkStart w:id="238" w:name="__RefHeading___Toc651833_1878427129"/>
      <w:bookmarkStart w:id="239" w:name="_Toc91"/>
      <w:bookmarkEnd w:id="238"/>
      <w:r>
        <w:rPr>
          <w:rtl w:val="true"/>
        </w:rPr>
        <w:t>دو</w:t>
      </w:r>
      <w:r>
        <w:rPr>
          <w:rtl w:val="true"/>
        </w:rPr>
        <w:t xml:space="preserve">. </w:t>
      </w:r>
      <w:r>
        <w:rPr>
          <w:rtl w:val="true"/>
        </w:rPr>
        <w:t>امامان هفت گانه</w:t>
      </w:r>
      <w:bookmarkEnd w:id="239"/>
    </w:p>
    <w:p>
      <w:pPr>
        <w:pStyle w:val="BookText"/>
        <w:rPr/>
      </w:pPr>
      <w:r>
        <w:rPr>
          <w:rFonts w:ascii="IRNazanin" w:hAnsi="IRNazanin" w:eastAsia="IRNazanin"/>
          <w:color w:val="111111"/>
          <w:sz w:val="28"/>
          <w:sz w:val="28"/>
          <w:szCs w:val="28"/>
          <w:rtl w:val="true"/>
          <w:lang w:bidi="fa-IR"/>
        </w:rPr>
        <w:t>امامان پس از پیامبر صلی الله علیه و آله را هفت نفر می‌دانسته‌اند که آخرین آنها، جز شش امامی که شیعه اثنی اشعری قبول دارند، محمد بن اسماعیل بن جعفر الصادق علیه السلام است</w:t>
      </w:r>
      <w:r>
        <w:rPr>
          <w:rFonts w:eastAsia="IRNazanin" w:cs="IRNazanin"/>
          <w:color w:val="111111"/>
          <w:sz w:val="28"/>
          <w:szCs w:val="28"/>
          <w:rtl w:val="true"/>
          <w:lang w:bidi="fa-IR"/>
        </w:rPr>
        <w:t>.</w:t>
      </w:r>
    </w:p>
    <w:p>
      <w:pPr>
        <w:pStyle w:val="Heading4"/>
        <w:numPr>
          <w:ilvl w:val="3"/>
          <w:numId w:val="1"/>
        </w:numPr>
        <w:rPr/>
      </w:pPr>
      <w:bookmarkStart w:id="240" w:name="__RefHeading___Toc651835_1878427129"/>
      <w:bookmarkStart w:id="241" w:name="_Toc92"/>
      <w:bookmarkEnd w:id="240"/>
      <w:r>
        <w:rPr>
          <w:rtl w:val="true"/>
        </w:rPr>
        <w:t>سه</w:t>
      </w:r>
      <w:r>
        <w:rPr>
          <w:rtl w:val="true"/>
        </w:rPr>
        <w:t xml:space="preserve">. </w:t>
      </w:r>
      <w:r>
        <w:rPr>
          <w:rtl w:val="true"/>
        </w:rPr>
        <w:t>ادامه رسالت</w:t>
      </w:r>
      <w:bookmarkEnd w:id="241"/>
    </w:p>
    <w:p>
      <w:pPr>
        <w:pStyle w:val="BookText"/>
        <w:rPr/>
      </w:pPr>
      <w:r>
        <w:rPr>
          <w:rFonts w:ascii="IRNazanin" w:hAnsi="IRNazanin" w:eastAsia="IRNazanin"/>
          <w:color w:val="111111"/>
          <w:sz w:val="28"/>
          <w:sz w:val="28"/>
          <w:szCs w:val="28"/>
          <w:rtl w:val="true"/>
          <w:lang w:bidi="fa-IR"/>
        </w:rPr>
        <w:t>عقیدۀ دیگر آنها ادامه رسالت، پس از پیامبر صلی الله علیه و آله ضمن وجود همان هفت امام بوده است</w:t>
      </w:r>
      <w:r>
        <w:rPr>
          <w:rFonts w:eastAsia="IRNazanin" w:cs="IRNazanin"/>
          <w:color w:val="111111"/>
          <w:sz w:val="28"/>
          <w:szCs w:val="28"/>
          <w:rtl w:val="true"/>
          <w:lang w:bidi="fa-IR"/>
        </w:rPr>
        <w:t>.</w:t>
      </w:r>
    </w:p>
    <w:p>
      <w:pPr>
        <w:pStyle w:val="Heading4"/>
        <w:numPr>
          <w:ilvl w:val="3"/>
          <w:numId w:val="1"/>
        </w:numPr>
        <w:rPr/>
      </w:pPr>
      <w:bookmarkStart w:id="242" w:name="__RefHeading___Toc651837_1878427129"/>
      <w:bookmarkStart w:id="243" w:name="_Toc93"/>
      <w:bookmarkEnd w:id="242"/>
      <w:r>
        <w:rPr>
          <w:rtl w:val="true"/>
        </w:rPr>
        <w:t>چهار</w:t>
      </w:r>
      <w:r>
        <w:rPr>
          <w:rtl w:val="true"/>
        </w:rPr>
        <w:t xml:space="preserve">. </w:t>
      </w:r>
      <w:r>
        <w:rPr>
          <w:rtl w:val="true"/>
        </w:rPr>
        <w:t>انقطاع رسالت از پیامبر صلی الله علیه و آله</w:t>
      </w:r>
      <w:bookmarkEnd w:id="243"/>
    </w:p>
    <w:p>
      <w:pPr>
        <w:pStyle w:val="BookText"/>
        <w:rPr/>
      </w:pPr>
      <w:r>
        <w:rPr>
          <w:rFonts w:ascii="IRNazanin" w:hAnsi="IRNazanin" w:eastAsia="IRNazanin"/>
          <w:color w:val="111111"/>
          <w:sz w:val="28"/>
          <w:sz w:val="28"/>
          <w:szCs w:val="28"/>
          <w:rtl w:val="true"/>
          <w:lang w:bidi="fa-IR"/>
        </w:rPr>
        <w:t>حرف دیگرشان این بوده که رسالت از پیامبر صلی الله علیه و آله در غدیرخم منقطع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امیرالمؤمنین علیه السلام را به خلافت نصب کرده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در بقیه عمر خود، تابع علی علیه السلام بوده است</w:t>
      </w:r>
      <w:r>
        <w:rPr>
          <w:rFonts w:eastAsia="IRNazanin" w:cs="IRNazanin"/>
          <w:color w:val="111111"/>
          <w:sz w:val="28"/>
          <w:szCs w:val="28"/>
          <w:rtl w:val="true"/>
          <w:lang w:bidi="fa-IR"/>
        </w:rPr>
        <w:t>.</w:t>
      </w:r>
    </w:p>
    <w:p>
      <w:pPr>
        <w:pStyle w:val="Heading4"/>
        <w:numPr>
          <w:ilvl w:val="3"/>
          <w:numId w:val="1"/>
        </w:numPr>
        <w:rPr/>
      </w:pPr>
      <w:bookmarkStart w:id="244" w:name="__RefHeading___Toc651839_1878427129"/>
      <w:bookmarkStart w:id="245" w:name="_Toc94"/>
      <w:bookmarkEnd w:id="244"/>
      <w:r>
        <w:rPr>
          <w:rtl w:val="true"/>
        </w:rPr>
        <w:t>پنج</w:t>
      </w:r>
      <w:r>
        <w:rPr>
          <w:rtl w:val="true"/>
        </w:rPr>
        <w:t xml:space="preserve">. </w:t>
      </w:r>
      <w:r>
        <w:rPr>
          <w:rtl w:val="true"/>
        </w:rPr>
        <w:t>مهدویت محمد بن اسماعیل</w:t>
      </w:r>
      <w:bookmarkEnd w:id="24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نوۀ امام ششم علیه السلام محمد بن اسماعیل را زنده، غایب و مستقر در بلاد روم می‌دانسته‌اند که روزگاری به عنوان مهدی آشکار خواهد شد</w:t>
      </w:r>
      <w:r>
        <w:rPr>
          <w:rFonts w:eastAsia="IRNazanin" w:cs="IRNazanin"/>
          <w:color w:val="111111"/>
          <w:sz w:val="28"/>
          <w:szCs w:val="28"/>
          <w:rtl w:val="true"/>
          <w:lang w:bidi="fa-IR"/>
        </w:rPr>
        <w:t xml:space="preserve">. </w:t>
      </w:r>
      <w:bookmarkStart w:id="246" w:name="pg14553_191809"/>
    </w:p>
    <w:p>
      <w:pPr>
        <w:pStyle w:val="Heading4"/>
        <w:numPr>
          <w:ilvl w:val="3"/>
          <w:numId w:val="1"/>
        </w:numPr>
        <w:rPr/>
      </w:pPr>
      <w:bookmarkStart w:id="247" w:name="__RefHeading___Toc651841_1878427129"/>
      <w:bookmarkStart w:id="248" w:name="_Toc95"/>
      <w:bookmarkEnd w:id="246"/>
      <w:bookmarkEnd w:id="247"/>
      <w:r>
        <w:rPr>
          <w:rtl w:val="true"/>
        </w:rPr>
        <w:t>شش</w:t>
      </w:r>
      <w:r>
        <w:rPr>
          <w:rtl w:val="true"/>
        </w:rPr>
        <w:t xml:space="preserve">. </w:t>
      </w:r>
      <w:r>
        <w:rPr>
          <w:rtl w:val="true"/>
        </w:rPr>
        <w:t>منسوخ شدن اسلام</w:t>
      </w:r>
      <w:bookmarkEnd w:id="248"/>
    </w:p>
    <w:p>
      <w:pPr>
        <w:pStyle w:val="BookText"/>
        <w:rPr/>
      </w:pPr>
      <w:r>
        <w:rPr>
          <w:rFonts w:ascii="IRNazanin" w:hAnsi="IRNazanin" w:eastAsia="IRNazanin"/>
          <w:color w:val="111111"/>
          <w:sz w:val="28"/>
          <w:sz w:val="28"/>
          <w:szCs w:val="28"/>
          <w:rtl w:val="true"/>
          <w:lang w:bidi="fa-IR"/>
        </w:rPr>
        <w:t>نیز می‌گفته‌اند با ظهور محمد بن اسماعیل به عنوان مهدی، دین اسلام نسخ شده، شریعت جدیدی اعلام خواهد شد</w:t>
      </w:r>
      <w:r>
        <w:rPr>
          <w:rFonts w:eastAsia="IRNazanin" w:cs="IRNazanin"/>
          <w:color w:val="111111"/>
          <w:sz w:val="28"/>
          <w:szCs w:val="28"/>
          <w:rtl w:val="true"/>
          <w:lang w:bidi="fa-IR"/>
        </w:rPr>
        <w:t>.</w:t>
      </w:r>
    </w:p>
    <w:p>
      <w:pPr>
        <w:pStyle w:val="Heading4"/>
        <w:numPr>
          <w:ilvl w:val="3"/>
          <w:numId w:val="1"/>
        </w:numPr>
        <w:rPr/>
      </w:pPr>
      <w:bookmarkStart w:id="249" w:name="__RefHeading___Toc651843_1878427129"/>
      <w:bookmarkStart w:id="250" w:name="_Toc96"/>
      <w:bookmarkEnd w:id="249"/>
      <w:r>
        <w:rPr>
          <w:rtl w:val="true"/>
        </w:rPr>
        <w:t>هفت</w:t>
      </w:r>
      <w:r>
        <w:rPr>
          <w:rtl w:val="true"/>
        </w:rPr>
        <w:t xml:space="preserve">. </w:t>
      </w:r>
      <w:r>
        <w:rPr>
          <w:rtl w:val="true"/>
        </w:rPr>
        <w:t>پیامبران اولوالعزم هفتگانه</w:t>
      </w:r>
      <w:bookmarkEnd w:id="250"/>
    </w:p>
    <w:p>
      <w:pPr>
        <w:pStyle w:val="BookText"/>
        <w:rPr/>
      </w:pPr>
      <w:r>
        <w:rPr>
          <w:rFonts w:ascii="IRNazanin" w:hAnsi="IRNazanin" w:eastAsia="IRNazanin"/>
          <w:color w:val="111111"/>
          <w:sz w:val="28"/>
          <w:sz w:val="28"/>
          <w:szCs w:val="28"/>
          <w:rtl w:val="true"/>
          <w:lang w:bidi="fa-IR"/>
        </w:rPr>
        <w:t>علاوه بر پنج پیغمبر اولوالعزم که اعتقاد ماست، آنها حضرت امیر علیه السلام و محمد بن اسماعیل را نیز می‌افزوده‌اند</w:t>
      </w:r>
      <w:r>
        <w:rPr>
          <w:rFonts w:eastAsia="IRNazanin" w:cs="IRNazanin"/>
          <w:color w:val="111111"/>
          <w:sz w:val="28"/>
          <w:szCs w:val="28"/>
          <w:rtl w:val="true"/>
          <w:lang w:bidi="fa-IR"/>
        </w:rPr>
        <w:t>.</w:t>
      </w:r>
    </w:p>
    <w:p>
      <w:pPr>
        <w:pStyle w:val="Heading4"/>
        <w:numPr>
          <w:ilvl w:val="3"/>
          <w:numId w:val="1"/>
        </w:numPr>
        <w:rPr/>
      </w:pPr>
      <w:bookmarkStart w:id="251" w:name="__RefHeading___Toc651845_1878427129"/>
      <w:bookmarkStart w:id="252" w:name="_Toc97"/>
      <w:bookmarkEnd w:id="251"/>
      <w:r>
        <w:rPr>
          <w:rtl w:val="true"/>
        </w:rPr>
        <w:t>هشت</w:t>
      </w:r>
      <w:r>
        <w:rPr>
          <w:rtl w:val="true"/>
        </w:rPr>
        <w:t xml:space="preserve">. </w:t>
      </w:r>
      <w:r>
        <w:rPr>
          <w:rtl w:val="true"/>
        </w:rPr>
        <w:t>خاتمیت محمد بن اسماعیل</w:t>
      </w:r>
      <w:bookmarkEnd w:id="252"/>
    </w:p>
    <w:p>
      <w:pPr>
        <w:pStyle w:val="BookText"/>
        <w:rPr/>
      </w:pPr>
      <w:r>
        <w:rPr>
          <w:rFonts w:ascii="IRNazanin" w:hAnsi="IRNazanin" w:eastAsia="IRNazanin"/>
          <w:color w:val="111111"/>
          <w:sz w:val="28"/>
          <w:sz w:val="28"/>
          <w:szCs w:val="28"/>
          <w:rtl w:val="true"/>
          <w:lang w:bidi="fa-IR"/>
        </w:rPr>
        <w:t>آنها محمد بن اسماعیل را پیغمبر خاتم دانسته‌اند</w:t>
      </w:r>
      <w:r>
        <w:rPr>
          <w:rFonts w:eastAsia="IRNazanin" w:cs="IRNazanin"/>
          <w:color w:val="111111"/>
          <w:sz w:val="28"/>
          <w:szCs w:val="28"/>
          <w:rtl w:val="true"/>
          <w:lang w:bidi="fa-IR"/>
        </w:rPr>
        <w:t>.</w:t>
      </w:r>
    </w:p>
    <w:p>
      <w:pPr>
        <w:pStyle w:val="Heading4"/>
        <w:numPr>
          <w:ilvl w:val="3"/>
          <w:numId w:val="1"/>
        </w:numPr>
        <w:rPr/>
      </w:pPr>
      <w:bookmarkStart w:id="253" w:name="__RefHeading___Toc651847_1878427129"/>
      <w:bookmarkStart w:id="254" w:name="_Toc98"/>
      <w:bookmarkEnd w:id="253"/>
      <w:r>
        <w:rPr>
          <w:rtl w:val="true"/>
        </w:rPr>
        <w:t>نه</w:t>
      </w:r>
      <w:r>
        <w:rPr>
          <w:rtl w:val="true"/>
        </w:rPr>
        <w:t xml:space="preserve">. </w:t>
      </w:r>
      <w:r>
        <w:rPr>
          <w:rtl w:val="true"/>
        </w:rPr>
        <w:t>اصل اباحه و عدم حرمت چیزی</w:t>
      </w:r>
      <w:bookmarkEnd w:id="254"/>
    </w:p>
    <w:p>
      <w:pPr>
        <w:pStyle w:val="BookText"/>
        <w:rPr/>
      </w:pPr>
      <w:r>
        <w:rPr>
          <w:rFonts w:ascii="IRNazanin" w:hAnsi="IRNazanin" w:eastAsia="IRNazanin"/>
          <w:color w:val="111111"/>
          <w:sz w:val="28"/>
          <w:sz w:val="28"/>
          <w:szCs w:val="28"/>
          <w:rtl w:val="true"/>
          <w:lang w:bidi="fa-IR"/>
        </w:rPr>
        <w:t>به باور آنها خدا برای محمد بن اسماعیل، بهشتی مانند بهشت حضرت آدم علیه السلام قرار داده که همه چیز در آن مباح بوده هیچ چیز حرامی وجود ندارد</w:t>
      </w:r>
      <w:r>
        <w:rPr>
          <w:rFonts w:eastAsia="IRNazanin" w:cs="IRNazanin"/>
          <w:color w:val="111111"/>
          <w:sz w:val="28"/>
          <w:szCs w:val="28"/>
          <w:rtl w:val="true"/>
          <w:lang w:bidi="fa-IR"/>
        </w:rPr>
        <w:t>.</w:t>
      </w:r>
    </w:p>
    <w:p>
      <w:pPr>
        <w:pStyle w:val="Heading4"/>
        <w:numPr>
          <w:ilvl w:val="3"/>
          <w:numId w:val="1"/>
        </w:numPr>
        <w:rPr/>
      </w:pPr>
      <w:bookmarkStart w:id="255" w:name="__RefHeading___Toc651849_1878427129"/>
      <w:bookmarkStart w:id="256" w:name="_Toc99"/>
      <w:bookmarkEnd w:id="255"/>
      <w:r>
        <w:rPr>
          <w:rtl w:val="true"/>
        </w:rPr>
        <w:t>ده</w:t>
      </w:r>
      <w:r>
        <w:rPr>
          <w:rtl w:val="true"/>
        </w:rPr>
        <w:t xml:space="preserve">. </w:t>
      </w:r>
      <w:r>
        <w:rPr>
          <w:rtl w:val="true"/>
        </w:rPr>
        <w:t>تخطئۀ امام کاظم علیه السلام</w:t>
      </w:r>
      <w:bookmarkEnd w:id="256"/>
    </w:p>
    <w:p>
      <w:pPr>
        <w:pStyle w:val="BookText"/>
        <w:rPr/>
      </w:pPr>
      <w:r>
        <w:rPr>
          <w:rFonts w:ascii="IRNazanin" w:hAnsi="IRNazanin" w:eastAsia="IRNazanin"/>
          <w:color w:val="111111"/>
          <w:sz w:val="28"/>
          <w:sz w:val="28"/>
          <w:szCs w:val="28"/>
          <w:rtl w:val="true"/>
          <w:lang w:bidi="fa-IR"/>
        </w:rPr>
        <w:t>عطف به بند قبل و بر اساس تأویل ولا تقربا هذه الشجره، امام هفتم را تخطئه می‌کرده، امامت ایشان را قبول نداشته‌اند</w:t>
      </w:r>
      <w:r>
        <w:rPr>
          <w:rFonts w:eastAsia="IRNazanin" w:cs="IRNazanin"/>
          <w:color w:val="111111"/>
          <w:sz w:val="28"/>
          <w:szCs w:val="28"/>
          <w:rtl w:val="true"/>
          <w:lang w:bidi="fa-IR"/>
        </w:rPr>
        <w:t>.</w:t>
      </w:r>
    </w:p>
    <w:p>
      <w:pPr>
        <w:pStyle w:val="Heading4"/>
        <w:numPr>
          <w:ilvl w:val="3"/>
          <w:numId w:val="1"/>
        </w:numPr>
        <w:rPr/>
      </w:pPr>
      <w:bookmarkStart w:id="257" w:name="__RefHeading___Toc651851_1878427129"/>
      <w:bookmarkStart w:id="258" w:name="_Toc100"/>
      <w:bookmarkEnd w:id="257"/>
      <w:r>
        <w:rPr>
          <w:rtl w:val="true"/>
        </w:rPr>
        <w:t>یازده</w:t>
      </w:r>
      <w:r>
        <w:rPr>
          <w:rtl w:val="true"/>
        </w:rPr>
        <w:t xml:space="preserve">. </w:t>
      </w:r>
      <w:r>
        <w:rPr>
          <w:rtl w:val="true"/>
        </w:rPr>
        <w:t>تکفیر مردم</w:t>
      </w:r>
      <w:bookmarkEnd w:id="258"/>
    </w:p>
    <w:p>
      <w:pPr>
        <w:pStyle w:val="BookText"/>
        <w:rPr/>
      </w:pPr>
      <w:r>
        <w:rPr>
          <w:rFonts w:ascii="IRNazanin" w:hAnsi="IRNazanin" w:eastAsia="IRNazanin"/>
          <w:color w:val="111111"/>
          <w:sz w:val="28"/>
          <w:sz w:val="28"/>
          <w:szCs w:val="28"/>
          <w:rtl w:val="true"/>
          <w:lang w:bidi="fa-IR"/>
        </w:rPr>
        <w:t>آنها جز خود را کافر می‌دانسته مال و خون آنها را حلال می‌دانسته‌اند و بر این اساس قتال با آنها را نیز واجب دانسته، می‌گفته‌اند باید از نزدیک‌ترین کافران یعنی پیروان امام کاظم علیه السلام، شروع کرد و عملاً نیز مبادرت به غارت‌ها و قتل عام‌های گسترده کرده‌اند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الاثیر، الکامل،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lang w:bidi="fa-IR"/>
        </w:rPr>
        <w:t>،</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نیز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جای آن تا پایان کتاب</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قرامطه با این افکار، در قرن سوم و چهارم هجری، با بهره‌گیری از فرصت به دست آمده از ضعف و فتور بنی عباس، دست به شورش و تجزیه‌طلبی زده، طی چند دهه </w:t>
      </w:r>
      <w:bookmarkStart w:id="259" w:name="pg14553_191810"/>
    </w:p>
    <w:p>
      <w:pPr>
        <w:pStyle w:val="BookText"/>
        <w:rPr/>
      </w:pPr>
      <w:bookmarkEnd w:id="259"/>
      <w:r>
        <w:rPr>
          <w:rFonts w:ascii="IRNazanin" w:hAnsi="IRNazanin" w:eastAsia="IRNazanin"/>
          <w:color w:val="111111"/>
          <w:sz w:val="28"/>
          <w:sz w:val="28"/>
          <w:szCs w:val="28"/>
          <w:rtl w:val="true"/>
          <w:lang w:bidi="fa-IR"/>
        </w:rPr>
        <w:t>درگیری با مردم و نیروهای دولتی، بدترین جنایت‌ها را مرتکب شده‌اند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 والبدایة والنهایة، ابن کثیر،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دار احیاء التراث العربی،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والتنبیه والاشراف، مسعودی،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دار صادر، بیروت،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نیز تجارب الامم ابن مسکویه</w:t>
      </w:r>
      <w:r>
        <w:rPr>
          <w:rFonts w:eastAsia="IRNazanin" w:cs="IRNazanin"/>
          <w:color w:val="111111"/>
          <w:sz w:val="28"/>
          <w:szCs w:val="28"/>
          <w:rtl w:val="true"/>
          <w:lang w:bidi="fa-IR"/>
        </w:rPr>
        <w:t>.</w:t>
      </w:r>
    </w:p>
    <w:p>
      <w:pPr>
        <w:pStyle w:val="Heading3"/>
        <w:numPr>
          <w:ilvl w:val="2"/>
          <w:numId w:val="1"/>
        </w:numPr>
        <w:rPr/>
      </w:pPr>
      <w:bookmarkStart w:id="260" w:name="__RefHeading___Toc651853_1878427129"/>
      <w:bookmarkStart w:id="261" w:name="_Toc101"/>
      <w:bookmarkEnd w:id="260"/>
      <w:r>
        <w:rPr>
          <w:rtl w:val="true"/>
        </w:rPr>
        <w:t>خردورزی در فقه</w:t>
      </w:r>
      <w:bookmarkEnd w:id="261"/>
    </w:p>
    <w:p>
      <w:pPr>
        <w:pStyle w:val="Heading4"/>
        <w:numPr>
          <w:ilvl w:val="3"/>
          <w:numId w:val="1"/>
        </w:numPr>
        <w:rPr/>
      </w:pPr>
      <w:bookmarkStart w:id="262" w:name="__RefHeading___Toc651855_1878427129"/>
      <w:bookmarkStart w:id="263" w:name="_Toc102"/>
      <w:bookmarkEnd w:id="262"/>
      <w:r>
        <w:rPr>
          <w:rtl w:val="true"/>
        </w:rPr>
        <w:t>اشارة</w:t>
      </w:r>
      <w:bookmarkEnd w:id="263"/>
    </w:p>
    <w:p>
      <w:pPr>
        <w:pStyle w:val="BookText"/>
        <w:rPr/>
      </w:pPr>
      <w:r>
        <w:rPr>
          <w:rFonts w:ascii="IRNazanin" w:hAnsi="IRNazanin" w:eastAsia="IRNazanin"/>
          <w:color w:val="111111"/>
          <w:sz w:val="28"/>
          <w:sz w:val="28"/>
          <w:szCs w:val="28"/>
          <w:rtl w:val="true"/>
          <w:lang w:bidi="fa-IR"/>
        </w:rPr>
        <w:t>گر چه از کلینی اثر فقهی بر جای نمانده است، لیکن با توجه به سامان دادن فروع کافی و گردآوری احادیث فقهی و تبویب آنها، می‌توان به عظمت مقام فقهی وی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زمینۀ خردگرایی ایشان در فقه، طرح دو نکته سودمند است</w:t>
      </w:r>
      <w:r>
        <w:rPr>
          <w:rFonts w:eastAsia="IRNazanin" w:cs="IRNazanin"/>
          <w:color w:val="111111"/>
          <w:sz w:val="28"/>
          <w:szCs w:val="28"/>
          <w:rtl w:val="true"/>
          <w:lang w:bidi="fa-IR"/>
        </w:rPr>
        <w:t>:</w:t>
      </w:r>
    </w:p>
    <w:p>
      <w:pPr>
        <w:pStyle w:val="Heading4"/>
        <w:numPr>
          <w:ilvl w:val="3"/>
          <w:numId w:val="1"/>
        </w:numPr>
        <w:rPr/>
      </w:pPr>
      <w:bookmarkStart w:id="264" w:name="__RefHeading___Toc651857_1878427129"/>
      <w:bookmarkStart w:id="265" w:name="_Toc103"/>
      <w:bookmarkEnd w:id="264"/>
      <w:r>
        <w:rPr/>
        <w:t>1</w:t>
      </w:r>
      <w:r>
        <w:rPr>
          <w:rtl w:val="true"/>
        </w:rPr>
        <w:t xml:space="preserve">. </w:t>
      </w:r>
      <w:r>
        <w:rPr>
          <w:rtl w:val="true"/>
        </w:rPr>
        <w:t>مبانی استنباط از نگاه کلینی</w:t>
      </w:r>
      <w:bookmarkEnd w:id="265"/>
    </w:p>
    <w:p>
      <w:pPr>
        <w:pStyle w:val="BookText"/>
        <w:rPr/>
      </w:pPr>
      <w:r>
        <w:rPr>
          <w:rFonts w:ascii="IRNazanin" w:hAnsi="IRNazanin" w:eastAsia="IRNazanin"/>
          <w:color w:val="111111"/>
          <w:sz w:val="28"/>
          <w:sz w:val="28"/>
          <w:szCs w:val="28"/>
          <w:rtl w:val="true"/>
          <w:lang w:bidi="fa-IR"/>
        </w:rPr>
        <w:t xml:space="preserve">یکی از آثار کلینی که متأسفانه به دست ما نرسیده است، کتابی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بررسی اسناد روایات و شناخت راویان آنها برای پذیرش روایات و فتوا طبق آنها به عنوان مقدمه استنباط کاری لازم است و کلینی به این کار پرداخته بوده است و با توجه به بهایی که وی به این کار داده بوده، می‌توان حدس زد که سایر مبانی استنباط به ویژه دانش اصول فقه نیز در چشم و ذهن ایشان اهمیت فراوان داده است، و ما اکنون از آرا اصولی ایشان اطلاعی نداریم و چه بسا که در این موضوع نیز اثری داشته که از میان رفته است</w:t>
      </w:r>
      <w:r>
        <w:rPr>
          <w:rFonts w:eastAsia="IRNazanin" w:cs="IRNazanin"/>
          <w:color w:val="111111"/>
          <w:sz w:val="28"/>
          <w:szCs w:val="28"/>
          <w:rtl w:val="true"/>
          <w:lang w:bidi="fa-IR"/>
        </w:rPr>
        <w:t xml:space="preserve">. </w:t>
      </w:r>
      <w:r>
        <w:rPr>
          <w:rStyle w:val="FootnoteAnchor"/>
          <w:rtl w:val="true"/>
        </w:rPr>
        <w:footnoteReference w:id="247"/>
      </w:r>
    </w:p>
    <w:p>
      <w:pPr>
        <w:pStyle w:val="Heading4"/>
        <w:numPr>
          <w:ilvl w:val="3"/>
          <w:numId w:val="1"/>
        </w:numPr>
        <w:rPr/>
      </w:pPr>
      <w:bookmarkStart w:id="266" w:name="__RefHeading___Toc651859_1878427129"/>
      <w:bookmarkStart w:id="267" w:name="_Toc104"/>
      <w:bookmarkEnd w:id="266"/>
      <w:r>
        <w:rPr/>
        <w:t>2</w:t>
      </w:r>
      <w:r>
        <w:rPr>
          <w:rtl w:val="true"/>
        </w:rPr>
        <w:t xml:space="preserve">. </w:t>
      </w:r>
      <w:r>
        <w:rPr>
          <w:rtl w:val="true"/>
        </w:rPr>
        <w:t>نگاهی به فروع کافی</w:t>
      </w:r>
      <w:bookmarkEnd w:id="26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فروع کافی آرای فقهی و اظهارنظرهای بسیاری از کلینی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گاهی توضیحاتی دربارۀ متون روایی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تعارض روایات و راه جمیع آنها هم نکاتی در فروع کافی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کلینی دیدگاه‌های خود را پیش از نقل روایات آورده است</w:t>
      </w:r>
      <w:r>
        <w:rPr>
          <w:rFonts w:eastAsia="IRNazanin" w:cs="IRNazanin"/>
          <w:color w:val="111111"/>
          <w:sz w:val="28"/>
          <w:szCs w:val="28"/>
          <w:rtl w:val="true"/>
          <w:lang w:bidi="fa-IR"/>
        </w:rPr>
        <w:t xml:space="preserve">. </w:t>
      </w:r>
      <w:r>
        <w:rPr>
          <w:rStyle w:val="FootnoteAnchor"/>
          <w:rtl w:val="true"/>
        </w:rPr>
        <w:footnoteReference w:id="248"/>
      </w:r>
      <w:bookmarkStart w:id="268" w:name="pg14553_191811"/>
    </w:p>
    <w:p>
      <w:pPr>
        <w:pStyle w:val="Heading3"/>
        <w:numPr>
          <w:ilvl w:val="2"/>
          <w:numId w:val="1"/>
        </w:numPr>
        <w:rPr/>
      </w:pPr>
      <w:bookmarkStart w:id="269" w:name="__RefHeading___Toc651861_1878427129"/>
      <w:bookmarkStart w:id="270" w:name="_Toc105"/>
      <w:bookmarkEnd w:id="268"/>
      <w:bookmarkEnd w:id="269"/>
      <w:r>
        <w:rPr>
          <w:rtl w:val="true"/>
        </w:rPr>
        <w:t>درگذشت کلینی</w:t>
      </w:r>
      <w:bookmarkEnd w:id="270"/>
    </w:p>
    <w:p>
      <w:pPr>
        <w:pStyle w:val="BookText"/>
        <w:rPr/>
      </w:pPr>
      <w:r>
        <w:rPr>
          <w:rFonts w:ascii="IRNazanin" w:hAnsi="IRNazanin" w:eastAsia="IRNazanin"/>
          <w:color w:val="111111"/>
          <w:sz w:val="28"/>
          <w:sz w:val="28"/>
          <w:szCs w:val="28"/>
          <w:rtl w:val="true"/>
          <w:lang w:bidi="fa-IR"/>
        </w:rPr>
        <w:t>پس از عمری هفتاد ساله، یا کمی بیشتر یا کمتر از آن، مرغ روح بزرگ مرد عرصه اندیشه و دانش، محمد بن یعقوب کلینی، از قفس جسم او پر کشیده، به جانان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درگذشت او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قول، این حادثه را مربوط به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Style w:val="FootnoteAnchor"/>
          <w:rtl w:val="true"/>
        </w:rPr>
        <w:footnoteReference w:id="2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الطوسی، الفهرست،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دیگر آن مربوط به سال بعد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 دوم مقتضای تحقیق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زیرا نجاشی که به عصر کلینی نزدیک بوده و از دقت بالایی هم برخوردار بوده است، آن را برگزیده و شیخ نیز در رجال خود که پس از فهرست نگاشته بدان خستو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سالی که در آن حادثه جوّی مهمی رخ داده بود، همان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نجاشی آن را سال درگذشت کلینی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نیز نزد مورخان مشهور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روی کلینی در شهر بغداد زندگی را بدرود گفته و در آن‌جا رخ در نقاب خاک کشید</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والسلام علیه یوم ولد ویوم مات ویوم یبعث حیاً</w:t>
      </w:r>
      <w:r>
        <w:rPr>
          <w:rFonts w:eastAsia="IRNazanin" w:cs="IRNazanin"/>
          <w:color w:val="111111"/>
          <w:sz w:val="28"/>
          <w:szCs w:val="28"/>
          <w:rtl w:val="true"/>
          <w:lang w:bidi="fa-IR"/>
        </w:rPr>
        <w:t xml:space="preserve">. </w:t>
      </w:r>
      <w:bookmarkStart w:id="271" w:name="pg14553_191812"/>
    </w:p>
    <w:p>
      <w:pPr>
        <w:pStyle w:val="BookText"/>
        <w:rPr/>
      </w:pPr>
      <w:bookmarkEnd w:id="271"/>
      <w:r>
        <w:rPr>
          <w:rFonts w:ascii="IRNazanin" w:hAnsi="IRNazanin" w:eastAsia="IRNazanin"/>
          <w:color w:val="111111"/>
          <w:sz w:val="28"/>
          <w:sz w:val="28"/>
          <w:szCs w:val="28"/>
          <w:rtl w:val="true"/>
          <w:lang w:bidi="fa-IR"/>
        </w:rPr>
        <w:t>روش فهم حدیث در شرح اُصول الکافی ملّاصالح مازندرانی</w:t>
      </w:r>
    </w:p>
    <w:p>
      <w:pPr>
        <w:pStyle w:val="Heading2"/>
        <w:numPr>
          <w:ilvl w:val="1"/>
          <w:numId w:val="1"/>
        </w:numPr>
        <w:rPr/>
      </w:pPr>
      <w:bookmarkStart w:id="272" w:name="__RefHeading___Toc651863_1878427129"/>
      <w:bookmarkStart w:id="273" w:name="_Toc106"/>
      <w:bookmarkEnd w:id="272"/>
      <w:r>
        <w:rPr>
          <w:rtl w:val="true"/>
        </w:rPr>
        <w:t>روش فهم حدیث در شرح اُصول الکافی ملّاصالح مازندرانی</w:t>
      </w:r>
      <w:bookmarkEnd w:id="273"/>
    </w:p>
    <w:p>
      <w:pPr>
        <w:pStyle w:val="Heading3"/>
        <w:numPr>
          <w:ilvl w:val="2"/>
          <w:numId w:val="1"/>
        </w:numPr>
        <w:rPr/>
      </w:pPr>
      <w:bookmarkStart w:id="274" w:name="__RefHeading___Toc651865_1878427129"/>
      <w:bookmarkStart w:id="275" w:name="_Toc107"/>
      <w:bookmarkEnd w:id="274"/>
      <w:r>
        <w:rPr>
          <w:rtl w:val="true"/>
        </w:rPr>
        <w:t>اشارة</w:t>
      </w:r>
      <w:bookmarkEnd w:id="275"/>
    </w:p>
    <w:p>
      <w:pPr>
        <w:pStyle w:val="BookText"/>
        <w:rPr/>
      </w:pPr>
      <w:r>
        <w:rPr>
          <w:rFonts w:ascii="IRNazanin" w:hAnsi="IRNazanin" w:eastAsia="IRNazanin"/>
          <w:color w:val="111111"/>
          <w:sz w:val="28"/>
          <w:sz w:val="28"/>
          <w:szCs w:val="28"/>
          <w:rtl w:val="true"/>
          <w:lang w:bidi="fa-IR"/>
        </w:rPr>
        <w:t xml:space="preserve">روش فهم حدیث در شرح اُصول الکافی ملّاصالح مازندرانی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مبنای بررسی، مجلدات اول و دوم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صرفی</w:t>
      </w:r>
    </w:p>
    <w:p>
      <w:pPr>
        <w:pStyle w:val="Heading3"/>
        <w:numPr>
          <w:ilvl w:val="2"/>
          <w:numId w:val="1"/>
        </w:numPr>
        <w:rPr/>
      </w:pPr>
      <w:bookmarkStart w:id="276" w:name="__RefHeading___Toc651867_1878427129"/>
      <w:bookmarkStart w:id="277" w:name="_Toc108"/>
      <w:bookmarkEnd w:id="276"/>
      <w:r>
        <w:rPr>
          <w:rtl w:val="true"/>
        </w:rPr>
        <w:t>چکیده</w:t>
      </w:r>
      <w:bookmarkEnd w:id="277"/>
    </w:p>
    <w:p>
      <w:pPr>
        <w:pStyle w:val="BookText"/>
        <w:rPr/>
      </w:pPr>
      <w:r>
        <w:rPr>
          <w:rFonts w:ascii="IRNazanin" w:hAnsi="IRNazanin" w:eastAsia="IRNazanin"/>
          <w:color w:val="111111"/>
          <w:sz w:val="28"/>
          <w:sz w:val="28"/>
          <w:szCs w:val="28"/>
          <w:rtl w:val="true"/>
          <w:lang w:bidi="fa-IR"/>
        </w:rPr>
        <w:t>در نیمۀ دوم سدۀ یازدهم، در پی رویکرد گسترده به حدیث، شروح متعددی بر کتاب الکافی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جایگاه علمی این شروح و نیز تبیین چگونگی فهم و استخراج قواعد فقه الحدیثی آنها یک ضرورت تحقیقی است که گام‌های ما را برای پیمودن ادامه مسیر استوار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ملّا صالح مازندرانی بر اصول و 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این شروح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اعتبار احادیث در این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غالب آن احادیث در احادیث اصولی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جامع به احادیث و بررسی‌های ادبی از شاخصه‌های مهم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شارح، در شرح احادیث،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نقلی است که جنبۀ عقلی این رویکرد پررنگ‌تر است و در مجموع، شرح او را جامعیت بخشیده است و آن را به یکی از معدود شروح شاخص و ممتاز الکافی مبدل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صالح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فهم حدیث</w:t>
      </w:r>
      <w:r>
        <w:rPr>
          <w:rFonts w:eastAsia="IRNazanin" w:cs="IRNazanin"/>
          <w:color w:val="111111"/>
          <w:sz w:val="28"/>
          <w:szCs w:val="28"/>
          <w:rtl w:val="true"/>
          <w:lang w:bidi="fa-IR"/>
        </w:rPr>
        <w:t>.</w:t>
      </w:r>
    </w:p>
    <w:p>
      <w:pPr>
        <w:pStyle w:val="Heading3"/>
        <w:numPr>
          <w:ilvl w:val="2"/>
          <w:numId w:val="1"/>
        </w:numPr>
        <w:rPr/>
      </w:pPr>
      <w:bookmarkStart w:id="278" w:name="__RefHeading___Toc651869_1878427129"/>
      <w:bookmarkStart w:id="279" w:name="_Toc109"/>
      <w:bookmarkEnd w:id="278"/>
      <w:r>
        <w:rPr>
          <w:rtl w:val="true"/>
        </w:rPr>
        <w:t>طرح مسأله</w:t>
      </w:r>
      <w:bookmarkEnd w:id="279"/>
    </w:p>
    <w:p>
      <w:pPr>
        <w:pStyle w:val="Heading4"/>
        <w:numPr>
          <w:ilvl w:val="3"/>
          <w:numId w:val="1"/>
        </w:numPr>
        <w:rPr/>
      </w:pPr>
      <w:bookmarkStart w:id="280" w:name="__RefHeading___Toc651871_1878427129"/>
      <w:bookmarkStart w:id="281" w:name="_Toc110"/>
      <w:bookmarkEnd w:id="280"/>
      <w:r>
        <w:rPr>
          <w:rtl w:val="true"/>
        </w:rPr>
        <w:t>اشارة</w:t>
      </w:r>
      <w:bookmarkEnd w:id="28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حدیث، بسان هر متن معنادار دیگر، دارای ضابطه و روش است؛ افزون بر آن که دقت نظر خاص خود را می‌طلبد، چرا که به عنوان دومین منبع شناخت اسلام، از </w:t>
      </w:r>
      <w:bookmarkStart w:id="282" w:name="pg14553_191813"/>
    </w:p>
    <w:p>
      <w:pPr>
        <w:pStyle w:val="BookText"/>
        <w:rPr/>
      </w:pPr>
      <w:bookmarkEnd w:id="282"/>
      <w:r>
        <w:rPr>
          <w:rFonts w:ascii="IRNazanin" w:hAnsi="IRNazanin" w:eastAsia="IRNazanin"/>
          <w:color w:val="111111"/>
          <w:sz w:val="28"/>
          <w:sz w:val="28"/>
          <w:szCs w:val="28"/>
          <w:rtl w:val="true"/>
          <w:lang w:bidi="fa-IR"/>
        </w:rPr>
        <w:t>جایگاهی والا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پاسداشت از این میراث تلاش وافر داشته‌اند و در باب استوارسازی اسناد حدیث، بویژه در حوزه روایات فقهی، گام‌های بلند و استواری برداشته‌اند و کتاب‌های متعددی در قواعد و ضوابط بررسی سند و چگونگی اعتبار آن نگاشته‌اند؛ اما این تلاش‌ها در باب متن حدیث و بیان قواعد و ضوابط فهم آن بسیار کمتر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شماری از بزرگان حدیث، به نگارش شرح بر مجموعه‌های حدیثی اقدام نموده‌اند که می‌توان در سایه بررسی این شروح نکاتی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فهم حدیث مورد توجه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نمود تا با تکیه بر آن، گام‌های بعدی را برای پیمودن ادامه مسیر استوارتر و سریع‌تر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شروح، شرح الکافی ملّا صالح مازندرانی </w:t>
      </w:r>
      <w:r>
        <w:rPr>
          <w:rStyle w:val="FootnoteAnchor"/>
          <w:rtl w:val="true"/>
        </w:rPr>
        <w:footnoteReference w:id="25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احمد بن شمس الدین سروی مازندرانی اصفهانی از علمای بنام سده یازدهم است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داده‌اند و به ملّا صالح مازندرانی شهره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صالح در مازندران به دنیا آمد و رشد و نمو یافت و در پی ناتوانی پدر از تأمین مخارجش راهی اصفهان گردید و در آنجا ساکن شد و در اثر کوشش علمی فراوان به مجلس درس علّامه محمد تقی مجلسی راه یافت و از ممتازین محفل درس او شد و پس از چندی به دامادی استاد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او، آمنه بیگم، از زنان دانشمند روزگار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صاحب شش فرزند دختر و پسر شدند که همگی از چهره‌های شاخص علمی و هنری، در روزگار خود بودند و از نسل ایشان ده‌ها فقیه، محدث، فیلسوف، مفسر و عالم رجال پدید آمد که برخی از ایشان در شمار برجسته‌ترین دانشمندان شیعه و از بزرگ‌ترین مراجع و فقیهان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مطالعه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وحید بهبهانی،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کبیر، دوم،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 که در زمره معتبرترین شروح الکافی است و بر دو بخش اصول و روضه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همراه حواشی مرحوم میرزا ابوالحسن شعرانی در دوازده جلد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درصدد برآمدیم تا روش ملّا صالح در شرح احادیث را به اجمال نشان دهیم؛ چرا که روش‌شناسی تدوین و تبیین آن بزرگوار، از یک سو، ما را با ژرفای بخشی از میراث حدیث آشنا می‌کند و از سوی دیگر، بی‌گمان در چگونگی تعامل با حدیث و فهم آن ما را یاری خواهد کرد</w:t>
      </w:r>
      <w:r>
        <w:rPr>
          <w:rFonts w:eastAsia="IRNazanin" w:cs="IRNazanin"/>
          <w:color w:val="111111"/>
          <w:sz w:val="28"/>
          <w:szCs w:val="28"/>
          <w:rtl w:val="true"/>
          <w:lang w:bidi="fa-IR"/>
        </w:rPr>
        <w:t>.</w:t>
      </w:r>
    </w:p>
    <w:p>
      <w:pPr>
        <w:pStyle w:val="Heading4"/>
        <w:numPr>
          <w:ilvl w:val="3"/>
          <w:numId w:val="1"/>
        </w:numPr>
        <w:rPr/>
      </w:pPr>
      <w:bookmarkStart w:id="283" w:name="__RefHeading___Toc651873_1878427129"/>
      <w:bookmarkStart w:id="284" w:name="_Toc111"/>
      <w:bookmarkEnd w:id="283"/>
      <w:r>
        <w:rPr/>
        <w:t>1</w:t>
      </w:r>
      <w:r>
        <w:rPr>
          <w:rtl w:val="true"/>
        </w:rPr>
        <w:t xml:space="preserve">. </w:t>
      </w:r>
      <w:r>
        <w:rPr>
          <w:rtl w:val="true"/>
        </w:rPr>
        <w:t>بررسی سند</w:t>
      </w:r>
      <w:bookmarkEnd w:id="28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پیکره‌ای واحد، متشکل از سند و متن است و این دو، جایگاهی متغیر در اعتبار بخشی به حدیث در حوزه‌های روایی گوناگون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ملّا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عمدتاً مشتمل بر احادیث اخلاقی و اعتقادی الکافی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 و مبنای اعتبار احادیث را متن آنها دانسته است که سند، به تنهایی، نه مایه اعتبار بخشی آن است و نه آن را از اعتبار ساقط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هر چند به جهت سند ضعیف است، اما صحیح المضمون است و حدیث بعدی نیز، به رغم ضعف آن، به جهت ارسال چنین است؛ چرا که اعتماد به آن به خاطر برهان عقلی است و در بسیاری از احادیث مربوط به اصول معارف و مسائل توحید چنین است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در جای 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خبر، به لحاظ سند، به صحت مضمون آن ضرر نمی‌رساند؛ چون مشتمل بر علوم عقلی و حکم برهانی و آثار الهی و دلایل وحدانی و شواهد ربوبی و مواعظ لقمانی است که مناهج ایمان و معارج عرفان است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اما از آنجا که سند، در این حوزه‌های روایی، نقش مؤید را در قوت متن ایفا می‌کند، شارح در بررسی روایات اصول الکافی به بررسی سند هم پرداخته است و گاه نکاتی را دربارۀ آن بازگو می‌کند؛ چنان‌که جهت اثبات سند، به نسخه‌های مختلف مراجعه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 در اینجا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به همین صورت آمده است و در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الاشعری عن بعض اصحابنا رفعه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و در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الاشعری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الاشعری 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25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شارح از توجه به نسخه‌های دیگر برای رد برخی اقوال دربارۀ سند نیز سود جسته است </w:t>
      </w:r>
      <w:r>
        <w:rPr>
          <w:rStyle w:val="FootnoteAnchor"/>
          <w:rtl w:val="true"/>
        </w:rPr>
        <w:footnoteReference w:id="256"/>
      </w:r>
      <w:r>
        <w:rPr>
          <w:rFonts w:ascii="IRNazanin" w:hAnsi="IRNazanin" w:eastAsia="IRNazanin"/>
          <w:color w:val="111111"/>
          <w:sz w:val="28"/>
          <w:sz w:val="28"/>
          <w:szCs w:val="28"/>
          <w:rtl w:val="true"/>
          <w:lang w:bidi="fa-IR"/>
        </w:rPr>
        <w:t>و گاه، آنجا که پس از بررسی نسخه‌های دیگر هم‌چنان گره موجود را لاینحل می‌بیند، احتمال سهو ناسخین را مطرح کرده است</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او از ضبط اسامی رجال سند </w:t>
      </w:r>
      <w:r>
        <w:rPr>
          <w:rStyle w:val="FootnoteAnchor"/>
          <w:rtl w:val="true"/>
        </w:rPr>
        <w:footnoteReference w:id="258"/>
      </w:r>
      <w:r>
        <w:rPr>
          <w:rFonts w:ascii="IRNazanin" w:hAnsi="IRNazanin" w:eastAsia="IRNazanin"/>
          <w:color w:val="111111"/>
          <w:sz w:val="28"/>
          <w:sz w:val="28"/>
          <w:szCs w:val="28"/>
          <w:rtl w:val="true"/>
          <w:lang w:bidi="fa-IR"/>
        </w:rPr>
        <w:t>و پدیده اشتراک اسامی و تأثیر مهم آن در داوری نهایی دربارۀ سند هم غافل نیست</w:t>
      </w:r>
      <w:r>
        <w:rPr>
          <w:rFonts w:eastAsia="IRNazanin" w:cs="IRNazanin"/>
          <w:color w:val="111111"/>
          <w:sz w:val="28"/>
          <w:szCs w:val="28"/>
          <w:rtl w:val="true"/>
          <w:lang w:bidi="fa-IR"/>
        </w:rPr>
        <w:t xml:space="preserve">. </w:t>
      </w:r>
      <w:r>
        <w:rPr>
          <w:rStyle w:val="FootnoteAnchor"/>
          <w:rtl w:val="true"/>
        </w:rPr>
        <w:footnoteReference w:id="259"/>
      </w:r>
      <w:bookmarkStart w:id="285" w:name="pg14553_191815"/>
    </w:p>
    <w:p>
      <w:pPr>
        <w:pStyle w:val="BookText"/>
        <w:rPr/>
      </w:pPr>
      <w:bookmarkEnd w:id="285"/>
      <w:r>
        <w:rPr>
          <w:rFonts w:ascii="IRNazanin" w:hAnsi="IRNazanin" w:eastAsia="IRNazanin"/>
          <w:color w:val="111111"/>
          <w:sz w:val="28"/>
          <w:sz w:val="28"/>
          <w:szCs w:val="28"/>
          <w:rtl w:val="true"/>
          <w:lang w:bidi="fa-IR"/>
        </w:rPr>
        <w:t xml:space="preserve">القاب و کنیه ائمه، </w:t>
      </w:r>
      <w:r>
        <w:rPr>
          <w:rStyle w:val="FootnoteAnchor"/>
          <w:rtl w:val="true"/>
        </w:rPr>
        <w:footnoteReference w:id="2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طبقه و تاریخ وفات راویان،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دیگر نکاتی است که شارح در بررسی سند به آن توجه دارد و در اکثر اسناد، به جرح و تعدیل رجال، با تکیه بر منابع رجالی، اعم از متقدم و متاخر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 کتب رجال عامه پرداخته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گاه، بدون ذکر هیچ ماخذی، جرح و تعدیل کرده؛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به ندرت، اقوال رجالی را نقد و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وجهی برای این‌که علّامه او را در بخش مجروحین آورده است، نمی‌بینم؛ جز این‌که از سوی دوانیقی منصب قضا را پذیرفت و این چیزی نیست که موجب جرح باشد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شارح، معمولاً، دربارۀ اسناد داوری نهایی ندارد، اما نمونه‌هایی از این داوری را می‌توان در شرح او دید </w:t>
      </w:r>
      <w:r>
        <w:rPr>
          <w:rStyle w:val="FootnoteAnchor"/>
          <w:rtl w:val="true"/>
        </w:rPr>
        <w:footnoteReference w:id="262"/>
      </w:r>
      <w:r>
        <w:rPr>
          <w:rFonts w:ascii="IRNazanin" w:hAnsi="IRNazanin" w:eastAsia="IRNazanin"/>
          <w:color w:val="111111"/>
          <w:sz w:val="28"/>
          <w:sz w:val="28"/>
          <w:szCs w:val="28"/>
          <w:rtl w:val="true"/>
          <w:lang w:bidi="fa-IR"/>
        </w:rPr>
        <w:t>و گاهی نیز نوع حدیث را بیان کرده است</w:t>
      </w:r>
      <w:r>
        <w:rPr>
          <w:rFonts w:eastAsia="IRNazanin" w:cs="IRNazanin"/>
          <w:color w:val="111111"/>
          <w:sz w:val="28"/>
          <w:szCs w:val="28"/>
          <w:rtl w:val="true"/>
          <w:lang w:bidi="fa-IR"/>
        </w:rPr>
        <w:t xml:space="preserve">. </w:t>
      </w:r>
      <w:r>
        <w:rPr>
          <w:rStyle w:val="FootnoteAnchor"/>
          <w:rtl w:val="true"/>
        </w:rPr>
        <w:footnoteReference w:id="263"/>
      </w:r>
    </w:p>
    <w:p>
      <w:pPr>
        <w:pStyle w:val="Heading4"/>
        <w:numPr>
          <w:ilvl w:val="3"/>
          <w:numId w:val="1"/>
        </w:numPr>
        <w:rPr/>
      </w:pPr>
      <w:bookmarkStart w:id="286" w:name="__RefHeading___Toc651875_1878427129"/>
      <w:bookmarkStart w:id="287" w:name="_Toc112"/>
      <w:bookmarkEnd w:id="286"/>
      <w:r>
        <w:rPr/>
        <w:t>2</w:t>
      </w:r>
      <w:r>
        <w:rPr>
          <w:rtl w:val="true"/>
        </w:rPr>
        <w:t xml:space="preserve">. </w:t>
      </w:r>
      <w:r>
        <w:rPr>
          <w:rtl w:val="true"/>
        </w:rPr>
        <w:t>چگونگی فهم متن</w:t>
      </w:r>
      <w:bookmarkEnd w:id="287"/>
    </w:p>
    <w:p>
      <w:pPr>
        <w:pStyle w:val="Heading5"/>
        <w:numPr>
          <w:ilvl w:val="4"/>
          <w:numId w:val="1"/>
        </w:numPr>
        <w:rPr/>
      </w:pPr>
      <w:bookmarkStart w:id="288" w:name="__RefHeading___Toc651877_1878427129"/>
      <w:bookmarkStart w:id="289" w:name="_Toc113"/>
      <w:bookmarkEnd w:id="288"/>
      <w:r>
        <w:rPr>
          <w:rtl w:val="true"/>
        </w:rPr>
        <w:t>اشارة</w:t>
      </w:r>
      <w:bookmarkEnd w:id="289"/>
    </w:p>
    <w:p>
      <w:pPr>
        <w:pStyle w:val="BookText"/>
        <w:rPr/>
      </w:pPr>
      <w:r>
        <w:rPr>
          <w:rFonts w:ascii="IRNazanin" w:hAnsi="IRNazanin" w:eastAsia="IRNazanin"/>
          <w:color w:val="111111"/>
          <w:sz w:val="28"/>
          <w:sz w:val="28"/>
          <w:szCs w:val="28"/>
          <w:rtl w:val="true"/>
          <w:lang w:bidi="fa-IR"/>
        </w:rPr>
        <w:t>شارح برای شرح متن حدیث و تبیین مراد آن، از راهکارها و ابزارهای مختلف بهره برده است که به تفکیک، به هر کدام می‌پردازیم</w:t>
      </w:r>
      <w:r>
        <w:rPr>
          <w:rFonts w:eastAsia="IRNazanin" w:cs="IRNazanin"/>
          <w:color w:val="111111"/>
          <w:sz w:val="28"/>
          <w:szCs w:val="28"/>
          <w:rtl w:val="true"/>
          <w:lang w:bidi="fa-IR"/>
        </w:rPr>
        <w:t>.</w:t>
      </w:r>
    </w:p>
    <w:p>
      <w:pPr>
        <w:pStyle w:val="Heading5"/>
        <w:numPr>
          <w:ilvl w:val="4"/>
          <w:numId w:val="1"/>
        </w:numPr>
        <w:rPr/>
      </w:pPr>
      <w:bookmarkStart w:id="290" w:name="__RefHeading___Toc651879_1878427129"/>
      <w:bookmarkStart w:id="291" w:name="_Toc114"/>
      <w:bookmarkEnd w:id="290"/>
      <w:r>
        <w:rPr/>
        <w:t>1-2</w:t>
      </w:r>
      <w:r>
        <w:rPr>
          <w:rtl w:val="true"/>
        </w:rPr>
        <w:t xml:space="preserve">. </w:t>
      </w:r>
      <w:r>
        <w:rPr>
          <w:rtl w:val="true"/>
        </w:rPr>
        <w:t>اثبات متن</w:t>
      </w:r>
      <w:bookmarkEnd w:id="29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متن راهی به سوی دستیابی به اصل حدیث است و گاه، توجه به آن، به رفع ابهام یا تنافی در متن حدیث یا تناقض آن با سایر متون حدیثی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از رجوع به نسخه‌های دیگر برای دستیابی به این امر سود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 چند نسخه‌ای را که معتبرتر و موثق‌تر است، اصل و مبنا قرار می‌دهد؛ </w:t>
      </w:r>
      <w:r>
        <w:rPr>
          <w:rStyle w:val="FootnoteAnchor"/>
          <w:rtl w:val="true"/>
        </w:rPr>
        <w:footnoteReference w:id="264"/>
      </w:r>
      <w:r>
        <w:rPr>
          <w:rFonts w:ascii="IRNazanin" w:hAnsi="IRNazanin" w:eastAsia="IRNazanin"/>
          <w:color w:val="111111"/>
          <w:sz w:val="28"/>
          <w:sz w:val="28"/>
          <w:szCs w:val="28"/>
          <w:rtl w:val="true"/>
          <w:lang w:bidi="fa-IR"/>
        </w:rPr>
        <w:t>اما گاه، سایرنسخه‌ها را، با دلیل، بر نسخه اصل ترجیح می‌دهد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و آن‌گاه که به چگونگی عبارت در نسخه‌های دیگر اشاره دارد، وجه معنای حدیث را نیز با تکیه بر آن توضیح می‌دهد</w:t>
      </w:r>
      <w:r>
        <w:rPr>
          <w:rFonts w:eastAsia="IRNazanin" w:cs="IRNazanin"/>
          <w:color w:val="111111"/>
          <w:sz w:val="28"/>
          <w:szCs w:val="28"/>
          <w:rtl w:val="true"/>
          <w:lang w:bidi="fa-IR"/>
        </w:rPr>
        <w:t xml:space="preserve">. </w:t>
      </w:r>
      <w:r>
        <w:rPr>
          <w:rStyle w:val="FootnoteAnchor"/>
          <w:rtl w:val="true"/>
        </w:rPr>
        <w:footnoteReference w:id="266"/>
      </w:r>
      <w:bookmarkStart w:id="292" w:name="pg14553_191816"/>
    </w:p>
    <w:p>
      <w:pPr>
        <w:pStyle w:val="BookText"/>
        <w:rPr/>
      </w:pPr>
      <w:bookmarkEnd w:id="292"/>
      <w:r>
        <w:rPr>
          <w:rFonts w:ascii="IRNazanin" w:hAnsi="IRNazanin" w:eastAsia="IRNazanin"/>
          <w:color w:val="111111"/>
          <w:sz w:val="28"/>
          <w:sz w:val="28"/>
          <w:szCs w:val="28"/>
          <w:rtl w:val="true"/>
          <w:lang w:bidi="fa-IR"/>
        </w:rPr>
        <w:t xml:space="preserve">از دیگر فواید توجه به نسخه‌های گوناگون در این شرح، تأیید برخی اقوال در معنای حدیث </w:t>
      </w:r>
      <w:r>
        <w:rPr>
          <w:rStyle w:val="FootnoteAnchor"/>
          <w:rtl w:val="true"/>
        </w:rPr>
        <w:footnoteReference w:id="26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ضبط صحیح کلمه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بررسی سایر متون حدیثی و جستجوی کتبی که همان حدیث را نقل کرده‌اند، راه دوم شارح برای اثبات متن است و اهمیت ندارد که این احادیث، با همان سند یا سند دیگری نقل شده باشند، بلکه آنچه اهمیت دارد، یافتن متن‌های مشابه و تقویت متن به کمک نقل‌های دیگر است و اگر شارح، حدیث دیگری با متن مشابه حدیثی که درصدد شرح آن است، سراغ داشته باشد، آن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نسخه‌های این کتاب و کتاب اعتقادات و عیون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یؤخر 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لفظ مای موصوله آمده است که با توجه به ماقبل، مناسب‌تر و ظاهرتر است</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شارح در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اخبرنی عن ربک متی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می‌دهد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اینجا به کار رود و سپس با تکیه بر نقل این حدیث در کتاب عیون اخبار الرضا ، این احتمال را تأیید می‌کند</w:t>
      </w:r>
      <w:r>
        <w:rPr>
          <w:rFonts w:eastAsia="IRNazanin" w:cs="IRNazanin"/>
          <w:color w:val="111111"/>
          <w:sz w:val="28"/>
          <w:szCs w:val="28"/>
          <w:rtl w:val="true"/>
          <w:lang w:bidi="fa-IR"/>
        </w:rPr>
        <w:t xml:space="preserve">. </w:t>
      </w:r>
      <w:r>
        <w:rPr>
          <w:rStyle w:val="FootnoteAnchor"/>
          <w:rtl w:val="true"/>
        </w:rPr>
        <w:footnoteReference w:id="269"/>
      </w:r>
    </w:p>
    <w:p>
      <w:pPr>
        <w:pStyle w:val="Heading5"/>
        <w:numPr>
          <w:ilvl w:val="4"/>
          <w:numId w:val="1"/>
        </w:numPr>
        <w:rPr/>
      </w:pPr>
      <w:bookmarkStart w:id="293" w:name="__RefHeading___Toc651881_1878427129"/>
      <w:bookmarkStart w:id="294" w:name="_Toc115"/>
      <w:bookmarkEnd w:id="293"/>
      <w:r>
        <w:rPr/>
        <w:t>2-2</w:t>
      </w:r>
      <w:r>
        <w:rPr>
          <w:rtl w:val="true"/>
        </w:rPr>
        <w:t xml:space="preserve">. </w:t>
      </w:r>
      <w:r>
        <w:rPr>
          <w:rtl w:val="true"/>
        </w:rPr>
        <w:t>معناشناسی با استناد به ادبیات عرب</w:t>
      </w:r>
      <w:bookmarkEnd w:id="294"/>
    </w:p>
    <w:p>
      <w:pPr>
        <w:pStyle w:val="BookText"/>
        <w:rPr/>
      </w:pPr>
      <w:r>
        <w:rPr>
          <w:rFonts w:ascii="IRNazanin" w:hAnsi="IRNazanin" w:eastAsia="IRNazanin"/>
          <w:color w:val="111111"/>
          <w:sz w:val="28"/>
          <w:sz w:val="28"/>
          <w:szCs w:val="28"/>
          <w:rtl w:val="true"/>
          <w:lang w:bidi="fa-IR"/>
        </w:rPr>
        <w:t>آشنایی با ادبیات عرب لازمه فهم حدیث است و فهم کلام ائمه علیهم السلام در گرو کشف و آگاهی از مفاد استعمالی واژه‌ها و کاربردهای حقیقی و مجازی و استعاری آن در زمان نزول است و شارح این فهم نخستین را در سایه توجه به نکاتی چند، میسر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ضبط کلمات توجه بایسته و شایسته‌ای دارد </w:t>
      </w:r>
      <w:r>
        <w:rPr>
          <w:rStyle w:val="FootnoteAnchor"/>
          <w:rtl w:val="true"/>
        </w:rPr>
        <w:footnoteReference w:id="270"/>
      </w:r>
      <w:r>
        <w:rPr>
          <w:rFonts w:ascii="IRNazanin" w:hAnsi="IRNazanin" w:eastAsia="IRNazanin"/>
          <w:color w:val="111111"/>
          <w:sz w:val="28"/>
          <w:sz w:val="28"/>
          <w:szCs w:val="28"/>
          <w:rtl w:val="true"/>
          <w:lang w:bidi="fa-IR"/>
        </w:rPr>
        <w:t xml:space="preserve">و علاوه بر بیان ضبطهای مختلف کلمه، به وجه مشهور آن اشاره می‌کند، </w:t>
      </w:r>
      <w:r>
        <w:rPr>
          <w:rStyle w:val="FootnoteAnchor"/>
          <w:rtl w:val="true"/>
        </w:rPr>
        <w:footnoteReference w:id="271"/>
      </w:r>
      <w:r>
        <w:rPr>
          <w:rFonts w:ascii="IRNazanin" w:hAnsi="IRNazanin" w:eastAsia="IRNazanin"/>
          <w:color w:val="111111"/>
          <w:sz w:val="28"/>
          <w:sz w:val="28"/>
          <w:szCs w:val="28"/>
          <w:rtl w:val="true"/>
          <w:lang w:bidi="fa-IR"/>
        </w:rPr>
        <w:t xml:space="preserve">یا وجه فصیح‌تر را متذکر می‌شود </w:t>
      </w:r>
      <w:r>
        <w:rPr>
          <w:rStyle w:val="FootnoteAnchor"/>
          <w:rtl w:val="true"/>
        </w:rPr>
        <w:footnoteReference w:id="272"/>
      </w:r>
      <w:r>
        <w:rPr>
          <w:rFonts w:ascii="IRNazanin" w:hAnsi="IRNazanin" w:eastAsia="IRNazanin"/>
          <w:color w:val="111111"/>
          <w:sz w:val="28"/>
          <w:sz w:val="28"/>
          <w:szCs w:val="28"/>
          <w:rtl w:val="true"/>
          <w:lang w:bidi="fa-IR"/>
        </w:rPr>
        <w:t>وبرخی از وجوه منقول در ضبط کلمه را ناشی از تصحیف می‌داند</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شرح ملّا صالح کمتر پیش می‌آید که شارح به واژه‌ای بپردازد و آن را از نظر </w:t>
      </w:r>
    </w:p>
    <w:p>
      <w:pPr>
        <w:pStyle w:val="BookText"/>
        <w:rPr/>
      </w:pPr>
      <w:r>
        <w:rPr>
          <w:rFonts w:ascii="IRNazanin" w:hAnsi="IRNazanin" w:eastAsia="IRNazanin"/>
          <w:color w:val="111111"/>
          <w:sz w:val="28"/>
          <w:sz w:val="28"/>
          <w:szCs w:val="28"/>
          <w:rtl w:val="true"/>
          <w:lang w:bidi="fa-IR"/>
        </w:rPr>
        <w:t xml:space="preserve">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بیان معنای افعال و مصادر، آنها را صرف می‌کند </w:t>
      </w:r>
      <w:r>
        <w:rPr>
          <w:rStyle w:val="FootnoteAnchor"/>
          <w:rtl w:val="true"/>
        </w:rPr>
        <w:footnoteReference w:id="2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بررسی چگونگی ساختار اسامی و حروف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ریشه‌یابی واژگان و تفسیر چگونگی استخراج کلمه‌ای از کلمه دیگر در درک مفهوم واژه و نیز دایره استعمال آن یاری می‌رساند، از این رو، گاه به اشتقاق کلمات از یکدیگر اشاره دارد؛ چنان‌که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منقول از اختیار و نه اختبار می‌داند </w:t>
      </w:r>
      <w:r>
        <w:rPr>
          <w:rStyle w:val="FootnoteAnchor"/>
          <w:rtl w:val="true"/>
        </w:rPr>
        <w:footnoteReference w:id="275"/>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وجه قایل می‌شود؛ یا جمع کثرت از ریح یا جمع قلت ارواح است </w:t>
      </w:r>
      <w:r>
        <w:rPr>
          <w:rStyle w:val="FootnoteAnchor"/>
          <w:rtl w:val="true"/>
        </w:rPr>
        <w:footnoteReference w:id="27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شغل و نه أشغل می‌داند و تعلیل می‌کند که أشغل منسوخ شده است </w:t>
      </w:r>
      <w:r>
        <w:rPr>
          <w:rStyle w:val="FootnoteAnchor"/>
          <w:rtl w:val="true"/>
        </w:rPr>
        <w:footnoteReference w:id="277"/>
      </w: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خصال، با کسر، جمع خصلت با فتح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به معنای غلبه در درگیری است و نیز خصلت به معنای ویژگی است که در این‌جا همین اراده شده است و گویا به جهت جامعِ غلبه و فضیلت بین آن دو از اولی گرفته شده است</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مفردات الفاظ و مدلولات آنها، از لحاظ وضع، با علم لغت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برای فهم و تحقیق در الفاظ ضروری است و شارح توجه وافری به آن دارد و شواهد آن فراوان‌تر از آن است که نیاز به ذکر داشته باشد، اما بیان برخی نکات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به اصل معنای واژه توجه دارد؛ چنان‌که دربارۀ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در اصل، به معنای قلق و اضطراب است و سپس در معنای شک، سوءظن و تهمت رایج شد و هر سه معنای شایع، مستلزم معنای اصلی است و در ادامه، حمل هر چهار وجه را بر حدیث جایز می‌داند</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 xml:space="preserve">علاوه بر این، شارح به معنای واژه در عصر صدور توجه دارد و دربارۀ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طور مکرر، به این موضوع اشاره دارد </w:t>
      </w:r>
      <w:r>
        <w:rPr>
          <w:rStyle w:val="FootnoteAnchor"/>
          <w:rtl w:val="true"/>
        </w:rPr>
        <w:footnoteReference w:id="280"/>
      </w:r>
      <w:r>
        <w:rPr>
          <w:rFonts w:ascii="IRNazanin" w:hAnsi="IRNazanin" w:eastAsia="IRNazanin"/>
          <w:color w:val="111111"/>
          <w:sz w:val="28"/>
          <w:sz w:val="28"/>
          <w:szCs w:val="28"/>
          <w:rtl w:val="true"/>
          <w:lang w:bidi="fa-IR"/>
        </w:rPr>
        <w:t xml:space="preserve">یا در تبیین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می‌دهد که برخی آن را بر یکی از وجوه تحمل مقرر در اصول فقه حمل کرده‌اند، اما آن اصطلاح جدیدی است که حمل کلام شارع بر آن بعید است</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ملّا صالح غالباً با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شرعی واژه اشاره دارد؛ چنان‌که دربارۀ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لغوی و عرفی می‌پردازد و سپس رابطه بین آن دو را تبیین می‌کند </w:t>
      </w:r>
      <w:r>
        <w:rPr>
          <w:rStyle w:val="FootnoteAnchor"/>
          <w:rtl w:val="true"/>
        </w:rPr>
        <w:footnoteReference w:id="2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معنای اصطلاحی واژگان را هم، به تناسب بحث، برای تبیین صحیح معنای واژه ذکر کرده است؛ چنان‌که واژه طب را در لغت،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می‌کند و هر حاذق را در نزد عرب طبیب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معنای اصطلاحی آن، به عنوان یک فن و دانش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پرداختن به وجه تسمیه راهبرد دیگر ملّا صالح در تبیین مفهوم لغوی است؛ چنان‌که در وجه تسمیه خداوند به جبار، شش وجه را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بیان فروق لغوی به ما در فهم مرز دقیق و تفاوت ظریف واژه‌ها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شناخت واژه‌های مترادف یک واژه هم فهم آنها و هم فهم واژه مدنظر را ساده‌تر می‌کند و هم دانستن فرق بین آنها موجب درک گستره معنایی واژه مورد نظر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شرح ملّا صالح، در موارد لزوم، برای تبیین بهتر معنا به فروق لغوی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در تبیین معنای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شؤب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حالاتی را فرض می‌کند و بر اساس حالات مفروض، رابطه آنها را با یکدیگر تبیین می‌کند و معتقد است که این رابطه گاه، تباین مطلق است و گاه، عموم و خصوص من وجه و دیگر گاه، عموم و خصوص مطلق</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 xml:space="preserve">و در جای دیگر،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باب تفاوت سبب و مسبب می‌داند و دربارۀ آن توضیح می‌دهد</w:t>
      </w:r>
      <w:r>
        <w:rPr>
          <w:rFonts w:eastAsia="IRNazanin" w:cs="IRNazanin"/>
          <w:color w:val="111111"/>
          <w:sz w:val="28"/>
          <w:szCs w:val="28"/>
          <w:rtl w:val="true"/>
          <w:lang w:bidi="fa-IR"/>
        </w:rPr>
        <w:t xml:space="preserve">. </w:t>
      </w:r>
      <w:r>
        <w:rPr>
          <w:rStyle w:val="FootnoteAnchor"/>
          <w:rtl w:val="true"/>
        </w:rPr>
        <w:footnoteReference w:id="284"/>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صالح، علاوه بر تبیین مفهوم واژه به زبان عربی، گاه معنای فارسی آن را هم می‌آورد؛ چرا که می‌پندارد که آن توضیح‌های لغوی نمی‌توانند مخاطب فارسی زبان را به اصل معنای لغت برسانند</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علاوه بر موارد مذکور، از آیات </w:t>
      </w:r>
      <w:r>
        <w:rPr>
          <w:rStyle w:val="FootnoteAnchor"/>
          <w:rtl w:val="true"/>
        </w:rPr>
        <w:footnoteReference w:id="286"/>
      </w:r>
      <w:r>
        <w:rPr>
          <w:rFonts w:ascii="IRNazanin" w:hAnsi="IRNazanin" w:eastAsia="IRNazanin"/>
          <w:color w:val="111111"/>
          <w:sz w:val="28"/>
          <w:sz w:val="28"/>
          <w:szCs w:val="28"/>
          <w:rtl w:val="true"/>
          <w:lang w:bidi="fa-IR"/>
        </w:rPr>
        <w:t xml:space="preserve">و روایات </w:t>
      </w:r>
      <w:r>
        <w:rPr>
          <w:rStyle w:val="FootnoteAnchor"/>
          <w:rtl w:val="true"/>
        </w:rPr>
        <w:footnoteReference w:id="287"/>
      </w:r>
      <w:r>
        <w:rPr>
          <w:rFonts w:ascii="IRNazanin" w:hAnsi="IRNazanin" w:eastAsia="IRNazanin"/>
          <w:color w:val="111111"/>
          <w:sz w:val="28"/>
          <w:sz w:val="28"/>
          <w:szCs w:val="28"/>
          <w:rtl w:val="true"/>
          <w:lang w:bidi="fa-IR"/>
        </w:rPr>
        <w:t>نیز در تبیین معنا سود جسته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نوع چینش واژگان و ارتباطی که نسبت به یکدیگر پیدا می‌کنند، نقش مهمی در رساندن مقصود ایفا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شارح به احتمالاًت نحوی گوناگون توجه شایسته و بایسته‌ای دارد و وجوه مختلف اعرابی را بیان می‌کند؛ چنان‌که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اعراب قایل می‌شود و سپس هر یک را بر حدیث منطبق می‌کند و بر اساس آن، معنا را توضیح می‌دهد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دربارۀ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ولا کان لکونه الکیف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 صورت تام، و هم ناقص را جایز می‌داند و معنا را بر اساس هر یک از آن دو، شرح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گاهی اوقات نیز، پس از بیان احتمالاًت نحوی مختلف، به قضاوت بین آنها می‌نشیند؛ چنان‌که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المطاع فی سلطانه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ظرفیت و سببیت را بیان می‌کند و وجه دوم را با توجه به عبارات سابق و لاحق اولی می‌داند و می‌گوید استعمال آن، در این وجه رایج‌تر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با تکیه بر احتمالاًت نحوی مختلف اراده معانی متفاوت را برای حدیث جایز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شرح، به منظور تبیین کلام ائمه علیهم السلام به نکات بلاغی به کار رفته در کلام ایشان توجه شده است و تفهیم دقیق معنا در پرتو این توجه صورت گرفته است و ادوات استفهام و معانی مراد از آن </w:t>
      </w:r>
      <w:r>
        <w:rPr>
          <w:rStyle w:val="FootnoteAnchor"/>
          <w:rtl w:val="true"/>
        </w:rPr>
        <w:footnoteReference w:id="289"/>
      </w:r>
      <w:r>
        <w:rPr>
          <w:rFonts w:ascii="IRNazanin" w:hAnsi="IRNazanin" w:eastAsia="IRNazanin"/>
          <w:color w:val="111111"/>
          <w:sz w:val="28"/>
          <w:sz w:val="28"/>
          <w:szCs w:val="28"/>
          <w:rtl w:val="true"/>
          <w:lang w:bidi="fa-IR"/>
        </w:rPr>
        <w:t xml:space="preserve">اخباری یا انشایی بودن جملات؛ </w:t>
      </w:r>
      <w:r>
        <w:rPr>
          <w:rStyle w:val="FootnoteAnchor"/>
          <w:rtl w:val="true"/>
        </w:rPr>
        <w:footnoteReference w:id="290"/>
      </w:r>
      <w:r>
        <w:rPr>
          <w:rFonts w:ascii="IRNazanin" w:hAnsi="IRNazanin" w:eastAsia="IRNazanin"/>
          <w:color w:val="111111"/>
          <w:sz w:val="28"/>
          <w:sz w:val="28"/>
          <w:szCs w:val="28"/>
          <w:rtl w:val="true"/>
          <w:lang w:bidi="fa-IR"/>
        </w:rPr>
        <w:t>هم‌چنین، موارد حصر و اختصاص بررسی شده است</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 xml:space="preserve">شارح برای تبیین فنون بیانی در عبارت حدیثی اهمیت ویژه‌ای قایل است و انواع تشبیه و ارکان آن </w:t>
      </w:r>
      <w:r>
        <w:rPr>
          <w:rStyle w:val="FootnoteAnchor"/>
          <w:rtl w:val="true"/>
        </w:rPr>
        <w:footnoteReference w:id="292"/>
      </w:r>
      <w:r>
        <w:rPr>
          <w:rFonts w:ascii="IRNazanin" w:hAnsi="IRNazanin" w:eastAsia="IRNazanin"/>
          <w:color w:val="111111"/>
          <w:sz w:val="28"/>
          <w:sz w:val="28"/>
          <w:szCs w:val="28"/>
          <w:rtl w:val="true"/>
          <w:lang w:bidi="fa-IR"/>
        </w:rPr>
        <w:t>را در حدیث بیان می‌کند و انواع استعاره‌های به کار رفته در احادیث را از تعبیه، مکنیه، تخییلیه، مصرحه، تمثیلیه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مشخص نموده </w:t>
      </w:r>
      <w:r>
        <w:rPr>
          <w:rStyle w:val="FootnoteAnchor"/>
          <w:rtl w:val="true"/>
        </w:rPr>
        <w:footnoteReference w:id="293"/>
      </w:r>
      <w:r>
        <w:rPr>
          <w:rFonts w:ascii="IRNazanin" w:hAnsi="IRNazanin" w:eastAsia="IRNazanin"/>
          <w:color w:val="111111"/>
          <w:sz w:val="28"/>
          <w:sz w:val="28"/>
          <w:szCs w:val="28"/>
          <w:rtl w:val="true"/>
          <w:lang w:bidi="fa-IR"/>
        </w:rPr>
        <w:t xml:space="preserve">و چگونگی آن را توضیح می‌دهد؛ چنان‌که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دعامة الانسان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تشبیه انسان به بنا استعاره مکنیّه و اثبات ستون برای او استعارۀ تخییلیه و </w:t>
      </w:r>
      <w:bookmarkStart w:id="295" w:name="pg14553_191820"/>
    </w:p>
    <w:p>
      <w:pPr>
        <w:pStyle w:val="BookText"/>
        <w:rPr/>
      </w:pPr>
      <w:bookmarkEnd w:id="295"/>
      <w:r>
        <w:rPr>
          <w:rFonts w:ascii="IRNazanin" w:hAnsi="IRNazanin" w:eastAsia="IRNazanin"/>
          <w:color w:val="111111"/>
          <w:sz w:val="28"/>
          <w:sz w:val="28"/>
          <w:szCs w:val="28"/>
          <w:rtl w:val="true"/>
          <w:lang w:bidi="fa-IR"/>
        </w:rPr>
        <w:t>حمل عقل بر آن، تشبیه بلیغ است و تعریف عقل با الف و لام به منظور حصر است؛ یعنی اثبات انسانیّت برای انسان و تحقق آن و قیام معنایش با عقل است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Heading5"/>
        <w:numPr>
          <w:ilvl w:val="4"/>
          <w:numId w:val="1"/>
        </w:numPr>
        <w:rPr/>
      </w:pPr>
      <w:bookmarkStart w:id="296" w:name="__RefHeading___Toc651883_1878427129"/>
      <w:bookmarkStart w:id="297" w:name="_Toc116"/>
      <w:bookmarkEnd w:id="296"/>
      <w:r>
        <w:rPr/>
        <w:t>3-2</w:t>
      </w:r>
      <w:r>
        <w:rPr>
          <w:rtl w:val="true"/>
        </w:rPr>
        <w:t xml:space="preserve">. </w:t>
      </w:r>
      <w:r>
        <w:rPr>
          <w:rtl w:val="true"/>
        </w:rPr>
        <w:t>توجه به قرینه‌های مؤثر در فهم</w:t>
      </w:r>
      <w:bookmarkEnd w:id="297"/>
    </w:p>
    <w:p>
      <w:pPr>
        <w:pStyle w:val="BookText"/>
        <w:rPr/>
      </w:pPr>
      <w:r>
        <w:rPr>
          <w:rFonts w:ascii="IRNazanin" w:hAnsi="IRNazanin" w:eastAsia="IRNazanin"/>
          <w:color w:val="111111"/>
          <w:sz w:val="28"/>
          <w:sz w:val="28"/>
          <w:szCs w:val="28"/>
          <w:rtl w:val="true"/>
          <w:lang w:bidi="fa-IR"/>
        </w:rPr>
        <w:t>مقصود از قراین، اموری است که به نحوی ارتباطی لفظی یا معنوی با کلام داشته و در فهم مفاد کلام و درک مراد گوینده مؤثر باشد</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ضرورت گردآوری قرینه‌ها برای انتقال از معنای ظاهری و اولیه متن به مراد جدی و حقیقی معصوم علیه السلام امری غیر قابل کتمان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تمام قرینه‌های لفظی و غیر لفظی، پیوسته و ناپیوسته، برای فهم عمیق و درست و درک مقصود نهایی حدیث در تمام عرصه‌های اخلاقی، فقهی، اعتقادی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ضرورت دارد و گاه فهم اولیه ما را دگرگون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قراین مختلف در چگونگی تعامل و برخورد ما با حدیث نیز اثرگذار است؛ چون گاه، الفاظ حدیث به گونه‌ای است که معنای عام یا مطلق از آن فهمیده می‌شود، اما وقتی که از شرایط و جو صدور آن آگاه می‌شویم، خلاف آن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الفاظ حدیث ظاهراً مبهم و مجمل است که با شناخت فضای صدور رفع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امری در عهد صدور جایز دانسته شده است، باید تمام آنچه را که در این تجویز می‌توانسته دخالت داشته باشد، لحاظ گردد وگرنه، تعمیم حکم با منظور نکردن شرایط خارجی آن زمان خطا خواهد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این نکات در رفع تنافی ظاهری احادیث با یکدیگر بسیار کارآمد است و ملّا صالح از این روش در جمع بین دو دسته از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تشویق به اعتزال و نهی از آمیزش با مردم و دستۀ دیگر بر عکس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کرده است و هر دو دسته را صحیح می‌داند؛ چرا که دارای مصالح و شرایط متفاوت است و بر حسب تفاوت اشخاص و اوقات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زمینه، به طور مفصل، بحث می‌کند و ائمه معصوم علیهم السلام را در حکم طبیبانی می‌داند که به درمان امراض نفوس می‌پردازند و چون </w:t>
      </w:r>
    </w:p>
    <w:p>
      <w:pPr>
        <w:pStyle w:val="BookText"/>
        <w:rPr/>
      </w:pPr>
      <w:r>
        <w:rPr>
          <w:rFonts w:ascii="IRNazanin" w:hAnsi="IRNazanin" w:eastAsia="IRNazanin"/>
          <w:color w:val="111111"/>
          <w:sz w:val="28"/>
          <w:sz w:val="28"/>
          <w:szCs w:val="28"/>
          <w:rtl w:val="true"/>
          <w:lang w:bidi="fa-IR"/>
        </w:rPr>
        <w:t>در باب چیزی، به اطلاق، سخن بگویند، لزوماً همۀ انسان‌ها و همۀ زمان‌ها را اراده نکرده‌اند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جمع‌بندی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مراد، تشویق بر عمل به هر یک از آنها در موضع خودش است و این شأن عاقل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بدین‌شکل، بر اثر گذاری مقام سخن در فهم احادیث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یافتن سؤال نهفته و ذهنی و یا آشکار و علنی راوی و یا پرسشگر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نخستین مخاطب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به محور اصلی پاسخ می‌رساند و گاه توجه به سؤال موجب راندن احتمالاًت بعید و تقلیل آنهاست </w:t>
      </w:r>
      <w:r>
        <w:rPr>
          <w:rStyle w:val="FootnoteAnchor"/>
          <w:rtl w:val="true"/>
        </w:rPr>
        <w:footnoteReference w:id="297"/>
      </w:r>
      <w:r>
        <w:rPr>
          <w:rFonts w:ascii="IRNazanin" w:hAnsi="IRNazanin" w:eastAsia="IRNazanin"/>
          <w:color w:val="111111"/>
          <w:sz w:val="28"/>
          <w:sz w:val="28"/>
          <w:szCs w:val="28"/>
          <w:rtl w:val="true"/>
          <w:lang w:bidi="fa-IR"/>
        </w:rPr>
        <w:t>و شارح، گاه با تکیه بر آن تنافی ظاهری احادیث را بر طرف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حدیث بر قول اصولیین مبنی بر این‌که حکم، هنگام تعارض دو دلیل، وقف یا تخییر است، دلالت دارد؛ اما اشکالی مطرح است که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اشکال رد می‌شود؛ چون قول سائل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مانع از آن است؛ چرا که صراحت در پرسش از حکم متناقضین دارد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در جای دیگری نیز برای رفع تنافی ظاهری احادیث، وجوه مختلفی را در معنای مراد از سؤال مطرح می‌کند و می‌گوید اگر بر احتمال اخیر حمل شود، رفع تنافی گردد</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او در شرح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لم اسئلک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سؤال را تقریر و توبیخ و نه استعلام می‌داند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توجه به ویژگی‌های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گویندۀ سخن از آن اطلاع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فهم دلالت الفاظ اثرگذار است؛ چرا که ائمۀ معصوم علیهم السلام، به اقتضای بلاغت و فصاحت خویش، موقعیت راوی و مخاطب را در نظر گرفته و به تناسب و اقتضای حال او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شارح دربارۀ ابوعبیدۀ حذاء کوفی می‌گوید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ثقه و صحیح است؛ چنان‌که اصحاب رجال به آن تصریح کرده‌اند و نزد آل محمد صلی الله علیه و آله منزلت نیکو داشت و در مکه ملازم و همنشین ابا جعفر علیه السلام بود و</w:t>
      </w:r>
      <w:r>
        <w:rPr>
          <w:rFonts w:eastAsia="IRNazanin" w:cs="IRNazanin"/>
          <w:color w:val="111111"/>
          <w:sz w:val="28"/>
          <w:szCs w:val="28"/>
          <w:rtl w:val="true"/>
          <w:lang w:bidi="fa-IR"/>
        </w:rPr>
        <w:t xml:space="preserve">. . . </w:t>
      </w:r>
    </w:p>
    <w:p>
      <w:pPr>
        <w:pStyle w:val="BookText"/>
        <w:rPr/>
      </w:pPr>
      <w:r>
        <w:rPr>
          <w:rFonts w:ascii="IRNazanin" w:hAnsi="IRNazanin" w:eastAsia="IRNazanin"/>
          <w:color w:val="111111"/>
          <w:sz w:val="28"/>
          <w:sz w:val="28"/>
          <w:szCs w:val="28"/>
          <w:rtl w:val="true"/>
          <w:lang w:bidi="fa-IR"/>
        </w:rPr>
        <w:t>پس بعید است که غرض از استفهام، استعلام حال باطن او و حسن اعتقادش باشد</w:t>
      </w:r>
      <w:r>
        <w:rPr>
          <w:rFonts w:eastAsia="IRNazanin" w:cs="IRNazanin"/>
          <w:color w:val="111111"/>
          <w:sz w:val="28"/>
          <w:szCs w:val="28"/>
          <w:rtl w:val="true"/>
          <w:lang w:bidi="fa-IR"/>
        </w:rPr>
        <w:t xml:space="preserve">. . . . </w:t>
      </w:r>
      <w:r>
        <w:rPr>
          <w:rStyle w:val="FootnoteAnchor"/>
          <w:rtl w:val="true"/>
        </w:rPr>
        <w:footnoteReference w:id="3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فهم موضوع سخن، در تفهیم و تفاهم مطالب بین گوینده و مخاطب امری کتمان‌ناپذیر است و در قرینه بودن آن برای فهم مقصود، تردید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صالح با توجه به این موضوع، در ذیل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بدون چگونگی اول است و بدون کجایی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اولیت او عبارت است از آن که قبل از وجود ممکنات بوده است و آخریت او عبارت از بقای او بعد فنای ایشان است و مراد از آنچه که در برخی احادیث از نفی اولیّت و آخریّت از او آمده است، نفی اولیّت و آخریّت زمانی است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شارح، به مناسبت شرح یک حدیث، قول محی الدین بغوی را در باب رؤیت خداوند در آخرت می‌آورد که به حدیثی از قول رسول خدا صلی الله علیه و آله استناد کرده است و سپس، با تکیۀ بر جهت صدور حدیث، سخن او را نقد می‌کند</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در جای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متن حدیث به نهی از سؤال 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این منافی با احادیثِ تشویق بر سؤال نیست؛ چرا که در اینجا از سؤال زیاد و غیر ضروری نهی شده است</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هم‌چنین از قرینۀ ذکر حدیث در یک باب نیز برای شرح آن یاری جسته است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گاه، مجاز و زبان نمادین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معانی را به رمز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تبیین مفاهیم از زبان اخباری راهگشاتر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حدیث، جهت ایفای مقصود، به خدمت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این نکته می‌تواند منجر به کج فهمی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در شرح حدیث دوم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گفتن حیا و دین می‌گوید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آن است که این قول، حقیقی و لسان مقال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احتمال دارد که مجازی و به لسان حال باشد یا آن که خداوند متعال در آن، کلام خلق کرده است</w:t>
      </w:r>
      <w:r>
        <w:rPr>
          <w:rFonts w:eastAsia="IRNazanin" w:cs="IRNazanin"/>
          <w:color w:val="111111"/>
          <w:sz w:val="28"/>
          <w:szCs w:val="28"/>
          <w:rtl w:val="true"/>
          <w:lang w:bidi="fa-IR"/>
        </w:rPr>
        <w:t xml:space="preserve">. </w:t>
      </w:r>
      <w:r>
        <w:rPr>
          <w:rStyle w:val="FootnoteAnchor"/>
          <w:rtl w:val="true"/>
        </w:rPr>
        <w:footnoteReference w:id="306"/>
      </w:r>
      <w:bookmarkStart w:id="298" w:name="pg14553_191823"/>
    </w:p>
    <w:p>
      <w:pPr>
        <w:pStyle w:val="BookText"/>
        <w:rPr/>
      </w:pPr>
      <w:bookmarkEnd w:id="298"/>
      <w:r>
        <w:rPr>
          <w:rFonts w:ascii="IRNazanin" w:hAnsi="IRNazanin" w:eastAsia="IRNazanin"/>
          <w:color w:val="111111"/>
          <w:sz w:val="28"/>
          <w:sz w:val="28"/>
          <w:szCs w:val="28"/>
          <w:rtl w:val="true"/>
          <w:lang w:bidi="fa-IR"/>
        </w:rPr>
        <w:t xml:space="preserve">سیاق نیز از دیگر قراینی است که شارح آن را در فهم متن مورد توجه قرار داده است </w:t>
      </w:r>
      <w:r>
        <w:rPr>
          <w:rStyle w:val="FootnoteAnchor"/>
          <w:rtl w:val="true"/>
        </w:rPr>
        <w:footnoteReference w:id="3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تکیه بر معنای حاصل از سیاق، وجه به کارگیری برخی کلمات را در کلام معصوم علیه السلام تبیین می‌کند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چگونگی چینش عبارات در حدیث، جهت فهم آن یاری می‌جوید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گاه برخی احتمالاًت نقل شده را در معنای حدیث با تکیه بر آن تأیید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99" w:name="__RefHeading___Toc651885_1878427129"/>
      <w:bookmarkStart w:id="300" w:name="_Toc117"/>
      <w:bookmarkEnd w:id="299"/>
      <w:r>
        <w:rPr/>
        <w:t>4-2</w:t>
      </w:r>
      <w:r>
        <w:rPr>
          <w:rtl w:val="true"/>
        </w:rPr>
        <w:t xml:space="preserve">. </w:t>
      </w:r>
      <w:r>
        <w:rPr>
          <w:rtl w:val="true"/>
        </w:rPr>
        <w:t>استناد به آیات قرآن</w:t>
      </w:r>
      <w:bookmarkEnd w:id="300"/>
    </w:p>
    <w:p>
      <w:pPr>
        <w:pStyle w:val="BookText"/>
        <w:rPr/>
      </w:pPr>
      <w:r>
        <w:rPr>
          <w:rFonts w:ascii="IRNazanin" w:hAnsi="IRNazanin" w:eastAsia="IRNazanin"/>
          <w:color w:val="111111"/>
          <w:sz w:val="28"/>
          <w:sz w:val="28"/>
          <w:szCs w:val="28"/>
          <w:rtl w:val="true"/>
          <w:lang w:bidi="fa-IR"/>
        </w:rPr>
        <w:t>حدیث بازگوی گفتار و کردار کسی است که نمونۀ عینی قرآن و تجسم آن در بستر عمل فردی، اجتماعی و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حدیث، آگاهی از قرآنی است که در هر زمان، بسته به شرایط، نوشونده و تغییر یابندۀ مکان، موقعیت و ویژگی‌های سیاسی، اقتصادی، اجتماعی و فرهنگی، رهنمودی نو و جلوه‌ای تازه از خویش بروز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حدیث، در هر موردی شاهدی صریح یا ضمنی از قرآن را با خود دارد و این دو، نسبت به یکدیگر، جنبۀ تفسیری و تبیینی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شارح از آیات قرآن برای رفع ابهام و یا شرح معنا فراوان سود جسته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الرجاء و ضدّه القنوط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آیه از قرآن را برای تبیین بیشتر آورده است</w:t>
      </w:r>
      <w:r>
        <w:rPr>
          <w:rFonts w:eastAsia="IRNazanin" w:cs="IRNazanin"/>
          <w:color w:val="111111"/>
          <w:sz w:val="28"/>
          <w:szCs w:val="28"/>
          <w:rtl w:val="true"/>
          <w:lang w:bidi="fa-IR"/>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و از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اَلسَّماءِ رِزْقُکُمْ وَ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اَلسَّماءِ وَ اَلْأَرْضِ إِنَّهُ لَحَقٌّ مِثْلَ ما أَنَّکُمْ تَنْطِقُونَ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فِی اَلْأَرْضِ إِلاّ عَلَی اَللّهِ رِزْقُها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تأیید این معنای حدیث که روزیِ مقسوم هر یک از افراد در دنیا به ایشان می‌رسد، سود جسته است</w:t>
      </w:r>
      <w:r>
        <w:rPr>
          <w:rFonts w:eastAsia="Amiri" w:cs="Amiri" w:ascii="Amiri" w:hAnsi="Amiri"/>
          <w:color w:val="111111"/>
          <w:sz w:val="28"/>
          <w:szCs w:val="28"/>
          <w:rtl w:val="true"/>
          <w:lang w:bidi="ar-SA"/>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او </w:t>
      </w:r>
      <w:bookmarkStart w:id="301" w:name="pg14553_191824"/>
    </w:p>
    <w:p>
      <w:pPr>
        <w:pStyle w:val="BookText"/>
        <w:rPr/>
      </w:pPr>
      <w:bookmarkEnd w:id="301"/>
      <w:r>
        <w:rPr>
          <w:rFonts w:ascii="IRNazanin" w:hAnsi="IRNazanin" w:eastAsia="IRNazanin"/>
          <w:color w:val="111111"/>
          <w:sz w:val="28"/>
          <w:sz w:val="28"/>
          <w:szCs w:val="28"/>
          <w:rtl w:val="true"/>
          <w:lang w:bidi="fa-IR"/>
        </w:rPr>
        <w:t xml:space="preserve">مراتب پنجگانۀ جهاد را به تناسب شرح حدیثی ذکر می‌کند و برای هر مرتبۀ آن شاهدی از قرآن می‌آورد </w:t>
      </w:r>
      <w:r>
        <w:rPr>
          <w:rStyle w:val="FootnoteAnchor"/>
          <w:rtl w:val="true"/>
        </w:rPr>
        <w:footnoteReference w:id="3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بررسی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بسیاری مفاهیم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احادیث آمده‌اند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آیات قرآن استناد جسته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زیباترین شواهد، در استناد شارح به آیات قرآن، به هنگام تبیین مفهوم تقواست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گاهی نیز آیات، شاهدی بر جنبۀ خاصی از حدیث آمده‌اند؛ مثلاً ملّا صالح در شرح حدیثی دربارۀ وسواس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آن، امام علیه السلام فرموده‌اند که اگر از شخص مبتلا به وسواس علت عملکرد او را بپرسی،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به تو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شیطان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 در وجه معنا توضیح می‌دهد که او به زبان، چنین گوید و اعتقاد قلبی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چنین نحوه گفتاری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مخالف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سَأَلْتَهُمْ مَنْ خَلَقَ اَلسَّماواتِ وَ اَلْأَرْضَ لَیَقُولُنَّ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می‌آورد</w:t>
      </w:r>
      <w:r>
        <w:rPr>
          <w:rFonts w:eastAsia="IRNazanin" w:cs="IRNazanin"/>
          <w:color w:val="111111"/>
          <w:sz w:val="28"/>
          <w:szCs w:val="28"/>
          <w:rtl w:val="true"/>
          <w:lang w:bidi="fa-IR"/>
        </w:rPr>
        <w:t xml:space="preserve">. </w:t>
      </w:r>
      <w:r>
        <w:rPr>
          <w:rStyle w:val="FootnoteAnchor"/>
          <w:rtl w:val="true"/>
        </w:rPr>
        <w:footnoteReference w:id="311"/>
      </w:r>
    </w:p>
    <w:p>
      <w:pPr>
        <w:pStyle w:val="Heading5"/>
        <w:numPr>
          <w:ilvl w:val="4"/>
          <w:numId w:val="1"/>
        </w:numPr>
        <w:rPr/>
      </w:pPr>
      <w:bookmarkStart w:id="302" w:name="__RefHeading___Toc651887_1878427129"/>
      <w:bookmarkStart w:id="303" w:name="_Toc118"/>
      <w:bookmarkEnd w:id="302"/>
      <w:r>
        <w:rPr/>
        <w:t>5-2</w:t>
      </w:r>
      <w:r>
        <w:rPr>
          <w:rtl w:val="true"/>
        </w:rPr>
        <w:t xml:space="preserve">. </w:t>
      </w:r>
      <w:r>
        <w:rPr>
          <w:rtl w:val="true"/>
        </w:rPr>
        <w:t>گردآوری احادیث در یک موضوع</w:t>
      </w:r>
      <w:bookmarkEnd w:id="303"/>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امامیه، سنت دامنه‌ای به وسعت آغاز رسالت تا پایان غیبت صغرا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همواره سرچشمۀ آن یکی بوده و به زلال وحی بازگشت دارد و قرآن بر این مطلب صحه گذارده است؛ آنجا که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وحی بیانی عهده‌دار تبیین قرآن و رفع ابهام و اجمال از آن و عرضۀ مفاهیمش به مقتضای زمان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اکرم صلی الله علیه و آله در زمان حیات خود، رسالت تبیین و تفسیر کتاب الهی را در کنار رسالت ابلاغ آن بر عهده داشتند و با توجه به درک عمومی جامعه و بر اساس نیازها و خواست جامعۀ آن روز، به تبیین آیات الهی پرداختند، اما قرآن ختم کتب و اسلام ختم ادیان و رسول اکرم صلی الله علیه و آله ختم رسل بود و این مقدار تبیین قرآن برای نسل‌های بعد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جامعۀ آن روز بیش از آن را بر نمی‌تابید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اکرم صلی الله علیه و آله در تربیت وصی کوشید تا </w:t>
      </w:r>
    </w:p>
    <w:p>
      <w:pPr>
        <w:pStyle w:val="BookText"/>
        <w:rPr/>
      </w:pPr>
      <w:r>
        <w:rPr>
          <w:rFonts w:ascii="IRNazanin" w:hAnsi="IRNazanin" w:eastAsia="IRNazanin"/>
          <w:color w:val="111111"/>
          <w:sz w:val="28"/>
          <w:sz w:val="28"/>
          <w:szCs w:val="28"/>
          <w:rtl w:val="true"/>
          <w:lang w:bidi="fa-IR"/>
        </w:rPr>
        <w:t>میراث قرآن و بار سنگین مرجعیت فکری و دینی جامعه را بر دوش او گذارد و سپس بارها و بارها در گوش زمان فریاد برآورد و او را به مردم شناساند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w:t>
      </w:r>
      <w:r>
        <w:rPr>
          <w:rFonts w:eastAsia="IRNazanin" w:cs="IRNazanin"/>
          <w:color w:val="111111"/>
          <w:sz w:val="28"/>
          <w:szCs w:val="28"/>
          <w:rtl w:val="true"/>
          <w:lang w:bidi="fa-IR"/>
        </w:rPr>
        <w:t xml:space="preserve">» . </w:t>
      </w:r>
      <w:r>
        <w:rPr>
          <w:rStyle w:val="FootnoteAnchor"/>
          <w:rtl w:val="true"/>
        </w:rPr>
        <w:footnoteReference w:id="3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ص</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خاطری آسوده به ملأ اعلی پیوست و در جوار حق آسود و سید الوصیین حضرت امیرالمؤمنین علی علیه السلام، همگام و همراه همیشگی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دامان رسالت و زلال وحی بالیدن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تبیین کلام الهی و حفظ سنت رسول صلی الله علیه و آله و حرکت بر وفق آن تلاش نمود و هماره مردم را امر به پرسش می‌فرمود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بدین‌سان، بار امانت الهی بعد از حضرتش، به امام حسن علیه السلام و بعد، به امام حسین علیه السلام و نُه فرزند از نسل او سپرده شد که هر یک، در سایۀ حجت قبلی، تعلیم دیده، بر خط او سیر کرد و در سایۀ مقتضیات زمان به عرضۀ معارفی از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کتاب وحی مکتوب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و بر این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اسلام پاسخگوی نیاز بشر در طول دوران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گسترۀ سنت از پیامبر اکرم صلی الله علیه و آله تا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گستره‌ای طولی است و می‌توانیم آنچه را که از ائمۀ معصوم علیهم السلام می‌شنویم، بر گفتار رسول صلی الله علیه و آله اطلاق کنیم؛ بدون آن که نسخ یا تشریع اتفاق افتاده باشد و ایشان خود، به این امر گواهی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علاوۀ بر این، همان طور که در باب آیات قرآنی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بعضه یفسّر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در باب سنت نیز این گفته و قاعده صادق است و شارح نیز به این نکته اشاره‌ای دارد</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البته با توجه به فراز و نشیب‌هایی که حدیث سپری کرده است و حوادثی که از سر گذرانده است، ضرورت نگاه جامع به احادیث افزون می‌شود تا ما در تعامل و برخورد با هر حدیث، فهم و برداشت خود را به آن محدود نکنیم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کارگیری این شیوه و توجه به آن، از دیرباز و از اوان تألیف جوامع کهن حدیثی مد نظر بوده است و محدثان شیعه بر این روش، یعنی گردآوری تا سر حد امکان احادیث یک موضوع برای شرح و تبیین و نتیجه‌گیری، اصرار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شیوه در شرح ملّا صالح نمود چشمگیری دارد؛ به حدی که می‌توان آن را از شاخصه‌های برجستۀ این شرح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این‌که این جمع‌آوری تا چه حدی با </w:t>
      </w:r>
    </w:p>
    <w:p>
      <w:pPr>
        <w:pStyle w:val="BookText"/>
        <w:rPr/>
      </w:pPr>
      <w:r>
        <w:rPr>
          <w:rFonts w:ascii="IRNazanin" w:hAnsi="IRNazanin" w:eastAsia="IRNazanin"/>
          <w:color w:val="111111"/>
          <w:sz w:val="28"/>
          <w:sz w:val="28"/>
          <w:szCs w:val="28"/>
          <w:rtl w:val="true"/>
          <w:lang w:bidi="fa-IR"/>
        </w:rPr>
        <w:t>توفیق همراه شود، معلول عوامل مختلفی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این نگرش در شرح ملّا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توأم با تحلیل‌های ظریف و استنباطهای دقیق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آنجاست که شارح به بررسی معنای تواضع می‌پردازد و ضمن توضیحاتی که می‌آورد، به بیاناتی از ائمه علیهما السلام استدلال می‌کند که در تبیین معنای تواضع و کیفیت آن بسیار مؤثر است</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کافی، ج</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تبیین معنای اعتزال، در ابتدا حوزه و دامنۀ فراگیری آن را معین می‌کند و می‌گوید اعتزال مربوط به عاقل عالم به معالم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نسبت به اهل دنیا و عصیان جایز می‌داند؛ چرا که اهل آخرت اولیای خدا و انصار دین او هستند و توصّل به ایشان، موجب روشنی به نور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با تکیه بر احادیث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اقسام اعتزال می‌پردازد و احادیث متعددی را شاهد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بی‌شمار بودن اخبار مدح اعتزال را یادآور می‌شود و در ادامه، برخی فواید اعتزال را با ذکر حدیث یادآور می‌شود و می‌افزاید با عنایت به فوایدی که در باب این امر آمد، برخی آن را برتر از مصاحبت با مردم دانسته‌اند و دسته‌ای دیگر، با عنایت به اخبار رسیده در مدح مصاحبت با مردم، آن را برتر دانسته‌اند؛ اما هر یک از این دو، جایگاه خاص خود را دارد و سپس به جمع بین آنها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شارح شمار قابل توجهی از احادیث را در قالب یک مجموعه با وحدت موضوعی ارائه می‌دهد و به بررسی و دسته‌بندی و بیان جایگاه هر یک می‌پردازد و بر یکپارچگی سنت صحه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شارح در تبیین مفاهیم حدیثی، به این شیوه، از توانمندی گستردۀ ایشان در دانش حدیث و تسلط بر متون حدیثی خبر می‌دهد که چنین هنرمندانه احادیث را گرد می‌آورد و 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 دیگر این نگرش و عملکرد را می‌توان در شرح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بعثت نوح علیه السلام علم پنهان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از اذیت و آزار از کمال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حاجات خود را از اهلش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خواهان آخرت باشد، دنیا او را بجوید تا </w:t>
      </w:r>
    </w:p>
    <w:p>
      <w:pPr>
        <w:pStyle w:val="BookText"/>
        <w:rPr/>
      </w:pPr>
      <w:r>
        <w:rPr>
          <w:rFonts w:ascii="IRNazanin" w:hAnsi="IRNazanin" w:eastAsia="IRNazanin"/>
          <w:color w:val="111111"/>
          <w:sz w:val="28"/>
          <w:sz w:val="28"/>
          <w:szCs w:val="28"/>
          <w:rtl w:val="true"/>
          <w:lang w:bidi="fa-IR"/>
        </w:rPr>
        <w:t>روزیش را به طور کامل از دنیا برگیرد</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موارد دیگر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پیش از این گفتیم، روایات، مفسر و مبین یکدیگرند و این امر بر لزوم توجه به مجموعه روایات و داشتن نگرش جامع نسبت به آنها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روایات دیگر در نظر ما چه نحوی از کارآیی را می‌توانند داشته باشند، بسته به هر دو طرف قضیه این مسأله، متغیر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بارزترین استفاده شارح از دیگر احادیث در شرح یک حدیث، آوردن آنها در تأیید معناست؛ چنان‌که در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خردمندان زیاده بر احتیاج از دنیا را کنار نهادند تا چه رسد به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حضرت رسول اکرم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در زمرۀ متقین نباشد، مگر آنچه را که در آن شبهه است، به جهت ترس از وقوع در شبهه،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تأیید معنا استناد شده است؛ </w:t>
      </w:r>
      <w:r>
        <w:rPr>
          <w:rStyle w:val="FootnoteAnchor"/>
          <w:rtl w:val="true"/>
        </w:rPr>
        <w:footnoteReference w:id="319"/>
      </w:r>
      <w:r>
        <w:rPr>
          <w:rFonts w:ascii="IRNazanin" w:hAnsi="IRNazanin" w:eastAsia="IRNazanin"/>
          <w:color w:val="111111"/>
          <w:sz w:val="28"/>
          <w:sz w:val="28"/>
          <w:szCs w:val="28"/>
          <w:rtl w:val="true"/>
          <w:lang w:bidi="fa-IR"/>
        </w:rPr>
        <w:t xml:space="preserve">همان طور که در تأیید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جانب خدا خرد نیابد، دلش بر معرفت ثابتی که بدان بینا باشد و حقیقتش را دریابد، بسته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حدیث دیگر را آورده است</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گاهی نیز شارح، پس از ذکر معانی و وجوه مختلف برای یک حدیث، در حمل آن بر معنای مرجوح، به روایات دیگر استناد می‌کند؛ چنان‌که دربارۀ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اندوختۀ هنگام تنگدستی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می‌کند که این‌که مراد از فقر و غنا همان معنای معروف بین مردم باشد، محتمل است؛ اما احتمال دیگر، فقر و غنای اخروی است و به حدیثی از حضرت امیر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بی‌نیازی و نیازمندی پس از عرضۀ بر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توسل می‌جوید</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آن گاه که احادیث وارد شده در تأیید معنای حدیث زیاد باشند، به طوری که معنای حدیث حکم ضروری دین را یافته باشد، از ذکر مؤید خودداری می‌کند و فقط اشاره می‌کند که احادیث در این باب زیادند؛ همان طور که در تأیید فضیلت دعا و ضرورت آن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آیات فراوان و روایات متواتر از طرق خاصه و عامه در ترغیب و تشویق بدان وارد شده است تا آنجا که آن را از ضروری دین قرار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گونه‌ای که جوازی بر رد و انکار آن باقی نمی‌گذارد و زمینه‌ای برای عناد و استنکار نمی‌ماند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فایدۀ توجه به احادیث دیگر، در فهم یک حدیث، تبیین معنای آن است؛ زیرا گاه مفهوم حدیث جز در سایۀ احادیث دیگری که در باب آن موضوع وارد شده‌اند، روشن نمی‌شود و شارح از این ابزار در تبیین معنا سود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آسان نگیرید تا سست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کمک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در پیرامون شبهات بگردد، نزدیک است که در آن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می‌کند؛ به این‌که چون انسان در امور مباح به افراط در افتد یا به مکروهات بپردازد، احتمال فرو رفتن او در ورطۀ هلاکت رود </w:t>
      </w:r>
      <w:r>
        <w:rPr>
          <w:rStyle w:val="FootnoteAnchor"/>
          <w:rtl w:val="true"/>
        </w:rPr>
        <w:footnoteReference w:id="323"/>
      </w:r>
      <w:r>
        <w:rPr>
          <w:rFonts w:ascii="IRNazanin" w:hAnsi="IRNazanin" w:eastAsia="IRNazanin"/>
          <w:color w:val="111111"/>
          <w:sz w:val="28"/>
          <w:sz w:val="28"/>
          <w:szCs w:val="28"/>
          <w:rtl w:val="true"/>
          <w:lang w:bidi="fa-IR"/>
        </w:rPr>
        <w:t xml:space="preserve">یا در وجه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کاری که بترسد در آن ماند، اقدام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که عجز از انجام کار سبب ذلت نفس می‌شود و تکیۀ او بر فرمایش حضرت صادق علیه السلام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مؤمن شایسته نیست که خود را خوار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خوار می‌سازد؟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متعرض کاری شود که توان بر انجام آن را ندارد</w:t>
      </w:r>
      <w:r>
        <w:rPr>
          <w:rFonts w:eastAsia="IRNazanin" w:cs="IRNazanin"/>
          <w:color w:val="111111"/>
          <w:sz w:val="28"/>
          <w:szCs w:val="28"/>
          <w:rtl w:val="true"/>
          <w:lang w:bidi="fa-IR"/>
        </w:rPr>
        <w:t xml:space="preserve">» . </w:t>
      </w:r>
      <w:r>
        <w:rPr>
          <w:rStyle w:val="FootnoteAnchor"/>
          <w:rtl w:val="true"/>
        </w:rPr>
        <w:footnoteReference w:id="324"/>
      </w:r>
      <w:r>
        <w:rPr>
          <w:rFonts w:ascii="IRNazanin" w:hAnsi="IRNazanin" w:eastAsia="IRNazanin"/>
          <w:color w:val="111111"/>
          <w:sz w:val="28"/>
          <w:sz w:val="28"/>
          <w:szCs w:val="28"/>
          <w:rtl w:val="true"/>
          <w:lang w:bidi="fa-IR"/>
        </w:rPr>
        <w:t>بدین سان، بار دیگر بر گسترۀ فهم خود از احادیث و تسلط بر آنها صحه می‌گذارد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معنای یک حدیث در سایۀ دیگر احادیث توسعه پیدا می‌کند و گسترۀ معنایی وسیع‌تری را در بر می‌گیرد و عدم توجه به این نکته، ممکن است به برداشت نادرست از حدیث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مسالۀ ایمان و کفر شاهد مثال این موضوع است و گروهی معتقد به دخول اعمال در حقیقت ایمان شده‌اند و به احادیثی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شناخت قلبی و اقرار زبانی و عمل به اعضاست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توسل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صالح، ذیل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ضد آن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نفی این اعتقاد و استناد به دو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ایمان آباد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بر اعمال صالح، و با اعمال صالح بر ایمان استدلال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توضیحات لازم را بیان می‌کند و می‌گوید که واژۀ ایمان هم بر حقیقت آن و هم بر کمال آن اطلاق می‌شود و استعمال این واژه در معنای ایمان کامل در شرع شایع است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تنگ کردن دایرۀ معنای حدیث و مشخص کردن حوزۀ مربوط به آن، از دیگر فواید مهم نگرش جامع به احادیث است و راه حلی برای رفع تنافی ظاهری در کلام معصوم علیه السلام است و شاهد استعمال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عالم به علم خویش عمل کند، اندرزش از دل‌های شنوندگان بلغزد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شارح عقیده دارد که ظاهر، آن است که حکم در اینجا حکم اکثری است؛ چون قلب برخی از سامعین در حدی از آمادگی و پذیرش نور است که از هر واعظ، حتی اگر عامل به قول خود نباشد،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عامل به علمش است و عالمی که آن را ترک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پر حسرت‌ترین اهل آتش کسی است که دیگری را به جانب خداوند فرا خوانده است و او اجابت نموده، اطاعت خدا کرده است و به بهشت درآید؛ در حالی که فرا خواننده به جهت ترک عمل به آتش فرو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می‌آورد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با استناد به دو حدیث از حضرت امیر 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 را بدی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را به جایی که آمد، بر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توضیح می‌دهد که چشم‌پوشی برتر از انتقام است؛ به شرط این‌که بدانی به تو ضرر نمی‌رساند و منجر به جرأت دشمن بر تو نمی‌شود وگرنه، انتقام به قدر جایز، برتر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وسیله، دایرۀ معنایی عبارت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چشم‌پوشی و ضد آن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کتاب عقل و جهل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عبارت دیگر از همین حدیث،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پیمان‌داری و ضد آن پیمان‌شکنی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وفا مراتبی قایل می‌شود و مرتبۀ پنجم آن را وفا به عهود مردم و مواثیق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موافق با قوانین شرعی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و می‌افزاید که این مرتبۀ از وفا همواره ممدوح نیست، بلکه آن گاه که معاهد بر عهد و شرط خود باقی نمی‌ماند، مذموم است و قول حضرت امیر علیه السلام را شاهد می‌آورد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وفاداری با پیمان‌شکنان در نزد خداوند پیمان‌شکنی محسوب می‌شود و پیمان‌شکنی با ایشان وفاداری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که در باب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خوشرفتاری و ضد آن</w:t>
      </w:r>
    </w:p>
    <w:p>
      <w:pPr>
        <w:pStyle w:val="BookText"/>
        <w:rPr/>
      </w:pPr>
      <w:r>
        <w:rPr>
          <w:rFonts w:ascii="IRNazanin" w:hAnsi="IRNazanin" w:eastAsia="IRNazanin"/>
          <w:color w:val="111111"/>
          <w:sz w:val="28"/>
          <w:sz w:val="28"/>
          <w:szCs w:val="28"/>
          <w:rtl w:val="true"/>
          <w:lang w:bidi="fa-IR"/>
        </w:rPr>
        <w:t>بدرفتاری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فرمایش حضرت امیرالمؤمنین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الرفق خرقاً کان الخرق 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موضع‌گیری را اتخاذ کرده است</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گروهی نیست، جز آن که فی الجمله به تأویل حدیث قایل است</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البته نکتۀ مهمی که نباید از آن غافل ماند، آن است که لفظ قرآن و حدیث همواره بر ظاهر آن حمل می‌شود؛ مگر آن که قرینه‌ای عقلی یا نقلی بر خلاف آن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شارح، تا حد امکان، بر حمل معنا بر ظاهر لفظ تأکید می‌کند؛ </w:t>
      </w:r>
      <w:r>
        <w:rPr>
          <w:rStyle w:val="FootnoteAnchor"/>
          <w:rtl w:val="true"/>
        </w:rPr>
        <w:footnoteReference w:id="329"/>
      </w:r>
      <w:r>
        <w:rPr>
          <w:rFonts w:ascii="IRNazanin" w:hAnsi="IRNazanin" w:eastAsia="IRNazanin"/>
          <w:color w:val="111111"/>
          <w:sz w:val="28"/>
          <w:sz w:val="28"/>
          <w:szCs w:val="28"/>
          <w:rtl w:val="true"/>
          <w:lang w:bidi="fa-IR"/>
        </w:rPr>
        <w:t>اما آنجا که جمع بین احادیث و رسیدن به یک نتیجۀ واحد، جز در سایۀ تأویل حدیثی امکان‌پذیر نبوده است، شارح به تأویل آن اقدام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ذیل این بیان امام 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حدیثی به شما رسید و از قرآن و قول پیامبر صلی الله علیه و آله گواهی بر آن یافتید، به آن عمل کنید و گرنه برای آورنده‌اش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می‌گوید که بنابر قولی، مراد حضرت، آن است که آن حدیث را طرد کنید و رد نمایید؛ چون مخالف کتاب و سنت است؛ اما در این قول اشکال است؛ چرا که عدم وجدان، مستلزم عدم وجود نیست تا مخالفت تحقق یابد و ممکن است که بر آن دو، شاهد و گواهی باشد و ما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سایۀ چهار حدیث مشابه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موضوع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دیگر را آن می‌داند که نیافتن را در کلام امام به مخالفت تأویل کنیم</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شارح در جای دیگر، برای رفع تنافی روایات وارد در باب تقیه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تأویل برده است و به معنای کمی پاداش گرفته است</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نمونه‌های دیگر به تأویل بردن معنای حدیث در باب احادیثی که دربارۀ خداوند وارد شده و احتمال برداشت معنای جسمانی بودن او می‌رود، هم می‌توان دید؛ چنان‌که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قیام کند، خداوند دست خود را بر سر بندگان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عقولشان جمع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عقولشان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معنای دست را به قدرت یا شفقت یا نعمت یا احسان یا ولایت یا حفظ خداوند قابل تأویل می‌داند</w:t>
      </w:r>
      <w:r>
        <w:rPr>
          <w:rFonts w:eastAsia="IRNazanin" w:cs="IRNazanin"/>
          <w:color w:val="111111"/>
          <w:sz w:val="28"/>
          <w:szCs w:val="28"/>
          <w:rtl w:val="true"/>
          <w:lang w:bidi="fa-IR"/>
        </w:rPr>
        <w:t xml:space="preserve">. </w:t>
      </w:r>
      <w:r>
        <w:rPr>
          <w:rStyle w:val="FootnoteAnchor"/>
          <w:rtl w:val="true"/>
        </w:rPr>
        <w:footnoteReference w:id="332"/>
      </w:r>
      <w:bookmarkStart w:id="304" w:name="pg14553_191831"/>
    </w:p>
    <w:p>
      <w:pPr>
        <w:pStyle w:val="Heading5"/>
        <w:numPr>
          <w:ilvl w:val="4"/>
          <w:numId w:val="1"/>
        </w:numPr>
        <w:rPr/>
      </w:pPr>
      <w:bookmarkStart w:id="305" w:name="__RefHeading___Toc651889_1878427129"/>
      <w:bookmarkStart w:id="306" w:name="_Toc119"/>
      <w:bookmarkEnd w:id="304"/>
      <w:bookmarkEnd w:id="305"/>
      <w:r>
        <w:rPr/>
        <w:t>6-2</w:t>
      </w:r>
      <w:r>
        <w:rPr>
          <w:rtl w:val="true"/>
        </w:rPr>
        <w:t xml:space="preserve">. </w:t>
      </w:r>
      <w:r>
        <w:rPr>
          <w:rtl w:val="true"/>
        </w:rPr>
        <w:t>بهره‌گیری از عقل</w:t>
      </w:r>
      <w:bookmarkEnd w:id="306"/>
    </w:p>
    <w:p>
      <w:pPr>
        <w:pStyle w:val="BookText"/>
        <w:rPr/>
      </w:pPr>
      <w:r>
        <w:rPr>
          <w:rFonts w:ascii="IRNazanin" w:hAnsi="IRNazanin" w:eastAsia="IRNazanin"/>
          <w:color w:val="111111"/>
          <w:sz w:val="28"/>
          <w:sz w:val="28"/>
          <w:szCs w:val="28"/>
          <w:rtl w:val="true"/>
          <w:lang w:bidi="fa-IR"/>
        </w:rPr>
        <w:t>عقل، رسول باطن و مهم‌ترین حجت خداوند دانسته شده که به وسیلۀ آن، خداوند شناخته و راستی و درستی پیامبران،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سخنان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نبوت او به راهنمایی همین حجت باطنی 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 مخالف با اصل حجت، یعنی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آموزه‌های دینی به ملاک و معیار بودن مبانی و احکام و دریافت‌های عقل به عنوان امری فرا دینی اقرار دارد که درست و نادرست، بدان سنجیده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فراوانی دربارۀ جایگاه والا و محوری عقل در اعمال دینی و غیر دینی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بسیار دیده می‌شود که شارح بعد از ذکر مطلبی، به حکم عقل، بر درستی آن تأکید می‌کند و معمولاً آن را با حکم نقل و البته مقدم بر آن، همراه می‌سازد؛ چنان‌که مفاهیم مذموم بودن اسراف و تقتیر </w:t>
      </w:r>
      <w:r>
        <w:rPr>
          <w:rStyle w:val="FootnoteAnchor"/>
          <w:rtl w:val="true"/>
        </w:rPr>
        <w:footnoteReference w:id="3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لزوم همنشینی با فرد شایسته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حدیث را به حکم عقل و نقل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قیل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وجوهی را آورده است و ارادۀ همۀ آنها را به حکم عقل و نقل جایز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الاشیاء 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و فعل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را به دلیل آن که مؤید عقلی و نقلی بر آن وجود ندارد، جایز نمی‌داند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او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حیّاً بلا حیاة 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عدم را بر خداوند نفی می‌کند و در تبیین این معنا، به لوازم آن می‌پردازد و می‌گوید که همۀ آنها به حکم عقل و نقل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تبیین معنای حدیثی به</w:t>
      </w:r>
      <w:bookmarkStart w:id="307" w:name="pg14553_191832"/>
    </w:p>
    <w:p>
      <w:pPr>
        <w:pStyle w:val="BookText"/>
        <w:rPr/>
      </w:pPr>
      <w:bookmarkEnd w:id="307"/>
      <w:r>
        <w:rPr>
          <w:rFonts w:ascii="IRNazanin" w:hAnsi="IRNazanin" w:eastAsia="IRNazanin"/>
          <w:color w:val="111111"/>
          <w:sz w:val="28"/>
          <w:sz w:val="28"/>
          <w:szCs w:val="28"/>
          <w:rtl w:val="true"/>
          <w:lang w:bidi="fa-IR"/>
        </w:rPr>
        <w:t>این مضمون که خداوند روزی را ضمانت کرده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نیز بر ضرورت آن حکم می‌کند؛ چرا که وجود انسان و حیات او، بدون رزق و روزی،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خداوند سبحان حیات او را برای مدت معینی تقدیر کرد، ناگزیر واجب است تا رزق او را در آن مدت برساند؛ حال چه در طلب آن بر آید، چه بر نیاید</w:t>
      </w:r>
      <w:r>
        <w:rPr>
          <w:rFonts w:eastAsia="IRNazanin" w:cs="IRNazanin"/>
          <w:color w:val="111111"/>
          <w:sz w:val="28"/>
          <w:szCs w:val="28"/>
          <w:rtl w:val="true"/>
          <w:lang w:bidi="fa-IR"/>
        </w:rPr>
        <w:t xml:space="preserve">. . . . </w:t>
      </w:r>
      <w:r>
        <w:rPr>
          <w:rStyle w:val="FootnoteAnchor"/>
          <w:rtl w:val="true"/>
        </w:rPr>
        <w:footnoteReference w:id="3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اشارۀ شارح به عملکرد عقلا و عاقلان نیز می‌تواند تأکید دیگری بر جایگاه عقل در فهم متون حدیث باشد؛ </w:t>
      </w:r>
      <w:r>
        <w:rPr>
          <w:rStyle w:val="FootnoteAnchor"/>
          <w:rtl w:val="true"/>
        </w:rPr>
        <w:footnoteReference w:id="335"/>
      </w:r>
      <w:r>
        <w:rPr>
          <w:rFonts w:ascii="IRNazanin" w:hAnsi="IRNazanin" w:eastAsia="IRNazanin"/>
          <w:color w:val="111111"/>
          <w:sz w:val="28"/>
          <w:sz w:val="28"/>
          <w:szCs w:val="28"/>
          <w:rtl w:val="true"/>
          <w:lang w:bidi="fa-IR"/>
        </w:rPr>
        <w:t>همچنان که بیان بدیهیات عقلی نیز حاکی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عقله أفضل من جمیع عقول 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دلیل عقلی استحالۀ ترجیح مفضول بر فاضل و نیز ترجیح یکی از دو چیز مساوی بر دیگری، توسل جسته است</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ناگفته نماند که حجت بودن عقل و جایگاه رفیع آن، منافاتی با احادیث وارده در باب ذم قیاس و انکار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نیز آنجا که به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إلا و فیه کتاب أو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کلامش حاکی از تفاوت این دو و مدح عقل و ذم قیاس است</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شارح از وجدان و گواهی آن نیز در تأیید مطالب سود جسته است؛ </w:t>
      </w:r>
      <w:r>
        <w:rPr>
          <w:rStyle w:val="FootnoteAnchor"/>
          <w:rtl w:val="true"/>
        </w:rPr>
        <w:footnoteReference w:id="338"/>
      </w:r>
      <w:r>
        <w:rPr>
          <w:rFonts w:ascii="IRNazanin" w:hAnsi="IRNazanin" w:eastAsia="IRNazanin"/>
          <w:color w:val="111111"/>
          <w:sz w:val="28"/>
          <w:sz w:val="28"/>
          <w:szCs w:val="28"/>
          <w:rtl w:val="true"/>
          <w:lang w:bidi="fa-IR"/>
        </w:rPr>
        <w:t>چرا که در برخی احادیث از پذیرش قلب و آرامش جان و آن احساس و درک نهادینه شده از روح دینی و احساس قرابت و اُنس، نسبت به حدیثی، به عنوان ملاکی در تشخیص حدیث درست از نادرست یاد شده است؛ برای مثال از پیامبر اکرم صلی الله علیه و آله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حدیثی از من شنیدید که برایتان آشنا بود و با آگاهی و احساس درونی شما همراه بود و آن را نزدیک خود یافتید پس من به شما از آن سزاوارترم و اگر حدیثی شنیدید که جان‌هایتان آن را ناآشنا دانست و احساس شما از آن بیگانه بود و آن را دور یافتید، پس این سخن از من بیش از شما بُعد دارد</w:t>
      </w:r>
      <w:r>
        <w:rPr>
          <w:rFonts w:eastAsia="IRNazanin" w:cs="IRNazanin"/>
          <w:color w:val="111111"/>
          <w:sz w:val="28"/>
          <w:szCs w:val="28"/>
          <w:rtl w:val="true"/>
          <w:lang w:bidi="fa-IR"/>
        </w:rPr>
        <w:t xml:space="preserve">. </w:t>
      </w:r>
      <w:r>
        <w:rPr>
          <w:rStyle w:val="FootnoteAnchor"/>
          <w:rtl w:val="true"/>
        </w:rPr>
        <w:footnoteReference w:id="339"/>
      </w:r>
    </w:p>
    <w:p>
      <w:pPr>
        <w:pStyle w:val="Heading5"/>
        <w:numPr>
          <w:ilvl w:val="4"/>
          <w:numId w:val="1"/>
        </w:numPr>
        <w:rPr/>
      </w:pPr>
      <w:bookmarkStart w:id="308" w:name="__RefHeading___Toc651891_1878427129"/>
      <w:bookmarkStart w:id="309" w:name="_Toc120"/>
      <w:bookmarkEnd w:id="308"/>
      <w:r>
        <w:rPr/>
        <w:t>7-2</w:t>
      </w:r>
      <w:r>
        <w:rPr>
          <w:rtl w:val="true"/>
        </w:rPr>
        <w:t xml:space="preserve">. </w:t>
      </w:r>
      <w:r>
        <w:rPr>
          <w:rtl w:val="true"/>
        </w:rPr>
        <w:t>توجه به تاریخ و تجربه</w:t>
      </w:r>
      <w:bookmarkEnd w:id="30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هر حادثه و پدیده، از چگونگی وقوع آن خبر می‌دهد و به شناسنامه‌ای ماند که آیندگان را از هویت و چند و چون آن باخبر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در نهان خود، اسراری </w:t>
      </w:r>
    </w:p>
    <w:p>
      <w:pPr>
        <w:pStyle w:val="BookText"/>
        <w:rPr/>
      </w:pPr>
      <w:r>
        <w:rPr>
          <w:rFonts w:ascii="IRNazanin" w:hAnsi="IRNazanin" w:eastAsia="IRNazanin"/>
          <w:color w:val="111111"/>
          <w:sz w:val="28"/>
          <w:sz w:val="28"/>
          <w:szCs w:val="28"/>
          <w:rtl w:val="true"/>
          <w:lang w:bidi="fa-IR"/>
        </w:rPr>
        <w:t>بسیار از انسان‌ها، رفتارها، وقایع، مکتب‌ها و دانش‌ها دارد که هر که بیشتر با آن آشنا گردد، از آن بیشتر آموزد و اندوزد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آگاهی از تاریخ در فهم روایات، غیر قابل انکار است که گاه مشکلات فهم را برطرف کرده و مراد واقعی را می‌فهماند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به تاریخ و اهمیت آن در فهم روایات توجه لازم را مبذول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مناسبت بررسی از معنای زهد، به بررسی احوال انبیای الهی در این زمینه به اختصار و اشاره می‌پردازد؛ چرا که معتقد است ثمرۀ مطالعۀ تاریخ زهد است</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اُصول 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بررسی از معنای دعا و ضرورت آن، آداب انبیای مرسلین و حکایات نقل شده از ایشان را در اهتمام به آن مؤید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زندگی انبیا و اوصیا و اولیا و صلحای پیشین نگاه کن و قطعاً اخبار پیامبر اکرم صلی الله علیه و آله نیز به تو رسیده است که قوتش جو بود و از آن سیر نمی‌شد و حلوایش خرما بود و لباسش خشن و هیزمش شاخۀ خرما بن بود</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شارح معنای جیفة را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طعامها الجیفة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یک احتمال، همان حیوان غیر مذکیّ می‌داند که در جاهلیت آن را می‌خوردند و قرآن حرام نمود</w:t>
      </w:r>
      <w:r>
        <w:rPr>
          <w:rFonts w:eastAsia="IRNazanin" w:cs="IRNazanin"/>
          <w:color w:val="111111"/>
          <w:sz w:val="28"/>
          <w:szCs w:val="28"/>
          <w:rtl w:val="true"/>
          <w:lang w:bidi="fa-IR"/>
        </w:rPr>
        <w:t xml:space="preserve">. </w:t>
      </w:r>
      <w:r>
        <w:rPr>
          <w:rStyle w:val="FootnoteAnchor"/>
          <w:rtl w:val="true"/>
        </w:rPr>
        <w:footnoteReference w:id="342"/>
      </w:r>
      <w:r>
        <w:rPr>
          <w:rFonts w:ascii="IRNazanin" w:hAnsi="IRNazanin" w:eastAsia="IRNazanin"/>
          <w:color w:val="111111"/>
          <w:sz w:val="28"/>
          <w:sz w:val="28"/>
          <w:szCs w:val="28"/>
          <w:rtl w:val="true"/>
          <w:lang w:bidi="fa-IR"/>
        </w:rPr>
        <w:t>یا در تأیید این معنا که دوری کردن از اهل هوی و بدعت تا زمانی که توبه نکرده و به حق باز نگشته‌اند، لازم است، به ماجرای کعب بن مالک و اصحاب او اشاره می‌کند که از غزوۀ تبوک تخلف کردند و رسول خدا صلی الله علیه و آله امر به دوری و فاصله گرفتن از ایشان به مدت پنجاه روز کردند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از آنجا که تجربه، در اثر گذر زمان و تکرار حاصل می‌شود، به نظر رسید یک نمونه از مواردی را که شارح، با تکیۀ بر تجربه، تأیید و تبیین کرده است، در ادامۀ بحث از توجه به تاریخ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صالح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أکملتک إلا فیمن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اول کتاب عقل و جهل، می‌گوید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برای کسب بنده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مدخلی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تجربه نیز گواه بر این موضوع است؛ چون کسی که در سایۀ دانش اندوزی و طهارت نفس و صرف نیروی علمی و عملی در تحصیل علوم و اعمال و اخلاق مرضیه رشد کند، نور عقل و روشنی جان او افزون شود</w:t>
      </w:r>
      <w:r>
        <w:rPr>
          <w:rFonts w:eastAsia="IRNazanin" w:cs="IRNazanin"/>
          <w:color w:val="111111"/>
          <w:sz w:val="28"/>
          <w:szCs w:val="28"/>
          <w:rtl w:val="true"/>
          <w:lang w:bidi="fa-IR"/>
        </w:rPr>
        <w:t xml:space="preserve">. . . . </w:t>
      </w:r>
      <w:r>
        <w:rPr>
          <w:rStyle w:val="FootnoteAnchor"/>
          <w:rtl w:val="true"/>
        </w:rPr>
        <w:footnoteReference w:id="344"/>
      </w:r>
      <w:bookmarkStart w:id="310" w:name="pg14553_191834"/>
    </w:p>
    <w:p>
      <w:pPr>
        <w:pStyle w:val="Heading5"/>
        <w:numPr>
          <w:ilvl w:val="4"/>
          <w:numId w:val="1"/>
        </w:numPr>
        <w:rPr/>
      </w:pPr>
      <w:bookmarkStart w:id="311" w:name="__RefHeading___Toc651893_1878427129"/>
      <w:bookmarkStart w:id="312" w:name="_Toc121"/>
      <w:bookmarkEnd w:id="310"/>
      <w:bookmarkEnd w:id="311"/>
      <w:r>
        <w:rPr/>
        <w:t>8-2</w:t>
      </w:r>
      <w:r>
        <w:rPr>
          <w:rtl w:val="true"/>
        </w:rPr>
        <w:t xml:space="preserve">. </w:t>
      </w:r>
      <w:r>
        <w:rPr>
          <w:rtl w:val="true"/>
        </w:rPr>
        <w:t>تبیین غوامض و بیان چالش‌ها</w:t>
      </w:r>
      <w:bookmarkEnd w:id="312"/>
    </w:p>
    <w:p>
      <w:pPr>
        <w:pStyle w:val="BookText"/>
        <w:rPr/>
      </w:pPr>
      <w:r>
        <w:rPr>
          <w:rFonts w:ascii="IRNazanin" w:hAnsi="IRNazanin" w:eastAsia="IRNazanin"/>
          <w:color w:val="111111"/>
          <w:sz w:val="28"/>
          <w:sz w:val="28"/>
          <w:szCs w:val="28"/>
          <w:rtl w:val="true"/>
          <w:lang w:bidi="fa-IR"/>
        </w:rPr>
        <w:t>ملّا صالح تلاش وافری در بیان مفاهیم حدیثی و بررسی زوایای مختلف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در قالب اشکال مختلفی خود را بروز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قالب بیان اقوال و نظریات مختلف است و دیگر گاه، بیان وجوه احتمالی متبادر به ذهن و یا بررسی دلالت‌های مختلف الفاظ و مفاهیم، یا طرح ایراد فرضی و پاسخ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شعرانی دربارۀ این ویژگی شارح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هدف، بیان مذهب حق از بین مذاهب موجود است که این وظیفۀ علماست که محل نزاع را مشخص کرده و قول حق را با برهان و دلیل بیان کنند و گاه، غرض بیان مفاهیم احادیث است و بیان آنچه که موهم تناقض در آن است که وظیفۀ محدثین است و شارح، مسلک اول را پیموده است</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التعلیقه علی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می‌توان گفت که شارح بین دو طریق را جمع نموده است؛ یعنی هم محلّ نزاع را مشخص کرده و قول حق را با برهان یادآور می‌شود و هم از بیان مفاهیم احادیث غفلت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آنجا که قولی را در تبیین مفهوم حدیث سراغ داشته باشد، در صورت تناسب و به جهت باز کردن بیشتر بحث، ذکر می‌کند </w:t>
      </w:r>
      <w:r>
        <w:rPr>
          <w:rStyle w:val="FootnoteAnchor"/>
          <w:rtl w:val="true"/>
        </w:rPr>
        <w:footnoteReference w:id="346"/>
      </w:r>
      <w:r>
        <w:rPr>
          <w:rFonts w:ascii="IRNazanin" w:hAnsi="IRNazanin" w:eastAsia="IRNazanin"/>
          <w:color w:val="111111"/>
          <w:sz w:val="28"/>
          <w:sz w:val="28"/>
          <w:szCs w:val="28"/>
          <w:rtl w:val="true"/>
          <w:lang w:bidi="fa-IR"/>
        </w:rPr>
        <w:t xml:space="preserve">و به دلالت‌های کلام توجه دارد </w:t>
      </w:r>
      <w:r>
        <w:rPr>
          <w:rStyle w:val="FootnoteAnchor"/>
          <w:rtl w:val="true"/>
        </w:rPr>
        <w:footnoteReference w:id="347"/>
      </w:r>
      <w:r>
        <w:rPr>
          <w:rFonts w:ascii="IRNazanin" w:hAnsi="IRNazanin" w:eastAsia="IRNazanin"/>
          <w:color w:val="111111"/>
          <w:sz w:val="28"/>
          <w:sz w:val="28"/>
          <w:szCs w:val="28"/>
          <w:rtl w:val="true"/>
          <w:lang w:bidi="fa-IR"/>
        </w:rPr>
        <w:t xml:space="preserve">و از تبیین معنا در سایۀ بررسی زوایای مختلف مفهوم و بیان وجوه احتمالی غفلت نکرده است؛ چنان‌که ذیل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ایشان دربارۀ آن به امر من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محتمل، وجوه چندی است و پنج وجه را ذکر می‌کند؛ </w:t>
      </w:r>
      <w:r>
        <w:rPr>
          <w:rStyle w:val="FootnoteAnchor"/>
          <w:rtl w:val="true"/>
        </w:rPr>
        <w:footnoteReference w:id="348"/>
      </w:r>
      <w:r>
        <w:rPr>
          <w:rFonts w:ascii="IRNazanin" w:hAnsi="IRNazanin" w:eastAsia="IRNazanin"/>
          <w:color w:val="111111"/>
          <w:sz w:val="28"/>
          <w:sz w:val="28"/>
          <w:szCs w:val="28"/>
          <w:rtl w:val="true"/>
          <w:lang w:bidi="fa-IR"/>
        </w:rPr>
        <w:t xml:space="preserve">همان طور که دربارۀ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دانشمندان به شما آن را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چهار وجه را بیان می‌کند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او در بررسی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بدون عمل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ابتدا وجه معنا را ذکر می‌کند و بعد، در هر دو وجه اشکال وارد کرده و آنها را رد می‌کند و می‌گوید به این اشکال، به سه وجه جواب داده‌اند و هر سه وجه را بیان می‌کند و سپس به آنها اشکال وارد ساخته و در پایان، به معنای درست از عبارت اشاره می‌کند</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معناهای متبادر به ذهن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بعید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راه‌های وصول به معنای مراد یا تبیین بیشتر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شارح، در شرح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جهل را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و ضد آن ابتلا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این روش سود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مثال‌های ملموس </w:t>
      </w:r>
      <w:r>
        <w:rPr>
          <w:rStyle w:val="FootnoteAnchor"/>
          <w:rtl w:val="true"/>
        </w:rPr>
        <w:footnoteReference w:id="351"/>
      </w:r>
      <w:r>
        <w:rPr>
          <w:rFonts w:ascii="IRNazanin" w:hAnsi="IRNazanin" w:eastAsia="IRNazanin"/>
          <w:color w:val="111111"/>
          <w:sz w:val="28"/>
          <w:sz w:val="28"/>
          <w:szCs w:val="28"/>
          <w:rtl w:val="true"/>
          <w:lang w:bidi="fa-IR"/>
        </w:rPr>
        <w:t xml:space="preserve">و ضرب المثل‌های رایج </w:t>
      </w:r>
      <w:r>
        <w:rPr>
          <w:rStyle w:val="FootnoteAnchor"/>
          <w:rtl w:val="true"/>
        </w:rPr>
        <w:footnoteReference w:id="352"/>
      </w:r>
      <w:r>
        <w:rPr>
          <w:rFonts w:ascii="IRNazanin" w:hAnsi="IRNazanin" w:eastAsia="IRNazanin"/>
          <w:color w:val="111111"/>
          <w:sz w:val="28"/>
          <w:sz w:val="28"/>
          <w:szCs w:val="28"/>
          <w:rtl w:val="true"/>
          <w:lang w:bidi="fa-IR"/>
        </w:rPr>
        <w:t>از دیگر ابزارهایی است که جهت تقریب مفاهیم به ذهن به خدمت گرفته شده‌اند و از آنجا که زبان نظم، گاهی اثرگذارتر و گویاتر از نثر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 آن را نیز دستاویزی در تبیین مفهوم قرار داده است </w:t>
      </w:r>
      <w:r>
        <w:rPr>
          <w:rStyle w:val="FootnoteAnchor"/>
          <w:rtl w:val="true"/>
        </w:rPr>
        <w:footnoteReference w:id="353"/>
      </w:r>
      <w:r>
        <w:rPr>
          <w:rFonts w:ascii="IRNazanin" w:hAnsi="IRNazanin" w:eastAsia="IRNazanin"/>
          <w:color w:val="111111"/>
          <w:sz w:val="28"/>
          <w:sz w:val="28"/>
          <w:szCs w:val="28"/>
          <w:rtl w:val="true"/>
          <w:lang w:bidi="fa-IR"/>
        </w:rPr>
        <w:t xml:space="preserve">و در شرح برخی احادیث، فواید و نتایج آن را بیان نموده است؛ چنان‌که پس از شرح حدیث چهارم،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دانشمند و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بیان فواید و نکات حدیث می‌پردازد و چهار فایده را ذکر می‌کند</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یا پس از تبیین معنای حدیث یازدهم، از باب نوادر، از کتاب فضل علم، به ارائه جمع‌بندی و خلاصۀ کلام پرداخته است</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وی در جای 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اشارۀ به آداب مناظره است و اثبات حق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ناگزیر، باید مصاحب را به تفهم و ترک لجاجت سفارش نمود و باید حالت کسی را که در آنچه می‌گوید بر یقین است داشت؛ چرا که سبب می‌شود تا مخاطب کشش بیشتر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تمهید این دو امر و اصل قرار دادن آن شروع به استدلال گردد</w:t>
      </w:r>
      <w:r>
        <w:rPr>
          <w:rFonts w:eastAsia="IRNazanin" w:cs="IRNazanin"/>
          <w:color w:val="111111"/>
          <w:sz w:val="28"/>
          <w:szCs w:val="28"/>
          <w:rtl w:val="true"/>
          <w:lang w:bidi="fa-IR"/>
        </w:rPr>
        <w:t xml:space="preserve">. </w:t>
      </w:r>
      <w:r>
        <w:rPr>
          <w:rStyle w:val="FootnoteAnchor"/>
          <w:rtl w:val="true"/>
        </w:rPr>
        <w:footnoteReference w:id="35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ایرادهای فرضی و پاسخ به آنها یکی از راهکارهای ملّا صالح در پرداختن به مواضع چالش در مفاهیم حدیث است که عموماً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تواضع، حکمتْ آباد می‌شود، نه با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 قلت کرده است به این که </w:t>
      </w:r>
      <w:bookmarkStart w:id="313" w:name="pg14553_191836"/>
    </w:p>
    <w:p>
      <w:pPr>
        <w:pStyle w:val="BookText"/>
        <w:rPr/>
      </w:pPr>
      <w:bookmarkEnd w:id="313"/>
      <w:r>
        <w:rPr>
          <w:rFonts w:ascii="IRNazanin" w:hAnsi="IRNazanin" w:eastAsia="IRNazanin"/>
          <w:color w:val="111111"/>
          <w:sz w:val="28"/>
          <w:sz w:val="28"/>
          <w:szCs w:val="28"/>
          <w:rtl w:val="true"/>
          <w:lang w:bidi="fa-IR"/>
        </w:rPr>
        <w:t>این تمثیل افاده آن می‌کند که حکمت از آثار تواضع است و این منافی است با آنچه که ماقبل این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پاسخ می‌دهد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3"/>
        <w:numPr>
          <w:ilvl w:val="2"/>
          <w:numId w:val="1"/>
        </w:numPr>
        <w:rPr/>
      </w:pPr>
      <w:bookmarkStart w:id="314" w:name="__RefHeading___Toc651895_1878427129"/>
      <w:bookmarkStart w:id="315" w:name="_Toc122"/>
      <w:bookmarkEnd w:id="314"/>
      <w:r>
        <w:rPr>
          <w:rtl w:val="true"/>
        </w:rPr>
        <w:t>نتیجه</w:t>
      </w:r>
      <w:bookmarkEnd w:id="315"/>
    </w:p>
    <w:p>
      <w:pPr>
        <w:pStyle w:val="BookText"/>
        <w:rPr/>
      </w:pPr>
      <w:r>
        <w:rPr>
          <w:rFonts w:ascii="IRNazanin" w:hAnsi="IRNazanin" w:eastAsia="IRNazanin"/>
          <w:color w:val="111111"/>
          <w:sz w:val="28"/>
          <w:sz w:val="28"/>
          <w:szCs w:val="28"/>
          <w:rtl w:val="true"/>
          <w:lang w:bidi="fa-IR"/>
        </w:rPr>
        <w:t>شرح و فهم حدیث در شرح ملّا صالح مازندرانی بر شیوه‌ای علمی بنا نهاده شده است و سیر منطقی نیکو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به جایگاه سند و متن در شرح احادیث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احادیث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غالباً اعتقادی و اخلاقی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را ملاک و محور اعتبار می‌داند که سند، شاهدی بر تقویت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از ابزار در اختیار دارد، برای فهم متن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اثبات متن تأکید می‌ورزد تا از فهم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سایۀ ادبیات عرب حاصل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اطمینان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او مشحون از نکات ادبی است و شارح، در مواضع عدیده‌ای، به بیان کیفیت ضبط واژگان و شرح آنها از مصادر معتبر و گاه بیان ترجمۀ فارسی پرداخته است و در هنگام بررسی معنای برخی کلمات، مبدأ اشتقاق آن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بررسی ترکیبات ادبی، اعم از تحلیل‌های نحوی و بلاغی فروگذاری نکرده است و برای پرهیز از کج فهمی به قرینه‌ها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تکیه‌گاهی برای او در فهم حدیث است و نگاه جامع به احادیث و گردآوری آنها از شاخصه‌های مهم شرح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هنرمندانه روایات را حول یک موضوع گرد می‌آورد و با هم پیوند می‌دهد و در سایه آن، به تأیید، تبیین، توسیع، تضییق و تأویل مفهوم حدیث اقدام می‌کند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مستند دیگر او در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وافر او در تبیین غوامض، حاکی از دید عالمانۀ او به جایگاه شرح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برای پرهیز از رد آنچه که احتمال صحت آن می‌رود، به طرح احتمالاًت گوناگون در هنگام فهم می‌پردازد و از قول قطعی و حکم نهایی دادن، اجتناب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 برشماری احتمالاًت متعدد، به خوبی از آگاهی‌های گسترده و ذهن فعال و اندیشۀ پویای او پرده برمی‌دارد</w:t>
      </w:r>
      <w:r>
        <w:rPr>
          <w:rFonts w:eastAsia="IRNazanin" w:cs="IRNazanin"/>
          <w:color w:val="111111"/>
          <w:sz w:val="28"/>
          <w:szCs w:val="28"/>
          <w:rtl w:val="true"/>
          <w:lang w:bidi="fa-IR"/>
        </w:rPr>
        <w:t xml:space="preserve">. </w:t>
      </w:r>
      <w:bookmarkStart w:id="316" w:name="pg14553_191837"/>
    </w:p>
    <w:p>
      <w:pPr>
        <w:pStyle w:val="Heading3"/>
        <w:numPr>
          <w:ilvl w:val="2"/>
          <w:numId w:val="1"/>
        </w:numPr>
        <w:rPr/>
      </w:pPr>
      <w:bookmarkStart w:id="317" w:name="__RefHeading___Toc651897_1878427129"/>
      <w:bookmarkStart w:id="318" w:name="_Toc123"/>
      <w:bookmarkEnd w:id="316"/>
      <w:bookmarkEnd w:id="317"/>
      <w:r>
        <w:rPr>
          <w:rtl w:val="true"/>
        </w:rPr>
        <w:t>کتاب نامه</w:t>
      </w:r>
      <w:bookmarkEnd w:id="3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التعلیقة علی شروح اصول الکافی للمازندرانی ، ابوالحسن شعرانی،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الصغیر ، جلال‌الدین سیوطی،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اول،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تفسیر قرآن، علی اکبر بابایی، غلامعلی عزیزی کیا، مجتبی روحانی راد،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سمت،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فهم حدیث ، عبدالهادی مسعودی،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سمت،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اُصول الکافی ، محمد صالح مازندرانی،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ج،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 عبدالحسین امینی،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العربی،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کنزالعمال، متقی هندی،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بکری حیانی و صفوة صقا،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 xml:space="preserve">. </w:t>
      </w:r>
      <w:bookmarkStart w:id="319" w:name="pg14553_191838"/>
    </w:p>
    <w:p>
      <w:pPr>
        <w:pStyle w:val="BookText"/>
        <w:rPr/>
      </w:pPr>
      <w:bookmarkEnd w:id="319"/>
      <w:r>
        <w:rPr>
          <w:rFonts w:ascii="IRNazanin" w:hAnsi="IRNazanin" w:eastAsia="IRNazanin"/>
          <w:color w:val="111111"/>
          <w:sz w:val="28"/>
          <w:sz w:val="28"/>
          <w:szCs w:val="28"/>
          <w:rtl w:val="true"/>
          <w:lang w:bidi="fa-IR"/>
        </w:rPr>
        <w:t>عقل از دیدگاه ملا صالح مازندرانی</w:t>
      </w:r>
    </w:p>
    <w:p>
      <w:pPr>
        <w:pStyle w:val="Heading2"/>
        <w:numPr>
          <w:ilvl w:val="1"/>
          <w:numId w:val="1"/>
        </w:numPr>
        <w:rPr/>
      </w:pPr>
      <w:bookmarkStart w:id="320" w:name="__RefHeading___Toc651899_1878427129"/>
      <w:bookmarkStart w:id="321" w:name="_Toc124"/>
      <w:bookmarkEnd w:id="320"/>
      <w:r>
        <w:rPr>
          <w:rtl w:val="true"/>
        </w:rPr>
        <w:t>عقل از دیدگاه ملا صالح مازندرانی</w:t>
      </w:r>
      <w:bookmarkEnd w:id="321"/>
    </w:p>
    <w:p>
      <w:pPr>
        <w:pStyle w:val="Heading3"/>
        <w:numPr>
          <w:ilvl w:val="2"/>
          <w:numId w:val="1"/>
        </w:numPr>
        <w:rPr/>
      </w:pPr>
      <w:bookmarkStart w:id="322" w:name="__RefHeading___Toc651901_1878427129"/>
      <w:bookmarkStart w:id="323" w:name="_Toc125"/>
      <w:bookmarkEnd w:id="322"/>
      <w:r>
        <w:rPr>
          <w:rtl w:val="true"/>
        </w:rPr>
        <w:t>اشارة</w:t>
      </w:r>
      <w:bookmarkEnd w:id="323"/>
    </w:p>
    <w:p>
      <w:pPr>
        <w:pStyle w:val="BookText"/>
        <w:rPr/>
      </w:pPr>
      <w:r>
        <w:rPr>
          <w:rFonts w:ascii="IRNazanin" w:hAnsi="IRNazanin" w:eastAsia="IRNazanin"/>
          <w:color w:val="111111"/>
          <w:sz w:val="28"/>
          <w:sz w:val="28"/>
          <w:szCs w:val="28"/>
          <w:rtl w:val="true"/>
          <w:lang w:bidi="fa-IR"/>
        </w:rPr>
        <w:t xml:space="preserve">عقل از دیدگاه ملا صالح مازندرانی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امین حسین‌پوری</w:t>
      </w:r>
    </w:p>
    <w:p>
      <w:pPr>
        <w:pStyle w:val="Heading3"/>
        <w:numPr>
          <w:ilvl w:val="2"/>
          <w:numId w:val="1"/>
        </w:numPr>
        <w:rPr/>
      </w:pPr>
      <w:bookmarkStart w:id="324" w:name="__RefHeading___Toc651903_1878427129"/>
      <w:bookmarkStart w:id="325" w:name="_Toc126"/>
      <w:bookmarkEnd w:id="324"/>
      <w:r>
        <w:rPr>
          <w:rtl w:val="true"/>
        </w:rPr>
        <w:t>چکیده</w:t>
      </w:r>
      <w:bookmarkEnd w:id="325"/>
    </w:p>
    <w:p>
      <w:pPr>
        <w:pStyle w:val="BookText"/>
        <w:rPr/>
      </w:pPr>
      <w:r>
        <w:rPr>
          <w:rFonts w:ascii="IRNazanin" w:hAnsi="IRNazanin" w:eastAsia="IRNazanin"/>
          <w:color w:val="111111"/>
          <w:sz w:val="28"/>
          <w:sz w:val="28"/>
          <w:szCs w:val="28"/>
          <w:rtl w:val="true"/>
          <w:lang w:bidi="fa-IR"/>
        </w:rPr>
        <w:t>شرح ملا صالح مازندرانی بر اصول کافی، از جمله شروح الکافی است که به جهت آشنایی نویسندۀ آن با مباحث فلسفی و حکمی، و در همان حال، تسلّط بر مباحث حدیث‌شناسی، سرشار از بهره‌های فقه الحدیثی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تاکنون، جایگاه آن را آن گونه که درخورِ چنین شرحی است، نشناخته‌اند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تلاش کرده‌ایم گونه نگاه و اندیشۀ شارح را دربارۀ عقل و جستارهای مرتبط با آن، مانند چگونگی افزایش مراتب عقل، نسبت عقل با جهل و موضوع‌هایی از این دست، به نمایش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آن‌که این نوشتار، در گام نخست، دریچه‌ای باشد به سوی آشنایی با اندیشۀ حکیمان حدیث‌پژوه دربارۀ مفاهیم بنیادینِ حدیثی همچون مفهوم عقل و سپس راه رابرای ارزیابی دیدگاه‌ها دربارۀ مفاهیم حدیثی و گزینش دیدگاه درست، هموار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نفس ناطقه، جوهر مجرّد، جوهر مفارق، جهل</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را در اندیشۀ اسلامی، جایگاهی بس والا داده‌اند، تا آن جا که آن را حجّت باطنی خداوند به شمار آورده‌اند و این اندیشه چنان در میان آموزه‌های تشیّع، برجسته شده است که رهبران شیعه، بیش از دیگر مذاهب اسلامی، بر عقل و بهره‌گیری از آن پای می‌فشارند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شمار احادیثی که در آن، از عقل و بایستگی </w:t>
      </w:r>
    </w:p>
    <w:p>
      <w:pPr>
        <w:pStyle w:val="BookText"/>
        <w:rPr/>
      </w:pPr>
      <w:r>
        <w:rPr>
          <w:rFonts w:ascii="IRNazanin" w:hAnsi="IRNazanin" w:eastAsia="IRNazanin"/>
          <w:color w:val="111111"/>
          <w:sz w:val="28"/>
          <w:sz w:val="28"/>
          <w:szCs w:val="28"/>
          <w:rtl w:val="true"/>
          <w:lang w:bidi="fa-IR"/>
        </w:rPr>
        <w:t>به کارگیری آن و بهره‌های به دست آمده از آموزه‌های عقل و جستارهایی دیگر از این دست، سخن گفته‌اند، برای استوارسازی این سخن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نگاشته‌های کهن دانشوران شیعه و از گران‌سنگ‌ترین اثرها، کتاب الکافی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دانشمند این کتاب، شیخ ابو جعفر محمّد بن یعقوب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خویش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آغازیده است و این، جز جایگاه بلند عقل، نشان‌دهنده تیزبینی و زمان‌شناسی نویسنده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خود در پیش‌گفتار الکافی ، در سخنی گزیده امّا بسیار نغز، چرایی آغاز با احادیث عقل را این گونه بر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کان العقل هو القطب الذی علیه المدار و به یحتجّ، و له الثواب و علیه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عقل، همان محوری است که گردش امور، پیرامون آن است و بدان بر آفریدگان احتجاج می‌کنند و پاداش را به آن می‌دهند و کیفر نیز بابت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آنچه وی نوشته است، عقل، محور اندیشه اسلامی است که در شناخت و ارزیابی همه مفاهیم دینی، جایگاهی بنیادین دارد و همین جایگاه است که به هر کس، بسته به اندازه بهره‌گیری از آن، مرتبتی ویژه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ارزشمندترین شرح‌هایی که بر کتاب الکافی نگاشته‌اند، شرح ملا صالح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دانشوران روزگار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آن رو که در دانش‌های گوناگون روزگار خود، چیره‌دست بوده، از زوایایی گوناگون، احادیث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زوایا که در شرح وی برجستگی ویژه دارد، نگاه حکمی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 وی در شرح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نگاه فلسفی، بویژه در شرح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بسیار برجسته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به دنبال آنیم که به برخی پرسش‌ها دربارۀ چگونگی برخورد وی با جُستار عقل و موضوعات مرتبط با آن، به پرسش‌هایی از این دست پاسخ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عقل را چگونه می‌شناساند؟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وی، بر چه پایه‌هایی استوار است؟ </w:t>
      </w:r>
      <w:bookmarkStart w:id="326" w:name="pg14553_191840"/>
    </w:p>
    <w:p>
      <w:pPr>
        <w:pStyle w:val="BookText"/>
        <w:rPr/>
      </w:pPr>
      <w:bookmarkEnd w:id="32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کاربردهای گوناگون واژه عقل، از دیدگاه وی چگونه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چگونه درجات گوناگون عقل را باز می‌شناساند؟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می‌توان عقل را رشد داد؟ و</w:t>
      </w:r>
      <w:r>
        <w:rPr>
          <w:rFonts w:eastAsia="IRNazanin" w:cs="IRNazanin"/>
          <w:color w:val="111111"/>
          <w:sz w:val="28"/>
          <w:szCs w:val="28"/>
          <w:rtl w:val="true"/>
          <w:lang w:bidi="fa-IR"/>
        </w:rPr>
        <w:t>. . .</w:t>
      </w:r>
    </w:p>
    <w:p>
      <w:pPr>
        <w:pStyle w:val="Heading3"/>
        <w:numPr>
          <w:ilvl w:val="2"/>
          <w:numId w:val="1"/>
        </w:numPr>
        <w:rPr/>
      </w:pPr>
      <w:bookmarkStart w:id="327" w:name="__RefHeading___Toc651905_1878427129"/>
      <w:bookmarkStart w:id="328" w:name="_Toc127"/>
      <w:bookmarkEnd w:id="327"/>
      <w:r>
        <w:rPr/>
        <w:t>1</w:t>
      </w:r>
      <w:r>
        <w:rPr>
          <w:rtl w:val="true"/>
        </w:rPr>
        <w:t xml:space="preserve">. </w:t>
      </w:r>
      <w:r>
        <w:rPr>
          <w:rtl w:val="true"/>
        </w:rPr>
        <w:t>تعریف عقل</w:t>
      </w:r>
      <w:bookmarkEnd w:id="328"/>
    </w:p>
    <w:p>
      <w:pPr>
        <w:pStyle w:val="BookText"/>
        <w:rPr/>
      </w:pPr>
      <w:r>
        <w:rPr>
          <w:rFonts w:ascii="IRNazanin" w:hAnsi="IRNazanin" w:eastAsia="IRNazanin"/>
          <w:color w:val="111111"/>
          <w:sz w:val="28"/>
          <w:sz w:val="28"/>
          <w:szCs w:val="28"/>
          <w:rtl w:val="true"/>
          <w:lang w:bidi="fa-IR"/>
        </w:rPr>
        <w:t>شارح، در چند جا از شرح کتاب عقل و جهل، تعریف عقل را آورده و چنان‌که خواهیم گفت، عقل را بر پایه دیدگاه حکیمان و فیلسوفان می‌شناساند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عقل را دو گونه تعریف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شرح نخستین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حدیث از کتاب عقل و جهل، عقل را این گونه شناسانده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 أی النفس الناطقة و هی الجوهر المجرّد عن المادّة فی ذاته دون فعله فی‌الأبدان بالتصرّف و التدبیر، و هذا الجوهر یُسمّی نفساً باعتبار تعلّقه بالبدن و عقلاً باعتبار تجرّده و نسبته إلی عالم القدس، إذ هو بهذا الاعتبار یعقل نفسه أی یَحبِسُها و یمنعها عَمّا یقتضیه الاعتبار الأوّل من الشرور و المفاسد المانعة من الرجوع إلی هذا العالم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عقل، یعنی نفس ناطقه و آن، جوهری است که در ذات خود، از مادّه مجرّد است؛ امّا در فعل خود که با تصرّف و تدبیر بدن‌ها پدید می‌آید، به مادّه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جوهر را گاه نفس می‌نامند؛ از آن رو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فعل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بدن تعلّق و ارتباط دارد و گاه آن را عقل می‌نامند؛ از آن رو که در ذات خود، از مادّه بیگانه است و به عالم قدس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 جوهر را عقل می‌نامند، از آن جهت است که به این اعتبار دوم، نفس را در بند می‌کند و آن را از مقتضیات اعتبار اوّل که شرور و مفاسدی است که مانع از بازگشت نفس به عالم قدس می‌شود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پایۀ آنچه خواندیم، در نگاه شارح، نفس سکّه‌ای دو رویه است که یک روی آن،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العقلَ استنطَقَه ثمّ قال له أقبِل فأقبل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آن‌گاه که خدا عقل را آفرید، او را به سخن آورد و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پیش‌بیا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پیش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عالم مادّه است و رویی دیگر، به سوی عالم ملکوت، و نفس را از آن منظر که به ملکوت نظر دارد، عقل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تعریف، می‌توان دانست که چرا نفس انسان، گاه به بدی رو می‌آورد و گاه آهنگ خدایی 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جوهر، گرچه در ذات خود مادّی نیست، امّا بستر ظهور و رشد آن، بدن خاکی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مقتضیات عالم مادّه و لوازم ارتباط با بدن خاکی و مادّی، زمام اختیارِ این جوهر را به دست بگیرد، آن را به سوی پلیدی‌ها می‌کشاند و آن گاه که واژگونه حالت پیشین جنبه تجرّد و ارتباط با عالم ملکوت در آن برجسته گردد، آن را به سوی پاکی‌ها می‌کشاند و از مقتضیات و پیامدهای ناگوارِ تعلّق به بدن،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می‌توان آن را عقل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جایی دیگر، این معنا را آشکارتر بر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 جوهر قلبی قابل لمعرفة الصانع و ما یتعلّق به، أی معرفة الآخرة و ما یتعلّق بها، و هو مبدأ التقوی و به ضبطها و حفظها و سیرها و نقل صاحبها إلی ساحة حضرة القدس</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جوهری، قلبی است که می‌تواند صانع را بشناسد و نیز آنچه را که با شناخت صانع در ارتباط است؛ مانند شناخت آخرت و نکته‌های مرتبط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عقل، خاستگاه تقواست و بدان می‌توان نفس را در اختیار داشت و آن را حفظ کرد و به سوی عالم قدس به حرکت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سخن، آنچه را که پیش‌تر گفتیم، بیشتر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لمعرفة الصانع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روشنی نشان‌دهنده نکته‌ای است که پیش از این بدان اشارت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عقل این شایستگی و توان را دارد که به بارگاه قدس بار یابد؛ اما این، در گرو آن است که در بند مقتضیات مادّه و بدن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جایی دیگر، بُعدی دیگر از ابعاد عقل را این گونه بر می‌نماید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العقل الجوهر المجرّد الذی یدرک المعانی الکلّیة و الحقائق المعنویة،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البعیرَ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شدّ بالعقال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به لأنّه یمنع صاحبه عن </w:t>
      </w:r>
    </w:p>
    <w:p>
      <w:pPr>
        <w:pStyle w:val="BookText"/>
        <w:rPr/>
      </w:pPr>
      <w:r>
        <w:rPr>
          <w:rFonts w:ascii="IRNazanin" w:hAnsi="IRNazanin" w:eastAsia="IRNazanin"/>
          <w:color w:val="111111"/>
          <w:sz w:val="28"/>
          <w:sz w:val="28"/>
          <w:szCs w:val="28"/>
          <w:rtl w:val="true"/>
          <w:lang w:bidi="fa-IR"/>
        </w:rPr>
        <w:t>ارتکاب ما لا ینبغی مثل العقال</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جوهر مجرّدی است که معانی کلّی و نیز حقایق معنوی را در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عقل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یعنی شتر را با عقال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را از آن رو عقل نامیده‌اند که همچون عقال، انسان را از دست زدن به آنچه روا نیست،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سخن شارح، شایسته درنگ است، یکی پافشاری وی بر تعریف عقل چونان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عبارت‌های پیشین نیز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وی عقل را دریابنده معانی کلّی می‌داند و این سخن، چنان‌که می‌دانیم، از دیدگاه‌های شناخته شده فیلسوفان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عقل را قوّه مُدرِک کلیّات به شمار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وی شناخت حقایق معنوی را نیز از ویژگی‌های عقل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سنجش میان این چند سخن که از شارح آوردیم،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عقل می‌تواند به عالم قدس راه یابد و تقوا را برای انسان به ارمغان آورد، ریشه در همین توانایی او در شناخت معنوی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وی در شرح حدیث سیزدهم از کتاب عقل، به تعریف عقل از زاویه‌ای دیگر اشاره می‌کند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العقل جوهر مجرّد له مراتب متفاوتة فی النقص و الکمال باعتبار التفاوت فی العلم و العمل و الکشف حتّی یبلغ غایة الکمال الّتی تختصّ بعقول الأنبیاء و الأوصیاء علیهم السلام</w:t>
      </w:r>
      <w:r>
        <w:rPr>
          <w:rFonts w:eastAsia="IRNazanin" w:cs="IRNazanin"/>
          <w:color w:val="111111"/>
          <w:sz w:val="28"/>
          <w:szCs w:val="28"/>
          <w:rtl w:val="true"/>
          <w:lang w:bidi="fa-IR"/>
        </w:rPr>
        <w:t xml:space="preserve">. </w:t>
      </w:r>
      <w:r>
        <w:rPr>
          <w:rStyle w:val="FootnoteAnchor"/>
          <w:rtl w:val="true"/>
        </w:rPr>
        <w:footnoteReference w:id="36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 این سخن، عقل گرچه حقیقتی واحد است؛ ولی رتبه‌های گوناگون دارد که برخی والاتر و کامل‌ترند و برخی پایین‌تر و ناقص‌تر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نقص و کمال، از تفاوت درجات علم و عمل در انسان‌ها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انسان عالم‌تر باشد و به علم خویش بیشتر عمل کند، عقل او کمال بیشتری می‌یابد و بر عکس، هر چه بهره او از </w:t>
      </w:r>
    </w:p>
    <w:p>
      <w:pPr>
        <w:pStyle w:val="BookText"/>
        <w:rPr/>
      </w:pPr>
      <w:r>
        <w:rPr>
          <w:rFonts w:ascii="IRNazanin" w:hAnsi="IRNazanin" w:eastAsia="IRNazanin"/>
          <w:color w:val="111111"/>
          <w:sz w:val="28"/>
          <w:sz w:val="28"/>
          <w:szCs w:val="28"/>
          <w:rtl w:val="true"/>
          <w:lang w:bidi="fa-IR"/>
        </w:rPr>
        <w:t>علمْ کمتر و عمل او نیز اندک‌تر باشد، عقل وی نیز در پایه‌ای پایین‌تر جای می‌گیرد و از این روست که عقول انبیا و اوصیا از آن جا که بیش از دیگران از علم و عمل بهره دارند کامل‌ترین عقل‌هاست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گذشت، تنها یک تعریف عقل از نگاه شارح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تعریف عقل را به گونه‌ای دیگر نیز محتمل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یادکرد نخستین حدیث از کتاب عقل و جهل، عقل را این‌گونه شناسانده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یطلق العقل علی الجوهر المفارق عن المادّة فی ذاته و فعله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أنّه روح النفس الناطقة و حالة لها و متعلّق بها کتعلّق النفس بالبدن و بإضاءاته و اشراقاته تضیء النفس و تشرق و تبصر ما فی عالم الملک و الملکوت و تعرف منافَعها و مضارّها</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عقل را به معنای جوهری به کار می‌برند که هم در ذات و هم در فعل خود، از مادّه جدا و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عقل روحِ نفس ناطقه و حالتی از حالات آن است که بدان ارتباط و تعلّق دارد؛ آن گونه که خود نفس ناطقه، با بدن در ارتباط است و با نورانیّت و درخششِ این عقل است که نفس نیز نورانی می‌گردد و می‌درخشد و آنچه را در عالم ملک و ملکوت است، می‌بیند و سود و زیان خویش را می‌شناسد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تعریف عقل، با تعریف پیشین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تعریف پیشین دانستیم، عقل در آن جا گرچه در ذات خود، از مادّه بیگانه بود؛ امّا برای بروز کارکرد خود، به بدن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کارکرد عقل بر پایه تعریف پیشین، در بستر بدن و ارتباط آن با مادّه بروز می‌یافت؛ امّا عقل در این جا، هم در ذات و هم در کارکرد خود، از مادّه بیگانه است و با آن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پایه این تعریف، همان گونه که نفس ناطقه با بدن در ارتباط است و آن را در راه کمال یا ضلال به پیش می‌برد، خود این نفس ناطقه نیز از سوی جوهرِ بیگانه با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همان عقل بر پایه تعریف دوم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ارتباط میان عقل با تعریف اوّل را با بدن، و نیز پیوند میان عقل به معنای دوم با عقل به معنای اوّل را با نمودار زیر روشن‌تر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جوهر مجرّد</w:t>
      </w:r>
    </w:p>
    <w:p>
      <w:pPr>
        <w:pStyle w:val="BookText"/>
        <w:rPr/>
      </w:pPr>
      <w:r>
        <w:rPr>
          <w:rFonts w:ascii="IRNazanin" w:hAnsi="IRNazanin" w:eastAsia="IRNazanin"/>
          <w:color w:val="111111"/>
          <w:sz w:val="28"/>
          <w:sz w:val="28"/>
          <w:szCs w:val="28"/>
          <w:rtl w:val="true"/>
          <w:lang w:bidi="fa-IR"/>
        </w:rPr>
        <w:t>نفس ناطقه</w:t>
      </w:r>
    </w:p>
    <w:p>
      <w:pPr>
        <w:pStyle w:val="BookText"/>
        <w:rPr/>
      </w:pPr>
      <w:r>
        <w:rPr>
          <w:rFonts w:ascii="IRNazanin" w:hAnsi="IRNazanin" w:eastAsia="IRNazanin"/>
          <w:color w:val="111111"/>
          <w:sz w:val="28"/>
          <w:sz w:val="28"/>
          <w:szCs w:val="28"/>
          <w:rtl w:val="true"/>
          <w:lang w:bidi="fa-IR"/>
        </w:rPr>
        <w:t>بدن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به معنای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به معنای اول</w:t>
      </w:r>
    </w:p>
    <w:p>
      <w:pPr>
        <w:pStyle w:val="BookText"/>
        <w:rPr/>
      </w:pPr>
      <w:r>
        <w:rPr>
          <w:rFonts w:ascii="IRNazanin" w:hAnsi="IRNazanin" w:eastAsia="IRNazanin"/>
          <w:color w:val="111111"/>
          <w:sz w:val="28"/>
          <w:sz w:val="28"/>
          <w:szCs w:val="28"/>
          <w:rtl w:val="true"/>
          <w:lang w:bidi="fa-IR"/>
        </w:rPr>
        <w:t>ارتباط از نوع تصرف‌وتدبیر</w:t>
      </w:r>
    </w:p>
    <w:p>
      <w:pPr>
        <w:pStyle w:val="BookText"/>
        <w:rPr/>
      </w:pPr>
      <w:r>
        <w:rPr>
          <w:rFonts w:ascii="IRNazanin" w:hAnsi="IRNazanin" w:eastAsia="IRNazanin"/>
          <w:color w:val="111111"/>
          <w:sz w:val="28"/>
          <w:sz w:val="28"/>
          <w:szCs w:val="28"/>
          <w:rtl w:val="true"/>
          <w:lang w:bidi="fa-IR"/>
        </w:rPr>
        <w:t>ارتباط از نوع تصرّف‌وتدبیر</w:t>
      </w:r>
    </w:p>
    <w:p>
      <w:pPr>
        <w:pStyle w:val="BookText"/>
        <w:rPr/>
      </w:pPr>
      <w:r>
        <w:rPr>
          <w:rFonts w:ascii="IRNazanin" w:hAnsi="IRNazanin" w:eastAsia="IRNazanin"/>
          <w:color w:val="111111"/>
          <w:sz w:val="28"/>
          <w:sz w:val="28"/>
          <w:szCs w:val="28"/>
          <w:rtl w:val="true"/>
          <w:lang w:bidi="fa-IR"/>
        </w:rPr>
        <w:t>تجرّد در ذات و افعال</w:t>
      </w:r>
    </w:p>
    <w:p>
      <w:pPr>
        <w:pStyle w:val="BookText"/>
        <w:rPr/>
      </w:pPr>
      <w:r>
        <w:rPr>
          <w:rFonts w:ascii="IRNazanin" w:hAnsi="IRNazanin" w:eastAsia="IRNazanin"/>
          <w:color w:val="111111"/>
          <w:sz w:val="28"/>
          <w:sz w:val="28"/>
          <w:szCs w:val="28"/>
          <w:rtl w:val="true"/>
          <w:lang w:bidi="fa-IR"/>
        </w:rPr>
        <w:t>تجرّد در ذات و وابستگی به بدن در افعال</w:t>
      </w:r>
    </w:p>
    <w:p>
      <w:pPr>
        <w:pStyle w:val="BookText"/>
        <w:rPr/>
      </w:pPr>
      <w:r>
        <w:rPr>
          <w:rFonts w:ascii="IRNazanin" w:hAnsi="IRNazanin" w:eastAsia="IRNazanin"/>
          <w:color w:val="111111"/>
          <w:sz w:val="28"/>
          <w:sz w:val="28"/>
          <w:szCs w:val="28"/>
          <w:rtl w:val="true"/>
          <w:lang w:bidi="fa-IR"/>
        </w:rPr>
        <w:t>وی یکی از ویژگی‌های این جوهرِ مفارق از مادّه را کثیر العدد بودن آن می‌داند و در توضیح آن،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 کثیر العدد لا مثل کثرة الأشخاص المندرجة تحت نوع واحد و لا مثل کثرة الأنواع المندرجة تحت جنس واحد لأنّ تلک الکثرة من توابع المادّة و العالم القدسی منزّه عنها، بل هی مراتب وجودیّة نورانیة بسیطة مختلفة فی الشدّة و الضعف فی النوریة متفاوتة فی الکمال والقرب إلی نور الأنوار</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عقل، کثیر العدد است؛ امّا نه آن گونه که اشخاصِ گوناگون، زیر عنوان یک نوع قرار می‌گیرند، </w:t>
      </w:r>
      <w:r>
        <w:rPr>
          <w:rStyle w:val="FootnoteAnchor"/>
          <w:rtl w:val="true"/>
        </w:rPr>
        <w:footnoteReference w:id="364"/>
      </w:r>
      <w:r>
        <w:rPr>
          <w:rFonts w:ascii="IRNazanin" w:hAnsi="IRNazanin" w:eastAsia="IRNazanin"/>
          <w:color w:val="111111"/>
          <w:sz w:val="28"/>
          <w:sz w:val="28"/>
          <w:szCs w:val="28"/>
          <w:rtl w:val="true"/>
          <w:lang w:bidi="fa-IR"/>
        </w:rPr>
        <w:t xml:space="preserve">و نیز نه آن گونه که انواع فراوان، زیر مجموعه یک جنس </w:t>
      </w:r>
    </w:p>
    <w:p>
      <w:pPr>
        <w:pStyle w:val="BookText"/>
        <w:rPr/>
      </w:pPr>
      <w:r>
        <w:rPr>
          <w:rFonts w:ascii="IRNazanin" w:hAnsi="IRNazanin" w:eastAsia="IRNazanin"/>
          <w:color w:val="111111"/>
          <w:sz w:val="28"/>
          <w:sz w:val="28"/>
          <w:szCs w:val="28"/>
          <w:rtl w:val="true"/>
          <w:lang w:bidi="fa-IR"/>
        </w:rPr>
        <w:t xml:space="preserve">واحد قرار می‌گیرند؛ </w:t>
      </w:r>
      <w:r>
        <w:rPr>
          <w:rStyle w:val="FootnoteAnchor"/>
          <w:rtl w:val="true"/>
        </w:rPr>
        <w:footnoteReference w:id="3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منطقیان، در شناسایی جنس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آن کلّی‌ای است که در پاسخ به سؤال از چیستی افراد مختلف‌الحقیقه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از چیستی یا ماهیت مجموعه‌ای شامل یک چوپان، یک گله گوسفند و یک سگ سؤال شود که هر یک نوع جداگانه هستند، پاسخ مناسب، به ناچار پاسخی است که تنها بخشی از حقیقت آنها یعنی حقیقت مشترک میان آنها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پرسش، باید کلّی حیوان را که بیان کنندۀ حقیقت مشترک آنهاست،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حیوان در این جا، جنس نامیده می‌شود که خود آن نیز انواع بی‌شماری؛ همچون انسان، سگ، گوسفند، گاو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 شامل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زیرا چنین کثرت‌هایی از لوازمات مادّه است و عالم قدس، والاتر از این لوازمات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کثرت،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جوهرِ مفارق، دارای مرتبه‌های وجودی نورانی بسیط است که البته در شدت نورانیت یا ضعف آن، گونه‌گون و در نزدیکی به نور الأنوار، مختلف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اندیشه حکیمان و فیلسوفان و گونه رویکرد آنان در تعریف عقل، اثری آشکار بر سخنان شارح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شعرانی یادآوری کرده که شارح در تعریف عقل به عنوان جوهر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به معنای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دیدگاه حکیمان پیروی کرده است</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گو این‌که وی در نمونه‌هایی نیز، دیدگاه آنان را یکسر به یک سو می‌نهد و ما پس از این، برخی از این نمونه‌ها بر خواهیم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شارح، آن گاه که نفس ناطقه بتواند با بدن ارتباط یابد با وجود آن‌که یکی مادّی و دیگری مجرّد است، می‌توان تصوّر کرد و پذیرفت که جوهرِ مفارق نیز خود، با نفس ناطقه در ارتباط باشد؛ ویژه آن‌که هر دو مجرّدند</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باز از دیدگاه وی، می‌توان پذیرفت که این جوهر مفارق، دارای مراتب نورانی گوناگون باشد، و باز می‌توان گفت که ثواب و عقاب انسان، در حقیقت، از آن جوهر مفارق ریشه گرفته است؛ زیرا چنان‌که خواندیم، ثواب و عقاب بدن، ریشه در نفس ناطقه دارد و تدبیر نفس ناطقه نیز به دست جوهر مفارق است</w:t>
      </w:r>
      <w:r>
        <w:rPr>
          <w:rFonts w:eastAsia="IRNazanin" w:cs="IRNazanin"/>
          <w:color w:val="111111"/>
          <w:sz w:val="28"/>
          <w:szCs w:val="28"/>
          <w:rtl w:val="true"/>
          <w:lang w:bidi="fa-IR"/>
        </w:rPr>
        <w:t xml:space="preserve">. </w:t>
      </w:r>
      <w:r>
        <w:rPr>
          <w:rStyle w:val="FootnoteAnchor"/>
          <w:rtl w:val="true"/>
        </w:rPr>
        <w:footnoteReference w:id="36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که رویکرد شارح در مبحث عقل و تعریف‌های آن و ویژگی‌های هر تعریف، از دیدگاه حکیمان ریشه گرفته است؛ امّا این سخن، بدان معنا نیست که </w:t>
      </w:r>
    </w:p>
    <w:p>
      <w:pPr>
        <w:pStyle w:val="BookText"/>
        <w:rPr/>
      </w:pPr>
      <w:r>
        <w:rPr>
          <w:rFonts w:ascii="IRNazanin" w:hAnsi="IRNazanin" w:eastAsia="IRNazanin"/>
          <w:color w:val="111111"/>
          <w:sz w:val="28"/>
          <w:sz w:val="28"/>
          <w:szCs w:val="28"/>
          <w:rtl w:val="true"/>
          <w:lang w:bidi="fa-IR"/>
        </w:rPr>
        <w:t>وی‌همه آنچه را که حکیمان و فیلسوفان دربارۀ عقل گفته‌اند،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آوردیم که وی در مواردی، برخی از دیدگاه‌های فیلسوفان را در باره عقل، از هیچ رو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وی اعتقاد به عقول عشره، صادر اوّل، 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عنه إلاّ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ناروا می‌داند و از این پندارها، این گونه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پندارها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 سخنانی است که جای یادکرد آن، در این شرح نیست و قائلان به آنها برهانی بر این پندارها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جایی دیگر، پس از یادکرد تحلیل فلاسفه مشّاء در باره کیفیت خلق، که از صادر اوّل آغاز می‌شود و با آفرینش عقول نه‌گانه و افلاک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ادامه می‌یابد،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آن است که این پندارها همگی باطل و نارواست و تنها وجود ازلی، قدیم است و اوست که عقل‌ها و اجسام و جواهر و اعراض و لوازم آنها را با اختیار خود، پدید آورده است و همه اینها به قدرت او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خالق همه چیز است و خدایی جز او نیست که او واحد و قهّار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همه آنچه گذشت، شارح، برخی از دیدگاه‌های فیلسوفان دربارۀ عقل را پذیرفته و برخی دیگر را به کنار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تعریف‌هایی که وی از عقل ارائه می‌کند چنان‌که خواندیم، در کلّیت خود، تعریف‌هایی فلسفی‌اند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تعریف و ویژگی‌هایی که وی برای جوهرِ مفارق از مادّه آورده است، با تعریفی که حکیمان و فیلسوفان از عقل اوّل یا همان صادر اوّل به دست می‌دهند، </w:t>
      </w:r>
      <w:r>
        <w:rPr>
          <w:rStyle w:val="FootnoteAnchor"/>
          <w:rtl w:val="true"/>
        </w:rPr>
        <w:footnoteReference w:id="36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فیلسوفان،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و تنها موجودی است که بر پایۀ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لا یصدر عنه إلا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از ذات حق تعالی وجود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اوّل، عقل است که حکیمان آن را اشرف ممکنات می‌شمارند و از آن رو که اشرف موجوداتِ آفریده شده است، علّت پیدایش و واسطۀ ایجاد موجودات پس از خود نیز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نهایة الحکمة، ص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عقل، نه در ذات خود و نه در فعل خود، به بدن احتیاج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الأسماء الحسنی،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482</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برای آگاهی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دایرة المعارف تشیّع،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حسن بید عرب و منابع یاد شده در آن</w:t>
      </w:r>
      <w:r>
        <w:rPr>
          <w:rFonts w:eastAsia="IRNazanin" w:cs="IRNazanin"/>
          <w:color w:val="111111"/>
          <w:sz w:val="28"/>
          <w:szCs w:val="28"/>
          <w:rtl w:val="true"/>
          <w:lang w:bidi="fa-IR"/>
        </w:rPr>
        <w:t>)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 نزدیک است؛ جز آن‌که شارح از یادکرد عقل اوّل یا صادر اوّل، تن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دشوار است که از احادیث، دلیلی برای این دو تعریف برکشیم و متأسّفانه شارح نیز دلیلی برای چرایی چنین تعریف‌هایی به دست نمی‌دهد و تنها به بیان این‌که می‌توان و جایز است که مفاهیم مطرح شده در احادیث را بدان گونه معنا کرد، بسنده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تاکنون گفتیم، دانستیم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نگاه شارح، مراد از عقل در احادیث بسیاری، همان نفس ناطقه انسانی است؛ یعنی جوهری که ذاتاً مجرّد است، ولی در افعال خود، به بدن نیاز دارد و با آن در ارتباط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شارح، تنها در شرح نخستین حدیث از کتاب عقل و جهل، این احتمال را که مراد از عقل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دقّت شود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چهاردهمین حدیث کتاب عقل و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مفارق از مادّه در ذات و فعل خود باشد، دور از ذهن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ویژگی‌هایی را که شارح در آن جا برای عقل بدین معنا برشمرده است، خوب بر رسیم، در می‌یابیم که عقل به این معنا، با آنچه حکیمانْ صادر اوّلش می‌خوانند، بسیار نزدیک است؛ امّا شارح آن گاه که به شرح حدیث جنود می‌رسد، مراد از عقل را در این حدیث، همان جوهر انسانی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وی در شرح این حدیث، تصریح می‌کند که این دیدگاه فلاسفه که عقل را اوّلین آفریده می‌دانند و سپس از صادر اوّل و عقول عشره و افلاک نه‌گانه سخن به میان می‌آورند، سخت نارواست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می‌نگرید که وی در یک جا امکان این را که عقل در حدیث جنود به معنای جوهر مفارق باشد، محتمل می‌شمارد؛ گرچه در شرح حدیث جنود، از این احتمال سخنی به میان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حتّی آن جا که وی چنان احتمالی از معنای عقل را می‌پذیرد، باز می‌بینیم که تعریف او با اعتقاد فلاسفه دربارۀ جوهر مفارق و پیامدهای فلسفی آن، یکسر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وی از جوهر مفارق، به گونه‌ای‌است که از آن، اعتقاد به صادر اوّل و عقول عشره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شاید بتوان این </w:t>
      </w:r>
      <w:bookmarkStart w:id="329" w:name="pg14553_191848"/>
    </w:p>
    <w:p>
      <w:pPr>
        <w:pStyle w:val="BookText"/>
        <w:rPr/>
      </w:pPr>
      <w:bookmarkEnd w:id="329"/>
      <w:r>
        <w:rPr>
          <w:rFonts w:ascii="IRNazanin" w:hAnsi="IRNazanin" w:eastAsia="IRNazanin"/>
          <w:color w:val="111111"/>
          <w:sz w:val="28"/>
          <w:sz w:val="28"/>
          <w:szCs w:val="28"/>
          <w:rtl w:val="true"/>
          <w:lang w:bidi="fa-IR"/>
        </w:rPr>
        <w:t>رویکرد شارح را گونه‌ای جعل اصطلاح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مهمّی که گفتنی است، آن که وی تنها دربارۀ حدیث جنود، احتمال ارادۀ معنای دوم را آورده است؛ ولی در همۀ احادیث دیگر، عقل را جز به معنای نفس ناطقه، به کار نبرده است</w:t>
      </w:r>
      <w:r>
        <w:rPr>
          <w:rFonts w:eastAsia="IRNazanin" w:cs="IRNazanin"/>
          <w:color w:val="111111"/>
          <w:sz w:val="28"/>
          <w:szCs w:val="28"/>
          <w:rtl w:val="true"/>
          <w:lang w:bidi="fa-IR"/>
        </w:rPr>
        <w:t>.</w:t>
      </w:r>
    </w:p>
    <w:p>
      <w:pPr>
        <w:pStyle w:val="Heading3"/>
        <w:numPr>
          <w:ilvl w:val="2"/>
          <w:numId w:val="1"/>
        </w:numPr>
        <w:rPr/>
      </w:pPr>
      <w:bookmarkStart w:id="330" w:name="__RefHeading___Toc651907_1878427129"/>
      <w:bookmarkStart w:id="331" w:name="_Toc128"/>
      <w:bookmarkEnd w:id="330"/>
      <w:r>
        <w:rPr/>
        <w:t>2</w:t>
      </w:r>
      <w:r>
        <w:rPr>
          <w:rtl w:val="true"/>
        </w:rPr>
        <w:t xml:space="preserve">. </w:t>
      </w:r>
      <w:r>
        <w:rPr>
          <w:rtl w:val="true"/>
        </w:rPr>
        <w:t>مراتب عقل</w:t>
      </w:r>
      <w:bookmarkEnd w:id="331"/>
    </w:p>
    <w:p>
      <w:pPr>
        <w:pStyle w:val="BookText"/>
        <w:rPr/>
      </w:pPr>
      <w:r>
        <w:rPr>
          <w:rFonts w:ascii="IRNazanin" w:hAnsi="IRNazanin" w:eastAsia="IRNazanin"/>
          <w:color w:val="111111"/>
          <w:sz w:val="28"/>
          <w:sz w:val="28"/>
          <w:szCs w:val="28"/>
          <w:rtl w:val="true"/>
          <w:lang w:bidi="fa-IR"/>
        </w:rPr>
        <w:t>چنان‌که گفتیم، ملا صالح مازندرانی برای هر یک از دو عقل، مراتبی را به نمایش نهاده است؛ امّا در این میان، مراتب عقل به معنای نخست، از سوی شارح بسیار روشن‌تر مطرح شده است و هر مرتبه، نامی و حالتی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جایگاه بازشناسی عقل به معنای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نفس ناطقه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مراتب متفاوتة و حالات مختلفة فی القوة و الضعف و هی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الإستعداد الصِرف للکمالات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بها یشاهد الأوّلیّات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بها یشاهد النظریّات من مرآت الأوّلیّات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بها یشاهد تلک النظریات بعد زوالها من هذه المرآة واختزانها من غیر کسب جدید، و هذه الحالة حالةُ علم الیقین و هی حالةٌ بها یشاهد الصُوَر العلمیّة و المطالب الیقینیّة فی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عین الیقین، و هی 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یشاهد تلک الصُوَر و المطالب فی ذات المفیض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حقّ الیقین و هی حالة بها یتّصل بالمفیض اتّصالاً معنویاً و تلاقی به تلاقیاً روحانیاً، و هذه الحالة هی أعظم الحالات البشریّة </w:t>
      </w:r>
      <w:r>
        <w:rPr>
          <w:rStyle w:val="FootnoteAnchor"/>
          <w:rtl w:val="true"/>
        </w:rPr>
        <w:footnoteReference w:id="3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عقل مراتب و حالاتی گونه‌گون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شدّت و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شش مرتبه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مرتبه‌ای که در آن، تنها آمادگی محض برای دریافت کمالات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حالتی که بدیهیّات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بدان مشاهده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می‌تواند نظریات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نیز در آینه بدیهیات بنگرد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حالتی که می‌توان نظریات را پس از کنار رفتن آن 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باز هم مشاهده کند و آنها را نگاه‌داری کند؛ بی آن‌که به دریافتی دوباره نیازمند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که در این حالت، نفس می‌تواند صورت‌های علمی و مطالب یقینی را در خویشتن خویش مشاهده 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عین الیقین؛ یعنی حالتی که می‌تواند آن صورت‌های علمی و مطالب یقینی را در ذات مفیض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مشاهده کند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حقّ الیقین، که در این حالت، عقل با مفیضْ پیوندی معنوی پیدا می‌کند و ملاقاتی روحانی میان آن دو، چهره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والاترین حالاتِ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هر یک از مراتب یاد شده در سخن شارح، از نگاه حکیمان، نامی‌ویژه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مرتبه نخست را عقل هیولایی، مرتبه دوم را عقل بالملکه، مرتبه سوم را عقل بالفعل، و مرتبه چهارم را عقل مستفاد می‌خوانند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منطق صوری، به مفهومی گویند که حصول آن، متوقّف بر کسب و نظر نباشد و در این معنا،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نخستین مرحلۀ حرکت فکر به سوی مبادی و مرادات به شمار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استفاده از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جعفر سجّادی در دایرة المعارف بزرگ اسلامی،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604</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نظریات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دسته از دانش‌های انسان است که از راه بدیهیات کشف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برای پی بردن بدان‌ها، تنها تصوّر آنها کافی نیست؛ بلکه استدلال نیز باید همراه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الأسفار الأربعة،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420</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حکیمان، دهمین عقل از عقول دهگانه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مفیض، صورت‌ها و اعراض را به هر یک از عناصر بسیط و مرکّبِ موجود در جهان پیرامون ما، به اندازۀ استعدادش افاضه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حکیمان، وجود مفیض، ضروری است و دانش‌های انسان، تنها از راه مفیض به انسان اعطا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آنها این گونه است که تصوّرات علمی‌ای که به انسان داده می‌شود، مجرّد از مادّه‌اند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تصوّرات، یک اعطا کننده نیاز دارند که یا خودِ نفس انسانی است یا امری خارج از نفس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حکیمان پس از چند مقدّمه و نتیجه، بدین جا می‌رسند که مفیض این تصوّرات، جوهری مجرّد و عقلی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آگاهی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الحکمة، ص </w:t>
      </w:r>
      <w:r>
        <w:rPr>
          <w:rFonts w:eastAsia="IRNazanin" w:cs="IRNazanin"/>
          <w:color w:val="111111"/>
          <w:sz w:val="28"/>
          <w:szCs w:val="28"/>
          <w:lang w:bidi="fa-IR"/>
        </w:rPr>
        <w:t>307</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آگاهی بیشتر دربارۀ هر یک،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الحکمة، ص </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الأسفار الأربعة،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مراتب عقل را از منظر دارندگان هر مرتبه نیز،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وی، مراتب والای عقل، از آنِ پیامبران و اوصیاست، و فرودین مرتبه عقل نیز از آنِ کسانی است که با عقل، تنها از گستره حیوانات خارج می‌شوند</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وی، عقل انبیا و اوصیا چندان والا و نورانی است که عقلِ دیگر انسان‌ها گرچه عقل آنها نیز نورانیتی ویژه خود دارد در سنجش با آنها، نه تنها نورانی به شمار نمی‌آید، بلکه می‌توان آن را تاریکی مطلق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روشن است که بر پایه این گونه ارزیابی از عقل پیامبران، عقل رسول اکرم صلی الله علیه و آله چونان برترین آفریدگان، جایگاهی ویژه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شارح، از آن جا که عقل رسول اکرم صلی الله علیه و آله برتر از همه موجودات است، آن بزرگوار که نور خدای بزرگ است برترین موجود است؛ تا آن‌جا که حتی پیامبران و اوصیای دیگر نیز نه تنها عقل، بلکه نورِ وجودی خود را نیز از او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شارح در این جا، به گونه‌ای است که گویا وی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دارد</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بر پایه این قاعده، آن گاه که از میان دو ممکن الوجود، آن که از وجودی پست‌تر در عالم خارج وجود یابد، عقلاً واجب است که موجود اشرف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که از نظر وجودی، در رتبه‌ای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پیش‌تر پدید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نخواهیم پذیرش قاعده امکان اشرف را به شارح نسبت دهیم، دست کم می‌توان گفت که بر پایه تصریح وی، همه موجودات، نور عقل خویش را از رسول اکرم صلی الله علیه و آله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راز این نکته را که آیین رسول اکرم صلی الله علیه و آله دیگر ادیان پیشین را نسخ می‌کند، در همین دقیقۀ نهفته می‌داند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شارح را می‌توان تحلیلی عرفانی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از چرایی ناسخ بودن اسلام دانست که در جای خود، سزامند بررسی است</w:t>
      </w:r>
      <w:r>
        <w:rPr>
          <w:rFonts w:eastAsia="IRNazanin" w:cs="IRNazanin"/>
          <w:color w:val="111111"/>
          <w:sz w:val="28"/>
          <w:szCs w:val="28"/>
          <w:rtl w:val="true"/>
          <w:lang w:bidi="fa-IR"/>
        </w:rPr>
        <w:t xml:space="preserve">. </w:t>
      </w:r>
      <w:bookmarkStart w:id="332" w:name="pg14553_191851"/>
    </w:p>
    <w:p>
      <w:pPr>
        <w:pStyle w:val="Heading3"/>
        <w:numPr>
          <w:ilvl w:val="2"/>
          <w:numId w:val="1"/>
        </w:numPr>
        <w:rPr/>
      </w:pPr>
      <w:bookmarkStart w:id="333" w:name="__RefHeading___Toc651909_1878427129"/>
      <w:bookmarkStart w:id="334" w:name="_Toc129"/>
      <w:bookmarkEnd w:id="332"/>
      <w:bookmarkEnd w:id="333"/>
      <w:r>
        <w:rPr/>
        <w:t>3</w:t>
      </w:r>
      <w:r>
        <w:rPr>
          <w:rtl w:val="true"/>
        </w:rPr>
        <w:t xml:space="preserve">. </w:t>
      </w:r>
      <w:r>
        <w:rPr>
          <w:rtl w:val="true"/>
        </w:rPr>
        <w:t>افزایش مراتب عقل</w:t>
      </w:r>
      <w:bookmarkEnd w:id="334"/>
    </w:p>
    <w:p>
      <w:pPr>
        <w:pStyle w:val="BookText"/>
        <w:rPr/>
      </w:pPr>
      <w:r>
        <w:rPr>
          <w:rFonts w:ascii="IRNazanin" w:hAnsi="IRNazanin" w:eastAsia="IRNazanin"/>
          <w:color w:val="111111"/>
          <w:sz w:val="28"/>
          <w:sz w:val="28"/>
          <w:szCs w:val="28"/>
          <w:rtl w:val="true"/>
          <w:lang w:bidi="fa-IR"/>
        </w:rPr>
        <w:t>گفتیم که از نگاه شارح، نفس ناطقه انسانی، از آن رو که با عالم ملکوت ارتباط دارد، عقل نامیده می‌شود و باز آوردیم که وی این نفس ناطقه را دارای شش مرحله دانسته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بیفزاییم که از نگاه وی، افزایش مراتب عقل را به دو گونه می توان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بالعمل استُخرجَ غور الحکمة و بالحکمة استُخرج غور العقل و بحسن السیاسة یکون الأدب الصالح ؛ با عقل، به ژرفای حکمت می‌رسند و با حکمت ژرفای عقل را می‌توان فرا چنگ آورد و با نیک تدبیری، ادب شایسته به دست می‌آید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وی، این سخن امام علیه السلام را می‌توان بر یکی‌از این دو معنا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که عقل در راه حرکت از عالم فرودین به سوی جهان ملکوت و توحید، منازل فراوان دارد و در هر منزلی، او را نوری است و بصیرتی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اندازه که عقل در هر منزلْ نورانیت کسب می‌کند، زمینه را برای گام نهادن او به منازل والاتر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ژرف‌تر، هر کمالی که عقل در هر یک از این منازل به دست می‌آورد، راه را برای آن هموار می‌سازد که استعداد عقل انسانی، از قوّه به فعل تبدیل شود و به منزلی بالاتر و کمالی عالی‌تر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است که غور و ژرفای هر منزل، در گرو رسیدن به غور و ژرفا و کمال منزل پیشین است</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ناظر به مراتب شش‌گانه عقل بدانیم، که پیش از این گذشت، اگر چنین باشد، آن گاه که عقل در رتبه عقل هیولایی قرار دارد، با به دست آوردنِ دانش‌های ابتدایی از راه به کارگیری حواسّ ظاهری و باطنی خود، به مرتبه عقل بالملکه می‌رسد و به همین ترتیب، با به دست آوردن کمالات بیشتر، از هر مرتبه به مرتبه بالاتر ارتقا می‌یابد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شارح، آنچه در هنگام افزایش مراتب عقل رخ می‌دهد، آن است که عقل که دارای دو قوّه نظری و عملی است، از یک سو به وسیله قوّه نظری، علوم و کمالات را </w:t>
      </w:r>
      <w:bookmarkStart w:id="335" w:name="pg14553_191852"/>
    </w:p>
    <w:p>
      <w:pPr>
        <w:pStyle w:val="BookText"/>
        <w:rPr/>
      </w:pPr>
      <w:bookmarkEnd w:id="335"/>
      <w:r>
        <w:rPr>
          <w:rFonts w:ascii="IRNazanin" w:hAnsi="IRNazanin" w:eastAsia="IRNazanin"/>
          <w:color w:val="111111"/>
          <w:sz w:val="28"/>
          <w:sz w:val="28"/>
          <w:szCs w:val="28"/>
          <w:rtl w:val="true"/>
          <w:lang w:bidi="fa-IR"/>
        </w:rPr>
        <w:t>از مفیض دریافت می‌کند و از سوی دیگر، به وسیله قوّه عملی، در مراتب پایین‌تر اثر می‌گذارد و نفس را از راه حُسن سیاست و تدبیر، به مراحل و منازل بالاتر ارتقا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وی،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بحسن السیاسة یکون الأدب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همین تأثیر عملی عقلی است</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شارح در صدد بوده است که به گونه‌ای ارزیابیِ فلسفی و حکمی، افزایش مراتب عقل را با عبارات احادیث تطبیق دهد و هماهنگ سازد، عبارت وی در این جا کم و بیش پیچیده گشته است</w:t>
      </w:r>
      <w:r>
        <w:rPr>
          <w:rFonts w:eastAsia="IRNazanin" w:cs="IRNazanin"/>
          <w:color w:val="111111"/>
          <w:sz w:val="28"/>
          <w:szCs w:val="28"/>
          <w:rtl w:val="true"/>
          <w:lang w:bidi="fa-IR"/>
        </w:rPr>
        <w:t>.</w:t>
      </w:r>
    </w:p>
    <w:p>
      <w:pPr>
        <w:pStyle w:val="Heading3"/>
        <w:numPr>
          <w:ilvl w:val="2"/>
          <w:numId w:val="1"/>
        </w:numPr>
        <w:rPr/>
      </w:pPr>
      <w:bookmarkStart w:id="336" w:name="__RefHeading___Toc651911_1878427129"/>
      <w:bookmarkStart w:id="337" w:name="_Toc130"/>
      <w:bookmarkEnd w:id="336"/>
      <w:r>
        <w:rPr/>
        <w:t>4</w:t>
      </w:r>
      <w:r>
        <w:rPr>
          <w:rtl w:val="true"/>
        </w:rPr>
        <w:t xml:space="preserve">. </w:t>
      </w:r>
      <w:r>
        <w:rPr>
          <w:rtl w:val="true"/>
        </w:rPr>
        <w:t xml:space="preserve">کاربردهای واژه </w:t>
      </w:r>
      <w:r>
        <w:rPr>
          <w:rtl w:val="true"/>
        </w:rPr>
        <w:t>«</w:t>
      </w:r>
      <w:r>
        <w:rPr>
          <w:rtl w:val="true"/>
        </w:rPr>
        <w:t>عقل</w:t>
      </w:r>
      <w:r>
        <w:rPr>
          <w:rtl w:val="true"/>
        </w:rPr>
        <w:t>»</w:t>
      </w:r>
      <w:bookmarkEnd w:id="337"/>
    </w:p>
    <w:p>
      <w:pPr>
        <w:pStyle w:val="BookText"/>
        <w:rPr/>
      </w:pPr>
      <w:r>
        <w:rPr>
          <w:rFonts w:ascii="IRNazanin" w:hAnsi="IRNazanin" w:eastAsia="IRNazanin"/>
          <w:color w:val="111111"/>
          <w:sz w:val="28"/>
          <w:sz w:val="28"/>
          <w:szCs w:val="28"/>
          <w:rtl w:val="true"/>
          <w:lang w:bidi="fa-IR"/>
        </w:rPr>
        <w:t>تا کنون، با دو معنا از معانی عقل از دیدگاه شارح،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معنای نخستین، معنایی تقریباً قطعی و غالبی است و معنای دوم، تنها چونان یک احتمال مطرح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بیفزاییم که از نگاه شارح، عقل در احادیث، به معنای علم و حکمت نیز به کار رفته است</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گو این‌که وی حکمت را از ثمرات و پیامدهای علم می‌داند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به هر روی، این کاربرد عقل، کاربردی مجازی‌است؛ زیرا چنان‌که دیدیم، وی بارها تعریف ویژه خود را از عقل به دست داده بود و بر این اساس، می‌توان دانست که علم و نیز حکمت، از بهره‌های عقل‌اند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عقل بر علم و حکمت، از گونه نامیدن یک چیز به نام سبب و علّتِ پدید آورنده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شرح حدیث دوازدهم از کتاب عقل و جهل، اراده این معنا را نیز در کنار معنای دیگر عقل، محتمل می‌داند</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گفتنی است از آن جا که شارح برای عقل، مراتب گوناگونی را به تصویر کشید، در برخی احادیث،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به یکی از این مراتب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دربارۀ این حدیث که امیرالمؤمنین علی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نداشتنِ عقل و دین را از هیچ کس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عقل در این جا، عقل هیولایی نیست که فارق انسان و حیوان است؛ زیرا این مرتبه از عقل، در همه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ناگزیر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بلکه مراد از </w:t>
      </w:r>
      <w:bookmarkStart w:id="338" w:name="pg14553_191853"/>
    </w:p>
    <w:p>
      <w:pPr>
        <w:pStyle w:val="BookText"/>
        <w:rPr/>
      </w:pPr>
      <w:bookmarkEnd w:id="338"/>
      <w:r>
        <w:rPr>
          <w:rFonts w:ascii="IRNazanin" w:hAnsi="IRNazanin" w:eastAsia="IRNazanin"/>
          <w:color w:val="111111"/>
          <w:sz w:val="28"/>
          <w:sz w:val="28"/>
          <w:szCs w:val="28"/>
          <w:rtl w:val="true"/>
          <w:lang w:bidi="fa-IR"/>
        </w:rPr>
        <w:t>عقل در این جا، آن مرتبه از عقل است که ملکه ادراک معارف الهی را داراست و این مرتبه را عقل بالفعل می‌نامند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به حدیث‌پژوهان یادآوری کرده است که در تفسیر و شرح هر حدیث، باید به این نکته در نگرند که عقل در چه رتبه‌ای به کار رفته است</w:t>
      </w:r>
      <w:r>
        <w:rPr>
          <w:rFonts w:eastAsia="IRNazanin" w:cs="IRNazanin"/>
          <w:color w:val="111111"/>
          <w:sz w:val="28"/>
          <w:szCs w:val="28"/>
          <w:rtl w:val="true"/>
          <w:lang w:bidi="fa-IR"/>
        </w:rPr>
        <w:t xml:space="preserve">. </w:t>
      </w:r>
      <w:r>
        <w:rPr>
          <w:rStyle w:val="FootnoteAnchor"/>
          <w:rtl w:val="true"/>
        </w:rPr>
        <w:footnoteReference w:id="382"/>
      </w:r>
    </w:p>
    <w:p>
      <w:pPr>
        <w:pStyle w:val="Heading3"/>
        <w:numPr>
          <w:ilvl w:val="2"/>
          <w:numId w:val="1"/>
        </w:numPr>
        <w:rPr/>
      </w:pPr>
      <w:bookmarkStart w:id="339" w:name="__RefHeading___Toc651913_1878427129"/>
      <w:bookmarkStart w:id="340" w:name="_Toc131"/>
      <w:bookmarkEnd w:id="339"/>
      <w:r>
        <w:rPr/>
        <w:t>5</w:t>
      </w:r>
      <w:r>
        <w:rPr>
          <w:rtl w:val="true"/>
        </w:rPr>
        <w:t xml:space="preserve">. </w:t>
      </w:r>
      <w:r>
        <w:rPr>
          <w:rtl w:val="true"/>
        </w:rPr>
        <w:t>کاربرد واژگانی دیگر به معنای عقل</w:t>
      </w:r>
      <w:bookmarkEnd w:id="340"/>
    </w:p>
    <w:p>
      <w:pPr>
        <w:pStyle w:val="BookText"/>
        <w:rPr/>
      </w:pPr>
      <w:r>
        <w:rPr>
          <w:rFonts w:ascii="IRNazanin" w:hAnsi="IRNazanin" w:eastAsia="IRNazanin"/>
          <w:color w:val="111111"/>
          <w:sz w:val="28"/>
          <w:sz w:val="28"/>
          <w:szCs w:val="28"/>
          <w:rtl w:val="true"/>
          <w:lang w:bidi="fa-IR"/>
        </w:rPr>
        <w:t>در میان شرح مرحوم ملا صالح مازندرانی بر کتاب عقل و جهل، گاه به نمونه‌هایی نیز بر می‌خوریم که واژه‌ای دیگر، در مفهوم عقل و به معنای 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وی در گستره قرآن کریم بر آن است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لَذِکْری لِمَنْ کانَ لَهُ قَلْبٌ أَوْ أَلْقَی اَلسَّمْعَ وَ هُوَ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عقل است</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وی کاربرد واژه قلب را برای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 در لغت و هم در عرف، رایج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اندرزهای امام کاظم علیه السلام به شاگرد برجسته خویش هشام بن حکم، آن گاه که امام علیه السلام حکمت را در آیۀ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آتَیْنا لُقْمانَ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الفهم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می‌فرماید، شارح چنین می‌نگارد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حکمت بر فهم و عقل، به دو گونه می‌تواند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حکمت، چیزی باشد که از جهل منع می‌کند یا انسان را از زشتی‌ها دور و به کرامت نزدیک می‌سازد، در این صورت، اطلاق حکمت بر فهم و عقلْ درست است؛ زیرا عقل و فهم نیز همان کار را انجام می‌دهند، و اگر مراد از حکمت، مطلق علم یا علم به دین یا شناخت حقایق اشیا و تخلّق به اخلاق نیک در نیرو و توان بشر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باز هم اطلاق آن بر عقلْ درست است؛ چرا که عقل در این جا، عقل بالفعل است و در این صورت، اطلاق حکمت بر </w:t>
      </w:r>
      <w:bookmarkStart w:id="341" w:name="pg14553_191854"/>
    </w:p>
    <w:p>
      <w:pPr>
        <w:pStyle w:val="BookText"/>
        <w:rPr/>
      </w:pPr>
      <w:bookmarkEnd w:id="341"/>
      <w:r>
        <w:rPr>
          <w:rFonts w:ascii="IRNazanin" w:hAnsi="IRNazanin" w:eastAsia="IRNazanin"/>
          <w:color w:val="111111"/>
          <w:sz w:val="28"/>
          <w:sz w:val="28"/>
          <w:szCs w:val="28"/>
          <w:rtl w:val="true"/>
          <w:lang w:bidi="fa-IR"/>
        </w:rPr>
        <w:t>عقل، از گونه اطلاق حالّ بر محلّ یا اطلاق اثر بر مبدأ و مؤثّر خواهد بود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بخش پایانی این سخن شارح، بیفزاییم که بر پایه تعریفی که وی‌از عقل بالفعل به دست داده بود، این مرتبه از عقل است که سبب پیدایش دانش‌های نظری انسان می‌شود؛ چون خواندیم که بر پایه تعریف، عقل بالفعل مرتبه‌ای است که در آن، نفس انسانی نظریات را در آینه بدیهیات و از راه به کارگیری آنها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گفت که عقل بالفعل، جایگاه یا سبب پیدایش چنان دانش‌هایی است و از این رو، می‌توان حکمت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به معنای دانش بگیریم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سببیّت یا حالیّت، به عقل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خواندیم، در می‌یابیم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و عقل در احادیث، گاه به جای یکدیگر به کار 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می‌نماید که از نگاه شارح، می‌توان مفاهیمی را که از ثمرات و پیامدهای عقل به شمار می‌آیند، عقل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 گفت که مراد از عقل، مفاهیمی دیگر است که با آن ارتباطی از گونه علّت و معلول یا مانند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می‌توان مفاهیمی مانند حکمت را که در احادیث یا قرآن به کار رفته‌اند، به جای عقل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کار را جایز می‌سازد، وجود گونه‌ای ارتباط میان عقل با آن مفاهیم است و روشن است که اگر چنین ارتباط و نسبتی وجود نداشته باشد، این دو دسته نام‌گذاری، نادرست و ناروا خواهند بود</w:t>
      </w:r>
      <w:r>
        <w:rPr>
          <w:rFonts w:eastAsia="IRNazanin" w:cs="IRNazanin"/>
          <w:color w:val="111111"/>
          <w:sz w:val="28"/>
          <w:szCs w:val="28"/>
          <w:rtl w:val="true"/>
          <w:lang w:bidi="fa-IR"/>
        </w:rPr>
        <w:t>.</w:t>
      </w:r>
    </w:p>
    <w:p>
      <w:pPr>
        <w:pStyle w:val="Heading3"/>
        <w:numPr>
          <w:ilvl w:val="2"/>
          <w:numId w:val="1"/>
        </w:numPr>
        <w:rPr/>
      </w:pPr>
      <w:bookmarkStart w:id="342" w:name="__RefHeading___Toc651915_1878427129"/>
      <w:bookmarkStart w:id="343" w:name="_Toc132"/>
      <w:bookmarkEnd w:id="342"/>
      <w:r>
        <w:rPr/>
        <w:t>6</w:t>
      </w:r>
      <w:r>
        <w:rPr>
          <w:rtl w:val="true"/>
        </w:rPr>
        <w:t xml:space="preserve">. </w:t>
      </w:r>
      <w:r>
        <w:rPr>
          <w:rtl w:val="true"/>
        </w:rPr>
        <w:t>پاسخ به یک پرسش</w:t>
      </w:r>
      <w:bookmarkEnd w:id="343"/>
    </w:p>
    <w:p>
      <w:pPr>
        <w:pStyle w:val="BookText"/>
        <w:rPr/>
      </w:pPr>
      <w:r>
        <w:rPr>
          <w:rFonts w:ascii="IRNazanin" w:hAnsi="IRNazanin" w:eastAsia="IRNazanin"/>
          <w:color w:val="111111"/>
          <w:sz w:val="28"/>
          <w:sz w:val="28"/>
          <w:szCs w:val="28"/>
          <w:rtl w:val="true"/>
          <w:lang w:bidi="fa-IR"/>
        </w:rPr>
        <w:t>اکنون که سخن بدین جا کشید، شایسته است به پرسشی مهم دربارۀ چگونگی افزایش مراتب عقل، پاسخ گوییم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پایین‌ترین درجه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استعداد و آمادگی به دست آوردن کمالات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سوی خداوند به انسان‌ها داده می‌شود؛ ولی آیا راهیابی عقل به مراتب والاتر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راه کسب معارف 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موهبتی از جانب خداوند است یا دستاوردی </w:t>
      </w:r>
      <w:bookmarkStart w:id="344" w:name="pg14553_191855"/>
    </w:p>
    <w:p>
      <w:pPr>
        <w:pStyle w:val="BookText"/>
        <w:rPr/>
      </w:pPr>
      <w:bookmarkEnd w:id="344"/>
      <w:r>
        <w:rPr>
          <w:rFonts w:ascii="IRNazanin" w:hAnsi="IRNazanin" w:eastAsia="IRNazanin"/>
          <w:color w:val="111111"/>
          <w:sz w:val="28"/>
          <w:sz w:val="28"/>
          <w:szCs w:val="28"/>
          <w:rtl w:val="true"/>
          <w:lang w:bidi="fa-IR"/>
        </w:rPr>
        <w:t>است که انسان در نتیجه تلاش خود بدان می‌رسد؟ به دیگر سخن، آیا تلاش انسان برای افزایش مرتبه عقل خود، علّت تامّه به شمار می‌آید یا آن‌که تنها جزئی از علّت است؟</w:t>
      </w:r>
    </w:p>
    <w:p>
      <w:pPr>
        <w:pStyle w:val="BookText"/>
        <w:rPr/>
      </w:pPr>
      <w:r>
        <w:rPr>
          <w:rFonts w:ascii="IRNazanin" w:hAnsi="IRNazanin" w:eastAsia="IRNazanin"/>
          <w:color w:val="111111"/>
          <w:sz w:val="28"/>
          <w:sz w:val="28"/>
          <w:szCs w:val="28"/>
          <w:rtl w:val="true"/>
          <w:lang w:bidi="fa-IR"/>
        </w:rPr>
        <w:t>شارح در شرح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برای به دست آوردن عقل، خود را به سختی اندازد، جز بر جهلش افزوده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3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پرسش، چنین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نگریستن به ظاهر این حدیث و نیز ظاهر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که در آن، خداوند تعالی خطاب به عقل فرموده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تو را جز در وجود آنان که دوستشان دارم، کامل نمی‌کنم</w:t>
      </w:r>
      <w:r>
        <w:rPr>
          <w:rFonts w:eastAsia="IRNazanin" w:cs="IRNazanin"/>
          <w:color w:val="111111"/>
          <w:sz w:val="28"/>
          <w:szCs w:val="28"/>
          <w:rtl w:val="true"/>
          <w:lang w:bidi="fa-IR"/>
        </w:rPr>
        <w:t xml:space="preserve">» . </w:t>
      </w:r>
      <w:r>
        <w:rPr>
          <w:rStyle w:val="FootnoteAnchor"/>
          <w:rtl w:val="true"/>
        </w:rPr>
        <w:footnoteReference w:id="386"/>
      </w:r>
      <w:r>
        <w:rPr>
          <w:rFonts w:ascii="IRNazanin" w:hAnsi="IRNazanin" w:eastAsia="IRNazanin"/>
          <w:color w:val="111111"/>
          <w:sz w:val="28"/>
          <w:sz w:val="28"/>
          <w:szCs w:val="28"/>
          <w:rtl w:val="true"/>
          <w:lang w:bidi="fa-IR"/>
        </w:rPr>
        <w:t xml:space="preserve">و نیز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علیه السلام که فرموده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خداوند در آخرت و در حسابرسی بندگان، به همان اندازه که در دنیا به آنان عقل داده است، مداقّه می‌کند</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و نیز اخبار فراوان دیگر، ما را به این نتیجه می‌رساند که اعطای عقل و افزایش آن، از سوی خداست و به دست آوردن علوم و آداب، گرچه در پدید آمدن آن دخالت دارد، علّت فاعلی نیست؛ بلکه تنها شرطهایی برای به وجود آمدن آن چیز از سوی مبدأ فیّاض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همان‌سان که روغن، شرط یا زمینه‌ساز فزونی نور چراغ است؛ ولی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افزایش یافتن و بیشتر شدن آن، از خداوند است</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بنا بر این، آنچه از انسان‌ها ساخته است، آن است که زمینه‌ها را برای رشد، باروری و افزایش عقل آماده کنند؛ ولی سرانجام، وجود مقدّس خداوند است که عقل را به مراتب بالاتر سیر می‌دهد و بدان تکامل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تلاش‌های انسانی، تنها علّت مُعدّه هستند و علّت فاعلی، تنها وجود خداوند است</w:t>
      </w:r>
      <w:r>
        <w:rPr>
          <w:rFonts w:eastAsia="IRNazanin" w:cs="IRNazanin"/>
          <w:color w:val="111111"/>
          <w:sz w:val="28"/>
          <w:szCs w:val="28"/>
          <w:rtl w:val="true"/>
          <w:lang w:bidi="fa-IR"/>
        </w:rPr>
        <w:t>.</w:t>
      </w:r>
    </w:p>
    <w:p>
      <w:pPr>
        <w:pStyle w:val="Heading3"/>
        <w:numPr>
          <w:ilvl w:val="2"/>
          <w:numId w:val="1"/>
        </w:numPr>
        <w:rPr/>
      </w:pPr>
      <w:bookmarkStart w:id="345" w:name="__RefHeading___Toc651917_1878427129"/>
      <w:bookmarkStart w:id="346" w:name="_Toc133"/>
      <w:bookmarkEnd w:id="345"/>
      <w:r>
        <w:rPr/>
        <w:t>7</w:t>
      </w:r>
      <w:r>
        <w:rPr>
          <w:rtl w:val="true"/>
        </w:rPr>
        <w:t xml:space="preserve">. </w:t>
      </w:r>
      <w:r>
        <w:rPr>
          <w:rtl w:val="true"/>
        </w:rPr>
        <w:t xml:space="preserve">مفهوم </w:t>
      </w:r>
      <w:r>
        <w:rPr>
          <w:rtl w:val="true"/>
        </w:rPr>
        <w:t>«</w:t>
      </w:r>
      <w:r>
        <w:rPr>
          <w:rtl w:val="true"/>
        </w:rPr>
        <w:t>حجّت</w:t>
      </w:r>
      <w:r>
        <w:rPr>
          <w:rtl w:val="true"/>
        </w:rPr>
        <w:t xml:space="preserve">» </w:t>
      </w:r>
      <w:r>
        <w:rPr>
          <w:rtl w:val="true"/>
        </w:rPr>
        <w:t>بودنِ عقل</w:t>
      </w:r>
      <w:bookmarkEnd w:id="346"/>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در روایاتی نه چندان اندک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از آنها در الکافی نیز گزارش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 xml:space="preserve">عقل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بندگان و خداوند و نیز آن را حجّت باطنی خدا به شمار آورده‌اند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حجیّت چگونه است؟ و کدام گونه از عقل را حجّت شمرده‌اند؟ در همان روایات پیش‌گفته، انبیا را نیز حجّت‌های خداوند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انبیا حجّیت خود را بی‌واسطه، از خدا می‌گیرند و خلق را در حجیّت بخشی به آنها، هیچ دخالتی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نیز این گونه است؟ باز دانستیم که عقلْ مراتب گوناگونی دارد که در نزدیکی به خداوند یا دوری از او، با یکدیگر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مراتب پایین عقل نیز حجّت خواهند بود؟</w:t>
      </w:r>
    </w:p>
    <w:p>
      <w:pPr>
        <w:pStyle w:val="BookText"/>
        <w:rPr/>
      </w:pPr>
      <w:r>
        <w:rPr>
          <w:rFonts w:ascii="IRNazanin" w:hAnsi="IRNazanin" w:eastAsia="IRNazanin"/>
          <w:color w:val="111111"/>
          <w:sz w:val="28"/>
          <w:sz w:val="28"/>
          <w:szCs w:val="28"/>
          <w:rtl w:val="true"/>
          <w:lang w:bidi="fa-IR"/>
        </w:rPr>
        <w:t>شارح در بیانی گزیده، بدین پرسش‌ها این گونه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حجّیت پیامبر، تنها با خداوند ارتباط دارد و از صُنع الهی است، پس بندگان هیچ دخالتی در آن ندارند؛ همان گونه که این نکته از اضافه شدنِ لفظ حجّت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دسته از روایت‌ها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حجیّت عقل، تنها با عملکرد خداوند ارتباط ندارد و بندگان نیز در آن دخالت دارند؛ زیرا خداوند، عقل را به گونه‌ای آفریده است که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کمالات بشری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می‌نماید که عقل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نخوانند، جز آن گاه که فی الجمله به کمالی دست یابد؛ زیرا عقل تا در مرحله قوّه محض است،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عقل به این کمالات نیز، با تلاش بندگان و طلب و درستْ تدبیری آنها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بندگان نیز در حجّیت‌بخشی به عقل، دخالت دارند و مؤثّرند</w:t>
      </w:r>
      <w:r>
        <w:rPr>
          <w:rFonts w:eastAsia="IRNazanin" w:cs="IRNazanin"/>
          <w:color w:val="111111"/>
          <w:sz w:val="28"/>
          <w:szCs w:val="28"/>
          <w:rtl w:val="true"/>
          <w:lang w:bidi="fa-IR"/>
        </w:rPr>
        <w:t xml:space="preserve">» </w:t>
      </w:r>
      <w:r>
        <w:rPr>
          <w:rStyle w:val="FootnoteAnchor"/>
          <w:rtl w:val="true"/>
        </w:rPr>
        <w:footnoteReference w:id="3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 آنچه خواندیم، عقل در همه مراتب خود، حجّت نیست؛ بلکه دست کم، از مراتب سوم و چهارم به بعد، حجّت خواهد بود؛ زیرا از مرحله سوم و چهارم است که عقل، اندک اندک کمالات خود را شکوفا می‌سازد و از استعدادهای خود بهره می‌گیرد و آنها را از قوّه به فعل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زمان است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کمال قدم نهاده و شایستگی حجّت بودن را پیدا کرده است و این ثمره، به باور شارح، جز با تلاش بندگان به دست نمی‌آید</w:t>
      </w:r>
      <w:r>
        <w:rPr>
          <w:rFonts w:eastAsia="IRNazanin" w:cs="IRNazanin"/>
          <w:color w:val="111111"/>
          <w:sz w:val="28"/>
          <w:szCs w:val="28"/>
          <w:rtl w:val="true"/>
          <w:lang w:bidi="fa-IR"/>
        </w:rPr>
        <w:t xml:space="preserve">. </w:t>
      </w:r>
      <w:bookmarkStart w:id="347" w:name="pg14553_191857"/>
    </w:p>
    <w:p>
      <w:pPr>
        <w:pStyle w:val="Heading3"/>
        <w:numPr>
          <w:ilvl w:val="2"/>
          <w:numId w:val="1"/>
        </w:numPr>
        <w:rPr/>
      </w:pPr>
      <w:bookmarkStart w:id="348" w:name="__RefHeading___Toc651919_1878427129"/>
      <w:bookmarkStart w:id="349" w:name="_Toc134"/>
      <w:bookmarkEnd w:id="347"/>
      <w:bookmarkEnd w:id="348"/>
      <w:r>
        <w:rPr/>
        <w:t>8</w:t>
      </w:r>
      <w:r>
        <w:rPr>
          <w:rtl w:val="true"/>
        </w:rPr>
        <w:t xml:space="preserve">. </w:t>
      </w:r>
      <w:r>
        <w:rPr>
          <w:rtl w:val="true"/>
        </w:rPr>
        <w:t xml:space="preserve">مفهوم </w:t>
      </w:r>
      <w:r>
        <w:rPr>
          <w:rtl w:val="true"/>
        </w:rPr>
        <w:t>«</w:t>
      </w:r>
      <w:r>
        <w:rPr>
          <w:rtl w:val="true"/>
        </w:rPr>
        <w:t>جهل</w:t>
      </w:r>
      <w:r>
        <w:rPr>
          <w:rtl w:val="true"/>
        </w:rPr>
        <w:t xml:space="preserve">» </w:t>
      </w:r>
      <w:r>
        <w:rPr>
          <w:rtl w:val="true"/>
        </w:rPr>
        <w:t>از نگاه شارح</w:t>
      </w:r>
      <w:bookmarkEnd w:id="349"/>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مفاهیمی است که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آن سخن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خاندان پیامبر صلی الله علیه و آله نیز مفهوم جهل را در کنار مفاهیم مرتبط با عقل شناسانده‌اند و نسبت آن را با عقل بر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الکافی یکی از منابع گران‌سنگ برای پی بردن به نسبت جهل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صالح مازندرانی نیز پس از آن‌که در شرح حدیث آغازینِ کتاب عقل، به گستردگی، معنای عقل را روشن ساخته است، به آهنگ شرح معنای جهل،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معنای عقل را شناختی، معنای جهل را نیز به قرینه مقابله،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یا همان نفس است امّا به اعتبار تعلّق آن به بدن و حالت‌هایی در برابر حالت‌های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دارد؛ زیرا این تعلّق نفس به بدن و آن حالت‌ها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مخالفِ حالات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ریشه تیرگی نفس و گرایش آن به بدی‌هاست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جهل، امری مقابل آن جوهر نورانی است که با نفس ارتباط می‌یابد و چونان روحی پلید، آن را به بدی و زشتی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که آنچه در برخی روایت‌ها آمده است، اشاره‌ای به همین معنای دوم عقل و جهل باشد؛ 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 مؤیَّد بروح الإیمان؛ </w:t>
      </w:r>
      <w:r>
        <w:rPr>
          <w:rStyle w:val="FootnoteAnchor"/>
          <w:rtl w:val="true"/>
        </w:rPr>
        <w:footnoteReference w:id="3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 حدیثی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مضمونی نزدیک به آن، در برخی روایت‌ها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الإمام مؤیَّدٌ بروح‌القدس</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أخبار الرضا علیه السلام،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مؤمن، با روح ایمان پشتیبانی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لکلّ قلبٍ اُذُنین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أحدهما ملکٌ یهدیه و علی الآخر شیطانٌ یُضلُّهُ؛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دلی دو گوش دارد که بر یکی فرشته‌ای است که آن را هدایت می‌کند و بر دیگری شیطانی است که آن را به گم‌راهی می‌کشاند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از آن جا که شارح در معنای عقل، دو احتمال را بیان کرده بود، اکنون برای جهل نیز به قرینه تضاد، دو احتمال را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جهل را به معنای </w:t>
      </w:r>
    </w:p>
    <w:p>
      <w:pPr>
        <w:pStyle w:val="BookText"/>
        <w:rPr/>
      </w:pPr>
      <w:r>
        <w:rPr>
          <w:rFonts w:ascii="IRNazanin" w:hAnsi="IRNazanin" w:eastAsia="IRNazanin"/>
          <w:color w:val="111111"/>
          <w:sz w:val="28"/>
          <w:sz w:val="28"/>
          <w:szCs w:val="28"/>
          <w:rtl w:val="true"/>
          <w:lang w:bidi="fa-IR"/>
        </w:rPr>
        <w:t>نخستین بدانیم و آن را بُعد مادّی و بدنی نفس به شمار آوریم، آن گاه، این گزاره‌ها پذیرفتنی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که عقلْ دارای مراتب و شدّت و ضعف است، جهل نیز دارای مراتب و شدّت و ضعف است؛ گرچه شارح دربارۀ این مراتب احتمالی، سخنی به میان نیاورده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یا بسیاری از آنچه دربارۀ چگونگی رشد عقل گفتیم، متضادّ آن را می‌توان دربارۀ چگونگی سقوط انسان به درجات پایین‌تر جهل نیز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جهل را به معنای دوم و امری در مقابل دومین معنای احتمالیِ عقل بدانیم، آن گاه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قوّه و منبع نورانی و ظلمانی، در عالم وجود دارند که یکی مبدأ نیکی‌هاست و بِدان می‌خوانَد و دیگری مبدأ بدی‌هاست که انسان را بدان سو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نیز در مثنوی خود، گویا به همین نکته اشاره کرده است، آن 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عَلَم بر ساخت اسپید و سیاه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آمد، مفهوم جهل بود در سنجش با دو معنای پیش‌گفته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بیفزاییم که با قطع نظر از ماهیت جهل، این مفهوم در زبان معصومان علیهم السلام کاربردی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احادیث، نه تنها کاربرد جهل ویژگی‌هایی خاص دارد؛ بلکه تقابل آن با عقل نیز، معنایی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شارح بخوانیم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شایسته است که بدانیم جهل از دیدگاه معصومان علیهم السلام، به معنای ارتکاب گناهان است؛ اگر چه مرتکب آنها عالم و دانا باشد؛ بلکه در این هنگام، چنین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 که می داند، گناه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نگاه امامان علیهم السلام جاهل‌تر است و نکوهشِ وی بیشتر و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کسی که خود را عالم و عاقل بنمایاند و در همان حال، دنیا و شهواتِ آن و خوشی‌های زودگذر آن را برگزیند، سرگشته گم‌راهی است و لباس جهالت را در </w:t>
      </w:r>
    </w:p>
    <w:p>
      <w:pPr>
        <w:pStyle w:val="BookText"/>
        <w:rPr/>
      </w:pPr>
      <w:r>
        <w:rPr>
          <w:rFonts w:ascii="IRNazanin" w:hAnsi="IRNazanin" w:eastAsia="IRNazanin"/>
          <w:color w:val="111111"/>
          <w:sz w:val="28"/>
          <w:sz w:val="28"/>
          <w:szCs w:val="28"/>
          <w:rtl w:val="true"/>
          <w:lang w:bidi="fa-IR"/>
        </w:rPr>
        <w:t>پوشیده است</w:t>
      </w:r>
      <w:r>
        <w:rPr>
          <w:rFonts w:eastAsia="IRNazanin" w:cs="IRNazanin"/>
          <w:color w:val="111111"/>
          <w:sz w:val="28"/>
          <w:szCs w:val="28"/>
          <w:rtl w:val="true"/>
          <w:lang w:bidi="fa-IR"/>
        </w:rPr>
        <w:t xml:space="preserve">» . </w:t>
      </w:r>
      <w:r>
        <w:rPr>
          <w:rStyle w:val="FootnoteAnchor"/>
          <w:rtl w:val="true"/>
        </w:rPr>
        <w:footnoteReference w:id="3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کاربرد جهل، با آنچه در دانش منطق دربارۀ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می‌آورند، یکسر دیگرگون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ملاک نام‌گذاری جهل، ناآگاهی نسبت به یک پدیده یا قضیّه است؛ امّا در این‌جا، مناط نام‌گذاری، عمل کردن یا نکردن به مقتضای حکم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به نیکی‌ها فرمان می‌دهد و چنان‌که خواندیم، این پیام در درون هر انسانی پژواک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انسان بر خلاف دستور عقل عمل کند و راهی را جز آن بپوید، به گرداب جهل در غلتیده است؛ یعنی از عقل خویش فرمان نبرده است؛ گرچه شاید دانا باشد و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معصومان علیهم السلام انسان به هر اندازه که به لوازم و بایستگی‌های عقل خود عمل نکند، جاهل است و این، معنایی است که امامان علیهم السلام در احادیث فراوانی در بحث عقل، بر آن پای فشرده‌اند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 xml:space="preserve">خواهید دید که در موارد بسیار، آیات قرآن با معنایی که معصومان علیهم السلام از جهل بیان داشته‌اند، بسیار همسازتر و هماهنگ‌تر است تا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نمونه،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الحکمة، ترجمۀ حمیدرضا شیخی، ویرایش سوم،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أخلاق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نیز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علامات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یُضعِّفُ العقل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آنچه گفتیم، می‌توانیم نتیجه بگیریم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نگاه اهل بیت علیهم السلام، هر دانایی، لزوماً و پیش از آن‌که دانا باشد،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از نگاه احادیث، شکوفا ساختن عقلْ شرط رسیدن به درجه علم است و البتّه این شکوفایی، جز از راه عمل به دانسته‌ها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در احادیث امامان علیهم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است که کردارش گواه درستی گفتارش باشد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میان کسی که دیگران بر پایه اندیشه رایج میان مردمان،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bookmarkStart w:id="350" w:name="pg14553_191860"/>
    </w:p>
    <w:p>
      <w:pPr>
        <w:pStyle w:val="BookText"/>
        <w:rPr/>
      </w:pPr>
      <w:bookmarkEnd w:id="350"/>
      <w:r>
        <w:rPr>
          <w:rFonts w:ascii="IRNazanin" w:hAnsi="IRNazanin" w:eastAsia="IRNazanin"/>
          <w:color w:val="111111"/>
          <w:sz w:val="28"/>
          <w:sz w:val="28"/>
          <w:szCs w:val="28"/>
          <w:rtl w:val="true"/>
          <w:lang w:bidi="fa-IR"/>
        </w:rPr>
        <w:t>بخوانند، با کسی که امامان علیهم السلام او را عالم بدانند، عموم و خصوص من وجه است؛ زیرا چه بسا مردمان کسی را دانا و عالم بخوانند، ولی از آن رو که کردارش چون گفتارش نیست و عقل را بر همه وجود خود حاکم نساخته است، اهل بیت علیهم السلام او را عالم نمی‌شمرند و بلکه چنین کسی همان سان که شارح نیز آشکارا گفته بود جاهل‌تر از کسی است که آگاهی‌های ظاهری او را ندارد و از نگاه مردمان، عالم و دانا به شمار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میان معانی محتمل عقل و جهل</w:t>
      </w:r>
    </w:p>
    <w:p>
      <w:pPr>
        <w:pStyle w:val="BookText"/>
        <w:rPr/>
      </w:pPr>
      <w:r>
        <w:rPr>
          <w:rFonts w:ascii="IRNazanin" w:hAnsi="IRNazanin" w:eastAsia="IRNazanin"/>
          <w:color w:val="111111"/>
          <w:sz w:val="28"/>
          <w:sz w:val="28"/>
          <w:szCs w:val="28"/>
          <w:rtl w:val="true"/>
          <w:lang w:bidi="fa-IR"/>
        </w:rPr>
        <w:t>معنای عقل معنای جهل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و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نفس به اعتبار تعلّق فعلی به بدن با مراتب ششگانه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به اعتبار تجرّد ذاتی 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آن جوهر که احتمال دوم و مرجوح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مفارق از مادّه ذاتاً و فعلاً نفس را به بدی می‌خواند</w:t>
      </w:r>
      <w:r>
        <w:rPr>
          <w:rFonts w:eastAsia="IRNazanin" w:cs="IRNazanin"/>
          <w:color w:val="111111"/>
          <w:sz w:val="28"/>
          <w:szCs w:val="28"/>
          <w:rtl w:val="true"/>
          <w:lang w:bidi="fa-IR"/>
        </w:rPr>
        <w:t>.</w:t>
      </w:r>
    </w:p>
    <w:p>
      <w:pPr>
        <w:pStyle w:val="Heading3"/>
        <w:numPr>
          <w:ilvl w:val="2"/>
          <w:numId w:val="1"/>
        </w:numPr>
        <w:rPr/>
      </w:pPr>
      <w:bookmarkStart w:id="351" w:name="__RefHeading___Toc651921_1878427129"/>
      <w:bookmarkStart w:id="352" w:name="_Toc135"/>
      <w:bookmarkEnd w:id="351"/>
      <w:r>
        <w:rPr/>
        <w:t>9</w:t>
      </w:r>
      <w:r>
        <w:rPr>
          <w:rtl w:val="true"/>
        </w:rPr>
        <w:t xml:space="preserve">. </w:t>
      </w:r>
      <w:r>
        <w:rPr>
          <w:rtl w:val="true"/>
        </w:rPr>
        <w:t>عقل نظری و عقل عملی</w:t>
      </w:r>
      <w:bookmarkEnd w:id="352"/>
    </w:p>
    <w:p>
      <w:pPr>
        <w:pStyle w:val="BookText"/>
        <w:rPr/>
      </w:pPr>
      <w:r>
        <w:rPr>
          <w:rFonts w:ascii="IRNazanin" w:hAnsi="IRNazanin" w:eastAsia="IRNazanin"/>
          <w:color w:val="111111"/>
          <w:sz w:val="28"/>
          <w:sz w:val="28"/>
          <w:szCs w:val="28"/>
          <w:rtl w:val="true"/>
          <w:lang w:bidi="fa-IR"/>
        </w:rPr>
        <w:t>طبق حدیثی، امام صادق علیه السلام عقل را این گونه شناسانده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عُبِد به الرحمنُ و اکتُسِبَ به الجنان؛ </w:t>
      </w:r>
      <w:r>
        <w:rPr>
          <w:rStyle w:val="FootnoteAnchor"/>
          <w:rtl w:val="true"/>
        </w:rPr>
        <w:footnoteReference w:id="3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بِدان، خدای رحمان را بپرستند و به بهشت رسند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گونه شناساندن عقل، بر چه پایه‌ای استوار است؟ شارح دربارۀ این حدیث، بر این باور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تعریف، اشاره‌ای است به قوّه 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عقل‌نظری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قوّه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عقل عملی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با اوّلی معارف الهی و احکام دینی و اخلاق نیک را می‌شناسند و با دومی به آن معارف عمل می‌کنند و ظاهر و باطن را می‌پیرایند و با این هر دو قوّه است که عبادت خداوند سامان می‌یابد و بهشت فرا چنگ می‌آید</w:t>
      </w:r>
      <w:r>
        <w:rPr>
          <w:rFonts w:eastAsia="IRNazanin" w:cs="IRNazanin"/>
          <w:color w:val="111111"/>
          <w:sz w:val="28"/>
          <w:szCs w:val="28"/>
          <w:rtl w:val="true"/>
          <w:lang w:bidi="fa-IR"/>
        </w:rPr>
        <w:t>. .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نخستین نگاه، شاید چنان به ذهن آید که شارح در این جا تقسیم‌بندی جدیدی از عقل به دست داده است که با آنچه تا کنون آمده، تفاوت اساسی دارد؛ ولی با اندکی ژرف‌نگری در سخنان بعدی شارح، در می‌یابیم که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w:t>
      </w:r>
      <w:bookmarkStart w:id="353" w:name="pg14553_191861"/>
    </w:p>
    <w:p>
      <w:pPr>
        <w:pStyle w:val="BookText"/>
        <w:rPr/>
      </w:pPr>
      <w:bookmarkEnd w:id="353"/>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دو تعبیر برای دو مرحله از مراحل و مراتب ششگانه نفس‌اند که پیش از این، دربارۀ آن گفتگو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خواندیم، در مراتب آغازین، نفس، اندک اندک با حقایق و معارف و دانش‌ها آشنا می‌گردد و توانایی شناخت آنها را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در مراحل آغازین، کار نفس انسانی، شناخت حقایق و علوم است؛ امّا روشن است که نفس در سیر تکاملی خود، در گستره شناخت باقی نمی‌ماند و با عمل به دانسته‌های پیشین، به مراحل بالاتر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مراحل بالاتر، تأکید بر عمل و به کارگیری دانسته‌هاست؛ ولی در آغاز راه، تکیه اصلی، بر قدرتِ شناختی است که نفس از خود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ارزیابی را بپذیریم، آن گاه در حقیقت، عقل نظری و عقل عملی همان مراحل رشد و تکامل نفس خواهند بود؛ ولی از زاویه و دیدگاهی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آغازین در این تحلیل، نمایشگر عقل نظری است و مراحل بالاتر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عقل در آن مراحل، به دانسته‌هایش عمل کرده و به اندازه‌ای به شکوفایی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عقل عملی است</w:t>
      </w:r>
      <w:r>
        <w:rPr>
          <w:rFonts w:eastAsia="IRNazanin" w:cs="IRNazanin"/>
          <w:color w:val="111111"/>
          <w:sz w:val="28"/>
          <w:szCs w:val="28"/>
          <w:rtl w:val="true"/>
          <w:lang w:bidi="fa-IR"/>
        </w:rPr>
        <w:t>.</w:t>
      </w:r>
    </w:p>
    <w:p>
      <w:pPr>
        <w:pStyle w:val="Heading3"/>
        <w:numPr>
          <w:ilvl w:val="2"/>
          <w:numId w:val="1"/>
        </w:numPr>
        <w:rPr/>
      </w:pPr>
      <w:bookmarkStart w:id="354" w:name="__RefHeading___Toc651923_1878427129"/>
      <w:bookmarkStart w:id="355" w:name="_Toc136"/>
      <w:bookmarkEnd w:id="354"/>
      <w:r>
        <w:rPr/>
        <w:t>10</w:t>
      </w:r>
      <w:r>
        <w:rPr>
          <w:rtl w:val="true"/>
        </w:rPr>
        <w:t xml:space="preserve">. </w:t>
      </w:r>
      <w:r>
        <w:rPr>
          <w:rtl w:val="true"/>
        </w:rPr>
        <w:t>زمان تعلّق عقل به انسان</w:t>
      </w:r>
      <w:bookmarkEnd w:id="355"/>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این، خواندیم که هسته آغازین و نهال نخستینِ عقل در انسان، از سوی خداوند به انسان اهدا شده است و سپس انسان در ادامه زندگی، می‌تواند این نهال را بپروراند و شکوفا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آن است که این نهال آغازین، از چه زمانی به انسان اعطا می‌شود؟ و نفس انسانی، از چه زمانی با عقل ارتباط می‌یابد؟ برای پاسخ، باید در نگریم به روایتی از کتاب عقل و جهل، که یکی از یاران امام صادق علیه السلام از ایشان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 می‌شود که کسی نزد من می‌آید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مراد خود را با جملاتی موجز و اندک، بدو می‌رسانم و نیازی به تفصیل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کسی نزدم می‌آید که گرچه سرعت فهم او به اندازه نفر نخستین نیست؛ ولی حرف مرا به‌خوبی در می‌یابد و می‌تواند همه سخنم را چنان‌که گفته‌ام، باز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شخصی نزدم می‌آید که چنان توانایی‌ای ندارد و از من می‌خواهد که سخنم را برایش تکرار کنم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چیست؟</w:t>
      </w:r>
      <w:r>
        <w:rPr>
          <w:rFonts w:eastAsia="IRNazanin" w:cs="IRNazanin"/>
          <w:color w:val="111111"/>
          <w:sz w:val="28"/>
          <w:szCs w:val="28"/>
          <w:rtl w:val="true"/>
          <w:lang w:bidi="fa-IR"/>
        </w:rPr>
        <w:t xml:space="preserve">]» . </w:t>
      </w:r>
      <w:r>
        <w:rPr>
          <w:rStyle w:val="FootnoteAnchor"/>
          <w:rtl w:val="true"/>
        </w:rPr>
        <w:footnoteReference w:id="3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پاسخ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که با بخشی از سخنان تو، همه خواسته‌ات را در می‌یابد، کسی است که نطفه‌اش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و در همان هنگامِ نطفه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عقلش درآمیخته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همه سخن تو را می‌شنود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مقصودت را در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می‌تواند آن را باز گوید، کسی است که عقلش، در شکم مادرش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همه سخن تو را می‌شنود، ولی باز هم درخواستِ تکرار می‌کند، کسی است که عقلش پس از آن‌که بزرگ شده و رشد کرده است، در وجودش ترکیب یافته است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اکنون بنگریم که شارح، این حدیث را چگونه شرح داده و از نگاه او، شکل‌گیری آغازینِ قوّه عقل، چگونه بوده است؟ در یک جمع‌بندی کلّی، وی در شرح این حدیث، به این گراییده است که استعدادهای ادراکی، همگی بالقوّه در نطفه انسانی وجود دارند، امّا دارای شدّت و ضعف‌های گوناگون و لطافت‌ها و قابلیت‌های ادراکی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نفس ناطقه شریف‌تر باشد، به موادی لطیف‌تر تعلّق می‌گیرد و رشد آن نیز سریع‌تر خواهد بود، علاوه بر این‌که ادراک آن هم کامل‌تر است</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بنا بر این، از دیدگاه شارح، زمان تعلّق عقل به انسان، به میزان و رتبه نفسِ هر انسان و شرافت آن بستگی فراوان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از لطیف‌ترین وجودهاست و پیداست که هر چه نفس شریف‌تر باشد، زودتر می‌تواند با یک وجود لطیف ارتباط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هر اندازه نفسْ شریف‌تر باشد، عقل نیز لطیف‌تر و ادراک آن نیز سریع‌تر و زمان تعلّق عقل به نفس نیز زودتر خواهد بود</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کسی عقل وی، در هنگام نطفه بودن با او عجین شود، از همین زمان، ادراک و فهمیدن را می‌آموزد و تمرین می‌کند و از این جهت، بر کسانی که عقل در مراحل بعدی زندگی به وجودشان تعلّق می‌گیرد، برتری دارند</w:t>
      </w:r>
      <w:r>
        <w:rPr>
          <w:rFonts w:eastAsia="IRNazanin" w:cs="IRNazanin"/>
          <w:color w:val="111111"/>
          <w:sz w:val="28"/>
          <w:szCs w:val="28"/>
          <w:rtl w:val="true"/>
          <w:lang w:bidi="fa-IR"/>
        </w:rPr>
        <w:t xml:space="preserve">. </w:t>
      </w:r>
      <w:r>
        <w:rPr>
          <w:rStyle w:val="FootnoteAnchor"/>
          <w:rtl w:val="true"/>
        </w:rPr>
        <w:footnoteReference w:id="39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تعلّق عقل به نطفه را محال نمی‌داند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عارفان که از </w:t>
      </w:r>
      <w:bookmarkStart w:id="356" w:name="pg14553_191863"/>
    </w:p>
    <w:p>
      <w:pPr>
        <w:pStyle w:val="BookText"/>
        <w:rPr/>
      </w:pPr>
      <w:bookmarkEnd w:id="356"/>
      <w:r>
        <w:rPr>
          <w:rFonts w:ascii="IRNazanin" w:hAnsi="IRNazanin" w:eastAsia="IRNazanin"/>
          <w:color w:val="111111"/>
          <w:sz w:val="28"/>
          <w:sz w:val="28"/>
          <w:szCs w:val="28"/>
          <w:rtl w:val="true"/>
          <w:lang w:bidi="fa-IR"/>
        </w:rPr>
        <w:t>وابستگی‌های عالَم مادّه رهیده‌اند در همان آغاز تولّد، درک کرده‌اند که عقل آنها در عالم اجسام تصرّف می‌کند</w:t>
      </w:r>
      <w:r>
        <w:rPr>
          <w:rFonts w:eastAsia="IRNazanin" w:cs="IRNazanin"/>
          <w:color w:val="111111"/>
          <w:sz w:val="28"/>
          <w:szCs w:val="28"/>
          <w:rtl w:val="true"/>
          <w:lang w:bidi="fa-IR"/>
        </w:rPr>
        <w:t xml:space="preserve">» . </w:t>
      </w:r>
      <w:r>
        <w:rPr>
          <w:rStyle w:val="FootnoteAnchor"/>
          <w:rtl w:val="true"/>
        </w:rPr>
        <w:footnoteReference w:id="4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شارح، هرگز محال نیست که وجودی حتی در آغاز تولّد، دانشوری کامل و وارسته‌ای عارف باشد؛ همان گونه که امامان علیهم السلام چنین بوده‌اند</w:t>
      </w:r>
      <w:r>
        <w:rPr>
          <w:rFonts w:eastAsia="IRNazanin" w:cs="IRNazanin"/>
          <w:color w:val="111111"/>
          <w:sz w:val="28"/>
          <w:szCs w:val="28"/>
          <w:rtl w:val="true"/>
          <w:lang w:bidi="fa-IR"/>
        </w:rPr>
        <w:t xml:space="preserve">. </w:t>
      </w:r>
      <w:r>
        <w:rPr>
          <w:rStyle w:val="FootnoteAnchor"/>
          <w:rtl w:val="true"/>
        </w:rPr>
        <w:footnoteReference w:id="401"/>
      </w:r>
      <w:r>
        <w:rPr>
          <w:rFonts w:ascii="IRNazanin" w:hAnsi="IRNazanin" w:eastAsia="IRNazanin"/>
          <w:color w:val="111111"/>
          <w:sz w:val="28"/>
          <w:sz w:val="28"/>
          <w:szCs w:val="28"/>
          <w:rtl w:val="true"/>
          <w:lang w:bidi="fa-IR"/>
        </w:rPr>
        <w:t>بر پایه این ارزیابی، روشن است که آن کس که عقل وی در شکم مادر به او اعطا می‌شود، در رتبه‌ای پایین‌تر از اوّلی است؛ چرا که مدّت زمان کمتری را با عقل به سر برده و ادراک را کمتر تمرین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را نیز بیفزاییم که از نگاه شارح، این سه مرحله و سه زمان که در این حدیث بدانها اشارت رفته است، مراحل اصلی و کلّی تعلّق عقل به وجود انسانی‌اند؛ امّا در میان این سه مرحله، درجات گونه‌گونِ فراوانی هست که هر یک با دیگری، در شدّت و ضعف ادراک، تفاوت دارد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p>
    <w:p>
      <w:pPr>
        <w:pStyle w:val="Heading3"/>
        <w:numPr>
          <w:ilvl w:val="2"/>
          <w:numId w:val="1"/>
        </w:numPr>
        <w:rPr/>
      </w:pPr>
      <w:bookmarkStart w:id="357" w:name="__RefHeading___Toc651925_1878427129"/>
      <w:bookmarkStart w:id="358" w:name="_Toc137"/>
      <w:bookmarkEnd w:id="357"/>
      <w:r>
        <w:rPr/>
        <w:t>11</w:t>
      </w:r>
      <w:r>
        <w:rPr>
          <w:rtl w:val="true"/>
        </w:rPr>
        <w:t xml:space="preserve">. </w:t>
      </w:r>
      <w:r>
        <w:rPr>
          <w:rtl w:val="true"/>
        </w:rPr>
        <w:t>تفاوت عاقل و عالم و عابد</w:t>
      </w:r>
      <w:bookmarkEnd w:id="358"/>
    </w:p>
    <w:p>
      <w:pPr>
        <w:pStyle w:val="BookText"/>
        <w:rPr/>
      </w:pPr>
      <w:r>
        <w:rPr>
          <w:rFonts w:ascii="IRNazanin" w:hAnsi="IRNazanin" w:eastAsia="IRNazanin"/>
          <w:color w:val="111111"/>
          <w:sz w:val="28"/>
          <w:sz w:val="28"/>
          <w:szCs w:val="28"/>
          <w:rtl w:val="true"/>
          <w:lang w:bidi="fa-IR"/>
        </w:rPr>
        <w:t>در میان احادیث کتاب عقل الکافی ، روایاتی به چشم می‌آید که در آنها امامان علیهم السلام جایگاه عاقلان را بسیار والا و بالا شمرده‌اند و بر رتبه عابدان، برتری فراوان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که از کسی ستایشی شنیدید،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داوری نکنید؛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وی درنگرید؛ زیرا پاداش وی به اندازه عقل اوست</w:t>
      </w:r>
      <w:r>
        <w:rPr>
          <w:rFonts w:eastAsia="IRNazanin" w:cs="IRNazanin"/>
          <w:color w:val="111111"/>
          <w:sz w:val="28"/>
          <w:szCs w:val="28"/>
          <w:rtl w:val="true"/>
          <w:lang w:bidi="fa-IR"/>
        </w:rPr>
        <w:t xml:space="preserve">» . </w:t>
      </w:r>
      <w:r>
        <w:rPr>
          <w:rStyle w:val="FootnoteAnchor"/>
          <w:rtl w:val="true"/>
        </w:rPr>
        <w:footnoteReference w:id="404"/>
      </w:r>
      <w:r>
        <w:rPr>
          <w:rFonts w:ascii="IRNazanin" w:hAnsi="IRNazanin" w:eastAsia="IRNazanin"/>
          <w:color w:val="111111"/>
          <w:sz w:val="28"/>
          <w:sz w:val="28"/>
          <w:szCs w:val="28"/>
          <w:rtl w:val="true"/>
          <w:lang w:bidi="fa-IR"/>
        </w:rPr>
        <w:t>در برخی از احادیث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خواب عاقل، برتر از شبْ زنده‌داری جاهل است</w:t>
      </w:r>
      <w:r>
        <w:rPr>
          <w:rFonts w:eastAsia="IRNazanin" w:cs="IRNazanin"/>
          <w:color w:val="111111"/>
          <w:sz w:val="28"/>
          <w:szCs w:val="28"/>
          <w:rtl w:val="true"/>
          <w:lang w:bidi="fa-IR"/>
        </w:rPr>
        <w:t xml:space="preserve">» .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اکنون جای این پرسش هست که راز این همه والایی جایگاه عقل و عاقل و برتری عاقلان بر عابدان، در چیست؟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ملا صالح مازندرانی، عقلْ، اساس عبادت‌ها و ریشه و پایه آنهاست</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دیگر سخن، اگر عقل در وجود انسان ریشه بگیرد، آن گاه بستری فراهم می‌آید تا همه وجود و توانایی‌های انسان، در راه عبادت و کمال به کار افتد و این نکته تضمین می‌شود که انسان همیشه در راه سعادت باشد و به بیراهه‌ها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عقل ضعیف باشد، بستری که شخص در آن به عبادت می‌پردازد، بسیار پر لغزش خواهد بود؛ به گونه‌ای که هر لحظه گمان آن می‌رود که این عابد، از راه خدا به یک سو رود و همه عبادت‌های خود را تباه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تضمینی نیست که چنین عابدی، تا پایان عمر در میدان مبارزه با نفس، استوار و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می‌نماید که راز این برتری، در همین نکته نهفته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خود شارح، آشکارا به این نکته تصریح نکرده است؛ از گونه سخن وی، کم و بیش می‌توان بدان راه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شارح، گرچه حقیقتِ شبْ زنده‌داری، برتر از حقیقتِ خواب است؛ ولی‌آن گاه که خواب با عقل همراه گردد و شبْ زنده‌داری با جهل، خواب نیز از شرافتِ عقلْ، کسب شرف می‌کند و ارجمند می‌گردد، و بر عکس، از ارزش شبْ زنده‌داری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 که با جهل هم‌آغوش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کاسته می‌شود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ملاک برتری در این سنجش، خوابیدن یا شبْ زنده‌داری نیست؛ بلکه ملاک، والایی و شرافتِ بهره‌مند بودن یا نبودن از نعمتی است که با بودنش، بستر رشد در انسان همیشه فراهم خواهد بود؛ گرچه انسان عملاً نتواند به طور کامل در این بستر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نبود این نعمت، بستری که زمینه رشدِ همیشگی و قطعی و تضمین شده انسان باشد نیز، در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در این حال، عابد چونان رهروی است که در راهی پُرخار و جان‌آزار ره می‌سپرد و چندان که بر شتاب خود می‌افزاید، پا و جسم و جان خود را بیشتر می‌آزارد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کتاب عقل آمده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عالمی که از دانشش بهره برند، بهتر از هفتاد هزار عابد است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9"/>
      </w:r>
      <w:bookmarkStart w:id="359" w:name="pg14553_191865"/>
    </w:p>
    <w:p>
      <w:pPr>
        <w:pStyle w:val="BookText"/>
        <w:rPr/>
      </w:pPr>
      <w:bookmarkEnd w:id="359"/>
      <w:r>
        <w:rPr>
          <w:rFonts w:ascii="IRNazanin" w:hAnsi="IRNazanin" w:eastAsia="IRNazanin"/>
          <w:color w:val="111111"/>
          <w:sz w:val="28"/>
          <w:sz w:val="28"/>
          <w:szCs w:val="28"/>
          <w:rtl w:val="true"/>
          <w:lang w:bidi="fa-IR"/>
        </w:rPr>
        <w:t>از نگاه شارح، راز این برتری، در چند نکته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آن‌که عقلِ عابدی که جاهل باشد، </w:t>
      </w:r>
      <w:r>
        <w:rPr>
          <w:rStyle w:val="FootnoteAnchor"/>
          <w:rtl w:val="true"/>
        </w:rPr>
        <w:footnoteReference w:id="4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دقّت شود که در این‌جا، جاهل بودن از نگاه اهل بیت علیهم السلام و با ملاکی که در احادیث آمده،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بستری مادّی سیر می‌کند و از این رو، همیشه به پیرایه‌های عالَم مادّه آلوده است؛ ولی عقل عالم، در گستره نشانه‌های شریعت رشد می‌یابد و با معارف الهی خو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آن‌که بهره عبادت عابد، تنها به خود او باز می‌گردد؛ ولی از دانش عالم، همگان سود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آن‌که عقل عابد، در مرتبه عقل هیولایی درمانده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عقل عالم، به مرحله عقل بالفعل یا بالاتر رسیده است، و برتری دومی بر اولی، نزد ژرف‌نگران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به همین علّت‌هاست که به باور ملا صالح مازندرانی، عالم را وارث انبیا علیهم السلام دانسته‌اند که در جایگاه آنان قرار می‌گیرد و هم از این روست که نسبت وی به دیگران، چون نسبت پیامبران به دیگر مردمان است</w:t>
      </w:r>
      <w:r>
        <w:rPr>
          <w:rFonts w:eastAsia="IRNazanin" w:cs="IRNazanin"/>
          <w:color w:val="111111"/>
          <w:sz w:val="28"/>
          <w:szCs w:val="28"/>
          <w:rtl w:val="true"/>
          <w:lang w:bidi="fa-IR"/>
        </w:rPr>
        <w:t xml:space="preserve">. </w:t>
      </w:r>
      <w:r>
        <w:rPr>
          <w:rStyle w:val="FootnoteAnchor"/>
          <w:rtl w:val="true"/>
        </w:rPr>
        <w:footnoteReference w:id="411"/>
      </w:r>
    </w:p>
    <w:p>
      <w:pPr>
        <w:pStyle w:val="Heading3"/>
        <w:numPr>
          <w:ilvl w:val="2"/>
          <w:numId w:val="1"/>
        </w:numPr>
        <w:rPr/>
      </w:pPr>
      <w:bookmarkStart w:id="360" w:name="__RefHeading___Toc651927_1878427129"/>
      <w:bookmarkStart w:id="361" w:name="_Toc138"/>
      <w:bookmarkEnd w:id="360"/>
      <w:r>
        <w:rPr/>
        <w:t>12</w:t>
      </w:r>
      <w:r>
        <w:rPr>
          <w:rtl w:val="true"/>
        </w:rPr>
        <w:t xml:space="preserve">. </w:t>
      </w:r>
      <w:r>
        <w:rPr>
          <w:rtl w:val="true"/>
        </w:rPr>
        <w:t>یادآوری چند نکته</w:t>
      </w:r>
      <w:bookmarkEnd w:id="361"/>
    </w:p>
    <w:p>
      <w:pPr>
        <w:pStyle w:val="BookText"/>
        <w:rPr/>
      </w:pPr>
      <w:r>
        <w:rPr>
          <w:rFonts w:ascii="IRNazanin" w:hAnsi="IRNazanin" w:eastAsia="IRNazanin"/>
          <w:color w:val="111111"/>
          <w:sz w:val="28"/>
          <w:sz w:val="28"/>
          <w:szCs w:val="28"/>
          <w:rtl w:val="true"/>
          <w:lang w:bidi="fa-IR"/>
        </w:rPr>
        <w:t>در پایان این سیاهه، یادکرد چند نکته را بایسته می‌دانم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گستره این نوشتار، شرح مرحوم ملا صالح بر کتاب عقل و جهل از الکافی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شارح را دربارۀ موضوعات پیش‌گفته مرتبط با عقل، در همین گستره پی‌گرفتیم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احتمال وجود دارد که شارح در بخش‌های دیگرِ شرح خود، نکته‌ای دربارۀ عقل آورده باشد که در این گستره بدان اشاره نشده باشد یا مطلبی را افزوده باشد که قید و تبصره‌ای بر مطالب این نوشتار باشد؛ ولی چنان می‌نماید که این احتمال، چندان اندک است که می‌توان با آسودگی خاطر، مطالب یاد شده را به پای شارح نگاشت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نوشته، خواست ما سنجش میان دیدگاه‌های ملا صالح با دیگر شارحان </w:t>
      </w:r>
      <w:bookmarkStart w:id="362" w:name="pg14553_191866"/>
    </w:p>
    <w:p>
      <w:pPr>
        <w:pStyle w:val="BookText"/>
        <w:rPr/>
      </w:pPr>
      <w:bookmarkEnd w:id="362"/>
      <w:r>
        <w:rPr>
          <w:rFonts w:ascii="IRNazanin" w:hAnsi="IRNazanin" w:eastAsia="IRNazanin"/>
          <w:color w:val="111111"/>
          <w:sz w:val="28"/>
          <w:sz w:val="28"/>
          <w:szCs w:val="28"/>
          <w:rtl w:val="true"/>
          <w:lang w:bidi="fa-IR"/>
        </w:rPr>
        <w:t>اصول الکافی ، یا دیگر دانشوران اسلامی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به فراخورِ سخن و محدودیت حجم این نوشتار و وقت این ناچیز، در چند جا، دیدگاه‌های برخی از دانشیان حکمت را نیز آورده‌ایم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 اصلی این نوشته، به دست دادن گزارشی درست و همه جانبه، از دیدگاه‌های شارح و ارائه تحلیلی هماهنگ با دیدگاه‌های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بررسی انتقادیِ دیدگاه‌های شارح، از گستره وظیفه این نوشته بیرون بوده است؛ اگر چه در برخی نمونه‌ها، دیدگاه‌های شارح را به نقد نیز کشیده‌ایم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همه آنچه گذشت، این نوشته را خالی از هر گونه کاستی و ناراستی نمی‌دانم و از خوانندگان ارجمند می‌خواهم که انتقادهای خود را یادآوری کنند تا چراغی فرا راه آینده باشد</w:t>
      </w:r>
      <w:r>
        <w:rPr>
          <w:rFonts w:eastAsia="IRNazanin" w:cs="IRNazanin"/>
          <w:color w:val="111111"/>
          <w:sz w:val="28"/>
          <w:szCs w:val="28"/>
          <w:rtl w:val="true"/>
          <w:lang w:bidi="fa-IR"/>
        </w:rPr>
        <w:t>.</w:t>
      </w:r>
    </w:p>
    <w:p>
      <w:pPr>
        <w:pStyle w:val="Heading3"/>
        <w:numPr>
          <w:ilvl w:val="2"/>
          <w:numId w:val="1"/>
        </w:numPr>
        <w:rPr/>
      </w:pPr>
      <w:bookmarkStart w:id="363" w:name="__RefHeading___Toc651929_1878427129"/>
      <w:bookmarkStart w:id="364" w:name="_Toc139"/>
      <w:bookmarkEnd w:id="363"/>
      <w:r>
        <w:rPr>
          <w:rtl w:val="true"/>
        </w:rPr>
        <w:t>کتاب نامه</w:t>
      </w:r>
      <w:bookmarkEnd w:id="3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الأسفار الأربعة ، صدرالدین محمّد بن إبراهیم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الحیدری،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دایرة المعارف تشیّع ، احمد صدر حاج سیّد جوادی،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شهید سعید محبّی،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اُصول الکافی ، ملا محمّد صالح المازندرانی،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 الحسن شعرانی،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عاشور،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الأسماء الحسنی ، حاج ملا هادی السبزواری، طبعة حجریّة،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بصیرتی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الحکم و المواعظ ، ابو الحسن علی بن محمّد اللیثی الواسطی،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حسنی بیرجندی،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 محمّد بن یعقوب الکلینی،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الغفّاری،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سوم،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المراد فی شرح تجرید الاعتقاد ، حسن بن یوسف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حسن‌زاده آملی،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السابعة، مؤسسة النشر الإسلامی،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هفتم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منطق ، محمّد علی اژه‌ای،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پاییز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مثنوی معنوی ، جلال الدین محمّد مولوی،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ناهید فرشاد، نشر محمّد،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المواقف ، قاضی عضد الدین ایجی،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عمیرة،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الحکمة با ترجمه فارسی، محمّد محمّدی ری شهری،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شیخی،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ویرایش سوم،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نهایة الحکمة ، السید محمّد حسین الطباطبائی،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عباسعلی زارعی سبزواری،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چهاردهم</w:t>
      </w:r>
      <w:r>
        <w:rPr>
          <w:rFonts w:eastAsia="IRNazanin" w:cs="IRNazanin"/>
          <w:color w:val="111111"/>
          <w:sz w:val="28"/>
          <w:szCs w:val="28"/>
          <w:rtl w:val="true"/>
          <w:lang w:bidi="fa-IR"/>
        </w:rPr>
        <w:t xml:space="preserve">. </w:t>
      </w:r>
      <w:bookmarkStart w:id="365" w:name="pg14553_191868"/>
    </w:p>
    <w:p>
      <w:pPr>
        <w:pStyle w:val="BookText"/>
        <w:rPr/>
      </w:pPr>
      <w:bookmarkEnd w:id="365"/>
      <w:r>
        <w:rPr>
          <w:rFonts w:ascii="IRNazanin" w:hAnsi="IRNazanin" w:eastAsia="IRNazanin"/>
          <w:color w:val="111111"/>
          <w:sz w:val="28"/>
          <w:sz w:val="28"/>
          <w:szCs w:val="28"/>
          <w:rtl w:val="true"/>
          <w:lang w:bidi="fa-IR"/>
        </w:rPr>
        <w:t>مفهوم عقل از دیدگاه دو شارح اصول کافی</w:t>
      </w:r>
    </w:p>
    <w:p>
      <w:pPr>
        <w:pStyle w:val="Heading2"/>
        <w:numPr>
          <w:ilvl w:val="1"/>
          <w:numId w:val="1"/>
        </w:numPr>
        <w:rPr/>
      </w:pPr>
      <w:bookmarkStart w:id="366" w:name="__RefHeading___Toc651931_1878427129"/>
      <w:bookmarkStart w:id="367" w:name="_Toc140"/>
      <w:bookmarkEnd w:id="366"/>
      <w:r>
        <w:rPr>
          <w:rtl w:val="true"/>
        </w:rPr>
        <w:t>مفهوم عقل از دیدگاه دو شارح اصول کافی</w:t>
      </w:r>
      <w:bookmarkEnd w:id="367"/>
    </w:p>
    <w:p>
      <w:pPr>
        <w:pStyle w:val="Heading3"/>
        <w:numPr>
          <w:ilvl w:val="2"/>
          <w:numId w:val="1"/>
        </w:numPr>
        <w:rPr/>
      </w:pPr>
      <w:bookmarkStart w:id="368" w:name="__RefHeading___Toc651933_1878427129"/>
      <w:bookmarkStart w:id="369" w:name="_Toc141"/>
      <w:bookmarkEnd w:id="368"/>
      <w:r>
        <w:rPr>
          <w:rtl w:val="true"/>
        </w:rPr>
        <w:t>اشارة</w:t>
      </w:r>
      <w:bookmarkEnd w:id="369"/>
    </w:p>
    <w:p>
      <w:pPr>
        <w:pStyle w:val="BookText"/>
        <w:rPr/>
      </w:pPr>
      <w:r>
        <w:rPr>
          <w:rFonts w:ascii="IRNazanin" w:hAnsi="IRNazanin" w:eastAsia="IRNazanin"/>
          <w:color w:val="111111"/>
          <w:sz w:val="28"/>
          <w:sz w:val="28"/>
          <w:szCs w:val="28"/>
          <w:rtl w:val="true"/>
          <w:lang w:bidi="fa-IR"/>
        </w:rPr>
        <w:t xml:space="preserve">مفهوم عقل از دیدگاه دو شارح اصول کافی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عبدالحسین کافی</w:t>
      </w:r>
    </w:p>
    <w:p>
      <w:pPr>
        <w:pStyle w:val="Heading3"/>
        <w:numPr>
          <w:ilvl w:val="2"/>
          <w:numId w:val="1"/>
        </w:numPr>
        <w:rPr/>
      </w:pPr>
      <w:bookmarkStart w:id="370" w:name="__RefHeading___Toc651935_1878427129"/>
      <w:bookmarkStart w:id="371" w:name="_Toc142"/>
      <w:bookmarkEnd w:id="370"/>
      <w:r>
        <w:rPr>
          <w:rtl w:val="true"/>
        </w:rPr>
        <w:t>چکیده</w:t>
      </w:r>
      <w:bookmarkEnd w:id="371"/>
    </w:p>
    <w:p>
      <w:pPr>
        <w:pStyle w:val="BookText"/>
        <w:rPr/>
      </w:pPr>
      <w:r>
        <w:rPr>
          <w:rFonts w:ascii="IRNazanin" w:hAnsi="IRNazanin" w:eastAsia="IRNazanin"/>
          <w:color w:val="111111"/>
          <w:sz w:val="28"/>
          <w:sz w:val="28"/>
          <w:szCs w:val="28"/>
          <w:rtl w:val="true"/>
          <w:lang w:bidi="fa-IR"/>
        </w:rPr>
        <w:t xml:space="preserve">در این مقاله سعی شده تا برداشت‌های ملا صدرا و علّامه محمد باقر مجلسی دربارۀ مفهوم عقل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الکافی مورد تحقیق و کاوش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این مقاله در دو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دربارۀ تبیین و توضیح معنای عقل در لغت، اصطلاح و دیدگاه ملا صدرا و علّامه مجلسی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تطبیق دیدگاه ملا صدرا و علّامه مجلسی بر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نظرهای آنها دربارۀ مفهوم عقل در تک تک روایات اصول الکافی آورده شده است</w:t>
      </w:r>
      <w:r>
        <w:rPr>
          <w:rFonts w:eastAsia="IRNazanin" w:cs="IRNazanin"/>
          <w:color w:val="111111"/>
          <w:sz w:val="28"/>
          <w:szCs w:val="28"/>
          <w:rtl w:val="true"/>
          <w:lang w:bidi="fa-IR"/>
        </w:rPr>
        <w:t>.</w:t>
      </w:r>
    </w:p>
    <w:p>
      <w:pPr>
        <w:pStyle w:val="Heading3"/>
        <w:numPr>
          <w:ilvl w:val="2"/>
          <w:numId w:val="1"/>
        </w:numPr>
        <w:rPr/>
      </w:pPr>
      <w:bookmarkStart w:id="372" w:name="__RefHeading___Toc651937_1878427129"/>
      <w:bookmarkStart w:id="373" w:name="_Toc143"/>
      <w:bookmarkEnd w:id="372"/>
      <w:r>
        <w:rPr>
          <w:rtl w:val="true"/>
        </w:rPr>
        <w:t>درآمد</w:t>
      </w:r>
      <w:bookmarkEnd w:id="373"/>
    </w:p>
    <w:p>
      <w:pPr>
        <w:pStyle w:val="BookText"/>
        <w:rPr/>
      </w:pPr>
      <w:r>
        <w:rPr>
          <w:rFonts w:ascii="IRNazanin" w:hAnsi="IRNazanin" w:eastAsia="IRNazanin"/>
          <w:color w:val="111111"/>
          <w:sz w:val="28"/>
          <w:sz w:val="28"/>
          <w:szCs w:val="28"/>
          <w:rtl w:val="true"/>
          <w:lang w:bidi="fa-IR"/>
        </w:rPr>
        <w:t xml:space="preserve">در این نوشتار سعی شده است که برداشت‌های ملّاصدرا و علّامه مجلسی دربارۀ مفهوم عقل 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 مورد تحقیق و کاوش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در دو بخش تنظیم شده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 دربارۀ تبیین و توضیح معنای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مانند معنای لغوی و اصطلاحی عقل، معنای عقل از دیدگاه ملّاصدرا و علّامه مجلسی را در این بخش می‌توان یافت</w:t>
      </w:r>
      <w:r>
        <w:rPr>
          <w:rFonts w:eastAsia="IRNazanin" w:cs="IRNazanin"/>
          <w:color w:val="111111"/>
          <w:sz w:val="28"/>
          <w:szCs w:val="28"/>
          <w:rtl w:val="true"/>
          <w:lang w:bidi="fa-IR"/>
        </w:rPr>
        <w:t xml:space="preserve">. </w:t>
      </w:r>
      <w:bookmarkStart w:id="374" w:name="pg14553_191869"/>
    </w:p>
    <w:p>
      <w:pPr>
        <w:pStyle w:val="BookText"/>
        <w:rPr/>
      </w:pPr>
      <w:bookmarkEnd w:id="374"/>
      <w:r>
        <w:rPr>
          <w:rFonts w:ascii="IRNazanin" w:hAnsi="IRNazanin" w:eastAsia="IRNazanin"/>
          <w:color w:val="111111"/>
          <w:sz w:val="28"/>
          <w:sz w:val="28"/>
          <w:szCs w:val="28"/>
          <w:rtl w:val="true"/>
          <w:lang w:bidi="fa-IR"/>
        </w:rPr>
        <w:t xml:space="preserve">در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دیدگاه ملّا صدرا و علّامه مجلسی بر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نظرهای آنها دربارۀ مفهوم عقل در تک تک روایات اصول کافی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تحقیق کمک به برداشتی صحیح‌تر از مفهوم عقل در روایات معصومان علیهم السلام است</w:t>
      </w:r>
      <w:r>
        <w:rPr>
          <w:rFonts w:eastAsia="IRNazanin" w:cs="IRNazanin"/>
          <w:color w:val="111111"/>
          <w:sz w:val="28"/>
          <w:szCs w:val="28"/>
          <w:rtl w:val="true"/>
          <w:lang w:bidi="fa-IR"/>
        </w:rPr>
        <w:t>.</w:t>
      </w:r>
    </w:p>
    <w:p>
      <w:pPr>
        <w:pStyle w:val="Heading3"/>
        <w:numPr>
          <w:ilvl w:val="2"/>
          <w:numId w:val="1"/>
        </w:numPr>
        <w:rPr/>
      </w:pPr>
      <w:bookmarkStart w:id="375" w:name="__RefHeading___Toc651939_1878427129"/>
      <w:bookmarkStart w:id="376" w:name="_Toc144"/>
      <w:bookmarkEnd w:id="375"/>
      <w:r>
        <w:rPr>
          <w:rtl w:val="true"/>
        </w:rPr>
        <w:t>بخش اول</w:t>
      </w:r>
      <w:r>
        <w:rPr>
          <w:rtl w:val="true"/>
        </w:rPr>
        <w:t xml:space="preserve">: </w:t>
      </w:r>
      <w:r>
        <w:rPr>
          <w:rtl w:val="true"/>
        </w:rPr>
        <w:t>معنای عقل</w:t>
      </w:r>
      <w:bookmarkEnd w:id="376"/>
    </w:p>
    <w:p>
      <w:pPr>
        <w:pStyle w:val="Heading4"/>
        <w:numPr>
          <w:ilvl w:val="3"/>
          <w:numId w:val="1"/>
        </w:numPr>
        <w:rPr/>
      </w:pPr>
      <w:bookmarkStart w:id="377" w:name="__RefHeading___Toc651941_1878427129"/>
      <w:bookmarkStart w:id="378" w:name="_Toc145"/>
      <w:bookmarkEnd w:id="377"/>
      <w:r>
        <w:rPr>
          <w:rtl w:val="true"/>
        </w:rPr>
        <w:t>معنای لغوی</w:t>
      </w:r>
      <w:bookmarkEnd w:id="378"/>
    </w:p>
    <w:p>
      <w:pPr>
        <w:pStyle w:val="BookText"/>
        <w:rPr/>
      </w:pPr>
      <w:r>
        <w:rPr>
          <w:rFonts w:ascii="IRNazanin" w:hAnsi="IRNazanin" w:eastAsia="IRNazanin"/>
          <w:color w:val="111111"/>
          <w:sz w:val="28"/>
          <w:sz w:val="28"/>
          <w:szCs w:val="28"/>
          <w:rtl w:val="true"/>
          <w:lang w:bidi="fa-IR"/>
        </w:rPr>
        <w:t xml:space="preserve">اصل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مشتقات آن، به این معنای اصلی باز می‌گردد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فی غریب الحدیث و الأثر، مجدالدین أبو السعادات المبارک بن محمد ابن اثیر الجزری،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2139</w:t>
      </w:r>
      <w:r>
        <w:rPr>
          <w:rFonts w:ascii="IRNazanin" w:hAnsi="IRNazanin" w:eastAsia="IRNazanin"/>
          <w:color w:val="111111"/>
          <w:sz w:val="28"/>
          <w:sz w:val="28"/>
          <w:szCs w:val="28"/>
          <w:rtl w:val="true"/>
          <w:lang w:bidi="fa-IR"/>
        </w:rPr>
        <w:t xml:space="preserve">؛ تاج اللغة و صحاح العربیة، اسماعیل بن حمّاد الجوهری،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1769</w:t>
      </w:r>
      <w:r>
        <w:rPr>
          <w:rFonts w:ascii="IRNazanin" w:hAnsi="IRNazanin" w:eastAsia="IRNazanin"/>
          <w:color w:val="111111"/>
          <w:sz w:val="28"/>
          <w:sz w:val="28"/>
          <w:szCs w:val="28"/>
          <w:rtl w:val="true"/>
          <w:lang w:bidi="fa-IR"/>
        </w:rPr>
        <w:t xml:space="preserve">؛ المصباح المنیر، أحمد بن محمدبن علی المقری الفیّومی، ص </w:t>
      </w:r>
      <w:r>
        <w:rPr>
          <w:rFonts w:eastAsia="IRNazanin" w:cs="IRNazanin"/>
          <w:color w:val="111111"/>
          <w:sz w:val="28"/>
          <w:szCs w:val="28"/>
          <w:lang w:bidi="fa-IR"/>
        </w:rPr>
        <w:t>422</w:t>
      </w:r>
      <w:r>
        <w:rPr>
          <w:rFonts w:eastAsia="IRNazanin" w:cs="IRNazanin"/>
          <w:color w:val="111111"/>
          <w:sz w:val="28"/>
          <w:szCs w:val="28"/>
          <w:rtl w:val="true"/>
          <w:lang w:bidi="fa-IR"/>
        </w:rPr>
        <w:t>-</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مفردات ألفاظ القرآن، الراغب الاصفهانی، ص </w:t>
      </w:r>
      <w:r>
        <w:rPr>
          <w:rFonts w:eastAsia="IRNazanin" w:cs="IRNazanin"/>
          <w:color w:val="111111"/>
          <w:sz w:val="28"/>
          <w:szCs w:val="28"/>
          <w:lang w:bidi="fa-IR"/>
        </w:rPr>
        <w:t>577</w:t>
      </w:r>
      <w:r>
        <w:rPr>
          <w:rFonts w:eastAsia="IRNazanin" w:cs="IRNazanin"/>
          <w:color w:val="111111"/>
          <w:sz w:val="28"/>
          <w:szCs w:val="28"/>
          <w:rtl w:val="true"/>
          <w:lang w:bidi="fa-IR"/>
        </w:rPr>
        <w:t>-</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 xml:space="preserve">؛ التعریفات، الشریف علی بن محمد،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العین، أبو عبدالرحمن الخلیل بن أحمد الفراهیدی،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دربارۀ این مادّه بر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العین و القاف و اللام أصل واحد منقاس مطّرد، یدلُّ عُظْمه علی حُبْسة فی الشیء أو ما یقارب الحُبْسة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ذلک العقل، و هو الحابس عن ذمیم القول و الفعل؛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ریشه‌ای واحد، قیاسی و فراگیر است که اکثر موارد کاربرد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معنایی نزدیک به آن دربارۀ اشیا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از همین معنا برگرفته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و رفتار ناپسند باز می‌دارد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نقیض عقل، جهل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الجهل</w:t>
      </w:r>
      <w:r>
        <w:rPr>
          <w:rFonts w:eastAsia="IRNazanin" w:cs="IRNazanin"/>
          <w:color w:val="111111"/>
          <w:sz w:val="28"/>
          <w:szCs w:val="28"/>
          <w:rtl w:val="true"/>
          <w:lang w:bidi="fa-IR"/>
        </w:rPr>
        <w:t xml:space="preserve">» . </w:t>
      </w:r>
      <w:r>
        <w:rPr>
          <w:rStyle w:val="FootnoteAnchor"/>
          <w:rtl w:val="true"/>
        </w:rPr>
        <w:footnoteReference w:id="415"/>
      </w:r>
      <w:r>
        <w:rPr>
          <w:rFonts w:ascii="IRNazanin" w:hAnsi="IRNazanin" w:eastAsia="IRNazanin"/>
          <w:color w:val="111111"/>
          <w:sz w:val="28"/>
          <w:sz w:val="28"/>
          <w:szCs w:val="28"/>
          <w:rtl w:val="true"/>
          <w:lang w:bidi="fa-IR"/>
        </w:rPr>
        <w:t xml:space="preserve">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نقیض فلسفی نیست، بلکه مراد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این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 امر </w:t>
      </w:r>
      <w:bookmarkStart w:id="379" w:name="pg14553_191870"/>
    </w:p>
    <w:p>
      <w:pPr>
        <w:pStyle w:val="BookText"/>
        <w:rPr/>
      </w:pPr>
      <w:bookmarkEnd w:id="379"/>
      <w:r>
        <w:rPr>
          <w:rFonts w:ascii="IRNazanin" w:hAnsi="IRNazanin" w:eastAsia="IRNazanin"/>
          <w:color w:val="111111"/>
          <w:sz w:val="28"/>
          <w:sz w:val="28"/>
          <w:szCs w:val="28"/>
          <w:rtl w:val="true"/>
          <w:lang w:bidi="fa-IR"/>
        </w:rPr>
        <w:t xml:space="preserve">وجودی‌اند،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محمد بن ابراهیم صدرالدین الشیرازی،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ابوالبقاء، برخی از نام‌های عقل را بر شمرده،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زیرا منتخب پروردگار و برگزیده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زیرا به کمک عقل، انسان 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بر تمام معانی دست یازد؛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زیرا عقل از انجام نافرمانی‌ها نهی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به خاطر این که زیرکی و شناخت و رأی، به عقل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بالاترین خوبی است که به بنده عطا می‌شود و او را به نیکبختی دنیا و آخرت می‌رساند</w:t>
      </w:r>
      <w:r>
        <w:rPr>
          <w:rFonts w:eastAsia="IRNazanin" w:cs="IRNazanin"/>
          <w:color w:val="111111"/>
          <w:sz w:val="28"/>
          <w:szCs w:val="28"/>
          <w:rtl w:val="true"/>
          <w:lang w:bidi="fa-IR"/>
        </w:rPr>
        <w:t xml:space="preserve">. </w:t>
      </w:r>
      <w:r>
        <w:rPr>
          <w:rStyle w:val="FootnoteAnchor"/>
          <w:rtl w:val="true"/>
        </w:rPr>
        <w:footnoteReference w:id="417"/>
      </w:r>
    </w:p>
    <w:p>
      <w:pPr>
        <w:pStyle w:val="Heading4"/>
        <w:numPr>
          <w:ilvl w:val="3"/>
          <w:numId w:val="1"/>
        </w:numPr>
        <w:rPr/>
      </w:pPr>
      <w:bookmarkStart w:id="380" w:name="__RefHeading___Toc651943_1878427129"/>
      <w:bookmarkStart w:id="381" w:name="_Toc146"/>
      <w:bookmarkEnd w:id="380"/>
      <w:r>
        <w:rPr>
          <w:rtl w:val="true"/>
        </w:rPr>
        <w:t>معنای اصطلاحی</w:t>
      </w:r>
      <w:bookmarkEnd w:id="381"/>
    </w:p>
    <w:p>
      <w:pPr>
        <w:pStyle w:val="BookText"/>
        <w:rPr/>
      </w:pPr>
      <w:r>
        <w:rPr>
          <w:rFonts w:ascii="IRNazanin" w:hAnsi="IRNazanin" w:eastAsia="IRNazanin"/>
          <w:color w:val="111111"/>
          <w:sz w:val="28"/>
          <w:sz w:val="28"/>
          <w:szCs w:val="28"/>
          <w:rtl w:val="true"/>
          <w:lang w:bidi="fa-IR"/>
        </w:rPr>
        <w:t>معانی اصطلاحی عقل متعدد است و عالمان مسلمان هریک با توجه به گرایش‌های فکری خود، یک یا چند معنا را برای آن بیان کرده‌اند</w:t>
      </w:r>
      <w:r>
        <w:rPr>
          <w:rFonts w:eastAsia="IRNazanin" w:cs="IRNazanin"/>
          <w:color w:val="111111"/>
          <w:sz w:val="28"/>
          <w:szCs w:val="28"/>
          <w:rtl w:val="true"/>
          <w:lang w:bidi="fa-IR"/>
        </w:rPr>
        <w:t xml:space="preserve">. </w:t>
      </w:r>
      <w:r>
        <w:rPr>
          <w:rStyle w:val="FootnoteAnchor"/>
          <w:rtl w:val="true"/>
        </w:rPr>
        <w:footnoteReference w:id="418"/>
      </w:r>
    </w:p>
    <w:p>
      <w:pPr>
        <w:pStyle w:val="Heading4"/>
        <w:numPr>
          <w:ilvl w:val="3"/>
          <w:numId w:val="1"/>
        </w:numPr>
        <w:rPr/>
      </w:pPr>
      <w:bookmarkStart w:id="382" w:name="__RefHeading___Toc651945_1878427129"/>
      <w:bookmarkStart w:id="383" w:name="_Toc147"/>
      <w:bookmarkEnd w:id="382"/>
      <w:r>
        <w:rPr>
          <w:rtl w:val="true"/>
        </w:rPr>
        <w:t>معنای عقل از دیدگاه ملّا صدرا</w:t>
      </w:r>
      <w:bookmarkEnd w:id="38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عقل از منظر ملّا صدرا در موارد متعددی از آثار وی یافت می‌شود</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است که به‌طور کلی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می‌توان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لفظی؛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تشکیکی</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صدرا در تبیین معانی عقل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و 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دو واژه، چندان دور از ذهن نیست؛ امّا توضیحی مختصر دربارۀ آنها، خالی از فایده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اشتراک لفظی است؛ یعنی این کلمه در معانی متعدد متباین به کار می‌رود؛ 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عربی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که برای معانی متعدد متباین 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برخی از معانی واژه عقل، مرتبه‌هایی دارد که بر هر مرتبه صادق است؛ مثل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همه نورهای ضعیف و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کثرت 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اشتراک لفظی شش مورد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معنای نخست، عقل غریزه‌ای است که انسان به وسیله آن از حیوانات امتیاز می‌یابد و آماده پذیرش دانش‌های نظری و اندیشیدن در صنعت‌های فکری می‌شود، و در آن، کودن و هوشمند یکسان‌اند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 این معنای عقل را در کتاب برهان مورد استفاده قرار می‌دهند و مقصودشان از آن، نیرویی است که نفس به وسیله آن بدون قیاس و فکر و به صورت فطری به مقدمات بدیهی دست می‌یابد و به علوم آغازین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دوم، اصطلاح متکلمان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این را اثبات و آن را نفی می‌کند، و مقصود ایشان معانی ضروری نزد همگان یا بیشتر مردم می‌باشد؛ مانند این که عدد دو، دو برابر عدد یک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سوم، عقلی است که در کتب اخلاق به کار می‌رود و مقصود از آن، بخشی از نفس است که به سبب مواظبت بر اعتقاد به تدریج و در طول تجربه حاصل می‌شود و به وسیله آن به قضایایی دست می‌یابیم که به کمک آنها، اعمالی که باید انجام یا ترک شود، استنباط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چهارم چیزی است که به واسطه وجود آن در کسی، مردم می‌گویند که او عاقل است، و بازگشت آن به خوب فهمیدن و سرعت ادراک در استنباط چیزی است که سزاوار گزینش یا اجتناب است؛ گرچه در زمینه غرض‌های دنیایی و هوای نفس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پنجمین مورد، عقلی است که در کتاب نفس نامبردار شده و آن را چهار گونه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بالقوّه؛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بالملکه؛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بالفعل؛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مستفاد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مورد نیز عقلی است که در کتاب الهیات مطرح گردیده و آن را موجودی گفته‌اند که تعلقی به چیزی جز مبدع و آفریننده خود، خداوند قیّوم، ندارد و کمالاتش بالفعل است و در آن هیچ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و قصور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کاربردهای تشکیکی واژه عقل نیز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عقول چهارگانه در کتاب نفس؛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عقل عملی در کتب اخلاق؛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عقل به معنای ششم در نزد گروهی از حکما؛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 عقلیه؛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به معنای غریزه انسانی که بدان از چارپایان تمایز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وجه اشتراک همه معانی عقل، ملّا صدرا چنین اعتقاد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أن جمیع معانی لفظ العقل علی تباینها و تشکیکها یجمعها أمر واحد یشترک الکل فیه، و هو کونه غیر جسم و لا صفة لجسم و لاجسمانی، و لأجل اشتراکها فی هذا المفهوم یصحّ أن یجعل موضوعاً لعلم واحد، و أن یوضع له کتاب واحد یبحث عن أحوال أقسامه و عوارضها الذاتیّة کما فی هذا الکتاب الذی نحن فیه من کتب الکافی؛ </w:t>
      </w:r>
      <w:r>
        <w:rPr>
          <w:rStyle w:val="FootnoteAnchor"/>
          <w:rtl w:val="true"/>
        </w:rPr>
        <w:footnoteReference w:id="4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مفهوم که در تمام معانی لفظ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تباین و تشکیک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 آنها را فراهم می‌آورد، و آن غیر جسمانی بودن و صفت نبودن آن برای جسم و جسمانی است، از آن روی که جسمانی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جهت اشتراکش در این مفهوم، شایسته است که موضوع علم واحدی قرار گیرد و دربارۀ آن کتاب واحدی وضع گردد که در آن، از احوال اقسام و عوارض ذاتی آن بحث شود؛ چنان که ما در این جا بحث می‌کنیم</w:t>
      </w:r>
      <w:r>
        <w:rPr>
          <w:rFonts w:eastAsia="IRNazanin" w:cs="IRNazanin"/>
          <w:color w:val="111111"/>
          <w:sz w:val="28"/>
          <w:szCs w:val="28"/>
          <w:rtl w:val="true"/>
          <w:lang w:bidi="fa-IR"/>
        </w:rPr>
        <w:t xml:space="preserve">. </w:t>
      </w:r>
      <w:bookmarkStart w:id="384" w:name="pg14553_191873"/>
    </w:p>
    <w:p>
      <w:pPr>
        <w:pStyle w:val="Heading4"/>
        <w:numPr>
          <w:ilvl w:val="3"/>
          <w:numId w:val="1"/>
        </w:numPr>
        <w:rPr/>
      </w:pPr>
      <w:bookmarkStart w:id="385" w:name="__RefHeading___Toc651947_1878427129"/>
      <w:bookmarkStart w:id="386" w:name="_Toc148"/>
      <w:bookmarkEnd w:id="384"/>
      <w:bookmarkEnd w:id="385"/>
      <w:r>
        <w:rPr>
          <w:rtl w:val="true"/>
        </w:rPr>
        <w:t>معنای عقل از دیدگاه علّامه مجلسی</w:t>
      </w:r>
      <w:bookmarkEnd w:id="386"/>
    </w:p>
    <w:p>
      <w:pPr>
        <w:pStyle w:val="BookText"/>
        <w:rPr/>
      </w:pPr>
      <w:r>
        <w:rPr>
          <w:rFonts w:ascii="IRNazanin" w:hAnsi="IRNazanin" w:eastAsia="IRNazanin"/>
          <w:color w:val="111111"/>
          <w:sz w:val="28"/>
          <w:sz w:val="28"/>
          <w:szCs w:val="28"/>
          <w:rtl w:val="true"/>
          <w:lang w:bidi="fa-IR"/>
        </w:rPr>
        <w:t xml:space="preserve">علّامه مجلسی دست کم در سه مورد </w:t>
      </w:r>
      <w:r>
        <w:rPr>
          <w:rStyle w:val="FootnoteAnchor"/>
          <w:rtl w:val="true"/>
        </w:rPr>
        <w:footnoteReference w:id="42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محمدباقر المجلسی،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کتاب الاربعین، محمدباقر المجلسی، 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مرآةالعقول، محمّدباقر المجلسی،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معانی عقل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از سویی عبارات ایشان در این موارد، مشابه یکدیگر و از سوی دیگر، موضوع این نوشتار، نگرش ایشان در شرح روایات کافی است، به نقل آنچه در مرآة العقول در این باره آمده است، اکتفا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علّامه مجلسی را چنین می‌توان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ادراک خیر و شر و تشخیص آن دو، و توان شناخت علل کارها و آنچه سبب انجام کاری می‌شود و آنچه از انجام آن باز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ملکه و حالتی در نفس که او را به گزینش خیرات و منافع و دوری از شرور و ضررها وا می‌دارد، و نفس به مدد این ملکه بر طرد خواهش‌های شهوت و خشم و وسوسه‌های اهریمنی توان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نیرویی که انسان‌ها آن را در نظم بخشیدن به امور زندگی و معاش خویش به کار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استعداد نفس و قرب و بعد آن نسبت به تحصیل نظریات که دارای چهار مرتبه عقل هیولانی، عقل بالملکه، عقل بالفعل و عقل مستفاد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ناطقه انسان که او را از بقیه چارپایان جدا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 مجرد قدیمی که در ذات و فعلش هیچ تعلقی به مادّه ندارد</w:t>
      </w:r>
      <w:r>
        <w:rPr>
          <w:rFonts w:eastAsia="IRNazanin" w:cs="IRNazanin"/>
          <w:color w:val="111111"/>
          <w:sz w:val="28"/>
          <w:szCs w:val="28"/>
          <w:rtl w:val="true"/>
          <w:lang w:bidi="fa-IR"/>
        </w:rPr>
        <w:t>.</w:t>
      </w:r>
    </w:p>
    <w:p>
      <w:pPr>
        <w:pStyle w:val="Heading4"/>
        <w:numPr>
          <w:ilvl w:val="3"/>
          <w:numId w:val="1"/>
        </w:numPr>
        <w:rPr/>
      </w:pPr>
      <w:bookmarkStart w:id="387" w:name="__RefHeading___Toc651949_1878427129"/>
      <w:bookmarkStart w:id="388" w:name="_Toc149"/>
      <w:bookmarkEnd w:id="387"/>
      <w:r>
        <w:rPr>
          <w:rtl w:val="true"/>
        </w:rPr>
        <w:t>مقایسه دیدگاه ملّا صدرا و علّامه مجلسی دربارۀ معنای عقل</w:t>
      </w:r>
      <w:bookmarkEnd w:id="388"/>
    </w:p>
    <w:p>
      <w:pPr>
        <w:pStyle w:val="BookText"/>
        <w:rPr/>
      </w:pPr>
      <w:r>
        <w:rPr>
          <w:rFonts w:ascii="IRNazanin" w:hAnsi="IRNazanin" w:eastAsia="IRNazanin"/>
          <w:color w:val="111111"/>
          <w:sz w:val="28"/>
          <w:sz w:val="28"/>
          <w:szCs w:val="28"/>
          <w:rtl w:val="true"/>
          <w:lang w:bidi="fa-IR"/>
        </w:rPr>
        <w:t>این بخش را می‌توان به دو قسمت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اشتراک؛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نقاط اشتراک</w:t>
      </w:r>
    </w:p>
    <w:p>
      <w:pPr>
        <w:pStyle w:val="BookText"/>
        <w:rPr/>
      </w:pPr>
      <w:r>
        <w:rPr>
          <w:rFonts w:ascii="IRNazanin" w:hAnsi="IRNazanin" w:eastAsia="IRNazanin"/>
          <w:color w:val="111111"/>
          <w:sz w:val="28"/>
          <w:sz w:val="28"/>
          <w:szCs w:val="28"/>
          <w:rtl w:val="true"/>
          <w:lang w:bidi="fa-IR"/>
        </w:rPr>
        <w:t>نقاط اشتراک نظر این دو فرزانه در بیان معانی عقل را می‌توان چنین بر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معنایی که علّامه مجلسی بر شمرده با نخستین معنایی که ملّا صدرا آورده</w:t>
      </w:r>
    </w:p>
    <w:p>
      <w:pPr>
        <w:pStyle w:val="BookText"/>
        <w:rPr/>
      </w:pPr>
      <w:r>
        <w:rPr>
          <w:rFonts w:ascii="IRNazanin" w:hAnsi="IRNazanin" w:eastAsia="IRNazanin"/>
          <w:color w:val="111111"/>
          <w:sz w:val="28"/>
          <w:sz w:val="28"/>
          <w:szCs w:val="28"/>
          <w:rtl w:val="true"/>
          <w:lang w:bidi="fa-IR"/>
        </w:rPr>
        <w:t>است مشابه‌اند؛ با این تفاوت که ملّا صدرا دربارۀ این معنا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غریزه‌ای که انسان با آن از چارپایان تمایزی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علّامه مجلسی آن را چنین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نیروی ادراک و تمیز خیر و شر و توان شناخت علل، معدّات و موانع اشیاء</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علّامه مجلسی به عنوان معنای سوم ذکر کرده، مشابه معنای چهارمی است که ملّا صدرا آن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این عقل را به خوش فکری و سرعت انتقال در استنباط آنچه باید انجام و یا اجتناب شود</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 xml:space="preserve">می‌داند و علّامه مجلسی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قوه‌ای که مردمان، آن را در تنظیم امور معاششان به کار می‌گیرند</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 xml:space="preserve">تعبیر می‌کند و سپس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می‌کند</w:t>
      </w:r>
      <w:r>
        <w:rPr>
          <w:rFonts w:eastAsia="IRNazanin" w:cs="IRNazanin"/>
          <w:color w:val="111111"/>
          <w:sz w:val="28"/>
          <w:szCs w:val="28"/>
          <w:rtl w:val="true"/>
          <w:lang w:bidi="fa-IR"/>
        </w:rPr>
        <w:t xml:space="preserve">. </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چهارم علّامه مجلسی با معنای پنجم مورد نظر ملّا صدرا انطباق دارد؛ یعنی هر دو، این عقل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علّامه مجلسی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استعداد نفس برای تحصیل نظریات</w:t>
      </w:r>
      <w:r>
        <w:rPr>
          <w:rFonts w:eastAsia="IRNazanin" w:cs="IRNazanin"/>
          <w:color w:val="111111"/>
          <w:sz w:val="28"/>
          <w:szCs w:val="28"/>
          <w:rtl w:val="true"/>
          <w:lang w:bidi="fa-IR"/>
        </w:rPr>
        <w:t xml:space="preserve">» </w:t>
      </w:r>
      <w:r>
        <w:rPr>
          <w:rStyle w:val="FootnoteAnchor"/>
          <w:rtl w:val="true"/>
        </w:rPr>
        <w:footnoteReference w:id="427"/>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چهار بخش تقسیم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 بالقوه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تعبیر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هیولانی</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بالملکه؛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بالفعل؛</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مستفاد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در این است که ملّا صدرا این مراتب را توضیح می‌دهد و علّامه به اشاره از آن می‌گذرد و خواننده را به مباحث مربوط به آن، ارجاع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این دو محقق در بیان معنای ششم تفاوتی با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معنای ششم را عقل مذکور در کتاب الهیات می‌داند و آن را موجودی معرفی می‌کند که هیچ تعلقی به هیچ چیز، جز به آفریننده‌اش خداوند قیّوم ندارد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این مطلب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ششم چیزی است که فلاسفه به آن</w:t>
      </w:r>
    </w:p>
    <w:p>
      <w:pPr>
        <w:pStyle w:val="BookText"/>
        <w:rPr/>
      </w:pPr>
      <w:r>
        <w:rPr>
          <w:rFonts w:ascii="IRNazanin" w:hAnsi="IRNazanin" w:eastAsia="IRNazanin"/>
          <w:color w:val="111111"/>
          <w:sz w:val="28"/>
          <w:sz w:val="28"/>
          <w:szCs w:val="28"/>
          <w:rtl w:val="true"/>
          <w:lang w:bidi="fa-IR"/>
        </w:rPr>
        <w:t>معتقدند و آن را به گمان خود اثبات کرده‌اند و آن جوهر مجرد قدیمی است که هیچ تعلّقی در ذات و فعلش به مادّه ندارد</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به خاطر داشته باشید که در برابر ملّا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معنای ششم را توضیحی نسبتاً طولانی داده است و آن را با قداستی خاص بیان نموده است </w:t>
      </w:r>
      <w:r>
        <w:rPr>
          <w:rStyle w:val="FootnoteAnchor"/>
          <w:rtl w:val="true"/>
        </w:rPr>
        <w:footnoteReference w:id="430"/>
      </w:r>
      <w:r>
        <w:rPr>
          <w:rFonts w:ascii="IRNazanin" w:hAnsi="IRNazanin" w:eastAsia="IRNazanin"/>
          <w:color w:val="111111"/>
          <w:sz w:val="28"/>
          <w:sz w:val="28"/>
          <w:szCs w:val="28"/>
          <w:rtl w:val="true"/>
          <w:lang w:bidi="fa-IR"/>
        </w:rPr>
        <w:t xml:space="preserve">علّامه مجلسی دربارۀ این معنا یادآور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شدن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گونه‌ای که فلاسفه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 انکار بسیاری از ضروریات دین از قبیل حدوث عالم و جز آن است که اینجا گنجایش ذکر آن را ندارد</w:t>
      </w:r>
      <w:r>
        <w:rPr>
          <w:rFonts w:eastAsia="IRNazanin" w:cs="IRNazanin"/>
          <w:color w:val="111111"/>
          <w:sz w:val="28"/>
          <w:szCs w:val="28"/>
          <w:rtl w:val="true"/>
          <w:lang w:bidi="fa-IR"/>
        </w:rPr>
        <w:t xml:space="preserve">» . </w:t>
      </w:r>
      <w:r>
        <w:rPr>
          <w:rStyle w:val="FootnoteAnchor"/>
          <w:rtl w:val="true"/>
        </w:rPr>
        <w:footnoteReference w:id="431"/>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فلاسفه که خود را به اسلام بسته‌اند، عقولی حادث را ملتزم شده‌اند؛ و آن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آنها اثبات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 انکار بسیاری از اصول ثابت اسلام خواهد بود، گو این‌که وجود مجردی جز خداوند متعالی از روایات استفاده نمی‌شود</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وی در پایان معنای ششم تأکید می‌کند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لیس لهم علی هذه الامور دلیل إلاّ مَمَوَّهات شُبَهات أو خیالات غریبة، زیّنوها بلطائف عبارات؛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و بر این چیزها دلیلی ندارند، جز باطل‌های برساخته حق مانند، یا اوهامی دور که آنها را با عباراتی فریبنده آراسته‌اند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و علّامه دربارۀ مفهوم معنای ششم کاملاً اتفاق نظر دارند؛ اما یکی مصداق هم برای آن قائل است و دیگری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اختلاف نظر بر سر وجود و عدم مصداق، محور این بحث را تشکیل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اول ملّا صدرا و معنای پنجم علّامه، هر دو، سبب تمایز انسان از سایر چارپایان می‌گردند؛ گرچه این دو معنای اختلاف‌هایی نیز دارند که در جای خود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نقاط اختلاف</w:t>
      </w:r>
    </w:p>
    <w:p>
      <w:pPr>
        <w:pStyle w:val="BookText"/>
        <w:rPr/>
      </w:pPr>
      <w:r>
        <w:rPr>
          <w:rFonts w:ascii="IRNazanin" w:hAnsi="IRNazanin" w:eastAsia="IRNazanin"/>
          <w:color w:val="111111"/>
          <w:sz w:val="28"/>
          <w:sz w:val="28"/>
          <w:szCs w:val="28"/>
          <w:rtl w:val="true"/>
          <w:lang w:bidi="fa-IR"/>
        </w:rPr>
        <w:t>قسمت‌های مورد اختلاف این دو دانشمند گرانقدر، بیش از موارد اتفاق آنهاست؛ بنابراین، به بخشی از آنها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صدرا بین معانی اشتراکی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تباین قائل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حال آنکه علّامه، بنابر یک احتمال، معنای دوم را، تکامل یافته معنای اول می‌داند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مغایرت معنای سوم را با معانی اول و دوم،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هر یک از این معانی، به یک بُعد از ابعاد عقل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ظاهر عبارت علّامه آن است که مراتب استعداد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آنچه در ابتدا بیان نموده باز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شاید بتوان اختلاف عبارات این دو فرزانه را دربارۀ اتحاد و تعدد معانی عقل به این صورت بر طرف کرد که آنها معتقدند وجود خارجی عقل، یکی است، اما کاربردهای متعددی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کارکردها و معانی از نظر مفهوم، با هم متباین و متفاوت‌اند، اما همه، کارکردهای یک عقل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این اختلاف ظاهری که در عبارات آنها دیده می‌شود از میان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اصرار ملّا صدرا بر اشتراک لفظی و تباین معانی عقل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ناظر به کاربردهای متباین آن است و ارجاع معانی عقل به شیء واحد که در عبارات علّامه دیده می‌شود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مصداق خارجی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دارد، چنان‌که خود ایشان نیز به این مطلب اشاره کرده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اول ملّا صدرا و معنای پنجم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گذشت شبیه یکدیگرند، اما اختلاف این دو معنا را نیز نباید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معنای پنجم را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ناطقه انسان می‌داند که به وسیله آن از سایر چهارپایان امتیاز داده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ملّا صدرا آن را غریزه‌ای می‌داند که سبب امتیاز انسان از چهار پایان می‌گردد و برای پذیرش علوم نظری و صناعات فکری آماده می‌گردد، کودن و هوشمند در آن برابرند و در خوابیده و بیهوش و غافل نیز یافت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bookmarkStart w:id="389" w:name="pg14553_191877"/>
    </w:p>
    <w:p>
      <w:pPr>
        <w:pStyle w:val="BookText"/>
        <w:rPr/>
      </w:pPr>
      <w:bookmarkEnd w:id="38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صدرا به معنای دوم مورد نظر علّامه مجلسی اشاره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معنای دوم مورد نظر ملّا صدرا را بیان ننموده است</w:t>
      </w:r>
      <w:r>
        <w:rPr>
          <w:rFonts w:eastAsia="IRNazanin" w:cs="IRNazanin"/>
          <w:color w:val="111111"/>
          <w:sz w:val="28"/>
          <w:szCs w:val="28"/>
          <w:rtl w:val="true"/>
          <w:lang w:bidi="fa-IR"/>
        </w:rPr>
        <w:t>.</w:t>
      </w:r>
    </w:p>
    <w:p>
      <w:pPr>
        <w:pStyle w:val="Heading4"/>
        <w:numPr>
          <w:ilvl w:val="3"/>
          <w:numId w:val="1"/>
        </w:numPr>
        <w:rPr/>
      </w:pPr>
      <w:bookmarkStart w:id="390" w:name="__RefHeading___Toc651951_1878427129"/>
      <w:bookmarkStart w:id="391" w:name="_Toc150"/>
      <w:bookmarkEnd w:id="390"/>
      <w:r>
        <w:rPr>
          <w:rtl w:val="true"/>
        </w:rPr>
        <w:t>اعتبار روایات عقل از دیدگاه علّامه مجلسی و ملّا صدرا</w:t>
      </w:r>
      <w:bookmarkEnd w:id="391"/>
    </w:p>
    <w:p>
      <w:pPr>
        <w:pStyle w:val="BookText"/>
        <w:rPr/>
      </w:pPr>
      <w:r>
        <w:rPr>
          <w:rFonts w:ascii="IRNazanin" w:hAnsi="IRNazanin" w:eastAsia="IRNazanin"/>
          <w:color w:val="111111"/>
          <w:sz w:val="28"/>
          <w:sz w:val="28"/>
          <w:szCs w:val="28"/>
          <w:rtl w:val="true"/>
          <w:lang w:bidi="fa-IR"/>
        </w:rPr>
        <w:t>به کمک دلایل، قرائن و شواهد می‌توان معتبر بودن برخی از روایاتی را که در صدد تعریف عقل برآمده‌اند، از نظر علّامه مجلسی و ملّا صدرا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تصریحات و قرائنی که در عبارات علّامه مجلسی می‌توان دید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مقدمۀ مرآة العقول دربارۀ اعتبار روایات الکافی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در این باره و آنچه در نزد من، حق است، این است که وجود خبر در امثال این اصول معتبر، جواز عمل به آن را در پی دارد، اما چاره‌ای از رجوع به سندها نیست تا در هنگام تعارض، بعضی از آنها بر بعضی دیگر ترجیح داده شود؛ زیرا معتبر بودن همه این اسناد منافاتی با قوی‌تر بودن بعضی از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بطلان سخن گزافه‌گویان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کتاب الکافی بر حضرت قائم علیه السلام عرضه شده، چون شیخ کلینی در شهر سفرا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هیچ عاقلی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انکار نکردن آن حضرت و پدرانش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و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و امثال او را در تألیفات و روایاتشان، از چیزهایی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قریب به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دارد که ایشان علیه السلام به کار آنان رضایت داشته‌اند و عمل به اخبار آنان را تجویز نموده‌اند</w:t>
      </w:r>
      <w:r>
        <w:rPr>
          <w:rFonts w:eastAsia="IRNazanin" w:cs="IRNazanin"/>
          <w:color w:val="111111"/>
          <w:sz w:val="28"/>
          <w:szCs w:val="28"/>
          <w:rtl w:val="true"/>
          <w:lang w:bidi="fa-IR"/>
        </w:rPr>
        <w:t xml:space="preserve">. </w:t>
      </w:r>
      <w:r>
        <w:rPr>
          <w:rStyle w:val="FootnoteAnchor"/>
          <w:rtl w:val="true"/>
        </w:rPr>
        <w:footnoteReference w:id="4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روایات یکم و دهم و هجدهم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چهارم و پنجم و سی و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ذیل روایات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یک از این روایات، یک جنبه از ابعاد حقیقت عقل را نزد معصومین علیهم السلام تبیین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روایات پیرامون عقل در کتاب گرانسنگ بحار الأنوار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دیدگاه کسانی که بر این باورند علّامه مجلسی در این دایرة المعارف حدیثی فقط در صدد جمع آوری احادیث نبوده؛ بلکه روایات و احادیثی را که دارای ارزش و اعتبارند ثبت، تدوین و ضبط نموده است، می‌توان ادعا کرد روایات عقل دارای </w:t>
      </w:r>
      <w:bookmarkStart w:id="392" w:name="pg14553_191878"/>
    </w:p>
    <w:p>
      <w:pPr>
        <w:pStyle w:val="BookText"/>
        <w:rPr/>
      </w:pPr>
      <w:bookmarkEnd w:id="392"/>
      <w:r>
        <w:rPr>
          <w:rFonts w:ascii="IRNazanin" w:hAnsi="IRNazanin" w:eastAsia="IRNazanin"/>
          <w:color w:val="111111"/>
          <w:sz w:val="28"/>
          <w:sz w:val="28"/>
          <w:szCs w:val="28"/>
          <w:rtl w:val="true"/>
          <w:lang w:bidi="fa-IR"/>
        </w:rPr>
        <w:t>اعتبارند؛ مگر مواردی که ایشان تصریح به خلاف نموده باشد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بحار الأنوار،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احمد عابدی در فصل پنجم این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اعتبار روایات بحار الأنوار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بحث پرداخته و شواهد بسیاری بر این مدّعا اقامه کرده است که به دلیل مفصل بودن از نقل آن چشم می‌پوشیم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می‌کنم که بر اساس بررسی انجام شده، مرحوم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جز در یک مورد از احادیث عقل، روایتی را تضعیف نکرده است</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در این باره دلایل و قرائنی را نیز می‌توان در کلام ملّا صدرا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پس از نقل حدیث دوم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حدیث ضعیف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راویان ضعیفی نظیر سهل بن زیاد و مفضّل بن صالح و جز آنان در طریق 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لیکن این ضعف، زیانی به صحت مضمون آن نمی‌رساند، 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احادیث رسیده دربارۀ اصول معارف و مسائل توحید و جز آن نیز چنین است</w:t>
      </w:r>
      <w:r>
        <w:rPr>
          <w:rFonts w:eastAsia="IRNazanin" w:cs="IRNazanin"/>
          <w:color w:val="111111"/>
          <w:sz w:val="28"/>
          <w:szCs w:val="28"/>
          <w:rtl w:val="true"/>
          <w:lang w:bidi="fa-IR"/>
        </w:rPr>
        <w:t xml:space="preserve">. </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صدرا در بررسی تعدادی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موثق بودن راویان آنها تأکید می‌ورزد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93" w:name="__RefHeading___Toc651953_1878427129"/>
      <w:bookmarkStart w:id="394" w:name="_Toc151"/>
      <w:bookmarkEnd w:id="393"/>
      <w:r>
        <w:rPr>
          <w:rtl w:val="true"/>
        </w:rPr>
        <w:t>بخش دوم</w:t>
      </w:r>
      <w:r>
        <w:rPr>
          <w:rtl w:val="true"/>
        </w:rPr>
        <w:t xml:space="preserve">: </w:t>
      </w:r>
      <w:r>
        <w:rPr>
          <w:rtl w:val="true"/>
        </w:rPr>
        <w:t>حمل روایات بر معانی عقل</w:t>
      </w:r>
      <w:bookmarkEnd w:id="394"/>
    </w:p>
    <w:p>
      <w:pPr>
        <w:pStyle w:val="Heading4"/>
        <w:numPr>
          <w:ilvl w:val="3"/>
          <w:numId w:val="1"/>
        </w:numPr>
        <w:rPr/>
      </w:pPr>
      <w:bookmarkStart w:id="395" w:name="__RefHeading___Toc651955_1878427129"/>
      <w:bookmarkStart w:id="396" w:name="_Toc152"/>
      <w:bookmarkEnd w:id="395"/>
      <w:r>
        <w:rPr>
          <w:rtl w:val="true"/>
        </w:rPr>
        <w:t>دیدگاه ملّا صدرا</w:t>
      </w:r>
      <w:bookmarkEnd w:id="396"/>
    </w:p>
    <w:p>
      <w:pPr>
        <w:pStyle w:val="Heading5"/>
        <w:numPr>
          <w:ilvl w:val="4"/>
          <w:numId w:val="1"/>
        </w:numPr>
        <w:rPr/>
      </w:pPr>
      <w:bookmarkStart w:id="397" w:name="__RefHeading___Toc651957_1878427129"/>
      <w:bookmarkStart w:id="398" w:name="_Toc153"/>
      <w:bookmarkEnd w:id="397"/>
      <w:r>
        <w:rPr>
          <w:rtl w:val="true"/>
        </w:rPr>
        <w:t>معنای اول</w:t>
      </w:r>
      <w:bookmarkEnd w:id="39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اول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غریزه‌ای که انسان به وسیله آن از حیوانات امتیاز می‌یابد و آماده پذیرش دانش‌های نظری و اندیشیدن در صنعت‌های فکری می‌شود و </w:t>
      </w:r>
      <w:bookmarkStart w:id="399" w:name="pg14553_191879"/>
    </w:p>
    <w:p>
      <w:pPr>
        <w:pStyle w:val="BookText"/>
        <w:rPr/>
      </w:pPr>
      <w:bookmarkEnd w:id="399"/>
      <w:r>
        <w:rPr>
          <w:rFonts w:ascii="IRNazanin" w:hAnsi="IRNazanin" w:eastAsia="IRNazanin"/>
          <w:color w:val="111111"/>
          <w:sz w:val="28"/>
          <w:sz w:val="28"/>
          <w:szCs w:val="28"/>
          <w:rtl w:val="true"/>
          <w:lang w:bidi="fa-IR"/>
        </w:rPr>
        <w:t>کودن و هوشمند در آن یکسان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این معنای عقل را در کتاب برهان مورد استفاده قرار می‌دهند و مقصودشان از آن، نیرویی است که نفس به وسیله آن بدون قیاس و فکر و به صورت فطری به مقدمات بدیهی دست می‌یابد و به علوم آغازین می‌رسد</w:t>
      </w:r>
      <w:r>
        <w:rPr>
          <w:rFonts w:eastAsia="IRNazanin" w:cs="IRNazanin"/>
          <w:color w:val="111111"/>
          <w:sz w:val="28"/>
          <w:szCs w:val="28"/>
          <w:rtl w:val="true"/>
          <w:lang w:bidi="fa-IR"/>
        </w:rPr>
        <w:t>.</w:t>
      </w:r>
    </w:p>
    <w:p>
      <w:pPr>
        <w:pStyle w:val="Heading5"/>
        <w:numPr>
          <w:ilvl w:val="4"/>
          <w:numId w:val="1"/>
        </w:numPr>
        <w:rPr/>
      </w:pPr>
      <w:bookmarkStart w:id="400" w:name="__RefHeading___Toc651959_1878427129"/>
      <w:bookmarkStart w:id="401" w:name="_Toc154"/>
      <w:bookmarkEnd w:id="400"/>
      <w:r>
        <w:rPr>
          <w:rtl w:val="true"/>
        </w:rPr>
        <w:t>معنای دوم</w:t>
      </w:r>
      <w:bookmarkEnd w:id="401"/>
    </w:p>
    <w:p>
      <w:pPr>
        <w:pStyle w:val="BookText"/>
        <w:rPr/>
      </w:pPr>
      <w:r>
        <w:rPr>
          <w:rFonts w:ascii="IRNazanin" w:hAnsi="IRNazanin" w:eastAsia="IRNazanin"/>
          <w:color w:val="111111"/>
          <w:sz w:val="28"/>
          <w:sz w:val="28"/>
          <w:szCs w:val="28"/>
          <w:rtl w:val="true"/>
          <w:lang w:bidi="fa-IR"/>
        </w:rPr>
        <w:t xml:space="preserve">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متکلمان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این را اثبات و آن را نفی می‌کند و مقصود ایشان، معانی ضروری نزد همگان یا بیشتر مردم می‌باشد؛ مانند این که عدد دو، دو برابر عدد 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ملّا صدرا هیچ یک از روایات این کتاب را مصداق معنای اول و دوم نشمرده است</w:t>
      </w:r>
      <w:r>
        <w:rPr>
          <w:rFonts w:eastAsia="IRNazanin" w:cs="IRNazanin"/>
          <w:color w:val="111111"/>
          <w:sz w:val="28"/>
          <w:szCs w:val="28"/>
          <w:rtl w:val="true"/>
          <w:lang w:bidi="fa-IR"/>
        </w:rPr>
        <w:t>.</w:t>
      </w:r>
    </w:p>
    <w:p>
      <w:pPr>
        <w:pStyle w:val="Heading5"/>
        <w:numPr>
          <w:ilvl w:val="4"/>
          <w:numId w:val="1"/>
        </w:numPr>
        <w:rPr/>
      </w:pPr>
      <w:bookmarkStart w:id="402" w:name="__RefHeading___Toc651961_1878427129"/>
      <w:bookmarkStart w:id="403" w:name="_Toc155"/>
      <w:bookmarkEnd w:id="402"/>
      <w:r>
        <w:rPr>
          <w:rtl w:val="true"/>
        </w:rPr>
        <w:t>معنای سوم</w:t>
      </w:r>
      <w:bookmarkEnd w:id="403"/>
    </w:p>
    <w:p>
      <w:pPr>
        <w:pStyle w:val="BookText"/>
        <w:rPr/>
      </w:pPr>
      <w:r>
        <w:rPr>
          <w:rFonts w:ascii="IRNazanin" w:hAnsi="IRNazanin" w:eastAsia="IRNazanin"/>
          <w:color w:val="111111"/>
          <w:sz w:val="28"/>
          <w:sz w:val="28"/>
          <w:szCs w:val="28"/>
          <w:rtl w:val="true"/>
          <w:lang w:bidi="fa-IR"/>
        </w:rPr>
        <w:t>معنای سوم، عقلی است که در کتب اخلاق به کار می‌رود و مقصود از آن، بخشی از نفس است که به سبب مواظبت بر اعتقاد، به تدریج و در طول تجربه، حاصل می‌شود و به وسیله آن به قضایایی دست می‌یابیم که با آن، اعمالی که باید انجام یا ترک شود، استنباط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حدیث سوم را به معنای سوم عقل دانسته است</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بعض أصحابنا رفعه إلی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العقل؟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به الرحمن و اکتُسِب به الجنان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کان فی معاویة؟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النَکْراء، تلک الشَیْطَنة و هی شبیهة بالعقل و لیست بالعقل؛</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امام ششم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است که به وسیله آن، خدا پرستش شود و بهشت به دست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شخص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معاویه داشت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نمایش عقل را دارد، ولی عقل نیست</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محمدبن یعقوب کلینی رازی، با ترجمه سید جواد مصطفوی،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این 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معنای این حدیث، تعقل امور و قضایای به کار گرفته شده در کتب اخلاق است که آنها مبادی آرا و دانش‌هایی هستند که ما می‌توانیم آنها را درک کنیم تا آنها را انجام داده؛ و یا از آنها دوری 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این قضایا با عقل به کار رفته در کتب اخلاق، مانند نسبت علوم ضروری با عقل به کار رفته در کتاب 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دو عقل، دو جز نفس آدمی هستند، یکی جزئی انفعالی و علمی که از مبادی عالیه به وسیله علوم و معارفی که غایت آنها خودشان هستند، منفعل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 و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جزئی فعلی و عملی که به سبب آرا و علومی که غایت آنها عمل به مقتضای آنها می‌باشد، یعنی انجام طاعات و پرهیز از معاصی و تخلّق به اخلاق حسنه و رهایی از اخلاق ناپسند، در طبقات زیرین اثر می‌کند و این همان دین و شریعت است، پس هنگامی که این دو هدف حاصل شوند، تقرب به خدا و بریدن از غیر او حاصل خواهد شد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وی در ادامه برداشت خود را تکرار می‌کند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مقدمات و احکام بر تو روشن شد و این معانی و بخش‌ها در ذهنت صورت یافت و جای گرفت، خواهی دانست که به چه معناهایی بین عقل و بین بداندیشی و شیطنت، خطا رخ می‌دهد، و اصل اشتباه از آنجا سرچشمه می‌گیرد که هر دو در اندیشیدن و سرعت تعقل در امور و قضایایی که مبادی آرا و اعتقادات است، یعنی در آنچه که اگر خواهیم آنها را برگزینیم و یا رها نماییم، مشترکند، خواه دربارۀ خیر و آینده باشد و یا دربارۀ شر و حال، و آنچه از تعقلات و حرکات فکری که تعلق به دنیا دارد، خالی از زیاده روی و </w:t>
      </w:r>
    </w:p>
    <w:p>
      <w:pPr>
        <w:pStyle w:val="BookText"/>
        <w:rPr/>
      </w:pPr>
      <w:r>
        <w:rPr>
          <w:rFonts w:ascii="IRNazanin" w:hAnsi="IRNazanin" w:eastAsia="IRNazanin"/>
          <w:color w:val="111111"/>
          <w:sz w:val="28"/>
          <w:sz w:val="28"/>
          <w:szCs w:val="28"/>
          <w:rtl w:val="true"/>
          <w:lang w:bidi="fa-IR"/>
        </w:rPr>
        <w:t>کوتاهی و کجروی و آشفتگی و سرگشتگی و شتاب نیست، چون از افعال شیاطین و پیروان طاغوت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از بندگان حقیقی خدا صادر می‌شود و تعلق به امور دین و عرفان دارد، به صورت اطمینان و آرامش و استواری و پایداری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برترین اخلاق نیکو، و آن، بدترین ملکات پست نفسانی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بلاهت و کودنی از آن بهتر می‌باشد، زیرا همان‌گونه که گفته‌اند به رهایی و خلاص از زیرکی موذیانه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تعریف امام علیه السلام از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 آن خداوند پرستش گردیده و بهشت به دست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معنای سوم بوده، از جهتی مقابل شیطنت و از سوی دیگر در برابر کودنی خواهد بود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حدیث چهارم را حاوی معنای سوم یا چهارم عقل می‌داند</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 کلّ امرئ عقله و عدوه جهله؛ </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دوست هر آدمی، خرد اوست و دشمن او بی‌خردی‌اش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توضیح ملّا صدرا دربارۀ مقصود از عقل در این حدیث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امام از این عقل، معنای سوم یا چهارم از معانی عقل که نزدیک به هم‌اند می‌باشد، زیرا مقصود از آن، غریزه مشترک انسانی و علوم ضروری که مبادی نظریات‌اند و آرای مشهور و عقل کلی هم که نخستین مخلوق است، نیست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از آن رو دوست انسان و جهل دشمن او گردیده که به واسطه عقل، انسان دوست را به دست می‌آورد و به خیرات و نیکویی‌ها راهنمایی می‌شود، و به واسطه آن دشمنان را دفع می‌نماید و از شرور و بدی‌ها دوری می‌گزیند و به </w:t>
      </w:r>
      <w:bookmarkStart w:id="404" w:name="pg14553_191882"/>
    </w:p>
    <w:p>
      <w:pPr>
        <w:pStyle w:val="BookText"/>
        <w:rPr/>
      </w:pPr>
      <w:bookmarkEnd w:id="404"/>
      <w:r>
        <w:rPr>
          <w:rFonts w:ascii="IRNazanin" w:hAnsi="IRNazanin" w:eastAsia="IRNazanin"/>
          <w:color w:val="111111"/>
          <w:sz w:val="28"/>
          <w:sz w:val="28"/>
          <w:szCs w:val="28"/>
          <w:rtl w:val="true"/>
          <w:lang w:bidi="fa-IR"/>
        </w:rPr>
        <w:t>اشاره آن طاعات و کارهای نیک را انجام می‌دهد و گناهان و کارهای زشت را ترک می‌کند و راه خشنودی خداوند و عبادت پروردگار را می‌پوید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واسطه جهل، تمامی این امور، عکس می‌شود و اضداد آن به وجود می‌آید، یعنی انسان با جهل برای خود دشمن می‌تراشد، دوستانش از او می‌گریزند، از راه خیر و نیکی به راه شر و بدی رفته، مرتکب گناه شده، از فرمان خدا سرپیچی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معنایی برای دوست جز آنچه مبدأ و اصل این امور باشد و معنایی نیز برای دشمن جز آنچه مبدأ و اصل اضداد آن باشد نیست، خواه آن دوست و دشمن جوهر باشند و یا عرض، جسم باشند و یا غیر جسم، درون نفس انسان باشند و یا بیرون آن، چون تمامی خصوصیات این اشیا از حقیقت دوستی و دشمنی بیرون است، بلکه حقیقت دوست و دوستی و آنچه که دوستی به آن تحقق می‌یابد و روح معنای آن، عبارت از چیزی است که انسان از آن بهره‌مند شود و به آنچه خیر و سلامت است، راهنمایی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دشمنی و روح معنای آن، چیزی است که انسان از آن زیان ببیند و از آن شر و بدی و شقاوت بروید و عقل و جهل نیز چنین است پس سزاوار خواهد بود که عقل، دوست انسان و جهل، دشمن او نامیده شود</w:t>
      </w:r>
      <w:r>
        <w:rPr>
          <w:rFonts w:eastAsia="IRNazanin" w:cs="IRNazanin"/>
          <w:color w:val="111111"/>
          <w:sz w:val="28"/>
          <w:szCs w:val="28"/>
          <w:rtl w:val="true"/>
          <w:lang w:bidi="fa-IR"/>
        </w:rPr>
        <w:t xml:space="preserve">. </w:t>
      </w:r>
      <w:r>
        <w:rPr>
          <w:rStyle w:val="FootnoteAnchor"/>
          <w:rtl w:val="true"/>
        </w:rPr>
        <w:footnoteReference w:id="4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Heading5"/>
        <w:numPr>
          <w:ilvl w:val="4"/>
          <w:numId w:val="1"/>
        </w:numPr>
        <w:rPr/>
      </w:pPr>
      <w:bookmarkStart w:id="405" w:name="__RefHeading___Toc651963_1878427129"/>
      <w:bookmarkStart w:id="406" w:name="_Toc156"/>
      <w:bookmarkEnd w:id="405"/>
      <w:r>
        <w:rPr>
          <w:rtl w:val="true"/>
        </w:rPr>
        <w:t>معنای چهارم</w:t>
      </w:r>
      <w:bookmarkEnd w:id="40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چهارم در نظر ملّا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است که با وجود آن در انسانی،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عاقل است، و بازگشت آن به خوب فهمیدن و سرعت ادراک در استنباط آنچه سزاوار بوده که برگزیده و یا اجتناب شود می‌باشد، گرچه در زمینه غرض‌های دنیایی و هوای نفس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معنای چهارم را یکی از احتمالاًت عقلی می‌داند که در حدیث چهارم به کار رفته است</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متن حدیث، ترجمه، برداشت ملّا صدرا و نیز نقد و بررسی آن در قسمت ب معنای سوم گذشت</w:t>
      </w:r>
      <w:r>
        <w:rPr>
          <w:rFonts w:eastAsia="IRNazanin" w:cs="IRNazanin"/>
          <w:color w:val="111111"/>
          <w:sz w:val="28"/>
          <w:szCs w:val="28"/>
          <w:rtl w:val="true"/>
          <w:lang w:bidi="fa-IR"/>
        </w:rPr>
        <w:t xml:space="preserve">. </w:t>
      </w:r>
      <w:bookmarkStart w:id="407" w:name="pg14553_191883"/>
    </w:p>
    <w:p>
      <w:pPr>
        <w:pStyle w:val="BookText"/>
        <w:rPr/>
      </w:pPr>
      <w:bookmarkEnd w:id="407"/>
      <w:r>
        <w:rPr>
          <w:rFonts w:ascii="IRNazanin" w:hAnsi="IRNazanin" w:eastAsia="IRNazanin"/>
          <w:color w:val="111111"/>
          <w:sz w:val="28"/>
          <w:sz w:val="28"/>
          <w:szCs w:val="28"/>
          <w:rtl w:val="true"/>
          <w:lang w:bidi="fa-IR"/>
        </w:rPr>
        <w:t>حضرت رضا علیه السلام در این حدیث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هر انسانی عقل او و دشمنش جهل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صدرا بر آن است که مراد از عقل در این حدیث، معنای سوم یا چهارم است</w:t>
      </w:r>
      <w:r>
        <w:rPr>
          <w:rFonts w:eastAsia="IRNazanin" w:cs="IRNazanin"/>
          <w:color w:val="111111"/>
          <w:sz w:val="28"/>
          <w:szCs w:val="28"/>
          <w:rtl w:val="true"/>
          <w:lang w:bidi="fa-IR"/>
        </w:rPr>
        <w:t>.</w:t>
      </w:r>
    </w:p>
    <w:p>
      <w:pPr>
        <w:pStyle w:val="Heading5"/>
        <w:numPr>
          <w:ilvl w:val="4"/>
          <w:numId w:val="1"/>
        </w:numPr>
        <w:rPr/>
      </w:pPr>
      <w:bookmarkStart w:id="408" w:name="__RefHeading___Toc651965_1878427129"/>
      <w:bookmarkStart w:id="409" w:name="_Toc157"/>
      <w:bookmarkEnd w:id="408"/>
      <w:r>
        <w:rPr>
          <w:rtl w:val="true"/>
        </w:rPr>
        <w:t>معنای پنجم</w:t>
      </w:r>
      <w:bookmarkEnd w:id="409"/>
    </w:p>
    <w:p>
      <w:pPr>
        <w:pStyle w:val="BookText"/>
        <w:rPr/>
      </w:pPr>
      <w:r>
        <w:rPr>
          <w:rFonts w:ascii="IRNazanin" w:hAnsi="IRNazanin" w:eastAsia="IRNazanin"/>
          <w:color w:val="111111"/>
          <w:sz w:val="28"/>
          <w:sz w:val="28"/>
          <w:szCs w:val="28"/>
          <w:rtl w:val="true"/>
          <w:lang w:bidi="fa-IR"/>
        </w:rPr>
        <w:t>معنای پنجم عقل مورد بحث در کتاب نفس است و دارای چهار مرتبه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بالقوة؛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بالملکة؛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بالفعل؛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مستفاد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عقل مذکور در پایان حدیث یازدهم را به معنای پنجم دانسته است</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قسم اللّه للعباد شیئاً افضل من العقل، فنوم العاقل افضل من سَهَر الجاهل و اقامة العاقل أفضل من شُخُوص الجاهل، و لا بعث اللّه نبیّاً و لا رسولاً متی یَستکمِل العقل و یکون عقله أفضل من جمیع عقول امته، و ما یُضمِر النبی صلی الله علیه و آله فی نفسه أفضل من اجتهاد المجتهدین، و ما أدّی العبد فرائض اللّه حتی عقل عنه، ولا بلغ جمیع العابدین فی فضل عبادتهم ما بلغ العاقل، و العقلاء هم اولوا الالباب الذین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یَتَذَکَّرُ أُولُوا اَلْأَلْبابِ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به بندگانش چیزی بهتر از عقل نبخشیده است، زیرا خوابیدن عاقل از شب بیداری جاهل و در منزل بودن عاقل از مسافرت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حج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و خدا هیچ پیغمبر و رسولی را جز برای تکمیل عقل مبعوث نساخته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عقلش را کامل نکند مبعوث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او برتر از عقول تمام امتش خواهد بود، و آنچه پیغمبر در خاطر دارد، بر تلاش تلاشگران ترجیح دارد، و تا بنده‌ای واجبات را به عقل خود در نیابد آنها را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عابدان در فضیلت به پای عاقل نرسند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همان </w:t>
      </w:r>
    </w:p>
    <w:p>
      <w:pPr>
        <w:pStyle w:val="BookText"/>
        <w:rPr/>
      </w:pPr>
      <w:r>
        <w:rPr>
          <w:rFonts w:ascii="IRNazanin" w:hAnsi="IRNazanin" w:eastAsia="IRNazanin"/>
          <w:color w:val="111111"/>
          <w:sz w:val="28"/>
          <w:sz w:val="28"/>
          <w:szCs w:val="28"/>
          <w:rtl w:val="true"/>
          <w:lang w:bidi="fa-IR"/>
        </w:rPr>
        <w:t>صاحبان خردند که خداوند دربارۀ 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صاحبان خرد اندرز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صدرا در توضیح بخش پایانی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پیغمبر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عاقلان همان صاحبان خردند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عقلی که در اینجا گفته می‌شود آن عقلی که همگان فهم می‌کنند نیست؛ یعنی هر کس را که دارای زیرکی و هوشیاری در کار دنیا باشد عاقل می‌خوانند و نه آن غریزه‌ای که باآن، انسان از چهارپایان امتیاز می‌یابد، و نه آن چیزی که در علم اخلاق از آن بحث می‌شود، بلکه مراد از آن، مفهومی خواهد بود که از بیان الهی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صاحبان خرد، اندرز می‌گیرند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این بیان دانسته می‌شود که عاقلان، همان مخصوصان به اهل ذکر یعنی اهل علم و عرفان‌اند،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نمی‌دانید از اهل ذکر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نحل، آیۀ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همان استواران در علم‌اند، چنان‌که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استواران در علم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ایمان داریم؛ همه از نزد پروردگار ماست و جز خردمندان اندرز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آنان حکیمان الهی‌اند، 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را به هر که خواهد دهد و به هر که حکمت داده شود خوبی فراوان اعطا شده و جز خردمندان اندرز نگیرند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این جز دانای حکیم و فرزانه استوار در علم و کامل در حکمت و ایمان نیست، پس عقلی که در اوست آخرین عقلی که در معرفت نفس بیان شده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حقایق داناست و بس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صدرا حدیث دوازدهم را بیانگر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چهارم از عقول چهارگانه مطرح شده در علم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Style w:val="FootnoteAnchor"/>
          <w:rtl w:val="true"/>
        </w:rPr>
        <w:footnoteReference w:id="448"/>
      </w:r>
      <w:r>
        <w:rPr>
          <w:rFonts w:ascii="IRNazanin" w:hAnsi="IRNazanin" w:eastAsia="IRNazanin"/>
          <w:color w:val="111111"/>
          <w:sz w:val="28"/>
          <w:sz w:val="28"/>
          <w:szCs w:val="28"/>
          <w:rtl w:val="true"/>
          <w:lang w:bidi="fa-IR"/>
        </w:rPr>
        <w:t>این عقل، پنجمین عقلی است که در بیان ملّا صدرا گذشت</w:t>
      </w:r>
      <w:r>
        <w:rPr>
          <w:rFonts w:eastAsia="IRNazanin" w:cs="IRNazanin"/>
          <w:color w:val="111111"/>
          <w:sz w:val="28"/>
          <w:szCs w:val="28"/>
          <w:rtl w:val="true"/>
          <w:lang w:bidi="fa-IR"/>
        </w:rPr>
        <w:t xml:space="preserve">. </w:t>
      </w:r>
      <w:r>
        <w:rPr>
          <w:rStyle w:val="FootnoteAnchor"/>
          <w:rtl w:val="true"/>
        </w:rPr>
        <w:footnoteReference w:id="44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موسی کاظم علیه السلام در این حدیث، صاحبان عقل را هدایت یافتگان شمرده و در </w:t>
      </w:r>
    </w:p>
    <w:p>
      <w:pPr>
        <w:pStyle w:val="BookText"/>
        <w:rPr/>
      </w:pPr>
      <w:r>
        <w:rPr>
          <w:rFonts w:ascii="IRNazanin" w:hAnsi="IRNazanin" w:eastAsia="IRNazanin"/>
          <w:color w:val="111111"/>
          <w:sz w:val="28"/>
          <w:sz w:val="28"/>
          <w:szCs w:val="28"/>
          <w:rtl w:val="true"/>
          <w:lang w:bidi="fa-IR"/>
        </w:rPr>
        <w:t>عالی‌ترین بخش حدیث، از عقل به عنوان همتراز رسولان و رسول باطنی یاد کرده و کسانی را که تعقل نمی‌کنند مورد نکوهش قرار داده است</w:t>
      </w:r>
      <w:r>
        <w:rPr>
          <w:rFonts w:eastAsia="IRNazanin" w:cs="IRNazanin"/>
          <w:color w:val="111111"/>
          <w:sz w:val="28"/>
          <w:szCs w:val="28"/>
          <w:rtl w:val="true"/>
          <w:lang w:bidi="fa-IR"/>
        </w:rPr>
        <w:t xml:space="preserve">. </w:t>
      </w:r>
      <w:r>
        <w:rPr>
          <w:rStyle w:val="FootnoteAnchor"/>
          <w:rtl w:val="true"/>
        </w:rPr>
        <w:footnoteReference w:id="45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ابتدای شرح این حدیث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اشتمال بر بیان حقیقت عقل به همان معنایی که گفته شد، دارد، یعنی مرتبه چهارم از عقل‌های چهارگانه که در علم نفس بیان شده و بزرگ‌ترین صفات و خواص و ستایش خداوند و معارف بلند قرآنی و اهداف شریف الهی را در بر دارد که همانند آن در بسیاری از کتب عرفا یافت نمی‌شود و شبیه آن نیز در نتایج نظریات دانشمندان صاحب‌نظر نکته‌سنج دیده نشده، جز آنکه از یکی از ائمّه اطهار نقل شده باشد و یا از جهت سند از طریق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طریق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اکرم صلی الله علیه و آله برسد</w:t>
      </w:r>
      <w:r>
        <w:rPr>
          <w:rFonts w:eastAsia="IRNazanin" w:cs="IRNazanin"/>
          <w:color w:val="111111"/>
          <w:sz w:val="28"/>
          <w:szCs w:val="28"/>
          <w:rtl w:val="true"/>
          <w:lang w:bidi="fa-IR"/>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نظر ملّا صدرا دربارۀ تعریف چهارمین مرتبه از مراتب عقل مورد نظر در کتاب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مرتبه‌ای از این ذات است که هر گاه خواهد، این معقولات مفصل را تعقل نموده، بدون آنکه نیاز به جدا ساختن و تجرید و رنج به دست آوردن دوباره داشته باشد آن را حاضر می‌نماید؛ چرا چنین نباشد، در حالی که پیش از این از آنها متأثّر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نموده و اندوخته است، بلکه چون او را ملکه اتّصال به عقل فعال حاصل شده، وقتی به عقل فعال می‌نگرد آنها را حاضر می‌یابد،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مستفاد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که تعلق و تدبیرش به این عالم باقی است، پیوسته مستغرق شهود حق تعالی و اتصال به او و آنچه که در پی آن است از بخشنده صورت‌ها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فعلیت رساننده معقولات به نیروی او که آسمان و زمین را نگاه داشته است نمی‌باشد و بهره او در این عالم، نوعی از ملکه اتصال است</w:t>
      </w:r>
      <w:r>
        <w:rPr>
          <w:rFonts w:eastAsia="IRNazanin" w:cs="IRNazanin"/>
          <w:color w:val="111111"/>
          <w:sz w:val="28"/>
          <w:szCs w:val="28"/>
          <w:rtl w:val="true"/>
          <w:lang w:bidi="fa-IR"/>
        </w:rPr>
        <w:t xml:space="preserve">. </w:t>
      </w:r>
      <w:r>
        <w:rPr>
          <w:rStyle w:val="FootnoteAnchor"/>
          <w:rtl w:val="true"/>
        </w:rPr>
        <w:footnoteReference w:id="452"/>
      </w:r>
      <w:bookmarkStart w:id="410" w:name="pg14553_191886"/>
    </w:p>
    <w:p>
      <w:pPr>
        <w:pStyle w:val="Heading5"/>
        <w:numPr>
          <w:ilvl w:val="4"/>
          <w:numId w:val="1"/>
        </w:numPr>
        <w:rPr/>
      </w:pPr>
      <w:bookmarkStart w:id="411" w:name="__RefHeading___Toc651967_1878427129"/>
      <w:bookmarkStart w:id="412" w:name="_Toc158"/>
      <w:bookmarkEnd w:id="410"/>
      <w:bookmarkEnd w:id="411"/>
      <w:r>
        <w:rPr>
          <w:rtl w:val="true"/>
        </w:rPr>
        <w:t>معنای ششم</w:t>
      </w:r>
      <w:bookmarkEnd w:id="41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حدیث اول را به معنای ششم از معانی عقل دانسته است</w:t>
      </w:r>
      <w:r>
        <w:rPr>
          <w:rFonts w:eastAsia="IRNazanin" w:cs="IRNazanin"/>
          <w:color w:val="111111"/>
          <w:sz w:val="28"/>
          <w:szCs w:val="28"/>
          <w:rtl w:val="true"/>
          <w:lang w:bidi="fa-IR"/>
        </w:rPr>
        <w:t xml:space="preserve">. </w:t>
      </w:r>
      <w:r>
        <w:rPr>
          <w:rStyle w:val="FootnoteAnchor"/>
          <w:rtl w:val="true"/>
        </w:rPr>
        <w:footnoteReference w:id="4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العقل استَنْطَقَه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عزتی و جلالی ما خلقت خلقاً هو أحب إلیّ منک و لا أکملتک الا فیمن اُحب، أما انی إیاک آمر و إیاک أنهی و إیاک اعاقب و إیاک اُثیب؛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امام باقر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عقل را آفرید، از او باز پرسی کرده،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 پیش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بازگشت،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مخلوقی که از تو نزد من محبوب‌تر باشد نیافریدم و تو را تنها به کسانی که دوستشان دارم به‌طور کامل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امر و نهی، کیفر و پاداشم متوجه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شرح حدیث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هذا العقل، أوّل المخلوقات و أقرب المجعولات الی الحقّ الأوّل و أعظمها و أتمّها و ثانی الموجودات فی الموجودیّة؛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این عقل، نخستین آفریده و نزدیک‌ترین مخلوق به خداوند و بزرگ‌ترین و کامل‌ترین آنها و دومین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حدیث چهاردهم را نیز به معنای ششم از معانی عقل دانسته است</w:t>
      </w:r>
      <w:r>
        <w:rPr>
          <w:rFonts w:eastAsia="IRNazanin" w:cs="IRNazanin"/>
          <w:color w:val="111111"/>
          <w:sz w:val="28"/>
          <w:szCs w:val="28"/>
          <w:rtl w:val="true"/>
          <w:lang w:bidi="fa-IR"/>
        </w:rPr>
        <w:t xml:space="preserve">. </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حضرت صادق علیه السلام در این حدیث می‌فرماید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عزوجل عقل را از نور خویش و از طرف راست عرش آفرید و آن، مخلوق اول از روحانیین است؛ 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 او پس رفت؛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آی، پیش آمد</w:t>
      </w:r>
      <w:r>
        <w:rPr>
          <w:rFonts w:eastAsia="IRNazanin" w:cs="IRNazanin"/>
          <w:color w:val="111111"/>
          <w:sz w:val="28"/>
          <w:szCs w:val="28"/>
          <w:rtl w:val="true"/>
          <w:lang w:bidi="fa-IR"/>
        </w:rPr>
        <w:t xml:space="preserve">. . . . </w:t>
      </w:r>
      <w:r>
        <w:rPr>
          <w:rStyle w:val="FootnoteAnchor"/>
          <w:rtl w:val="true"/>
        </w:rPr>
        <w:footnoteReference w:id="457"/>
      </w:r>
      <w:bookmarkStart w:id="413" w:name="pg14553_191887"/>
    </w:p>
    <w:p>
      <w:pPr>
        <w:pStyle w:val="Heading4"/>
        <w:numPr>
          <w:ilvl w:val="3"/>
          <w:numId w:val="1"/>
        </w:numPr>
        <w:rPr/>
      </w:pPr>
      <w:bookmarkStart w:id="414" w:name="__RefHeading___Toc651969_1878427129"/>
      <w:bookmarkStart w:id="415" w:name="_Toc159"/>
      <w:bookmarkEnd w:id="413"/>
      <w:bookmarkEnd w:id="414"/>
      <w:r>
        <w:rPr>
          <w:rtl w:val="true"/>
        </w:rPr>
        <w:t>دیدگاه علّامه مجلسی</w:t>
      </w:r>
      <w:bookmarkEnd w:id="415"/>
    </w:p>
    <w:p>
      <w:pPr>
        <w:pStyle w:val="Heading5"/>
        <w:numPr>
          <w:ilvl w:val="4"/>
          <w:numId w:val="1"/>
        </w:numPr>
        <w:rPr/>
      </w:pPr>
      <w:bookmarkStart w:id="416" w:name="__RefHeading___Toc651971_1878427129"/>
      <w:bookmarkStart w:id="417" w:name="_Toc160"/>
      <w:bookmarkEnd w:id="416"/>
      <w:r>
        <w:rPr>
          <w:rtl w:val="true"/>
        </w:rPr>
        <w:t>معنای اول</w:t>
      </w:r>
      <w:bookmarkEnd w:id="417"/>
    </w:p>
    <w:p>
      <w:pPr>
        <w:pStyle w:val="BookText"/>
        <w:rPr/>
      </w:pPr>
      <w:r>
        <w:rPr>
          <w:rFonts w:ascii="IRNazanin" w:hAnsi="IRNazanin" w:eastAsia="IRNazanin"/>
          <w:color w:val="111111"/>
          <w:sz w:val="28"/>
          <w:sz w:val="28"/>
          <w:szCs w:val="28"/>
          <w:rtl w:val="true"/>
          <w:lang w:bidi="fa-IR"/>
        </w:rPr>
        <w:t>علّامه مجلسی بر این عقیده است که اکثر روایات مربوط به عقل، ظاهر در معنای اول و دوم است و ریشه این دو معنای نیز یک مفهوم است و در میان این دو معنای، بیشتر روایات در معنای دوم، ظاهرتر است</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در موارد زیر، واژه عقل را به معنای اول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جبرئیل علیه السلام علی آدم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إنی اُمِرت أن اُخیِّرک واحدة من ثلاث فاختَرْها و دَع اثنتین فقال له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و ما الثلاث؟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 الحیاء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اختَرْت العقل فقال جبرئیل للحیاء 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انصرفا و دعاه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یاجبرئیل إنّا اُمِرنا أن نکون مع العقل حیث 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فشأنکما و عرج؛ </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آدم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من مأمور شده‌ام که تو را در انتخاب یکی از سه چیز، مخیر سازم پس یکی را برگزین و دو تا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حیا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بر 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حیا و 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بازگردید و او را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ما مأموریم هر جا که عقل باشد، با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دانید، و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ایشان، مراد از عقل در این حدیث، مفهومی است که معنای اول، دوم و سوم را در بر می‌گیرد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بخشی از حدیث دوازدهم را به معنای اول از معانی عقل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حضرت موسی بن جعفر علیه السلام می‌فرماید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هشام انّ للّه‌علی الناس حُجّتین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ظاهرة و حجّة باطنة، فأمّا الظاهرة </w:t>
      </w:r>
      <w:bookmarkStart w:id="418" w:name="pg14553_191888"/>
    </w:p>
    <w:p>
      <w:pPr>
        <w:pStyle w:val="BookText"/>
        <w:rPr/>
      </w:pPr>
      <w:bookmarkEnd w:id="418"/>
      <w:r>
        <w:rPr>
          <w:rFonts w:ascii="IRNazanin" w:hAnsi="IRNazanin" w:eastAsia="IRNazanin"/>
          <w:color w:val="111111"/>
          <w:sz w:val="28"/>
          <w:sz w:val="28"/>
          <w:szCs w:val="28"/>
          <w:rtl w:val="true"/>
          <w:lang w:bidi="fa-IR"/>
        </w:rPr>
        <w:t>فالرُسُل و الأنبیأ و الائمّة علیهم السلام و أمّا الباطنة فالعقول؛</w:t>
      </w:r>
    </w:p>
    <w:p>
      <w:pPr>
        <w:pStyle w:val="BookText"/>
        <w:rPr/>
      </w:pP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مردم دو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آشکار و حجت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آشکار، رسولان و پیغمبران و امامان‌اند و حجت پنهان، عقل مردم است</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ذیل حدیث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از عقول در اینجا عقلی باشد که مناط تکلیف است و با آن بین حق و باطل و نیکو و زشت، تمیز داده می‌شود</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علّامه در ذیل حدیث نوزدهم استفاده می‌شود که ایشان عقل در این حدیث را به معنای اول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اسحاق بن عمّار،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 لی جاراً کثیر الصلاة کثیر الصدقة، کثیر الحجّ لابأس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اسحاق کیف عقله؟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لیس له عقل؛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یرتفع بذلک منه؛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من همسایه‌ای دارم که نماز خواندن و صدقه دادن و حج رفتنش بسیار است و عیب ظاهری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 چطور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آن اعمال درجه‌اش بالا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از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عقلش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نیروی تشخیص حق و باطل در او به‌طوری که سبب انقیاد در برابر حق و اقرار به آن گردد چگونه است</w:t>
      </w:r>
      <w:r>
        <w:rPr>
          <w:rFonts w:eastAsia="IRNazanin" w:cs="IRNazanin"/>
          <w:color w:val="111111"/>
          <w:sz w:val="28"/>
          <w:szCs w:val="28"/>
          <w:rtl w:val="true"/>
          <w:lang w:bidi="fa-IR"/>
        </w:rPr>
        <w:t xml:space="preserve">. </w:t>
      </w:r>
      <w:r>
        <w:rPr>
          <w:rStyle w:val="FootnoteAnchor"/>
          <w:rtl w:val="true"/>
        </w:rPr>
        <w:footnoteReference w:id="464"/>
      </w:r>
    </w:p>
    <w:p>
      <w:pPr>
        <w:pStyle w:val="Heading5"/>
        <w:numPr>
          <w:ilvl w:val="4"/>
          <w:numId w:val="1"/>
        </w:numPr>
        <w:rPr/>
      </w:pPr>
      <w:bookmarkStart w:id="419" w:name="__RefHeading___Toc651973_1878427129"/>
      <w:bookmarkStart w:id="420" w:name="_Toc161"/>
      <w:bookmarkEnd w:id="419"/>
      <w:r>
        <w:rPr>
          <w:rtl w:val="true"/>
        </w:rPr>
        <w:t>معنای دوم</w:t>
      </w:r>
      <w:bookmarkEnd w:id="420"/>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علّامه،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و حالتی در نفس است که او را به گزینش خیرات و منافع و دوری از شرور و ضررها وا می‌دارد و نفس به مدد این ملکه بر طرد خواهش‌های شهوت و خشم و وسوسه‌های اهریمنی توان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از </w:t>
      </w:r>
      <w:bookmarkStart w:id="421" w:name="pg14553_191889"/>
    </w:p>
    <w:p>
      <w:pPr>
        <w:pStyle w:val="BookText"/>
        <w:rPr/>
      </w:pPr>
      <w:bookmarkEnd w:id="421"/>
      <w:r>
        <w:rPr>
          <w:rFonts w:ascii="IRNazanin" w:hAnsi="IRNazanin" w:eastAsia="IRNazanin"/>
          <w:color w:val="111111"/>
          <w:sz w:val="28"/>
          <w:sz w:val="28"/>
          <w:szCs w:val="28"/>
          <w:rtl w:val="true"/>
          <w:lang w:bidi="fa-IR"/>
        </w:rPr>
        <w:t>نظر ایشان، اکثر روایات باب عقل و جهل، ظاهر در معنای دوم است</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ایشان واژه عقل در موارد زیر، در معنای دوم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ترجمه این حدیث و نیز نظر علّامه در ذیلِ قسمت الفِ معنای اول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حضرت آدم علیه السلام مخیّر می‌شود که یکی از عقل، حیا و دین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عقل را اختیار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حیا و دین دستور می‌دهد که آدم را با عقل واگذارند؛ اما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مأموریم که هر جا عقل باشد، همراهش باشیم</w:t>
      </w:r>
      <w:r>
        <w:rPr>
          <w:rFonts w:eastAsia="IRNazanin" w:cs="IRNazanin"/>
          <w:color w:val="111111"/>
          <w:sz w:val="28"/>
          <w:szCs w:val="28"/>
          <w:rtl w:val="true"/>
          <w:lang w:bidi="fa-IR"/>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 ترجمه این حدیث در بخش الفِ معنای سوم از دیدگاه ملّا صدرا در همین فصل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چکیده حدیث این است که امام صادق علیه السلام دربارۀ تعریف عقل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چیزی است که با آن خداوند رحمان عبادت شود بهشت به دست آید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علّامه معتقد است که ظاهراً مراد از عقل در این حدیث، معنای دوم است؛ گر چه ایشان احتمال بعضی دیگر از معانی را نیز رد نمی‌کند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عاقلاً کان له دین، و من کان له دین دخل الجنّة؛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هر که عاقل است دین دارد و کسی که دین دارد به بهشت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عقل در اینجا، همان مقصود از عقل در روایت سوم است</w:t>
      </w:r>
      <w:r>
        <w:rPr>
          <w:rFonts w:eastAsia="IRNazanin" w:cs="IRNazanin"/>
          <w:color w:val="111111"/>
          <w:sz w:val="28"/>
          <w:szCs w:val="28"/>
          <w:rtl w:val="true"/>
          <w:lang w:bidi="fa-IR"/>
        </w:rPr>
        <w:t xml:space="preserve">» . </w:t>
      </w:r>
      <w:r>
        <w:rPr>
          <w:rStyle w:val="FootnoteAnchor"/>
          <w:rtl w:val="true"/>
        </w:rPr>
        <w:footnoteReference w:id="470"/>
      </w:r>
    </w:p>
    <w:p>
      <w:pPr>
        <w:pStyle w:val="Heading5"/>
        <w:numPr>
          <w:ilvl w:val="4"/>
          <w:numId w:val="1"/>
        </w:numPr>
        <w:rPr/>
      </w:pPr>
      <w:bookmarkStart w:id="422" w:name="__RefHeading___Toc651975_1878427129"/>
      <w:bookmarkStart w:id="423" w:name="_Toc162"/>
      <w:bookmarkEnd w:id="422"/>
      <w:r>
        <w:rPr>
          <w:rtl w:val="true"/>
        </w:rPr>
        <w:t>معنای سوم</w:t>
      </w:r>
      <w:bookmarkEnd w:id="423"/>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عقل در حدیث دوم را مفهومی دانسته است که معنای اول و دوم و سوم را در بر می‌گیرد</w:t>
      </w:r>
      <w:r>
        <w:rPr>
          <w:rFonts w:eastAsia="IRNazanin" w:cs="IRNazanin"/>
          <w:color w:val="111111"/>
          <w:sz w:val="28"/>
          <w:szCs w:val="28"/>
          <w:rtl w:val="true"/>
          <w:lang w:bidi="fa-IR"/>
        </w:rPr>
        <w:t xml:space="preserve">. </w:t>
      </w:r>
      <w:r>
        <w:rPr>
          <w:rStyle w:val="FootnoteAnchor"/>
          <w:rtl w:val="true"/>
        </w:rPr>
        <w:footnoteReference w:id="471"/>
      </w:r>
      <w:bookmarkStart w:id="424" w:name="pg14553_191890"/>
    </w:p>
    <w:p>
      <w:pPr>
        <w:pStyle w:val="BookText"/>
        <w:rPr/>
      </w:pPr>
      <w:bookmarkEnd w:id="424"/>
      <w:r>
        <w:rPr>
          <w:rFonts w:ascii="IRNazanin" w:hAnsi="IRNazanin" w:eastAsia="IRNazanin"/>
          <w:color w:val="111111"/>
          <w:sz w:val="28"/>
          <w:sz w:val="28"/>
          <w:szCs w:val="28"/>
          <w:rtl w:val="true"/>
          <w:lang w:bidi="fa-IR"/>
        </w:rPr>
        <w:t xml:space="preserve">متن و ترجمه این حدیث در صفحات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الف 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حدیث این است که حضرت آدم علیه السلام مخیّر می‌شود که یکی از عقل، حیأ و دین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عقل را اختیار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حیا و دین دستور می‌دهد که آدم را با عقل واگذارند؛ اما آنها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مأموریم که هر جا عقل باشد، همراهش باشیم</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425" w:name="__RefHeading___Toc651977_1878427129"/>
      <w:bookmarkStart w:id="426" w:name="_Toc163"/>
      <w:bookmarkEnd w:id="425"/>
      <w:r>
        <w:rPr>
          <w:rtl w:val="true"/>
        </w:rPr>
        <w:t>معنای چهارم</w:t>
      </w:r>
      <w:bookmarkEnd w:id="426"/>
    </w:p>
    <w:p>
      <w:pPr>
        <w:pStyle w:val="BookText"/>
        <w:rPr/>
      </w:pPr>
      <w:r>
        <w:rPr>
          <w:rFonts w:ascii="IRNazanin" w:hAnsi="IRNazanin" w:eastAsia="IRNazanin"/>
          <w:color w:val="111111"/>
          <w:sz w:val="28"/>
          <w:sz w:val="28"/>
          <w:szCs w:val="28"/>
          <w:rtl w:val="true"/>
          <w:lang w:bidi="fa-IR"/>
        </w:rPr>
        <w:t>معنای چهارم، مراتب استعداد نفس و قرب و بُعد آن نسبت به تحصیل نظریات است که دارای چهار مرتبه عقل هیولانی، عقل بالملکه، عقل بالفعل و عقل مستفاد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هیچ یک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به‌طور مستقل بر معنای چهارم حمل نکرده است؛ گرچه برخی از روایات را بنابر بعضی از احتمالاًت بر معنای چهارم حمل نموده است</w:t>
      </w:r>
      <w:r>
        <w:rPr>
          <w:rFonts w:eastAsia="IRNazanin" w:cs="IRNazanin"/>
          <w:color w:val="111111"/>
          <w:sz w:val="28"/>
          <w:szCs w:val="28"/>
          <w:rtl w:val="true"/>
          <w:lang w:bidi="fa-IR"/>
        </w:rPr>
        <w:t xml:space="preserve">. </w:t>
      </w:r>
      <w:r>
        <w:rPr>
          <w:rStyle w:val="FootnoteAnchor"/>
          <w:rtl w:val="true"/>
        </w:rPr>
        <w:footnoteReference w:id="473"/>
      </w:r>
    </w:p>
    <w:p>
      <w:pPr>
        <w:pStyle w:val="Heading5"/>
        <w:numPr>
          <w:ilvl w:val="4"/>
          <w:numId w:val="1"/>
        </w:numPr>
        <w:rPr/>
      </w:pPr>
      <w:bookmarkStart w:id="427" w:name="__RefHeading___Toc651979_1878427129"/>
      <w:bookmarkStart w:id="428" w:name="_Toc164"/>
      <w:bookmarkEnd w:id="427"/>
      <w:r>
        <w:rPr>
          <w:rtl w:val="true"/>
        </w:rPr>
        <w:t>معنای پنجم</w:t>
      </w:r>
      <w:bookmarkEnd w:id="428"/>
    </w:p>
    <w:p>
      <w:pPr>
        <w:pStyle w:val="BookText"/>
        <w:rPr/>
      </w:pPr>
      <w:r>
        <w:rPr>
          <w:rFonts w:ascii="IRNazanin" w:hAnsi="IRNazanin" w:eastAsia="IRNazanin"/>
          <w:color w:val="111111"/>
          <w:sz w:val="28"/>
          <w:sz w:val="28"/>
          <w:szCs w:val="28"/>
          <w:rtl w:val="true"/>
          <w:lang w:bidi="fa-IR"/>
        </w:rPr>
        <w:t>معنای پنجم، نفس ناطقه انسان است که او را از بقیه چهارپایان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معنای پنجم را نیز به‌طور خاص بر هیچ‌کدام از روایات حمل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از موارد، امکان حمل آن را مطرح ساخته است</w:t>
      </w:r>
      <w:r>
        <w:rPr>
          <w:rFonts w:eastAsia="IRNazanin" w:cs="IRNazanin"/>
          <w:color w:val="111111"/>
          <w:sz w:val="28"/>
          <w:szCs w:val="28"/>
          <w:rtl w:val="true"/>
          <w:lang w:bidi="fa-IR"/>
        </w:rPr>
        <w:t xml:space="preserve">. </w:t>
      </w:r>
      <w:r>
        <w:rPr>
          <w:rStyle w:val="FootnoteAnchor"/>
          <w:rtl w:val="true"/>
        </w:rPr>
        <w:footnoteReference w:id="474"/>
      </w:r>
    </w:p>
    <w:p>
      <w:pPr>
        <w:pStyle w:val="Heading5"/>
        <w:numPr>
          <w:ilvl w:val="4"/>
          <w:numId w:val="1"/>
        </w:numPr>
        <w:rPr/>
      </w:pPr>
      <w:bookmarkStart w:id="429" w:name="__RefHeading___Toc651981_1878427129"/>
      <w:bookmarkStart w:id="430" w:name="_Toc165"/>
      <w:bookmarkEnd w:id="429"/>
      <w:r>
        <w:rPr>
          <w:rtl w:val="true"/>
        </w:rPr>
        <w:t>معنای ششم</w:t>
      </w:r>
      <w:bookmarkEnd w:id="430"/>
    </w:p>
    <w:p>
      <w:pPr>
        <w:pStyle w:val="BookText"/>
        <w:rPr/>
      </w:pPr>
      <w:r>
        <w:rPr>
          <w:rFonts w:ascii="IRNazanin" w:hAnsi="IRNazanin" w:eastAsia="IRNazanin"/>
          <w:color w:val="111111"/>
          <w:sz w:val="28"/>
          <w:sz w:val="28"/>
          <w:szCs w:val="28"/>
          <w:rtl w:val="true"/>
          <w:lang w:bidi="fa-IR"/>
        </w:rPr>
        <w:t>معنای ششم، عقل مجرد قدیمی است که هیچ تعلقی در ذات و فعلش به مادّه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هیچ یک از روایات را قاطعانه بر معنای ششم حمل نکرده است؛ گرچه احتمال آن را دربارۀ پاره‌ای از روایات طرح کرده است</w:t>
      </w:r>
      <w:r>
        <w:rPr>
          <w:rFonts w:eastAsia="IRNazanin" w:cs="IRNazanin"/>
          <w:color w:val="111111"/>
          <w:sz w:val="28"/>
          <w:szCs w:val="28"/>
          <w:rtl w:val="true"/>
          <w:lang w:bidi="fa-IR"/>
        </w:rPr>
        <w:t xml:space="preserve">. </w:t>
      </w:r>
      <w:r>
        <w:rPr>
          <w:rStyle w:val="FootnoteAnchor"/>
          <w:rtl w:val="true"/>
        </w:rPr>
        <w:footnoteReference w:id="47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مقایسه اجمالی دیدگاه‌های ملّا صدرا و علّامه مجلسی دربارۀ مفهوم عقل و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 آن بر احادیث، چنین به نظر می‌آید که گرچه نگرش‌های این دو محقّق دارای نقاط اشتراک فراوانی است، اختلاف نظرهای آنها را نیز نباید از نظر دور داشت</w:t>
      </w:r>
      <w:r>
        <w:rPr>
          <w:rFonts w:eastAsia="IRNazanin" w:cs="IRNazanin"/>
          <w:color w:val="111111"/>
          <w:sz w:val="28"/>
          <w:szCs w:val="28"/>
          <w:rtl w:val="true"/>
          <w:lang w:bidi="fa-IR"/>
        </w:rPr>
        <w:t xml:space="preserve">. </w:t>
      </w:r>
      <w:bookmarkStart w:id="431" w:name="pg14553_191892"/>
    </w:p>
    <w:p>
      <w:pPr>
        <w:pStyle w:val="BookText"/>
        <w:rPr/>
      </w:pPr>
      <w:bookmarkEnd w:id="431"/>
      <w:r>
        <w:rPr>
          <w:rFonts w:ascii="IRNazanin" w:hAnsi="IRNazanin" w:eastAsia="IRNazanin"/>
          <w:color w:val="111111"/>
          <w:sz w:val="28"/>
          <w:sz w:val="28"/>
          <w:szCs w:val="28"/>
          <w:rtl w:val="true"/>
          <w:lang w:bidi="fa-IR"/>
        </w:rPr>
        <w:t xml:space="preserve">دیدگاه‌های حدیثی ملّاصدرا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الکافی</w:t>
      </w:r>
      <w:r>
        <w:rPr>
          <w:rFonts w:eastAsia="IRNazanin" w:cs="IRNazanin"/>
          <w:color w:val="111111"/>
          <w:sz w:val="28"/>
          <w:szCs w:val="28"/>
          <w:rtl w:val="true"/>
          <w:lang w:bidi="fa-IR"/>
        </w:rPr>
        <w:t>»</w:t>
      </w:r>
    </w:p>
    <w:p>
      <w:pPr>
        <w:pStyle w:val="Heading2"/>
        <w:numPr>
          <w:ilvl w:val="1"/>
          <w:numId w:val="1"/>
        </w:numPr>
        <w:rPr/>
      </w:pPr>
      <w:bookmarkStart w:id="432" w:name="__RefHeading___Toc651983_1878427129"/>
      <w:bookmarkStart w:id="433" w:name="_Toc166"/>
      <w:bookmarkEnd w:id="432"/>
      <w:r>
        <w:rPr>
          <w:rtl w:val="true"/>
        </w:rPr>
        <w:t xml:space="preserve">دیدگاه های حدیثی ملّاصدرا در </w:t>
      </w:r>
      <w:r>
        <w:rPr>
          <w:rtl w:val="true"/>
        </w:rPr>
        <w:t>«</w:t>
      </w:r>
      <w:r>
        <w:rPr>
          <w:rtl w:val="true"/>
        </w:rPr>
        <w:t>شرح اُصول الکافی</w:t>
      </w:r>
      <w:r>
        <w:rPr>
          <w:rtl w:val="true"/>
        </w:rPr>
        <w:t>»</w:t>
      </w:r>
      <w:bookmarkEnd w:id="433"/>
    </w:p>
    <w:p>
      <w:pPr>
        <w:pStyle w:val="Heading3"/>
        <w:numPr>
          <w:ilvl w:val="2"/>
          <w:numId w:val="1"/>
        </w:numPr>
        <w:rPr/>
      </w:pPr>
      <w:bookmarkStart w:id="434" w:name="__RefHeading___Toc651985_1878427129"/>
      <w:bookmarkStart w:id="435" w:name="_Toc167"/>
      <w:bookmarkEnd w:id="434"/>
      <w:r>
        <w:rPr>
          <w:rtl w:val="true"/>
        </w:rPr>
        <w:t>اشارة</w:t>
      </w:r>
      <w:bookmarkEnd w:id="435"/>
    </w:p>
    <w:p>
      <w:pPr>
        <w:pStyle w:val="BookText"/>
        <w:rPr/>
      </w:pPr>
      <w:r>
        <w:rPr>
          <w:rFonts w:ascii="IRNazanin" w:hAnsi="IRNazanin" w:eastAsia="IRNazanin"/>
          <w:color w:val="111111"/>
          <w:sz w:val="28"/>
          <w:sz w:val="28"/>
          <w:szCs w:val="28"/>
          <w:rtl w:val="true"/>
          <w:lang w:bidi="fa-IR"/>
        </w:rPr>
        <w:t xml:space="preserve">دیدگاه های حدیثی ملّاصدرا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اُصول الکافی</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دکتر نادعلی عاشوری</w:t>
      </w:r>
    </w:p>
    <w:p>
      <w:pPr>
        <w:pStyle w:val="Heading3"/>
        <w:numPr>
          <w:ilvl w:val="2"/>
          <w:numId w:val="1"/>
        </w:numPr>
        <w:rPr/>
      </w:pPr>
      <w:bookmarkStart w:id="436" w:name="__RefHeading___Toc651987_1878427129"/>
      <w:bookmarkStart w:id="437" w:name="_Toc168"/>
      <w:bookmarkEnd w:id="436"/>
      <w:r>
        <w:rPr>
          <w:rtl w:val="true"/>
        </w:rPr>
        <w:t>چکیده</w:t>
      </w:r>
      <w:bookmarkEnd w:id="437"/>
    </w:p>
    <w:p>
      <w:pPr>
        <w:pStyle w:val="BookText"/>
        <w:rPr/>
      </w:pPr>
      <w:r>
        <w:rPr>
          <w:rFonts w:ascii="IRNazanin" w:hAnsi="IRNazanin" w:eastAsia="IRNazanin"/>
          <w:color w:val="111111"/>
          <w:sz w:val="28"/>
          <w:sz w:val="28"/>
          <w:szCs w:val="28"/>
          <w:rtl w:val="true"/>
          <w:lang w:bidi="fa-IR"/>
        </w:rPr>
        <w:t>نویسنده در این مقاله برخی از مباحث حدیث‌شناسی صدر المتألهین را در شرح اصول الکافی وی آمده است، به اختصار، مورد بحث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حدیث نزد ملاصدرا، جدایی ناپذیری قرآن و عترت، نقل به معنا در حدیث، تقطیع حدیث، لزوم جمع و سازش میان احادیث، علل تعارض حدیث، اختلاف سطح فکر و فهم راویان، اختلاف راویان در حفظ و ضبط احادیث و جعل حدیث مباحثی است که در این مقاله مورد بررسی قرار گرفته و دیدگاه ملاصدرا دربارۀ آنها تبیین شده است</w:t>
      </w:r>
      <w:r>
        <w:rPr>
          <w:rFonts w:eastAsia="IRNazanin" w:cs="IRNazanin"/>
          <w:color w:val="111111"/>
          <w:sz w:val="28"/>
          <w:szCs w:val="28"/>
          <w:rtl w:val="true"/>
          <w:lang w:bidi="fa-IR"/>
        </w:rPr>
        <w:t>.</w:t>
      </w:r>
    </w:p>
    <w:p>
      <w:pPr>
        <w:pStyle w:val="Heading3"/>
        <w:numPr>
          <w:ilvl w:val="2"/>
          <w:numId w:val="1"/>
        </w:numPr>
        <w:rPr/>
      </w:pPr>
      <w:bookmarkStart w:id="438" w:name="__RefHeading___Toc651989_1878427129"/>
      <w:bookmarkStart w:id="439" w:name="_Toc169"/>
      <w:bookmarkEnd w:id="438"/>
      <w:r>
        <w:rPr>
          <w:rtl w:val="true"/>
        </w:rPr>
        <w:t>مدخل</w:t>
      </w:r>
      <w:bookmarkEnd w:id="43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شمارۀ سیزدهم مجلۀ گران‌قدر علوم حدیث، دو مقاله با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نکته دربارۀ شرح اُصول کافی 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جلوه‌های حدیث در تفسیر صدر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طی آن، مباحثِ حدیث پژوهی ملّاصدرا، با تکیه بر دو اثر گران‌سنگ این پایه‌گذار مکتب فلسفی حکمت متعالیه، یعنی تفسیر القرآن الکریم و شرح اُصول الکافی ، مورد بحث و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این فرصتِ به دست آمده را غنیمت شمرده، ضمن توجه به مطالب سودمند آن دو مقاله، برخی مباحث حدیث‌شناسی صدر المتألهین را که در شرح اُصول الکافی وی آمده است، به اختصار، مورد بحث قرار می‌دهد</w:t>
      </w:r>
      <w:r>
        <w:rPr>
          <w:rFonts w:eastAsia="IRNazanin" w:cs="IRNazanin"/>
          <w:color w:val="111111"/>
          <w:sz w:val="28"/>
          <w:szCs w:val="28"/>
          <w:rtl w:val="true"/>
          <w:lang w:bidi="fa-IR"/>
        </w:rPr>
        <w:t xml:space="preserve">. </w:t>
      </w:r>
      <w:bookmarkStart w:id="440" w:name="pg14553_191893"/>
    </w:p>
    <w:p>
      <w:pPr>
        <w:pStyle w:val="Heading3"/>
        <w:numPr>
          <w:ilvl w:val="2"/>
          <w:numId w:val="1"/>
        </w:numPr>
        <w:rPr/>
      </w:pPr>
      <w:bookmarkStart w:id="441" w:name="__RefHeading___Toc651991_1878427129"/>
      <w:bookmarkStart w:id="442" w:name="_Toc170"/>
      <w:bookmarkEnd w:id="440"/>
      <w:bookmarkEnd w:id="441"/>
      <w:r>
        <w:rPr>
          <w:rtl w:val="true"/>
        </w:rPr>
        <w:t>الف</w:t>
      </w:r>
      <w:r>
        <w:rPr>
          <w:rtl w:val="true"/>
        </w:rPr>
        <w:t xml:space="preserve">. </w:t>
      </w:r>
      <w:r>
        <w:rPr>
          <w:rtl w:val="true"/>
        </w:rPr>
        <w:t>جایگاه حدیث</w:t>
      </w:r>
      <w:bookmarkEnd w:id="442"/>
    </w:p>
    <w:p>
      <w:pPr>
        <w:pStyle w:val="BookText"/>
        <w:rPr/>
      </w:pPr>
      <w:r>
        <w:rPr>
          <w:rFonts w:ascii="IRNazanin" w:hAnsi="IRNazanin" w:eastAsia="IRNazanin"/>
          <w:color w:val="111111"/>
          <w:sz w:val="28"/>
          <w:sz w:val="28"/>
          <w:szCs w:val="28"/>
          <w:rtl w:val="true"/>
          <w:lang w:bidi="fa-IR"/>
        </w:rPr>
        <w:t>یکی از مباحث بسیار مهم و کلیدی در دانش حدیث‌شناسی، بحث در باب شناخت میزان ارزش و اعتبار حدیث و فهم جایگاه آن در مقرّرات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 سنّت، به اعتقاد همه مسلمانان، دومین رکن تشریع و قانونگذاری در اسلام، پس از قرآن کریم است و آن جا که حکمی در قرآن به صورت مجمل آمده باشد، شرح و تفصیل آن را می‌توان و باید در سنّت، جست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 بارها به حجّیت سنّت و ارزش و اعتبار آن در معارف دین، تأکید فرموده است، به گونه‌ای که جای هیچ گونه تردید یا ابهامی را در این زمینه باقی نگذاشته است؛ علاوه بر این که به دلایل عقلی نیز می‌توان این حقیقت را به اثبات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نیز همانند بسیاری از دانشمندان مسلمان، در همه موارد، قرآن را اصل و سرچشمه تمامی علوم و معارف می‌داند و پس از آن، به حدیث به عنوان رکن دوم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 مبنای همین اصل اصیل و استوار باشد که به تعبیر یکی از محقّقان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المتألهین، غالباً در هر رأیی از آرای خود، در موضوعات فلسفی، به ادلّه سمعی از کتاب و سنّتْ استشهاد می‌کند، به قسمی که کتاب‌های فلسفی از مثل آن است که در تفسیر مطالب دینی نوشته شده است</w:t>
      </w:r>
      <w:r>
        <w:rPr>
          <w:rFonts w:eastAsia="IRNazanin" w:cs="IRNazanin"/>
          <w:color w:val="111111"/>
          <w:sz w:val="28"/>
          <w:szCs w:val="28"/>
          <w:rtl w:val="true"/>
          <w:lang w:bidi="fa-IR"/>
        </w:rPr>
        <w:t xml:space="preserve">» . </w:t>
      </w:r>
      <w:r>
        <w:rPr>
          <w:rStyle w:val="FootnoteAnchor"/>
          <w:rtl w:val="true"/>
        </w:rPr>
        <w:footnoteReference w:id="4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شیعه، ص </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کتابی است که از جانب خداوند بر رسولش فرود آمده و مشتمل بر تمامی اصول و معارف و علوم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احکام کلّی و جزئی، اصل و مبدأ، و غایت و منتهایش در آن ثبت است و در آن، علوم پیشینیان و پسینیانْ موجود است</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و در جایی دیگر آورده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عظیم، اصل تمام عوالم اصولی و فروعی است </w:t>
      </w:r>
      <w:r>
        <w:rPr>
          <w:rStyle w:val="FootnoteAnchor"/>
          <w:rtl w:val="true"/>
        </w:rPr>
        <w:footnoteReference w:id="479"/>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هیچ چیزی نیست، جز آن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یا به نفْس آن چیز، و یا به مقوّمات و </w:t>
      </w:r>
      <w:bookmarkStart w:id="443" w:name="pg14553_191894"/>
    </w:p>
    <w:p>
      <w:pPr>
        <w:pStyle w:val="BookText"/>
        <w:rPr/>
      </w:pPr>
      <w:bookmarkEnd w:id="443"/>
      <w:r>
        <w:rPr>
          <w:rFonts w:ascii="IRNazanin" w:hAnsi="IRNazanin" w:eastAsia="IRNazanin"/>
          <w:color w:val="111111"/>
          <w:sz w:val="28"/>
          <w:sz w:val="28"/>
          <w:szCs w:val="28"/>
          <w:rtl w:val="true"/>
          <w:lang w:bidi="fa-IR"/>
        </w:rPr>
        <w:t>اسباب و مبادی و غایات آن چیز</w:t>
      </w:r>
      <w:r>
        <w:rPr>
          <w:rFonts w:eastAsia="IRNazanin" w:cs="IRNazanin"/>
          <w:color w:val="111111"/>
          <w:sz w:val="28"/>
          <w:szCs w:val="28"/>
          <w:rtl w:val="true"/>
          <w:lang w:bidi="fa-IR"/>
        </w:rPr>
        <w:t xml:space="preserve">. </w:t>
      </w:r>
      <w:r>
        <w:rPr>
          <w:rStyle w:val="FootnoteAnchor"/>
          <w:rtl w:val="true"/>
        </w:rPr>
        <w:footnoteReference w:id="4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عین حال، تأکید می‌ورزد که پس از قرآن، سخنان معصومان علیهم السلام در همه مسائل اصول و فروع، حجّت و محلّ رجوع است و بر عالمان دینی فرض است که در هیچ موضوعی سخن نگویند و در هیچ مسئله‌ای فتوا ندهند، مگر به آنچه که در آن، نصّی صریح و روشن از قرآن و یا خبر صحیحی از سنّت و یا اجماع قطعی بر آن، منعقد شده باشد</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و در شرح حدیث چهل و هفتم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توضیح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سنة قائمة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پابرجا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یعنی احادیث صحیح ثابت، به نقل راویان عادل و رجال مورد اعتماد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به اعتقاد وی، کتاب و سنّت، آن گونه رابطه عمیق و ریشه‌داری با هم دارند که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کتاب گویا و کتاب، اماِم خاموش است که هر دو همراه، هم‌نشین و وابسته به هم هستند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 سرانجام، این که در شرح بخشی از مقدمه مرحوم کلینی بر الکافی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آیات قرآن و احادیث پیامبر صلی الله علیه و آله، راه‌های به سوی خداوند هستند، خدا به وسیله این راه‌ها باطن چشمه‌های علم خویش را بگشود و خلق را به واسطه آنها هدایت فرمود؛ </w:t>
      </w:r>
      <w:r>
        <w:rPr>
          <w:rStyle w:val="FootnoteAnchor"/>
          <w:rtl w:val="true"/>
        </w:rPr>
        <w:footnoteReference w:id="484"/>
      </w:r>
      <w:r>
        <w:rPr>
          <w:rFonts w:ascii="IRNazanin" w:hAnsi="IRNazanin" w:eastAsia="IRNazanin"/>
          <w:color w:val="111111"/>
          <w:sz w:val="28"/>
          <w:sz w:val="28"/>
          <w:szCs w:val="28"/>
          <w:rtl w:val="true"/>
          <w:lang w:bidi="fa-IR"/>
        </w:rPr>
        <w:t>همان گونه که به علم نبوی، مجملات و سخنان کوتاه کتاب را شرح کرد و تفصیل داد</w:t>
      </w:r>
      <w:r>
        <w:rPr>
          <w:rFonts w:eastAsia="IRNazanin" w:cs="IRNazanin"/>
          <w:color w:val="111111"/>
          <w:sz w:val="28"/>
          <w:szCs w:val="28"/>
          <w:rtl w:val="true"/>
          <w:lang w:bidi="fa-IR"/>
        </w:rPr>
        <w:t xml:space="preserve">. </w:t>
      </w:r>
      <w:r>
        <w:rPr>
          <w:rStyle w:val="FootnoteAnchor"/>
          <w:rtl w:val="true"/>
        </w:rPr>
        <w:footnoteReference w:id="485"/>
      </w:r>
    </w:p>
    <w:p>
      <w:pPr>
        <w:pStyle w:val="Heading3"/>
        <w:numPr>
          <w:ilvl w:val="2"/>
          <w:numId w:val="1"/>
        </w:numPr>
        <w:rPr/>
      </w:pPr>
      <w:bookmarkStart w:id="444" w:name="__RefHeading___Toc651993_1878427129"/>
      <w:bookmarkStart w:id="445" w:name="_Toc171"/>
      <w:bookmarkEnd w:id="444"/>
      <w:r>
        <w:rPr>
          <w:rtl w:val="true"/>
        </w:rPr>
        <w:t>ب</w:t>
      </w:r>
      <w:r>
        <w:rPr>
          <w:rtl w:val="true"/>
        </w:rPr>
        <w:t xml:space="preserve">. </w:t>
      </w:r>
      <w:r>
        <w:rPr>
          <w:rtl w:val="true"/>
        </w:rPr>
        <w:t>جدایی ناپذیری قرآن و عترت</w:t>
      </w:r>
      <w:bookmarkEnd w:id="44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به دلیل وضوح و روشنی این حقیقت و مطالب فزون از شماری که در این باره گفته شده است، بحث و بررسی جداگانه آن شاید چندان ضروری به نظر نرسد؛ </w:t>
      </w:r>
    </w:p>
    <w:p>
      <w:pPr>
        <w:pStyle w:val="BookText"/>
        <w:rPr/>
      </w:pPr>
      <w:r>
        <w:rPr>
          <w:rFonts w:ascii="IRNazanin" w:hAnsi="IRNazanin" w:eastAsia="IRNazanin"/>
          <w:color w:val="111111"/>
          <w:sz w:val="28"/>
          <w:sz w:val="28"/>
          <w:szCs w:val="28"/>
          <w:rtl w:val="true"/>
          <w:lang w:bidi="fa-IR"/>
        </w:rPr>
        <w:t xml:space="preserve">امّا به دلیل افراط و تفریطهایی که در طول تاریخ اسلام در حق یکی از دو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و هم به منظور روشن نمودن موضع صریح صدرالمتألهین در این زمینه، بدون بسط مقال و تطویل کلام، به اختصارْ اشارتی بدان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مقدمتاً باید اشاره کرد همان گونه که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 شعار بی محتوا و غیر عملی در تاریخ اسلام بوده است، آنچه را که اخباری‌ها در قرن دهم و یازدهم مطرح کردند و به بهانه حمایت از سنّت، به یک باره، کتاب را از حجیّت انداختند، نیز اقدامی ناصواب و عملی ناستوده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انفکاک قرآن و سنّت، از امور بیّن و بدیهی و ضروری دین است و هر کس که بخواهد جز این بیندیشد، از صراط مستقیم و طریق حقّ منحرف می‌شود و به گرداب ضلالت و گمراهی گرفتار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پیامبر بزرگوار اسلام، حوادث پیش روی امّت را به خوبی پیش بینی کرده بود که در واقعه غدیر خُم در اواخر عمر شریف خود، با بیان حدیث ثقلین، ارتباط عمیق و پیوستگی جاودانه میان قرآن و عترت را با صراحت اعلام کرد و هرگونه تلاش در راه جدایی و افتراق میان این دو را ناپسند و مذموم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صحیح و صریح، پیامبر صلی الله علیه و آله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 فانّهما 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بیشتر با برخی منابع این حدیث،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احقاق الحق،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الحق و کشف الصدق، ص </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معدود احادیث متواتر است که با طُرُق و اَسناد مختلفْ نقل شده است و با صراحت ویژه‌ای بر عدم جدایی میان قرآن و عترتْ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اهمیّت آن همین بس که تمامی صحاح ستّه، آن را نقل کرده‌اند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 در جایی دیگر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الرابعة حدیث الثقلین، المتفق علیه بین العامة والخاصة یدلّ علی أخذ العلم عنهم و عصمتهم من الخطاء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تصریح ابن حجر، از</w:t>
      </w:r>
    </w:p>
    <w:p>
      <w:pPr>
        <w:pStyle w:val="BookText"/>
        <w:rPr/>
      </w:pPr>
      <w:r>
        <w:rPr>
          <w:rFonts w:ascii="IRNazanin" w:hAnsi="IRNazanin" w:eastAsia="IRNazanin"/>
          <w:color w:val="111111"/>
          <w:sz w:val="28"/>
          <w:sz w:val="28"/>
          <w:szCs w:val="28"/>
          <w:rtl w:val="true"/>
          <w:lang w:bidi="fa-IR"/>
        </w:rPr>
        <w:t>بیست و چند صحابی روایت شده است</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در مقابل نص، عبدالحسین شرف الدین، ص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مرحوم، سید محسن امین نیز بر این باور است که روایت مذکور، از طریقِ شیعه به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نقل گردیده است </w:t>
      </w:r>
      <w:r>
        <w:rPr>
          <w:rStyle w:val="FootnoteAnchor"/>
          <w:rtl w:val="true"/>
        </w:rPr>
        <w:footnoteReference w:id="489"/>
      </w:r>
      <w:r>
        <w:rPr>
          <w:rFonts w:ascii="IRNazanin" w:hAnsi="IRNazanin" w:eastAsia="IRNazanin"/>
          <w:color w:val="111111"/>
          <w:sz w:val="28"/>
          <w:sz w:val="28"/>
          <w:szCs w:val="28"/>
          <w:rtl w:val="true"/>
          <w:lang w:bidi="fa-IR"/>
        </w:rPr>
        <w:t xml:space="preserve">و سرانجامْ این که مرحوم میرحامد حسین هندی، اثر ارزشمند خود عبقات الأنوار را برای اثبات متن و سند و دلالت این حدیث به رشته تحریر درآورده است و به تفصیل، به بحث و بررسی در مورد اسناد و رجال و راویان آن، و کیفیت دلالت متن حدیث بر معنای مورد نظر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پرهیز از تطویل کلام، طالبان را بدان ارجاع می‌دهیم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صدرالمتألهین نیز همانند سایر دانشمندان امامیه، ضمن تأکید بر جدایی‌ناپذیری ثقلین، در موارد متعددی از شرح اُصول الکافی، </w:t>
      </w:r>
      <w:r>
        <w:rPr>
          <w:rStyle w:val="FootnoteAnchor"/>
          <w:rtl w:val="true"/>
        </w:rPr>
        <w:footnoteReference w:id="490"/>
      </w:r>
      <w:r>
        <w:rPr>
          <w:rFonts w:ascii="IRNazanin" w:hAnsi="IRNazanin" w:eastAsia="IRNazanin"/>
          <w:color w:val="111111"/>
          <w:sz w:val="28"/>
          <w:sz w:val="28"/>
          <w:szCs w:val="28"/>
          <w:rtl w:val="true"/>
          <w:lang w:bidi="fa-IR"/>
        </w:rPr>
        <w:t xml:space="preserve">در شرح اوّلین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تفصیل در این باره به اظهار نظر پرداخته، از جمله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دانستی که حجّت، 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باطنی و حجّت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حجّت باطنی، عبارت از نور درخشنده قدسی و برهان تابناک عرشی است که از افق برین می‌تابد و بدان تابش، چشم قلب را نورانی می‌کند و حالات آغاز و انجام، بر انسانْ کشف شده، به راه حق و سلوک جهان آخرت، هدایت پیدا می‌کند و از عذاب روز رستاخیز، رهایی پیدا می‌کند و حکمت رسالت و بعثت را می‌فهمد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امّا حجّت خارجی، عبارت از انبیاست با معجزات ظاهرشان، و امامان، با کرامت آشکارشان؛ و خود می‌دانی آن کس که در باطن و قلب خود، نوری و حجّتی از جانب حق مشاهده کند، وجود این شخص، بسیار اندک و در میان مردمان، حکم گوگرد سرخ را دارد؛ و چه خوب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حق، برتر از آن است که آبشخور هر 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یا بر او جز یکی پس از یکی آگاهی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تمامی خلق، جز یکی، و یا اندکی نیاز به حجّت ظاهری دارند که رسول باشد و یا امامی از جانب او 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ثابت شد که حجّت خدا بعد از رسولش بر خلق او، جز به واسطه امام قائم </w:t>
      </w:r>
    </w:p>
    <w:p>
      <w:pPr>
        <w:pStyle w:val="BookText"/>
        <w:rPr/>
      </w:pPr>
      <w:r>
        <w:rPr>
          <w:rFonts w:ascii="IRNazanin" w:hAnsi="IRNazanin" w:eastAsia="IRNazanin"/>
          <w:color w:val="111111"/>
          <w:sz w:val="28"/>
          <w:sz w:val="28"/>
          <w:szCs w:val="28"/>
          <w:rtl w:val="true"/>
          <w:lang w:bidi="fa-IR"/>
        </w:rPr>
        <w:t xml:space="preserve">نیست تا آن که خلق به تعریف و آموزش امام و هدایت کردن آنان، پروردگار و خالق خود را بشناسند و چگونگی عبادت و طاعت، و راه نزدیکی جستن به او، و رهایی از عذاب روز رستاخیز را باز شناسند؛ و پیش از این گذشت که کتاب خدا به سبب اشتمال آیاتش بر محکمات و متشابهات، و ظواهر و مُؤَوّلات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قابل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ناسخ و منسوخ، به تنهایی بر بندگان از جانب خدا در حجّت بودن، کافی نیست،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از علما می‌دانند و مردم هم گمان می‌دارند که اینان، اهل علم و صاحبان معرفت اند؛ در حالی که کوچک‌ترین آگاهی از اسرار و رموز قرآن ندارند، بلکه اینان همان گونه اند که خداوند از اینان، و امثالشان از علمای دنیا خبر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نموداری از زندگی این دنیا را دانند و همان‌ها از دنیای دیگر، بی‌خبرند</w:t>
      </w:r>
      <w:r>
        <w:rPr>
          <w:rFonts w:eastAsia="IRNazanin" w:cs="IRNazanin"/>
          <w:color w:val="111111"/>
          <w:sz w:val="28"/>
          <w:szCs w:val="28"/>
          <w:rtl w:val="true"/>
          <w:lang w:bidi="fa-IR"/>
        </w:rPr>
        <w:t xml:space="preserve">» . </w:t>
      </w:r>
      <w:r>
        <w:rPr>
          <w:rStyle w:val="FootnoteAnchor"/>
          <w:rtl w:val="true"/>
        </w:rPr>
        <w:footnoteReference w:id="49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روم، آیۀ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قرآن نمی‌تواند حجّت خدا بر خلق باشد، مگر امامی از اهل بیت نبوّت و حکمت، با آن همراه باشد؛ چون آنان برادر قرآن و شریک او و دو گوهرند که رسول خدا در امّتش باقی گذارد و هر دو، گران‌بها هستند که هر کس به هر دو چنگ درزند، گمراهی را نبیند و هر کس جز آن دو پناهی جست، هیچ گاه روی هدایت را نخواهد دید؛ هم چنان که حدیث مشهور که تمامی امّت اسلام، بر درستی آن اتّفاق دارند، بدان دلالت دارد که از رسول خدا صلی الله علیه و آله رسیده و حافظان حدیث و راویان اخبار، بر درستی روایت آن از راه‌های گوناگون، هماهنگی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که در محلی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می‌شد و بین مکّه و مدینه بود، حضرت ایستاد و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سپاس الهی را به جای آورد و درود بر او خواند و آغاز وعظ و اندرز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همانند شما بشری هستم، و نزدیک است که فرستاده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فراسویم آید و دعوت او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گران‌بها باقی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بدان دو چنگ در زنید، بعد از من، هیچ گاه گمراه نخواهید شد؛ و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کتاب خداست که ریسمانی کشیده </w:t>
      </w:r>
      <w:bookmarkStart w:id="446" w:name="pg14553_191898"/>
    </w:p>
    <w:p>
      <w:pPr>
        <w:pStyle w:val="BookText"/>
        <w:rPr/>
      </w:pPr>
      <w:bookmarkEnd w:id="446"/>
      <w:r>
        <w:rPr>
          <w:rFonts w:ascii="IRNazanin" w:hAnsi="IRNazanin" w:eastAsia="IRNazanin"/>
          <w:color w:val="111111"/>
          <w:sz w:val="28"/>
          <w:sz w:val="28"/>
          <w:szCs w:val="28"/>
          <w:rtl w:val="true"/>
          <w:lang w:bidi="fa-IR"/>
        </w:rPr>
        <w:t>از آسمان تا به زمین است، و دیگری اهل بیت و عترت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را دربارۀ اهل بیتم بر شما شاهد می‌گیرم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تبلیغ حکم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این جمله را سه بار تکرار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از هم جداشدنی نیستند تا نزد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بنگرید و در آن دو، مخالفتِ دستور من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سخن‌سنج دانشمند، ابن اثیر، در کتاب النهایه، موافق نظر شارح صحیح مسلم، یعنی ابو عبداللّه مازری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ثقلین نامند، چون گرفتنِ فرامین از آن دو و عمل به هر دو، ثقیل است و به هر چیز نفیسی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 بزرگداشت قدر و گرامیداشت شأن آنها، آن دو را ثقلین نامید</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اصول 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شرح حدیث هشتم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فضل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از آن رو که جوهر عاقل است، خوراک و غذای او جز علم و معرفت نیست، و چون این گونه است، به جاست که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انسان به خوراک خویش بنگرد</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 xml:space="preserve">این باشد که باید بنگرد علم خویش را از که فرا می‌گیرد؛ یعنی شایسته است که علمش را از پیغمبر صلی الله علیه و آله و امام علیه السلام فراگیرد؛ چون او در آغاز فراگیری علمی که غذای روح اوست، همانند کودک است، و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پدر و مادرند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فرزند را نسزد که خوراک خویش را از غیر پدر و مادر، به اسباب مختلف، چون دریوزگی و همانند آن کسب کند، همچنین مسلمان شیعه را نسزد که علم خویش را از غیر کتاب الهی و عترت،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دو چیز گران‌بها را پس از خود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الهی و عترتم</w:t>
      </w:r>
      <w:r>
        <w:rPr>
          <w:rFonts w:eastAsia="IRNazanin" w:cs="IRNazanin"/>
          <w:color w:val="111111"/>
          <w:sz w:val="28"/>
          <w:szCs w:val="28"/>
          <w:rtl w:val="true"/>
          <w:lang w:bidi="fa-IR"/>
        </w:rPr>
        <w:t xml:space="preserve">. </w:t>
      </w:r>
      <w:r>
        <w:rPr>
          <w:rStyle w:val="FootnoteAnchor"/>
          <w:rtl w:val="true"/>
        </w:rPr>
        <w:footnoteReference w:id="494"/>
      </w:r>
    </w:p>
    <w:p>
      <w:pPr>
        <w:pStyle w:val="Heading3"/>
        <w:numPr>
          <w:ilvl w:val="2"/>
          <w:numId w:val="1"/>
        </w:numPr>
        <w:rPr/>
      </w:pPr>
      <w:bookmarkStart w:id="447" w:name="__RefHeading___Toc651995_1878427129"/>
      <w:bookmarkStart w:id="448" w:name="_Toc172"/>
      <w:bookmarkEnd w:id="447"/>
      <w:r>
        <w:rPr>
          <w:rtl w:val="true"/>
        </w:rPr>
        <w:t>ج</w:t>
      </w:r>
      <w:r>
        <w:rPr>
          <w:rtl w:val="true"/>
        </w:rPr>
        <w:t xml:space="preserve">. </w:t>
      </w:r>
      <w:r>
        <w:rPr>
          <w:rtl w:val="true"/>
        </w:rPr>
        <w:t>نقل به معنا در حدیث</w:t>
      </w:r>
      <w:bookmarkEnd w:id="44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موضوعات مهم دیگری که در شرح اُصول الکافی ملّاصدرا به چشم </w:t>
      </w:r>
    </w:p>
    <w:p>
      <w:pPr>
        <w:pStyle w:val="BookText"/>
        <w:rPr/>
      </w:pPr>
      <w:r>
        <w:rPr>
          <w:rFonts w:ascii="IRNazanin" w:hAnsi="IRNazanin" w:eastAsia="IRNazanin"/>
          <w:color w:val="111111"/>
          <w:sz w:val="28"/>
          <w:sz w:val="28"/>
          <w:szCs w:val="28"/>
          <w:rtl w:val="true"/>
          <w:lang w:bidi="fa-IR"/>
        </w:rPr>
        <w:t>می‌خورد، بحث دربارۀ مسئله اساسی نقل به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حفظ لفظ حدیث، همانند حفظ لفظ قرآن، تعبّدی نیست و در هیچ موردی با صراحت، عنوان نشده است که اصحاب پیامبر صلی الله علیه و آله یا ائمه علیهم السلام، موظّف بودند عین الفاظ و عبارات معصومان را همانند آیات قرآن، حفظ کنند و به تعبیر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اصحاب پیامبر صلی الله علیه و آله یا امام علیه السلام، تمامی آنچه را که آن ذوات مقدّس می‌فرمودند، بلافاصله پس از شنیدن نمی‌نوشتند و بعید است بپذیریم که همه الفاظ و سخنان معصومان علیهم السلام را عیناً و دقیقاً حفظ می‌کردند، خصوصاً احادیثی را که طولانی بود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چنین می‌شد و الفاظ و عبارات احادیث نیز عیناً نوشته و حفظ می‌شد، از بسیاری از انحرافات دوران‌های بعدی و مسائل دیگری که بر سر حدیث آمد، نظیر پدیده شوم جعل حدیث و یا اختلاف و تضادهای موجود در بین پاره‌ای از احادیث، جلوگیری می‌شد؛ ولی واقعیت این است که آنچه رخ داد، برخلاف چنین خواست و آرزویی است و تقریباً تمامی احادیث، بجز اندکی، نقل به معنا شده است؛ ولی با این همه، در جواز یا عدم جواز نقل به معنا، برخی اختلاف نظرهایی پدید آمده است که بدون پرداختن به آن مباحث، به طرح دیدگاه ملّاصدرا در این زمینه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مسائل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کتاب پژوهشی در علم الحدیث 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صدرالمتألهین، از جمله دانشمندانی است که نقل به معنا را واقعیتی انکارناپذیر در تاریخ حدیث می‌داند و نظر مانعان را به کلّی، مردود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ذیل حدیث یک صد و چهلم شرح اُصول الکافی ،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شرح کلام امام صادق علیه السلام به محمد بن مسلم که به امام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حدیث می‌شنوم و در آن کم یا زیاد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مقصودت بیان معانی آن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496"/>
      </w:r>
      <w:r>
        <w:rPr>
          <w:rFonts w:ascii="IRNazanin" w:hAnsi="IRNazanin" w:eastAsia="IRNazanin"/>
          <w:color w:val="111111"/>
          <w:sz w:val="28"/>
          <w:sz w:val="28"/>
          <w:szCs w:val="28"/>
          <w:rtl w:val="true"/>
          <w:lang w:bidi="fa-IR"/>
        </w:rPr>
        <w:t>چنین می‌نویسد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در جایز بودن نقل حدیث به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علمای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و نزاع، دربارۀ کسی است که دانای به حقایق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غیر او </w:t>
      </w:r>
    </w:p>
    <w:p>
      <w:pPr>
        <w:pStyle w:val="BookText"/>
        <w:rPr/>
      </w:pPr>
      <w:r>
        <w:rPr>
          <w:rFonts w:ascii="IRNazanin" w:hAnsi="IRNazanin" w:eastAsia="IRNazanin"/>
          <w:color w:val="111111"/>
          <w:sz w:val="28"/>
          <w:sz w:val="28"/>
          <w:szCs w:val="28"/>
          <w:rtl w:val="true"/>
          <w:lang w:bidi="fa-IR"/>
        </w:rPr>
        <w:t>همگان اتفاق دارند که جایز نیست، و مختار، جایز بودن آن است، همچنان که از این حدیث و حدیث بعدی استنباط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تو را رسد که بر جایز بودن به وجوهی چند استدلال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ما یقین داریم راویان حدیث از پیامبر صلی الله علیه و آله، در وقایعی همانند هم، احادیثی با الفاظ مختلف نقل کرده‌اند، و مسلّم است آنچه که حضرت فرموده، یک لفظ است، و باقی نقل به معناست و تکرار آنها شایع و مرسوم است و هیچ کس آن را انکار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آن است که نقل به معنا، مسلّماً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 از ابن عباس و جز او روایت شده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این چنین و آن چنان فرموده است و این، تصریحی است به عدم ذکر لفظ حدیث بعینه و این که روایت شده معنای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نقل به معنا جایز است، وگرنه با این همه شایع و مرسوم بودن آن از جانب ایشان، هرآینه انکار و اشکالی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می‌شد، در حالی که چنین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 که همگان، اجماع دارند که معنا و تفسیر آن به واژه عجمی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تفسیر و نقل به معنای آن به عربی، جایزتر است؛ زیرا آن تفسیر و نقل به معنا در آن لغت، به مقصود و مراد، نزدیک‌تر و کامل‌تر است تا لغت دیگر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آن که ما می‌دانیم که مقصود از حدیث و گفت و گو، همان معناست و لفظ تنها،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شمردن این کار، به درهم شدن و اخلال به مقصود حدیثْ منتهی می‌شود، و ما به اختلاف علما در معانی الفاظ و تفاوت استنباط آنان در آگاهی دادن و بیان معانی حدیثْ یقین داریم، زیرا بعضی از آنان، گونه‌ای حدیث را بیان و تفسیر می‌کنند که دیگری این گونه نمی‌کند، پس اگر هر حدیثی دو یا سه بار نقل به معنا شود و در هر بار، کوچک‌ترین تغییر نماید، با تکرار، تغییراتِ بسیاری عارضِ حدیث می‌شود و مقصود، به کلّی از میان می‌رود، در جواب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تغییر در هربار، مورد گفت و گوی ما نیست؛ زیرا سخن دربارۀ کسی است که نقل به معنای برابر حدیث کند، بدون کوچک‌ترین تغییر در آن، وگرنه اگر جز این باشد، به </w:t>
      </w:r>
      <w:bookmarkStart w:id="449" w:name="pg14553_191901"/>
    </w:p>
    <w:p>
      <w:pPr>
        <w:pStyle w:val="BookText"/>
        <w:rPr/>
      </w:pPr>
      <w:bookmarkEnd w:id="449"/>
      <w:r>
        <w:rPr>
          <w:rFonts w:ascii="IRNazanin" w:hAnsi="IRNazanin" w:eastAsia="IRNazanin"/>
          <w:color w:val="111111"/>
          <w:sz w:val="28"/>
          <w:sz w:val="28"/>
          <w:szCs w:val="28"/>
          <w:rtl w:val="true"/>
          <w:lang w:bidi="fa-IR"/>
        </w:rPr>
        <w:t>اتفاق همگان،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مخالف نقل به معنا استدلال نموده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شاداب گرداند چهره آن کسی را که سخن مرا شنید و فراگرفت و همان گونه که شنید، باز پس گفت</w:t>
      </w:r>
      <w:r>
        <w:rPr>
          <w:rFonts w:eastAsia="IRNazanin" w:cs="IRNazanin"/>
          <w:color w:val="111111"/>
          <w:sz w:val="28"/>
          <w:szCs w:val="28"/>
          <w:rtl w:val="true"/>
          <w:lang w:bidi="fa-IR"/>
        </w:rPr>
        <w:t xml:space="preserve">» . </w:t>
      </w:r>
      <w:r>
        <w:rPr>
          <w:rStyle w:val="FootnoteAnchor"/>
          <w:rtl w:val="true"/>
        </w:rPr>
        <w:footnoteReference w:id="49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نَضّراللّه امرءً سمع مقالتی فوعاها ثم بلّغها من لم یسمعها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با اندکی اختلاف در تعابیر و الفاظ، ازطریق فریقین،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العمّال،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أضواء علی السنة المحمدیة، 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بر مقصود شما نمی‌کند؛ زیرا آن حضرت به کسی که آن را به صورت خودش نقل کند، دعا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کار، بهتر و شایسته‌تر است؛ ولی منع و بازداشتی نسبت به نقل به معنا نفرموده است؛ بلکه ممکن است نقل به معنا واجب هم باشد؛ زیرا کسی که نقل به معنا می‌کند، همان گونه که شنیده، باز پس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علاوه بر این، باید اضافه کرد که نقل‌های مختلف همین حدیث که مخالفان بدان استناد کرده‌اند، خود، بهترین دلیل و شاهد صدق مدّعای ملّاصدرا و اسلاف و اخلاف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نقل به معنا جایز نبوده است آن گونه که مانعان پنداشته‌اند، پس چرا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اللّه امرءً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با الفاظ و عبارات مختلفی در مجامع حدیثی شیعه و سنّی نقل شده است؟ آیا این طرق متعدد، خود، بیان کننده جواز نقل به معنا نبوده و نیست؟ اگر نقل به معنا موجب بروز آسیب‌ها و آفت‌ها، و حتی ضررها و زیان‌هایی در تاریخ حدیث شده است، چنین امری باعث نمی‌شود که اصل آن را انکار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به معنا، به دلایل عقلی و نقلی به وقوع پیوسته است و دلایل مخالفان، بر مبنای صحیحی استوار نیست</w:t>
      </w:r>
      <w:r>
        <w:rPr>
          <w:rFonts w:eastAsia="IRNazanin" w:cs="IRNazanin"/>
          <w:color w:val="111111"/>
          <w:sz w:val="28"/>
          <w:szCs w:val="28"/>
          <w:rtl w:val="true"/>
          <w:lang w:bidi="fa-IR"/>
        </w:rPr>
        <w:t>.</w:t>
      </w:r>
    </w:p>
    <w:p>
      <w:pPr>
        <w:pStyle w:val="Heading3"/>
        <w:numPr>
          <w:ilvl w:val="2"/>
          <w:numId w:val="1"/>
        </w:numPr>
        <w:rPr/>
      </w:pPr>
      <w:bookmarkStart w:id="450" w:name="__RefHeading___Toc651997_1878427129"/>
      <w:bookmarkStart w:id="451" w:name="_Toc173"/>
      <w:bookmarkEnd w:id="450"/>
      <w:r>
        <w:rPr>
          <w:rtl w:val="true"/>
        </w:rPr>
        <w:t>د</w:t>
      </w:r>
      <w:r>
        <w:rPr>
          <w:rtl w:val="true"/>
        </w:rPr>
        <w:t xml:space="preserve">. </w:t>
      </w:r>
      <w:r>
        <w:rPr>
          <w:rtl w:val="true"/>
        </w:rPr>
        <w:t>تقطیع حدیث</w:t>
      </w:r>
      <w:bookmarkEnd w:id="45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مباحث علم الحدیث، مسئله تقطیع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احادیث، شامل یک حکم و دربارۀ یک موضوع خاصّ‌اند؛ ولی بعضی دیگر، شامل احکام مختلف و حاوی موضوعات متنوّع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نقل کردن تنها قسمتی از </w:t>
      </w:r>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اصطلاحاً تقطیع حدیث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میان دانشمندان،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که نقل به معنا را جایز نمی‌دانند، تقطیع حدیث را هم مجاز نمی‌شمرند؛ ولی آنها که نقل به معنا را جایز می‌دانند، تنها در موردی که تمام روایت قبلاً نقل شده باشد، تقطیع را جایز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عدّه، گروهی هم به طور مطلق، تقطیع را جایز شمرده‌اند؛ چنان که از خطیب بغدادی نقل شده است که اگر حدیثی شامل دو حکم باشد، به منزله دو حدیث منفصل است و جایز است که جداجدا نقل شوند، همان گونه که برخی پیشوایان علم حدیث، چنین کرده‌اند</w:t>
      </w:r>
      <w:r>
        <w:rPr>
          <w:rFonts w:eastAsia="IRNazanin" w:cs="IRNazanin"/>
          <w:color w:val="111111"/>
          <w:sz w:val="28"/>
          <w:szCs w:val="28"/>
          <w:rtl w:val="true"/>
          <w:lang w:bidi="fa-IR"/>
        </w:rPr>
        <w:t xml:space="preserve">. </w:t>
      </w:r>
      <w:r>
        <w:rPr>
          <w:rStyle w:val="FootnoteAnchor"/>
          <w:rtl w:val="true"/>
        </w:rPr>
        <w:footnoteReference w:id="49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الکفایة فی علم الروایة، 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بروز اختلاف در این زمینه، هیچ جایگاهی نداشته باشد و جواز عقلی و شرعی تقطیع حدیث، امری مسجّل و قطعی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دلیل جواز شرعی تقطیع، سخن پیامبر صلی الله علیه و آله به علی علیه السلام است که در پایان خطبه بلندی که حاوی سفارش‌ها و توصیه‌های متعدد است،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أربعون حدیثاً مَن استقام علیها و حفظها عنّی من اُمّتی دخل الجنة برحمة اللّه</w:t>
      </w:r>
      <w:r>
        <w:rPr>
          <w:rFonts w:eastAsia="IRNazanin" w:cs="IRNazanin"/>
          <w:color w:val="111111"/>
          <w:sz w:val="28"/>
          <w:szCs w:val="28"/>
          <w:rtl w:val="true"/>
          <w:lang w:bidi="fa-IR"/>
        </w:rPr>
        <w:t xml:space="preserve">. . . .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از امام صادق علیه السلام نیز در جواز این امر، سخن صریحی رسیده است که جای هیچ گونه ابهامی را در این زمینه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نزد من می‌آیند تا از احادیث شما بشنوند و استفاده برند؛ ولی من خسته و ناتوان شده‌ام و از عهده این کار بر نمی‌آیم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چاره 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نیازی به نقل تمام حدیث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اوّل، وسط و آخر حدیث، مطالبی نقل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بدین ترتیب، مشکل تو حل شود </w:t>
      </w:r>
      <w:r>
        <w:rPr>
          <w:rFonts w:eastAsia="IRNazanin" w:cs="IRNazanin"/>
          <w:color w:val="111111"/>
          <w:sz w:val="28"/>
          <w:szCs w:val="28"/>
          <w:rtl w:val="true"/>
          <w:lang w:bidi="fa-IR"/>
        </w:rPr>
        <w:t xml:space="preserve">] » .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ملّاصدرا در ذیل این حدیث، شرحی بدین صورت بیان کرده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آگاهی از حکم است در آنچه که چیزی از عجز و </w:t>
      </w:r>
    </w:p>
    <w:p>
      <w:pPr>
        <w:pStyle w:val="BookText"/>
        <w:rPr/>
      </w:pPr>
      <w:r>
        <w:rPr>
          <w:rFonts w:ascii="IRNazanin" w:hAnsi="IRNazanin" w:eastAsia="IRNazanin"/>
          <w:color w:val="111111"/>
          <w:sz w:val="28"/>
          <w:sz w:val="28"/>
          <w:szCs w:val="28"/>
          <w:rtl w:val="true"/>
          <w:lang w:bidi="fa-IR"/>
        </w:rPr>
        <w:t>ضعف، هنگام خواندن حدیث، بر قوم و اهل مذهبش عارض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اجازه داد که اگر حدیثْ بلند است، این گونه بخواند، و آن این که بر آنان از آغاز آن، چیزی بخواند، یعنی سخنی مفید و مستقل باشد؛ و همچنین از وسط و پایان آن، و این در صورتی است که یک حدیث، بر احکام و جمله‌های متعدد و گوناگون، اشتمال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شبهه و اشکالی در درستی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رحمه الله نقل کرده که اتّفاق و اجماع بر آن، مانند سخن پیامبر صلی الله علیه و 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برادرش سختی‌ای از سختی‌های دنیا را برطرف کند، خداوند، سختی‌های روز قیامت را از او برطرف می‌کند، و هر کس که نیاز برادرش را برآورد، خداوند، نیازش را برمی‌آورد؛ و هر کس گناه برادرش را بپوشاند، خداوند، در دنیا و آخرت، گناه و عیب او را بپوشاند؛ و خداوند تا هنگامی که بنده، برادرش را کمک می‌کند، او را کمک خواهد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حدیثی است مشتمل بر چهار جمله که هر یک از آنها به تنهایی شرایطی دارد که، بسنده کردن بر نقلش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مستقل است و آن را یک حدیث شمرده، و این، منافات ندارد که همان، بخشی از حدیث دیگر باشد که مشتمل بر آن و غیر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دستور امام علیه السلام دربارۀ خواندن حدیثی از اوّل آن و حدیثی از وسط آن و حدیثی از آخر آن، امری استحسانی است، نه حتمی</w:t>
      </w:r>
      <w:r>
        <w:rPr>
          <w:rFonts w:eastAsia="IRNazanin" w:cs="IRNazanin"/>
          <w:color w:val="111111"/>
          <w:sz w:val="28"/>
          <w:szCs w:val="28"/>
          <w:rtl w:val="true"/>
          <w:lang w:bidi="fa-IR"/>
        </w:rPr>
        <w:t xml:space="preserve">. </w:t>
      </w:r>
      <w:r>
        <w:rPr>
          <w:rStyle w:val="FootnoteAnchor"/>
          <w:rtl w:val="true"/>
        </w:rPr>
        <w:footnoteReference w:id="5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شرح اُصول کافی،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که صدرای شیرازی در مورد احادیث معصومان علیهم السلام بیان داشته است، مرحوم علّامه طباطبایی در اثر گران‌سنگ خود، المیزان ، به شکلی دیگر دربارۀ آیات نورانی قرآن نیز صادق دانسته و چنین فرموده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اگر آن طور که باید و شاید، اخبار ائمه اهل بیت علیهم السلام را در مورد عام و خاص، و مطلق و مقیّد قرآن، دقیقاً مورد مطالعه قرار دهیم، به موارد بسیاری برخواهیم خورد که از عام آن، یک حکم استفاده می‌شود، و از همان عام به ضمیمه مُخصّصش حکمی دیگر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عام آن در </w:t>
      </w:r>
      <w:bookmarkStart w:id="452" w:name="pg14553_191904"/>
    </w:p>
    <w:p>
      <w:pPr>
        <w:pStyle w:val="BookText"/>
        <w:rPr/>
      </w:pPr>
      <w:bookmarkEnd w:id="452"/>
      <w:r>
        <w:rPr>
          <w:rFonts w:ascii="IRNazanin" w:hAnsi="IRNazanin" w:eastAsia="IRNazanin"/>
          <w:color w:val="111111"/>
          <w:sz w:val="28"/>
          <w:sz w:val="28"/>
          <w:szCs w:val="28"/>
          <w:rtl w:val="true"/>
          <w:lang w:bidi="fa-IR"/>
        </w:rPr>
        <w:t>غالب موارد، استحباب، و از خاصّش وجوب،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جا که دلیل نهی دارد، از عامّش کراهت، و از خاصّش حرمت؛ و همچنین از مطلق قرآن، حکمی، و از مقیّدش حکمی دیگر استفاده می‌شود و این خود، یکی از کلیدهای اصلی تفسیر در اخباری است که از آنها نقل شده و مدار تعداد بی‌شماری از احادیث آن بزرگواران، بر همین معناست، و با در نظر داشتن آن، شمای خواننده می‌توانی در معارف قرآنی دو قاعده استخراج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هر جمله از جملات قرآنی، به تنهایی حقیقتی را می‌فهماند، و با هر یک از قیودی که دارد، از حقیقتی دیگر خبر می‌دهد؛ حقیقتی ثابت ولا یتغیر، و یا حکمی ثابت از احکام را که مانند آیه 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ثُمَّ ذَرْهُمْ فِی خَوْضِهِمْ یَلْعَبُونَ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چهار معنا از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اوّل،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معنای دوم،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ثُمَّ 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معنای سوم،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ثُمَّ ذَرْهُمْ فِی خَوْضِهِمْ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معنای چهارم، از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اَللّهُ ثُمَّ ذَرْهُمْ فِی خَوْضِهِمْ یَلْعَبُونَ</w:t>
      </w:r>
      <w:r>
        <w:rPr>
          <w:rFonts w:eastAsia="IRNazanin" w:cs="IRNazanin"/>
          <w:color w:val="111111"/>
          <w:sz w:val="28"/>
          <w:szCs w:val="28"/>
          <w:rtl w:val="true"/>
          <w:lang w:bidi="fa-IR"/>
        </w:rPr>
        <w:t xml:space="preserve">» . </w:t>
      </w:r>
      <w:r>
        <w:rPr>
          <w:rStyle w:val="FootnoteAnchor"/>
          <w:rtl w:val="true"/>
        </w:rPr>
        <w:footnoteReference w:id="502"/>
      </w:r>
    </w:p>
    <w:p>
      <w:pPr>
        <w:pStyle w:val="Heading3"/>
        <w:numPr>
          <w:ilvl w:val="2"/>
          <w:numId w:val="1"/>
        </w:numPr>
        <w:rPr/>
      </w:pPr>
      <w:bookmarkStart w:id="453" w:name="__RefHeading___Toc651999_1878427129"/>
      <w:bookmarkStart w:id="454" w:name="_Toc174"/>
      <w:bookmarkEnd w:id="453"/>
      <w:r>
        <w:rPr>
          <w:rtl w:val="true"/>
        </w:rPr>
        <w:t xml:space="preserve">ه </w:t>
      </w:r>
      <w:r>
        <w:rPr>
          <w:rtl w:val="true"/>
        </w:rPr>
        <w:t xml:space="preserve">. </w:t>
      </w:r>
      <w:r>
        <w:rPr>
          <w:rtl w:val="true"/>
        </w:rPr>
        <w:t>لزوم جمع و سازش میان احادیث</w:t>
      </w:r>
      <w:bookmarkEnd w:id="45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اصول مسلّم و قطعی در دانش تفسیر و حدیث، این است که فرض تضاد و تنافی میان سخن معصوم با کلام الهی، به کلّی محال و غیر ممکن است و امکان ندارد که حدیث صحیح، با آیات قرآن در تعارض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وجود تعارض یا بروز تضاد میان سخن یک معصوم با کلام معصوم دیگر نیز امری نامحتمل و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حقیقت، در صورتی است که صدور حدیث را از معصوم، قطعی و یقینی بدانیم؛ اما از آن جا که بنا به دلایلی نظیر پدیده نامبارک جعل حدیث و برخی مسائل دیگر، پاره‌ای روایاتِ دروغین در بین احادیث صحیحِ معصومان علیهم السلام راه پیدا کرده است، تعارض این به اصطلاحْ روایات با احادیث قطعی معصوم، امری اجتناب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حدیث پژوهان به هنگام مواجهه با چنین پدیده‌ای سعی می‌کنند تا آن جا که ممکن است، به نحوی معقول و مقبول، احادیث را توجیه کنند و </w:t>
      </w:r>
    </w:p>
    <w:p>
      <w:pPr>
        <w:pStyle w:val="BookText"/>
        <w:rPr/>
      </w:pPr>
      <w:r>
        <w:rPr>
          <w:rFonts w:ascii="IRNazanin" w:hAnsi="IRNazanin" w:eastAsia="IRNazanin"/>
          <w:color w:val="111111"/>
          <w:sz w:val="28"/>
          <w:sz w:val="28"/>
          <w:szCs w:val="28"/>
          <w:rtl w:val="true"/>
          <w:lang w:bidi="fa-IR"/>
        </w:rPr>
        <w:t>میان دو یا چند روایت متعارض، جمع و سازش برقرار سازند، البته مشروط بر این که صدور یا عدم صدور حدیث از معصوم، قطعی و مشخص نباشد؛ زیرا در غیر این صورت، نیازی به اعمال چنین قاعده‌ای نیست؛ یعنی اگر صدور حدیثی از معصومْ یقینی بود، باید بپذیریم، و اگر به جعلی بودن حدیثی یقین پیدا کردیم، مردود شمردن آن، حتمی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سخن در جایی است که نمی‌دانیم این کلام، واقعاً سخن معصوم است یا خیر، امّا اگر به هیچ وجه نتوان میان دو روایت متعارضْ سازش برقرار کرد، اصل اولی نفی هر دو از درجه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در علم اصول، تحت دو قاعده مورد بحث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 مهما أمکن أولی من الطرح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این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تعارضا تساقطا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ملّا صدرا به دلیل مشرب عقل‌گرایی معتدلی که دارد، به هنگام مواجهه با احادیث متعارض، ابتدا سعی می‌کند برای آنها توجیه معقول و منطقی بیابد و مضمون احادیث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این نکتۀ اساسی، سخت تأکید می‌ورزد که توجیه حدیث، نباید مجوّز ورود در تأویلات باطنی یا تشبیهات اهل تجسیم و تأویل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اصل نقل است و اشکال و عیب کردن در عقل، برای تصحیح نقل، اقتضای اشکال و عیب کردن در عقل و نقل هر دو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 آن که به درستی عقل، قطع و یقین بکنیم و به تأویل نقل بپردازیم، راهی باقی نمی‌ماند و این، برهانی قاطع و یقینی است بر درست بودن تأویل؛ ولی به صورتی که منتهی به رها کردن بسیاری از ظواهر شرعی چنان که گفته آمد نگردد؛ بلکه به صورتی باشد که چیزی از ظواهر شرعی از بین نرود</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شرح اُصول کافی،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527</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صدرالمتألهین، بسیاری از احادیث مربوط به معارف و حقایق دین و اموری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عرش، قلم، کرسی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دربردارنده مضامین عالی و معانی ژرفی است که تنها برای خواص و راسخان در علم، قابل فهم است و همان گونه که قرآنْ دارای ظاهر و باطن و محکم و متشابه است، بسیاری از احادیث باب توحید و حقایق </w:t>
      </w:r>
    </w:p>
    <w:p>
      <w:pPr>
        <w:pStyle w:val="BookText"/>
        <w:rPr/>
      </w:pPr>
      <w:r>
        <w:rPr>
          <w:rFonts w:ascii="IRNazanin" w:hAnsi="IRNazanin" w:eastAsia="IRNazanin"/>
          <w:color w:val="111111"/>
          <w:sz w:val="28"/>
          <w:sz w:val="28"/>
          <w:szCs w:val="28"/>
          <w:rtl w:val="true"/>
          <w:lang w:bidi="fa-IR"/>
        </w:rPr>
        <w:t>ماورایی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با نظر ابتدایی به این قبیل روایات نگریست و احیاناً آنها را با پاره‌ای از روایات دیگر، در تضاد و تعارض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در این قبیل احادیث، با فرض صحّت سند، حتی اگر تعارضی در ظاهر به چشم بخورد، تعارض حقیقی نیست؛ بلکه تعارضی ابتدایی است که با تدبّر و تأمّل، و توجیه عقلانی و منطقی، قابل علاج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بارها در شرح اُصول الکافی ، از این اصلْ پیروی کرده و تعارض ابتدایی احادیث را با تفسیر معقولی برطرف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مورد، پس از نقل چند حدیث دربارۀ اِستوای خداوند بر عرش و فرود آمدن حضرت حقّ،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روایت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اگر روایتش صحیح باشد، لازم است که آن دو حمل شود بر نزول اوایل رحمت و عنایت او، و اسباب فیض و کرم وی به آسمان دنیا که محلّ مقدّرات امور و تقسیم روزی‌ها و اختصاص بعضی اوقات و زمان‌ها نسبت به بعض دیگر است، از جهت اختلاف قابلیت‌ها در صلاحیت و نیکی برای پذیرش فیض و رحمت، و نزدیک شدن زمان استعدادها در زمان‌های مخصوص 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فرود آمدن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کنایه از نزدیک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شرح حدیث سیصد و بیست و دوم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روایات از ناحیه اهل سنّتْ وارد شده که خداوند در قسمت سوم آخر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آسمان دنیا فرود می‌آید و ندا می‌دهد که آیا خواننده‌ای مر حق تعالی را هست؟ آیا آمرزش خواهی هست؟ اهل ظاهر و مجسّمان، امثال این اخبار را حمل بر ظاهر آنها نموده‌اند و برعکس، اهل توحید، آنها را بر معانی صحیحی تأویل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ثابت و درست باشد، ناگزیر از تأویل آنیم، به گونه‌ای که موجب تجسم و حرکت نشود</w:t>
      </w:r>
      <w:r>
        <w:rPr>
          <w:rFonts w:eastAsia="IRNazanin" w:cs="IRNazanin"/>
          <w:color w:val="111111"/>
          <w:sz w:val="28"/>
          <w:szCs w:val="28"/>
          <w:rtl w:val="true"/>
          <w:lang w:bidi="fa-IR"/>
        </w:rPr>
        <w:t xml:space="preserve">. </w:t>
      </w:r>
      <w:r>
        <w:rPr>
          <w:rStyle w:val="FootnoteAnchor"/>
          <w:rtl w:val="true"/>
        </w:rPr>
        <w:footnoteReference w:id="50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جایی دیگر،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اگر نقلش درست باشد باید تأویل گردد، البته به گونه‌ای که موجب تغییر و انفعالی در ذات حق تعالی نشود؛ چون براهین </w:t>
      </w:r>
      <w:bookmarkStart w:id="455" w:name="pg14553_191907"/>
    </w:p>
    <w:p>
      <w:pPr>
        <w:pStyle w:val="BookText"/>
        <w:rPr/>
      </w:pPr>
      <w:bookmarkEnd w:id="455"/>
      <w:r>
        <w:rPr>
          <w:rFonts w:ascii="IRNazanin" w:hAnsi="IRNazanin" w:eastAsia="IRNazanin"/>
          <w:color w:val="111111"/>
          <w:sz w:val="28"/>
          <w:sz w:val="28"/>
          <w:szCs w:val="28"/>
          <w:rtl w:val="true"/>
          <w:lang w:bidi="fa-IR"/>
        </w:rPr>
        <w:t>گوناگون بر این مطلب اقامه شده که مبدأ نخستین اشیا، ذاتش احدی و صفاتش صمدی است، و صفات او زاید بر ذات نیست؛ چه رسد به آن که حادث و متغیر و دگرگونی پذیر و متکثّر باشد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را علی رغم گستردگی دامنه آن، در همین جا به پایان می‌بریم و به آخرین موضوع این مقال که با بحث کنونی هم بی ارتباط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تعارض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Heading3"/>
        <w:numPr>
          <w:ilvl w:val="2"/>
          <w:numId w:val="1"/>
        </w:numPr>
        <w:rPr/>
      </w:pPr>
      <w:bookmarkStart w:id="456" w:name="__RefHeading___Toc652001_1878427129"/>
      <w:bookmarkStart w:id="457" w:name="_Toc175"/>
      <w:bookmarkEnd w:id="456"/>
      <w:r>
        <w:rPr>
          <w:rtl w:val="true"/>
        </w:rPr>
        <w:t>و</w:t>
      </w:r>
      <w:r>
        <w:rPr>
          <w:rtl w:val="true"/>
        </w:rPr>
        <w:t xml:space="preserve">. </w:t>
      </w:r>
      <w:r>
        <w:rPr>
          <w:rtl w:val="true"/>
        </w:rPr>
        <w:t>علل تعارض احادیث</w:t>
      </w:r>
      <w:bookmarkEnd w:id="457"/>
    </w:p>
    <w:p>
      <w:pPr>
        <w:pStyle w:val="Heading4"/>
        <w:numPr>
          <w:ilvl w:val="3"/>
          <w:numId w:val="1"/>
        </w:numPr>
        <w:rPr/>
      </w:pPr>
      <w:bookmarkStart w:id="458" w:name="__RefHeading___Toc652003_1878427129"/>
      <w:bookmarkStart w:id="459" w:name="_Toc176"/>
      <w:bookmarkEnd w:id="458"/>
      <w:r>
        <w:rPr>
          <w:rtl w:val="true"/>
        </w:rPr>
        <w:t>اشارة</w:t>
      </w:r>
      <w:bookmarkEnd w:id="459"/>
    </w:p>
    <w:p>
      <w:pPr>
        <w:pStyle w:val="BookText"/>
        <w:rPr/>
      </w:pPr>
      <w:r>
        <w:rPr>
          <w:rFonts w:ascii="IRNazanin" w:hAnsi="IRNazanin" w:eastAsia="IRNazanin"/>
          <w:color w:val="111111"/>
          <w:sz w:val="28"/>
          <w:sz w:val="28"/>
          <w:szCs w:val="28"/>
          <w:rtl w:val="true"/>
          <w:lang w:bidi="fa-IR"/>
        </w:rPr>
        <w:t>یکی از مهم‌ترین وجوه اعجاز قرآن این است که اگرچه آیات فراوان این کتاب مقدس در طی بیست و سه سال، و به مناسبت‌های گوناگون نازل گردید؛ امّا همان گونه که خود با صراحت اظهار داشته است، کم‌ترین اختلاف و اندک تعارضی میان چندین هزار آیات آن وجود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وَ لَوْ کانَ مِنْ عِنْدِ غَیْرِ اَللّهِ لَوَجَدُوا فِیهِ اِخْتِلافاً کَثِیراً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ملاحظه می‌شود که راز و رمز عدم اختلاف در قرآن، تنها به یک نکته برمی‌گردد و آن هم این که از سوی خدای یگانه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که به مفهوم می‌فهماند که اختلاف، مربوط به جهان ماده و عالم کثرت است و در جهان لاهوت و عالم ملکوت، جایی برای تضاد و تنافی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به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وَحْیٌ یُوحی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پیامبر صلی الله علیه و آله به وحی الهی ملحق شده و از تعارض و تضاد، به دور می‌ماند و فرمایش پیامبر صلی الله علیه و آله در حدیث ثقلین، مُهر تأیید بر کلام اهل بیت علیهم السلام می‌زند و آنها را نیز به سرچشمه لایزال وحی الهی ملحق می‌سازد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سخن معصوم، نه با کلام خداوند در تعارض قرار می‌گیرد و نه با سخن معصوم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بر همین اساس باشد که دانشمندان عقیده دارند سخن حتمی و </w:t>
      </w:r>
    </w:p>
    <w:p>
      <w:pPr>
        <w:pStyle w:val="BookText"/>
        <w:rPr/>
      </w:pPr>
      <w:r>
        <w:rPr>
          <w:rFonts w:ascii="IRNazanin" w:hAnsi="IRNazanin" w:eastAsia="IRNazanin"/>
          <w:color w:val="111111"/>
          <w:sz w:val="28"/>
          <w:sz w:val="28"/>
          <w:szCs w:val="28"/>
          <w:rtl w:val="true"/>
          <w:lang w:bidi="fa-IR"/>
        </w:rPr>
        <w:t>قطعی یک معصوم را می‌توان به معصوم دیگر نسبت داد، و چه بسا حدیث اُصول الکافی بر این معنا دلالت داشته باشد، آن جا که از قول امام صادق علیه السلام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حدیث أبی، و حدیث أبی حدیث جدّی، و حدیث جدّی حدیث الحسین، و حدیث الحسین حدیث الحسن، و حدیث الحسن حدیث أمیرالمؤمنین، و حدیث أمیرالمؤمنین حدیث رسول اللّه، و حدیث رسول اللّه قول اللّه عَزّوجل ّ</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الکافی،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إعلام الوری،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الأخیار،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أعیان الشیعة،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المیزان،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نظریۀ عدالت صحابه،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نقل دیگری آمده است که راوی به آن حضرت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أسمع الحدیث فلا أدری منک سماعه أو من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در پاسخ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ماسمعتَه منّی فاروه عن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و شاید بر این مبنا باشد که در لسان ادعیه، نه تنها ائمه را تماماً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بلکه سخن و کلام آنها را نیز یک نور و یک حقیقت می‌نامیم؛ چنان که در زیارت جامعه دربارۀ آنها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کلامکم نور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جای توضیح نیست که همان گونه که صدرالمتألهین در شرح حدیث اول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اتّحاد سند، این نیست که حدیث هر یک از ائمه علیهم السلام از حیث جوهر لفظ، و خصوصیت آن از حیث مثل و یا نوع، همانند حدیث امام پیش از اوست؛ بلکه این اتّحاد، از جهت علمی است که در آن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علوم همه آنها لدنّی و از جانب خداوند است</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اکنون که این مقدمه بیان شد، جای این پرسشْ باقی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احادیث معصومان علیهم السلام از یک اصلْ سرچشمه می‌گیرد و به یک حقیقتْ متصل می‌شود، دلیل این تعارض‌ها و اختلاف‌هایی که در پاره‌ای از روایات مشاهده می‌شود، چیست؟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علل و عوامل این تضادها نه به بیان معصومان علیهم السلام، بلکه به </w:t>
      </w:r>
      <w:bookmarkStart w:id="460" w:name="pg14553_191909"/>
    </w:p>
    <w:p>
      <w:pPr>
        <w:pStyle w:val="BookText"/>
        <w:rPr/>
      </w:pPr>
      <w:bookmarkEnd w:id="460"/>
      <w:r>
        <w:rPr>
          <w:rFonts w:ascii="IRNazanin" w:hAnsi="IRNazanin" w:eastAsia="IRNazanin"/>
          <w:color w:val="111111"/>
          <w:sz w:val="28"/>
          <w:sz w:val="28"/>
          <w:szCs w:val="28"/>
          <w:rtl w:val="true"/>
          <w:lang w:bidi="fa-IR"/>
        </w:rPr>
        <w:t xml:space="preserve">مخاطبان و شنوندگان، حاکمان و سیاستمداران، هواپرستان و دنیاخواهان و ده‌ها عامل ریز و درشت دیگر برمی گردد که معصومان علیهم السلام، خود در پاره‌ای موارد به ارائه راه حل پرداختند و براساس فرمایش آنان بوده است که مباحث 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مختلف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التعادل و التراجیح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همان گونه که فیلسوف الهیِ شارح اُصول الکافی معتقد است، همه آنچه که به نام احادیث متعارض خوانده می‌شوند، حقیقتاً در زمره روایات متعارض قرار ندارند؛ بلکه بخشی از آن احادیث، در نظر ابتدایی ممکن است متعارض به نظر برسند که با تدبّر و تأمّل لازم، تعارضشان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ایشان تصریح 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اختلافات که در احادیثِ مروی از اصحاب عصمت علیهم السلام واقع است، بیشترش در امور عملی فرعی است، نه در اصول اعتقاد و آنچه مهم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بخش اوّل نیز اختلافی نیست که انسان نداند کدام یک از آن دو را بگیرد، بعد از آن که ثابت شد که هر دو از اهل بیت نبوت آمده، و یا آن که مستند به ایشان است و مردم به واسطه خشکی ذوق و طبعشان و تمیز ندادنشان بین مسائل علمی اصولی و مسائل عملی فروعی، کار در همانند چنین حدیثی برایشان سخت شده و آن را مشکل‌کنند تا جایی که حکم بر قدح یکی از دو حدیث می‌کنند، یا از جهت راوی و جرح وی، و یا از جهت متن و حمل آن بر تقیّه</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می‌توان برای بروز تعارضات در احادیث، علل و عواملی را بر شمرد که برخی از آنها به شرح زیر است</w:t>
      </w:r>
      <w:r>
        <w:rPr>
          <w:rFonts w:eastAsia="IRNazanin" w:cs="IRNazanin"/>
          <w:color w:val="111111"/>
          <w:sz w:val="28"/>
          <w:szCs w:val="28"/>
          <w:rtl w:val="true"/>
          <w:lang w:bidi="fa-IR"/>
        </w:rPr>
        <w:t>:</w:t>
      </w:r>
    </w:p>
    <w:p>
      <w:pPr>
        <w:pStyle w:val="Heading4"/>
        <w:numPr>
          <w:ilvl w:val="3"/>
          <w:numId w:val="1"/>
        </w:numPr>
        <w:rPr/>
      </w:pPr>
      <w:bookmarkStart w:id="461" w:name="__RefHeading___Toc652005_1878427129"/>
      <w:bookmarkStart w:id="462" w:name="_Toc177"/>
      <w:bookmarkEnd w:id="461"/>
      <w:r>
        <w:rPr/>
        <w:t>1</w:t>
      </w:r>
      <w:r>
        <w:rPr>
          <w:rtl w:val="true"/>
        </w:rPr>
        <w:t xml:space="preserve">. </w:t>
      </w:r>
      <w:r>
        <w:rPr>
          <w:rtl w:val="true"/>
        </w:rPr>
        <w:t>اختلاف سطح فکر و فهم راویان</w:t>
      </w:r>
      <w:bookmarkEnd w:id="46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همه اصحاب معصومان علیهم السلام در یک سطح از درک و فهم نبودند و تفاوت چشمگیری در بین آنان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حقیقتی است که علاوه بر تصریح </w:t>
      </w:r>
    </w:p>
    <w:p>
      <w:pPr>
        <w:pStyle w:val="BookText"/>
        <w:rPr/>
      </w:pPr>
      <w:r>
        <w:rPr>
          <w:rFonts w:ascii="IRNazanin" w:hAnsi="IRNazanin" w:eastAsia="IRNazanin"/>
          <w:color w:val="111111"/>
          <w:sz w:val="28"/>
          <w:sz w:val="28"/>
          <w:szCs w:val="28"/>
          <w:rtl w:val="true"/>
          <w:lang w:bidi="fa-IR"/>
        </w:rPr>
        <w:t xml:space="preserve">تاریخ، از پاره‌ای روایات،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أبوذر ما فی قلب سلمان لقتله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خوبی برمی‌آید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کافی، تصحیح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شرح اُصول الکافی، ملّاصالح،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الأمالی، السید المرتضی،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396</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بحث مفصّل و توجیه لطیفی در شرح این حدیث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سفینة البحار،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علوم اسلام، ص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خان مدنی شیرازی، صاحب الدرجات الرفیعة ،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همه اصحاب در شرافت صحابی پیامبر بودنْ شریک‌اند؛ ولی از نظر سطح درک و فهم، سابقه در اسلام، درجه ایمان، تقدّم در هجرت، ملازمت کم یا زیاد با رسول اللّه، شرکت در جهاد، مقدار نقل روایت از حضرت، میزان درک محضر شریف ایشان، و ملاقات و دیدار با پیامبر صلی الله علیه و آله، دارای مراتب و درجات مختلف‌اند</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 xml:space="preserve">و ملّاصدرا نیز در شرح سخن علی علیه السلام در تقسیم چهارگانه راویان حدیث، </w:t>
      </w:r>
      <w:r>
        <w:rPr>
          <w:rStyle w:val="FootnoteAnchor"/>
          <w:rtl w:val="true"/>
        </w:rPr>
        <w:footnoteReference w:id="513"/>
      </w:r>
      <w:r>
        <w:rPr>
          <w:rFonts w:ascii="IRNazanin" w:hAnsi="IRNazanin" w:eastAsia="IRNazanin"/>
          <w:color w:val="111111"/>
          <w:sz w:val="28"/>
          <w:sz w:val="28"/>
          <w:szCs w:val="28"/>
          <w:rtl w:val="true"/>
          <w:lang w:bidi="fa-IR"/>
        </w:rPr>
        <w:t>ذیل عبارت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یاران رسول خدا صلی الله علیه و آله که چیزی از او می‌پرسیدند، همگی آن را نمی‌فهمیدند، و بعضی از آنان از پیامبر صلی الله علیه و آله می‌پرسیدند، ولی فهم‌جویی نمی‌کردند، </w:t>
      </w:r>
      <w:r>
        <w:rPr>
          <w:rStyle w:val="FootnoteAnchor"/>
          <w:rtl w:val="true"/>
        </w:rPr>
        <w:footnoteReference w:id="514"/>
      </w:r>
      <w:r>
        <w:rPr>
          <w:rFonts w:ascii="IRNazanin" w:hAnsi="IRNazanin" w:eastAsia="IRNazanin"/>
          <w:color w:val="111111"/>
          <w:sz w:val="28"/>
          <w:sz w:val="28"/>
          <w:szCs w:val="28"/>
          <w:rtl w:val="true"/>
          <w:lang w:bidi="fa-IR"/>
        </w:rPr>
        <w:t>به اشاره، بر این نکته تأکید می‌ورزد که اختلاف سطح فکر و فهم صحابه، خود یکی از علل و عواملی است که گاهی سبب بروز مشکلات و موجب اشتباهات راویان شده است</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وی در جایی دیگر با صراحت بیشتری در این باره به اظهار نظر پرداخته، چنین می‌گوید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سطح فکر اصحاب، تا آن اندازه بود که گاهی یک راوی، از آن حضرت، سخنی را شنیده و معنایی غیر آنچه مورد نظر رسول خدا بوده، تصوّر کرده است و سپس لفظ را بعینه حفظ نکرده و بلکه عبارات خود را که </w:t>
      </w:r>
      <w:bookmarkStart w:id="463" w:name="pg14553_191911"/>
    </w:p>
    <w:p>
      <w:pPr>
        <w:pStyle w:val="BookText"/>
        <w:rPr/>
      </w:pPr>
      <w:bookmarkEnd w:id="463"/>
      <w:r>
        <w:rPr>
          <w:rFonts w:ascii="IRNazanin" w:hAnsi="IRNazanin" w:eastAsia="IRNazanin"/>
          <w:color w:val="111111"/>
          <w:sz w:val="28"/>
          <w:sz w:val="28"/>
          <w:szCs w:val="28"/>
          <w:rtl w:val="true"/>
          <w:lang w:bidi="fa-IR"/>
        </w:rPr>
        <w:t>دلالت بر آنچه از معنا که به وهم خویش تصوّر کرده،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حفظ و تصورش، آنچه که مقصود رسول خدا بوده نیست؛ زیرا در آن، توهّم و غلط و اشتباه کرده است</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Heading4"/>
        <w:numPr>
          <w:ilvl w:val="3"/>
          <w:numId w:val="1"/>
        </w:numPr>
        <w:rPr/>
      </w:pPr>
      <w:bookmarkStart w:id="464" w:name="__RefHeading___Toc652007_1878427129"/>
      <w:bookmarkStart w:id="465" w:name="_Toc178"/>
      <w:bookmarkEnd w:id="464"/>
      <w:r>
        <w:rPr/>
        <w:t>2</w:t>
      </w:r>
      <w:r>
        <w:rPr>
          <w:rtl w:val="true"/>
        </w:rPr>
        <w:t xml:space="preserve">. </w:t>
      </w:r>
      <w:r>
        <w:rPr>
          <w:rtl w:val="true"/>
        </w:rPr>
        <w:t>اختلاف راویان در حفظ و ضبط احادیث</w:t>
      </w:r>
      <w:bookmarkEnd w:id="465"/>
    </w:p>
    <w:p>
      <w:pPr>
        <w:pStyle w:val="BookText"/>
        <w:rPr/>
      </w:pPr>
      <w:r>
        <w:rPr>
          <w:rFonts w:ascii="IRNazanin" w:hAnsi="IRNazanin" w:eastAsia="IRNazanin"/>
          <w:color w:val="111111"/>
          <w:sz w:val="28"/>
          <w:sz w:val="28"/>
          <w:szCs w:val="28"/>
          <w:rtl w:val="true"/>
          <w:lang w:bidi="fa-IR"/>
        </w:rPr>
        <w:t>همان گونه که راویان از نظر سطح فکر و فهم در یک حد و اندازه نبودند، از نظر قدرت حفظ و ضبط احادیث نیز در یک سطح قرار نداشتند؛ زیرا در بین اصحاب، همه نوع افراد بودند، از کودک و جوان گرفته تا بزرگ سال و سالخورده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تصوّر این که همه این افراد از جهت میزان حفظ احادیث در یک حدّ و اندازه باشند، به همان اندازه خطا و اشتباه است که توهّم شود همه آنان در سطحی نازل یا عالی قرار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احادیث که در بحث نقل به معنا بدانها استناد می‌شود، گواه صادقی بر درستی این ادّعاست و همان گونه که پیش از این از صدرالمتألهین نقل کردیم، وی بر این باور است که اگرچه نقل به معنا جایز بوده است؛ اما زیان‌ها و ضررهایی بر پیکر حدیث وارد ساخته است که از جمله آن می‌توان بروز اختلاف در الفاظ و عبارات حدیث را که در نتیجه باعث بروز اختلاف در معنای حدیث شده است، نام برد</w:t>
      </w:r>
      <w:r>
        <w:rPr>
          <w:rFonts w:eastAsia="IRNazanin" w:cs="IRNazanin"/>
          <w:color w:val="111111"/>
          <w:sz w:val="28"/>
          <w:szCs w:val="28"/>
          <w:rtl w:val="true"/>
          <w:lang w:bidi="fa-IR"/>
        </w:rPr>
        <w:t xml:space="preserve">. </w:t>
      </w:r>
      <w:r>
        <w:rPr>
          <w:rStyle w:val="FootnoteAnchor"/>
          <w:rtl w:val="true"/>
        </w:rPr>
        <w:footnoteReference w:id="517"/>
      </w:r>
    </w:p>
    <w:p>
      <w:pPr>
        <w:pStyle w:val="Heading4"/>
        <w:numPr>
          <w:ilvl w:val="3"/>
          <w:numId w:val="1"/>
        </w:numPr>
        <w:rPr/>
      </w:pPr>
      <w:bookmarkStart w:id="466" w:name="__RefHeading___Toc652009_1878427129"/>
      <w:bookmarkStart w:id="467" w:name="_Toc179"/>
      <w:bookmarkEnd w:id="466"/>
      <w:r>
        <w:rPr/>
        <w:t>3</w:t>
      </w:r>
      <w:r>
        <w:rPr>
          <w:rtl w:val="true"/>
        </w:rPr>
        <w:t xml:space="preserve">. </w:t>
      </w:r>
      <w:r>
        <w:rPr>
          <w:rtl w:val="true"/>
        </w:rPr>
        <w:t>جعل حدیث</w:t>
      </w:r>
      <w:bookmarkEnd w:id="467"/>
    </w:p>
    <w:p>
      <w:pPr>
        <w:pStyle w:val="BookText"/>
        <w:rPr/>
      </w:pPr>
      <w:r>
        <w:rPr>
          <w:rFonts w:ascii="IRNazanin" w:hAnsi="IRNazanin" w:eastAsia="IRNazanin"/>
          <w:color w:val="111111"/>
          <w:sz w:val="28"/>
          <w:sz w:val="28"/>
          <w:szCs w:val="28"/>
          <w:rtl w:val="true"/>
          <w:lang w:bidi="fa-IR"/>
        </w:rPr>
        <w:t>بی‌تردید، یکی از مهم‌ترین علل تعارض اخبار، مسئله جعل حدیث است؛ واقعیت نامبارکی که از زمان حیات پیامبر صلی الله علیه و آله، بویژه در دوران مدینه آغاز گردید و در زمان حکومت سیاه و ننگین خلفای ستمگر اموی، بخصوص در دوره حکومت ظالمانه معاویه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شوم، بیشترین تأثیر را در بروز تعارضات و تضادها در حدیث داشته و می‌توان آن را علّت العلل تعارض اخبار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صدرا در شرح مقدمه مرحوم کلینی بر الکافی ، از جمله چنین آورده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اهداف نفسانی و خواست‌های دنیایی مر گروهی را که دوستی مقام و </w:t>
      </w:r>
    </w:p>
    <w:p>
      <w:pPr>
        <w:pStyle w:val="BookText"/>
        <w:rPr/>
      </w:pPr>
      <w:r>
        <w:rPr>
          <w:rFonts w:ascii="IRNazanin" w:hAnsi="IRNazanin" w:eastAsia="IRNazanin"/>
          <w:color w:val="111111"/>
          <w:sz w:val="28"/>
          <w:sz w:val="28"/>
          <w:szCs w:val="28"/>
          <w:rtl w:val="true"/>
          <w:lang w:bidi="fa-IR"/>
        </w:rPr>
        <w:t>سروری، و به دست آوردن تمامی لذّات و خوشی‌ها، و نزدیکی و تقرّب به فرمانروایان و زمامداران بر آنان چیره و مستولی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احادیث دروغین وضع کردند و هر گروهی طبق مقاصد و حاجات خود، سخن را از جای آن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این علل و سبب‌های دنیایی و بیماری‌های قلبی و امراض نفسانی، روایات، اختلاف پیدا نمود و احادیث، ضدّ و نقیض شد</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مواردی که اشاره شد، تعارض اخبار، علل و انگیزه‌های دیگری نیز دارد که برخی از آن عوامل،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توجه راویان به قراین حالی یا مقالی؛</w:t>
      </w:r>
    </w:p>
    <w:p>
      <w:pPr>
        <w:pStyle w:val="BookText"/>
        <w:rPr/>
      </w:pPr>
      <w:r>
        <w:rPr>
          <w:rFonts w:ascii="IRNazanin" w:hAnsi="IRNazanin" w:eastAsia="IRNazanin"/>
          <w:color w:val="111111"/>
          <w:sz w:val="28"/>
          <w:sz w:val="28"/>
          <w:szCs w:val="28"/>
          <w:rtl w:val="true"/>
          <w:lang w:bidi="fa-IR"/>
        </w:rPr>
        <w:t>وجود ناسخ و منسوخ، عامّ و خاص، و محکم و متشابه در احادیث؛</w:t>
      </w:r>
    </w:p>
    <w:p>
      <w:pPr>
        <w:pStyle w:val="BookText"/>
        <w:rPr/>
      </w:pPr>
      <w:r>
        <w:rPr>
          <w:rFonts w:ascii="IRNazanin" w:hAnsi="IRNazanin" w:eastAsia="IRNazanin"/>
          <w:color w:val="111111"/>
          <w:sz w:val="28"/>
          <w:sz w:val="28"/>
          <w:szCs w:val="28"/>
          <w:rtl w:val="true"/>
          <w:lang w:bidi="fa-IR"/>
        </w:rPr>
        <w:t>تأخیر در تدوین و نگارش رسمی حدیث، و نقل شفاهی آن تا حدود یکصد سال؛</w:t>
      </w:r>
    </w:p>
    <w:p>
      <w:pPr>
        <w:pStyle w:val="BookText"/>
        <w:rPr/>
      </w:pPr>
      <w:r>
        <w:rPr>
          <w:rFonts w:ascii="IRNazanin" w:hAnsi="IRNazanin" w:eastAsia="IRNazanin"/>
          <w:color w:val="111111"/>
          <w:sz w:val="28"/>
          <w:sz w:val="28"/>
          <w:szCs w:val="28"/>
          <w:rtl w:val="true"/>
          <w:lang w:bidi="fa-IR"/>
        </w:rPr>
        <w:t>تقطیع احادیث به وسیله راویان و عدم نقل تمامی احادیث در همه موارد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اختصار اشاره شد، تنها بخشی از دیدگاه‌های حدیث‌پژوهی صدرالمتألهین را شامل می‌شود که در شرح اُصول الکافی 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بحث و بررسی دربارۀ همۀ دیدگاه‌های وی در علم الحدیث، و با تکیه بر تمامی آثارش، مجال دیگری می‌طلبد که امید است خداوند، توفیق انجام دادن آن را عطا فرماید</w:t>
      </w:r>
      <w:r>
        <w:rPr>
          <w:rFonts w:eastAsia="IRNazanin" w:cs="IRNazanin"/>
          <w:color w:val="111111"/>
          <w:sz w:val="28"/>
          <w:szCs w:val="28"/>
          <w:rtl w:val="true"/>
          <w:lang w:bidi="fa-IR"/>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8" w:name="pg14553_191914"/>
      <w:bookmarkStart w:id="469" w:name="pg14553_191914"/>
      <w:bookmarkEnd w:id="469"/>
    </w:p>
    <w:p>
      <w:pPr>
        <w:pStyle w:val="Heading2"/>
        <w:numPr>
          <w:ilvl w:val="1"/>
          <w:numId w:val="1"/>
        </w:numPr>
        <w:rPr/>
      </w:pPr>
      <w:bookmarkStart w:id="470" w:name="pg14553_191914"/>
      <w:bookmarkStart w:id="471" w:name="__RefHeading___Toc652011_1878427129"/>
      <w:bookmarkStart w:id="472" w:name="_Toc180"/>
      <w:bookmarkEnd w:id="470"/>
      <w:bookmarkEnd w:id="471"/>
      <w:r>
        <w:rPr>
          <w:rtl w:val="true"/>
        </w:rPr>
        <w:t>علّامه محمدتقی مجلسی و نقد دیدگاه های فلسفی در مرآة العقول</w:t>
      </w:r>
      <w:bookmarkEnd w:id="472"/>
    </w:p>
    <w:p>
      <w:pPr>
        <w:pStyle w:val="Heading3"/>
        <w:numPr>
          <w:ilvl w:val="2"/>
          <w:numId w:val="1"/>
        </w:numPr>
        <w:rPr/>
      </w:pPr>
      <w:bookmarkStart w:id="473" w:name="__RefHeading___Toc652013_1878427129"/>
      <w:bookmarkStart w:id="474" w:name="_Toc181"/>
      <w:bookmarkEnd w:id="473"/>
      <w:r>
        <w:rPr>
          <w:rtl w:val="true"/>
        </w:rPr>
        <w:t>اشارة</w:t>
      </w:r>
      <w:bookmarkEnd w:id="474"/>
    </w:p>
    <w:p>
      <w:pPr>
        <w:pStyle w:val="BookText"/>
        <w:rPr/>
      </w:pP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علی نصیری</w:t>
      </w:r>
    </w:p>
    <w:p>
      <w:pPr>
        <w:pStyle w:val="Heading3"/>
        <w:numPr>
          <w:ilvl w:val="2"/>
          <w:numId w:val="1"/>
        </w:numPr>
        <w:rPr/>
      </w:pPr>
      <w:bookmarkStart w:id="475" w:name="__RefHeading___Toc652015_1878427129"/>
      <w:bookmarkStart w:id="476" w:name="_Toc182"/>
      <w:bookmarkEnd w:id="475"/>
      <w:r>
        <w:rPr>
          <w:rtl w:val="true"/>
        </w:rPr>
        <w:t>چکیده</w:t>
      </w:r>
      <w:bookmarkEnd w:id="476"/>
    </w:p>
    <w:p>
      <w:pPr>
        <w:pStyle w:val="BookText"/>
        <w:rPr/>
      </w:pPr>
      <w:r>
        <w:rPr>
          <w:rFonts w:ascii="IRNazanin" w:hAnsi="IRNazanin" w:eastAsia="IRNazanin"/>
          <w:color w:val="111111"/>
          <w:sz w:val="28"/>
          <w:sz w:val="28"/>
          <w:szCs w:val="28"/>
          <w:rtl w:val="true"/>
          <w:lang w:bidi="fa-IR"/>
        </w:rPr>
        <w:t>مرآة العقول یکی از شروح کتاب الکافی است که به وسیلۀ علامه محمدتقی مجلسی به رشتۀ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کتاب، در مقام شرح روایات ضمن آن‌که با دیدگاه‌های فلسفی مخالفت نموده، از مسلک اخباری‌گری نیز روی‌گردان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به بیان چگونگی رویکرد شارح در نقد دیدگاه‌های فلسفی پرداخته و پس از بیان معنای عقل، محدودۀ حجیت عقل را از دیدگاه علامه محمدتقی مجلسی بیان کرده است</w:t>
      </w:r>
      <w:r>
        <w:rPr>
          <w:rFonts w:eastAsia="IRNazanin" w:cs="IRNazanin"/>
          <w:color w:val="111111"/>
          <w:sz w:val="28"/>
          <w:szCs w:val="28"/>
          <w:rtl w:val="true"/>
          <w:lang w:bidi="fa-IR"/>
        </w:rPr>
        <w:t>.</w:t>
      </w:r>
    </w:p>
    <w:p>
      <w:pPr>
        <w:pStyle w:val="Heading3"/>
        <w:numPr>
          <w:ilvl w:val="2"/>
          <w:numId w:val="1"/>
        </w:numPr>
        <w:rPr/>
      </w:pPr>
      <w:bookmarkStart w:id="477" w:name="__RefHeading___Toc652017_1878427129"/>
      <w:bookmarkStart w:id="478" w:name="_Toc183"/>
      <w:bookmarkEnd w:id="477"/>
      <w:r>
        <w:rPr>
          <w:rtl w:val="true"/>
        </w:rPr>
        <w:t>علّامه مجلسی و عقل خودبنیاد دینی</w:t>
      </w:r>
      <w:bookmarkEnd w:id="478"/>
    </w:p>
    <w:p>
      <w:pPr>
        <w:pStyle w:val="Heading4"/>
        <w:numPr>
          <w:ilvl w:val="3"/>
          <w:numId w:val="1"/>
        </w:numPr>
        <w:rPr/>
      </w:pPr>
      <w:bookmarkStart w:id="479" w:name="__RefHeading___Toc652019_1878427129"/>
      <w:bookmarkStart w:id="480" w:name="_Toc184"/>
      <w:bookmarkEnd w:id="479"/>
      <w:r>
        <w:rPr>
          <w:rtl w:val="true"/>
        </w:rPr>
        <w:t>اشارة</w:t>
      </w:r>
      <w:bookmarkEnd w:id="48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تاریخ تفکر اسلامی نشان می‌دهد که میان نقل گرایان و عقل‌گرایان وفاق و همگرایی وجود نداشته و هماره سوءظن به یکدیگر در میان آنان برقرار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نقل‌گرایانْ عقل‌گرایان را به حاکم ساختن عقل ناقص بشری بر مکتب عاری از کاستی و خطا، و کرنش بی‌چون و چرا در مقابل فلسفه وارداتی یونان محکوم می‌سازند و عقل‌گرایانْ نقل‌گرایان را به قشری‌نگری و تعطیل ساختن عقل و اندیشه در تعامل با </w:t>
      </w:r>
    </w:p>
    <w:p>
      <w:pPr>
        <w:pStyle w:val="BookText"/>
        <w:rPr/>
      </w:pPr>
      <w:r>
        <w:rPr>
          <w:rFonts w:ascii="IRNazanin" w:hAnsi="IRNazanin" w:eastAsia="IRNazanin"/>
          <w:color w:val="111111"/>
          <w:sz w:val="28"/>
          <w:sz w:val="28"/>
          <w:szCs w:val="28"/>
          <w:rtl w:val="true"/>
          <w:lang w:bidi="fa-IR"/>
        </w:rPr>
        <w:t>وحی متهم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چهره‌های برجسته‌ای که میان عقل و نقلْ وفاق و همگرایی ایجاد کرده و با نگرش عقلانی و وحیانی همزمان، امکان همسویی این دو مشرب و مکتب را مدلل ساخته‌اند، بسیار اندک‌اند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را می‌توان پرچمدار نقل‌گرایی دانست؛ چنان‌که فلاسفه در صف اول عقل‌گرایی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از آن نقل‌گراهاست که با عقل گرایی از نوع فلسفه برگرفته از یونان به مخالفت برخاسته و از متفکران اسلامی به خاطر کرنش در مقابل این فلسفه و تحمیل آن بر آیات و روایات به شدت انتقاد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انتقاد اختصاص به فلسفه ندارد، بلکه ایشان در کنار فلسفه، به عرفان و به ویژه تصوف نیز تاخته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لابه‌لای بسیاری از نگاشته‌های این محدث بزرگ انعکاس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علّامه مجلسی با مطلق عقل‌گرایی هیچ مخالفتی نداشته و خود از آن دفاع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ایشان در مقابل اخباریان از اجتهاد و استنباط دفاع کرده و از آنان به خاطر تعطیل هرگونه عقل‌گرایی در برخورد با آیات و روایات انتقاد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در ذیل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أحد ابتدع بدعة إلاّ ترک بها سنّة؛ </w:t>
      </w:r>
      <w:r>
        <w:rPr>
          <w:rStyle w:val="FootnoteAnchor"/>
          <w:rtl w:val="true"/>
        </w:rPr>
        <w:footnoteReference w:id="5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بدعتی را بنیان نگذاشت مگر به خاطر آن سنّتی را رها ساخت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ربما یقال هذه الاخبار تدل علی نفی الاجتهاد مطلقاً و فیه إن للمحدثین ایضاً نوعاً من الاجتهاد یقع منهم الخطأ والصواب؛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ممکن است گفته شود که این روایات مطلق اجتهاد را نفی می‌کند، اما این مدعا نادرست است؛ زیرا محدثان نیز دارای نوعی اجتهادند که گاه به صواب می‌انجامد و گاه به خطا می‌رود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دانست نفی مطلق اجتهاد از سوی شماری از اخباریان مطرح شده است؛ چنان‌که آنان تنها منبع فهم دین را کتاب و سنت می‌شناسند</w:t>
      </w:r>
      <w:r>
        <w:rPr>
          <w:rFonts w:eastAsia="IRNazanin" w:cs="IRNazanin"/>
          <w:color w:val="111111"/>
          <w:sz w:val="28"/>
          <w:szCs w:val="28"/>
          <w:rtl w:val="true"/>
          <w:lang w:bidi="fa-IR"/>
        </w:rPr>
        <w:t xml:space="preserve">. </w:t>
      </w:r>
      <w:r>
        <w:rPr>
          <w:rStyle w:val="FootnoteAnchor"/>
          <w:rtl w:val="true"/>
        </w:rPr>
        <w:footnoteReference w:id="522"/>
      </w:r>
      <w:r>
        <w:rPr>
          <w:rFonts w:ascii="IRNazanin" w:hAnsi="IRNazanin" w:eastAsia="IRNazanin"/>
          <w:color w:val="111111"/>
          <w:sz w:val="28"/>
          <w:sz w:val="28"/>
          <w:szCs w:val="28"/>
          <w:rtl w:val="true"/>
          <w:lang w:bidi="fa-IR"/>
        </w:rPr>
        <w:t xml:space="preserve">میان محدثان و اخباریان </w:t>
      </w:r>
    </w:p>
    <w:p>
      <w:pPr>
        <w:pStyle w:val="BookText"/>
        <w:rPr/>
      </w:pPr>
      <w:r>
        <w:rPr>
          <w:rFonts w:ascii="IRNazanin" w:hAnsi="IRNazanin" w:eastAsia="IRNazanin"/>
          <w:color w:val="111111"/>
          <w:sz w:val="28"/>
          <w:sz w:val="28"/>
          <w:szCs w:val="28"/>
          <w:rtl w:val="true"/>
          <w:lang w:bidi="fa-IR"/>
        </w:rPr>
        <w:t>عموم من وجه وجود دارد؛ یعنی هر محدثی ضرورتاً اخباری نیست، چنان‌که ممکن است شخص بی‌آن‌که محدث باشد تفکر اخباری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جایی دیگر، سخن بنیانگذار اخباریان، یعنی محدث امین‌الدین استرآبادی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محدث اخباری در کتاب معروفش الفوائد المدنیة گفته است معرفت الهی، فطری و همراه با الهام است، و نظری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به همان شیوه که طفلْ پستان مادر را می‌گیرد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دربارۀ این نظریه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المشهور بین المتکلمین من اصحابنا و المعتزلة و الاشاعرة أن معرفته تعالی نظریة واجبة علی العباد و أنه تعالی کلّفهم بالنظر والاستدلال فیها؛ </w:t>
      </w:r>
      <w:r>
        <w:rPr>
          <w:rStyle w:val="FootnoteAnchor"/>
          <w:rtl w:val="true"/>
        </w:rPr>
        <w:footnoteReference w:id="5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لیکن مشهور بین متکلمان شیعه، معتزله و اشاعره آن است که شناخت خدای متعال 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فطری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بندگان واجب است و خداوند مردم را به تفکر و استدلال در این زمینه مکلف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مشهود است علّامه اخباریان را در مقابل متکلمان، معتزله و اشاعره قرار داده و دیدگاه آنان را بدین ترتیب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 است که برخی از اصطلاحات فلسفی همچون علت و معلول و علت تامه و استحاله تخلف معلول از علت تامه در کلام ایشان در شرح روایات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علّامه مجلسی در توضیح قضا و قدر چنین آورده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الشیء ای تعیین خصوصیاته فی اللوح او تسبیب بعض الاسباب المؤدّیة، أی تعیین المعلول و تحدیده و خصوصیاته،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قضا أمضاه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إذا اوجبه باستکمال شرائط وجوده و جمیع ما یتوقف علیه المعلول اوجده، و ذلک الذی لامردّ له لاستحالة تخلف المعلول عن الموجب التام؛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مقصود از گفتار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خصوصیات شیء در لوح یا فراهم ساختن برخی از علت‌های منتهی به تعیین معلول و مشخص ساختن آن علت‌ها و ویژگی‌های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اقضاه أمضاه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وقتی خداوند با فراهم آوردن شرایط وجود و تمام مقوّمات معلولْ آن را به مرحله وجوب رسانده باشد، در حقیقت آن را ایجاد کرده است و این ایجادْ گریزناپذیر است، زیرا محال است معلول از علت تام انفکاک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بیان، تقدیر به معنای تنظیم ارتباط علت و معلول و قضا به معنای تأثیرگذاری علت بر معلول با فرض تمامیت علت،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نظام علیت، تأثیر تخلف‌ناپذیر علت تام بر معلول و استحاله تخلف معلول از علت تامّه مورد استناد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ایشان در باب مشیت و اراده، با تأکید بر این نکته که اراده بنده آخرین جز علت تامّه است، ضمن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مشکل جبر و اختیار را حل شده دانسته است، و نیک می‌دانیم که راه حل ایشان در تفسیر قضا و قدر، و جبر و اختیار، همان چیزی است که فلاسفه اسلامی با استفاده از مبانی فلسفی ارائه کرده‌اند</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تفصیل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الالهیات،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الاسفار الاربعة،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369</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ایشان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کان مشیة العبد و ارادته و تأثیره فی فعله جزءاً اخیراً للعلة التامّة و إنما یکون تحقق الفعل و الترک مع وجود ذلک التأثیر و عدمه، فینتفی صدور القبیح عنه تعالی؛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و چون مشیت و خواست بنده و تأثیر آن در فعلش آخرین جز علت تامّه است و تحقق‌یا عدم تحقق فعل به این تأثیر و مشیت و عدم آن بستگی دارد،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کار قبیحی از بنده صادر شود، 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قبیح از خداوند متعال منتفی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عبارت‌ها و نظایر آنها نشان می‌دهد که نمی‌توان علّامه مجلسی را اخباری صرف و افراطگرایی دانست که با پذیرش تمام مبانی این مکتب، به نوعی دکان عقل و </w:t>
      </w:r>
    </w:p>
    <w:p>
      <w:pPr>
        <w:pStyle w:val="BookText"/>
        <w:rPr/>
      </w:pPr>
      <w:r>
        <w:rPr>
          <w:rFonts w:ascii="IRNazanin" w:hAnsi="IRNazanin" w:eastAsia="IRNazanin"/>
          <w:color w:val="111111"/>
          <w:sz w:val="28"/>
          <w:sz w:val="28"/>
          <w:szCs w:val="28"/>
          <w:rtl w:val="true"/>
          <w:lang w:bidi="fa-IR"/>
        </w:rPr>
        <w:t>تفکر را تخته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او با برخی از تفکرات اخباریان و نیز دفاع وی از برخی مبانی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 نشانگر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نمی‌توان ایشان را یک شخصیت عقل‌گرا و فیلسوف محض دانست، زیرا او به رغم گردن نهادن به شماری از مبانی تفکر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ادامه نوشتار انعکاس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فلسفه، خاستگاه و نیز مدافعان فلسفه به مخالفت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افزون بر آنکه شماری از مبانی تفکر فلسفی از نگاه ایشان به نقد کشیده شده، فلسفه از دو جهت دیگر نیز مورد انتقاد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متداول جز ترجمه‌ای از تفکرات فلاسفه یونان نیست که اساساً به خاطر به تعطیل کشاندن مکتب عقلانی اهل بیت علیهم السلام از سوی خلفای بنی عباس رواج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فلاسفه مسلمان، به ویژه فیلسوفان شیعه، به رغم برخورداری از کان عظیم تفکر قرآنی و روایی، در مقابل این اندیشه‌های وارداتی سر تسلیم فرود آورده و از همه تلخ‌تر آنکه برای دفاع از این اندیشه‌ها در برخی از موارد به تطبیق متون دینی با آنها یا به تعبیر رساتر به تحمیل آن مبانی فکری بر کتاب و سنت،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خلاصه‌ای از مشرب فکری‌ای است که با استفاده از مجموعه دیدگاه‌های علّامه مجلسی می‌توان به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بر چنین تفکری که از راهی میان تفکر اخباریان و فلاسفه می‌گذرد، چه نامی می‌توان گذاشت، سخن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همگام با استناد محمدرضا حکیمی، چنین تفکری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خود بنیاد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روزنامه همشهری، آذر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خودبنیاد دینی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ایشان معتقد است که اسلام آیین تفکر و تعقل است و این تفکر عقلانی از دل قرآن و سنت قابل استخراج است، بی‌آنکه به مبانی تفکر یونانی 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نظریه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می‌دانیم که در شناخت دینی و عقایدی، استناد به عقل و تعقل ضروری است، زیرا که‌عقل به نص احادیث حجت باطنی است و از حجت باطنی است که به حجت ظاهری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حجت باطنی، عقل است و تعقل، نه فلسفه و تفلسف</w:t>
      </w:r>
      <w:r>
        <w:rPr>
          <w:rFonts w:eastAsia="IRNazanin" w:cs="IRNazanin"/>
          <w:color w:val="111111"/>
          <w:sz w:val="28"/>
          <w:szCs w:val="28"/>
          <w:rtl w:val="true"/>
          <w:lang w:bidi="fa-IR"/>
        </w:rPr>
        <w:t xml:space="preserve">. </w:t>
      </w:r>
      <w:r>
        <w:rPr>
          <w:rStyle w:val="FootnoteAnchor"/>
          <w:rtl w:val="true"/>
        </w:rPr>
        <w:footnoteReference w:id="528"/>
      </w:r>
      <w:bookmarkStart w:id="481" w:name="pg14553_191919"/>
    </w:p>
    <w:p>
      <w:pPr>
        <w:pStyle w:val="BookText"/>
        <w:rPr/>
      </w:pPr>
      <w:bookmarkEnd w:id="481"/>
      <w:r>
        <w:rPr>
          <w:rFonts w:ascii="IRNazanin" w:hAnsi="IRNazanin" w:eastAsia="IRNazanin"/>
          <w:color w:val="111111"/>
          <w:sz w:val="28"/>
          <w:sz w:val="28"/>
          <w:szCs w:val="28"/>
          <w:rtl w:val="true"/>
          <w:lang w:bidi="fa-IR"/>
        </w:rPr>
        <w:t>البته این سخن بدان معنا نیست که ما آرای علّامه مجلسی رحمه الله را از هر جهت منطبق با مدافعان مکتب تفکیک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دادن تفکر عقلانی مورد نظر علّامه مجلسی و نقدهایی که ایشان بر فلسفه وارد ساخته‌اند، نیازمند مطالعه و بررسی تمام آثار و نگاشته‌های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هفت‌گانه‌ای که در این مقاله به عنوان نقدهای علّامه مجلسی به فلسفه آمده، برگزیده‌ای از نگرش‌های ایشان است که در کتاب ارزشمند مرآة العقول انعکاس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دیدگاه‌های علّامه مجلسی در زمینه‌های مختلفِ معارف روایی به صورت گسترده در این کتاب گردآمده و نگرش‌های ایشان در کتاب گرانسنگ بحار الأنوار و نیز کتاب‌های دیگر، در غالب موارد گزینه‌ای از محتوای همین کتاب است، می‌توان مدعی شد که کتاب مرآة العقول برای دست‌یافتن به نگرش‌های ایشان تا حدود زیادی راهگشاست</w:t>
      </w:r>
      <w:r>
        <w:rPr>
          <w:rFonts w:eastAsia="IRNazanin" w:cs="IRNazanin"/>
          <w:color w:val="111111"/>
          <w:sz w:val="28"/>
          <w:szCs w:val="28"/>
          <w:rtl w:val="true"/>
          <w:lang w:bidi="fa-IR"/>
        </w:rPr>
        <w:t>.</w:t>
      </w:r>
    </w:p>
    <w:p>
      <w:pPr>
        <w:pStyle w:val="Heading4"/>
        <w:numPr>
          <w:ilvl w:val="3"/>
          <w:numId w:val="1"/>
        </w:numPr>
        <w:rPr/>
      </w:pPr>
      <w:bookmarkStart w:id="482" w:name="__RefHeading___Toc652021_1878427129"/>
      <w:bookmarkStart w:id="483" w:name="_Toc185"/>
      <w:bookmarkEnd w:id="482"/>
      <w:r>
        <w:rPr/>
        <w:t>1</w:t>
      </w:r>
      <w:r>
        <w:rPr>
          <w:rtl w:val="true"/>
        </w:rPr>
        <w:t xml:space="preserve">. </w:t>
      </w:r>
      <w:r>
        <w:rPr>
          <w:rtl w:val="true"/>
        </w:rPr>
        <w:t>تفسیر عقل از نگاه وحی و فلسفه</w:t>
      </w:r>
      <w:bookmarkEnd w:id="483"/>
    </w:p>
    <w:p>
      <w:pPr>
        <w:pStyle w:val="Heading5"/>
        <w:numPr>
          <w:ilvl w:val="4"/>
          <w:numId w:val="1"/>
        </w:numPr>
        <w:rPr/>
      </w:pPr>
      <w:bookmarkStart w:id="484" w:name="__RefHeading___Toc652023_1878427129"/>
      <w:bookmarkStart w:id="485" w:name="_Toc186"/>
      <w:bookmarkEnd w:id="484"/>
      <w:r>
        <w:rPr>
          <w:rtl w:val="true"/>
        </w:rPr>
        <w:t>اشارة</w:t>
      </w:r>
      <w:bookmarkEnd w:id="485"/>
    </w:p>
    <w:p>
      <w:pPr>
        <w:pStyle w:val="BookText"/>
        <w:rPr/>
      </w:pPr>
      <w:r>
        <w:rPr>
          <w:rFonts w:ascii="IRNazanin" w:hAnsi="IRNazanin" w:eastAsia="IRNazanin"/>
          <w:color w:val="111111"/>
          <w:sz w:val="28"/>
          <w:sz w:val="28"/>
          <w:szCs w:val="28"/>
          <w:rtl w:val="true"/>
          <w:lang w:bidi="fa-IR"/>
        </w:rPr>
        <w:t xml:space="preserve">نخستین فصلی که مرحوم کلینی پیش از ورود به مباحث اصلی اعتقادات گشوده و حکایت از درایت و کمال حسن سلیقه ایشان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نیز به پیروی از ایشان، کتاب گرانسنگ بحارالأنوار خود را با همین فصل آغازیده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 مهم و بلندی آمده که حقیقتاً فهم عمیق و فهماندن آنها نیازمند احاطه و آگاهی از دانش‌های مختلف به ویژه فلسفه و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روایات این فصل، روایت نخست از اهمیت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العقل استنطقه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عزتی و جلالی ما خلقت خلقاً هو أحب إلی منک و لا أکملتک إلا فیمن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إنی إیاک آمر و إیاک أنهی و إیاک اُعاقب و إیاک اُثیب؛ </w:t>
      </w:r>
      <w:r>
        <w:rPr>
          <w:rStyle w:val="FootnoteAnchor"/>
          <w:rtl w:val="true"/>
        </w:rPr>
        <w:footnoteReference w:id="529"/>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خداوند عقل را آفرید، آن را به نطق درآورد، و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هیچ آفریده‌ای را نیافریدم که از تو نزد من محبوب‌تر باشد، و در هیچ کس تو را کامل نساختم؛ مگر در کسی که دوستش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تنها به تو فرمان می‌دهم و تنها تو را باز می‌دارم و تنها تو را کیفر و پاداش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در شرح این حدیث و سایر احادیث این باب مدعی شده است که فهم آنها منوط به بیان ماهیت عقل و اختلاف آرا و اصطلاحات در این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آن‌گاه شش نظریه در تفسیر عقل ارائه می‌کند که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ادراک خیر و شر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ملکه‌ای در نفس که برانگیزاننده آدمی به سمت انتخاب خیرات و منافع و اجتناب از شرور و زیان‌هاست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قوه‌ای که مردم برای سامان دادن امور دنیایشان آن را به کار می‌گیرند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استعداد نفس برای تحصیل علوم نظری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ناطقه انسانی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فلاسفه که عقل را جوهر مجرد قدیمی می‌دانند که ذاتاً و فعلاً به مادّه تعلق پیدا نمی‌کند</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پس از ذکر نظریه فلاسفه، به شدت به آنها تاخته و لازمه چنین گفتاری را انکار بسیاری از ضروریات دین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به کما ذکروه مستلزم إنکار کثیر من ضروریات الدین من حدوث العالم و غیره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بعض المنتحلین منهم للاسلام أثبتوا عقولاً حادثة و هنّ أیضاً علی ما أثبتوها مستلزمة لإنکار کثیر من الاُصول المقررة الاسلامیة؛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تفسیر عقل طبق آنچه فلاسفه می‌گویند مستلزم انکار بسیاری از ضروریات دین همچون حدوث عالم و نظایر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برخی از طرفداران فلسفه که اسلام را پذیرفته‌اند، عقل‌های حادثی را اثبات کرده‌اند؛ درحالی‌که چنین اعتقادی نیز مستلزم انکار بسیاری از مبانی پذیرفته شده اسلامی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آن‌گاه چگونگی ارتباط عقل 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نزد فلاسفه به عقل فعال نامبردار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نفس را در نگاه برخی از فلاسفه اسلامی تشریح کرده و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لهم علی هذه الاُمور دلیل إلا مموّهات شبهات، أو خیالات غریبة، زینوها بلطائف عبارات؛ </w:t>
      </w:r>
      <w:r>
        <w:rPr>
          <w:rStyle w:val="FootnoteAnchor"/>
          <w:rtl w:val="true"/>
        </w:rPr>
        <w:footnoteReference w:id="5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برای این ادعاها هیچ دلیلی ندارند جز پندارهای شبهه‌ناک یا خیالات شگفت‌آور که آنها را با عبارت‌های لطیف و زیبا زینت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معانی اقبال و ادبار عقل را طبق هر یک از مفاهیم شش‌گانه مورد بررسی قرار داده و پس از انطباق آن با معنای ششم پیشگفته، مدعی شده است که بسیاری از ویژگی‌هایی که فلاسفه برای عقول ذکر کرده‌اند، در روایات متواتر بر ارواح پیامبر و ائمه علیهم السلام 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قدمت عقل و وساطت عقل در ایجاد یا شرطیت در تأثیر، با تفاوت‌های اندک معنایی در روایات، دربارۀ ارواح پیشوایان دینی آمده است</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آن‌گاه چنین ادامه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سلکوا سبیل الریاضات و التفکرات مستبدین بآرائهم علی غیر قانون الشریعة المقدسة، ظهرت علیهم حقیقة هذا الامر ملبّساً مشبّهاً فأخطئوا فی ذلک و أثبتوا عقولاً و تکلموا فی ذلک فضولاً؛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و از آنجا که فلاسفه راه ریاضت‌ها و تفکرات را با تکیه مستبدانه بر اندیشه‌های خود و بدون پایبندی به قانون شریعت پیموده‌اند، حقیقت عقل این چنین پوشیده و اشتباه‌آمیز بر ایشان آشکار شد و در این راه به خطا رفتند و بر وجود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فشردند و در این زمینه سخنان بی‌مایه و بی‌اساسی را بازگو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گفتار فلاسفه از سه جهت مورد انتقاد قرار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راه ریاضت‌های غیر شرعی را برای تهذیب و سیر و سلوک و صفای اندیشه پیموده‌اند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دیدگاه‌های خود را بر مبانی دینی عرضه کنند و صحت و سقم آنها را محک بزنند، مستبدانه از آن دفاع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اشتباه راه و عدم</w:t>
      </w:r>
      <w:bookmarkStart w:id="486" w:name="pg14553_191922"/>
    </w:p>
    <w:p>
      <w:pPr>
        <w:pStyle w:val="BookText"/>
        <w:rPr/>
      </w:pPr>
      <w:bookmarkEnd w:id="486"/>
      <w:r>
        <w:rPr>
          <w:rFonts w:ascii="IRNazanin" w:hAnsi="IRNazanin" w:eastAsia="IRNazanin"/>
          <w:color w:val="111111"/>
          <w:sz w:val="28"/>
          <w:sz w:val="28"/>
          <w:szCs w:val="28"/>
          <w:rtl w:val="true"/>
          <w:lang w:bidi="fa-IR"/>
        </w:rPr>
        <w:t>تطبیق نتیجه راه با معیار وحی، دچار اشتباه و خطا در آرای خود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دانستنی است که تمام عبارات ایشان در شرح الکافی عیناً در بحارالأنوار و در پایان بخشی از روایات عقل و جهل آمده است</w:t>
      </w:r>
      <w:r>
        <w:rPr>
          <w:rFonts w:eastAsia="IRNazanin" w:cs="IRNazanin"/>
          <w:color w:val="111111"/>
          <w:sz w:val="28"/>
          <w:szCs w:val="28"/>
          <w:rtl w:val="true"/>
          <w:lang w:bidi="fa-IR"/>
        </w:rPr>
        <w:t xml:space="preserve">. </w:t>
      </w:r>
      <w:r>
        <w:rPr>
          <w:rStyle w:val="FootnoteAnchor"/>
          <w:rtl w:val="true"/>
        </w:rPr>
        <w:footnoteReference w:id="5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Heading5"/>
        <w:numPr>
          <w:ilvl w:val="4"/>
          <w:numId w:val="1"/>
        </w:numPr>
        <w:rPr/>
      </w:pPr>
      <w:bookmarkStart w:id="487" w:name="__RefHeading___Toc652025_1878427129"/>
      <w:bookmarkStart w:id="488" w:name="_Toc187"/>
      <w:bookmarkEnd w:id="487"/>
      <w:r>
        <w:rPr>
          <w:rtl w:val="true"/>
        </w:rPr>
        <w:t>عقل از نگاه علّامه طباطبایی و نقد گفتار علّامه مجلسی</w:t>
      </w:r>
      <w:bookmarkEnd w:id="488"/>
    </w:p>
    <w:p>
      <w:pPr>
        <w:pStyle w:val="BookText"/>
        <w:rPr/>
      </w:pPr>
      <w:r>
        <w:rPr>
          <w:rFonts w:ascii="IRNazanin" w:hAnsi="IRNazanin" w:eastAsia="IRNazanin"/>
          <w:color w:val="111111"/>
          <w:sz w:val="28"/>
          <w:sz w:val="28"/>
          <w:szCs w:val="28"/>
          <w:rtl w:val="true"/>
          <w:lang w:bidi="fa-IR"/>
        </w:rPr>
        <w:t>می‌دانیم که از جمله پژوهش‌های حدیثی مرحوم علّامه طباطبایی، گذشته از بحث‌های روایی ارزشمند ایشان در سرتاسر تفسیر المیزان ، حاشیه‌هایی است که بر مجلدات بحارالأنوار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حاشیه‌ها با مخالفت‌هایی روبه‌رو شد و سرانجام در جلد هشتم متوقف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حواشی علّامه طباطبایی، دو حاشیه‌ای است که ایشان در ذیل همین گفتار علّامه مجلسی آورده و ظاهراً عمده دلیل شدت اعتراض بر ایشان و سرانجام توقف نگارش و چاپ حواشی، همین دو حاشیه بوده است</w:t>
      </w:r>
      <w:r>
        <w:rPr>
          <w:rFonts w:eastAsia="IRNazanin" w:cs="IRNazanin"/>
          <w:color w:val="111111"/>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علّامه طباطبایی اساس بحث علّامه مجلسی در تبیین معانی اصطلاحی عقل را ناصحیح می‌داند و معتقد است طرح این بحث از سوی ایشان به دو دلیل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به کسانی که در معارف عقلی با عقل و برهان به کاوش می‌پردازند بدگمان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تمام روایات را در یک سطح دانسته و بر اساس همین نگاه، به شرح و تفسیر روایات پرداخته است؛ درحالی‌که در میان روایات، اخبار غرر و نابی است که تنها برای صاحبان فهم‌های عالی و عقل‌های ناب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امر نیز آن است که پرسشگران ائمه علیهم السلام هماره در یک سطح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گفتار ایشان چنین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کل سائل من الرواة فی سطح واحد من الفهم، و ما کل حقیقه فی سطح واحد من الدقة و اللطافة، و الکتاب والسنة مشحونان بان معارف الدین ذوات مراتب مختلفة، و إن لکل مرتبة أهلاً و إن فی الغاء المراتب هلاک </w:t>
      </w:r>
    </w:p>
    <w:p>
      <w:pPr>
        <w:pStyle w:val="BookText"/>
        <w:rPr/>
      </w:pPr>
      <w:r>
        <w:rPr>
          <w:rFonts w:ascii="IRNazanin" w:hAnsi="IRNazanin" w:eastAsia="IRNazanin"/>
          <w:color w:val="111111"/>
          <w:sz w:val="28"/>
          <w:sz w:val="28"/>
          <w:szCs w:val="28"/>
          <w:rtl w:val="true"/>
          <w:lang w:bidi="fa-IR"/>
        </w:rPr>
        <w:t xml:space="preserve">المعارف الحقیقیة؛ </w:t>
      </w:r>
      <w:r>
        <w:rPr>
          <w:rStyle w:val="FootnoteAnchor"/>
          <w:rtl w:val="true"/>
        </w:rPr>
        <w:footnoteReference w:id="5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نیست که تمام راویان پرسشگر در یک سطح از فهم و درک بوده‌اند، و چنان نیست که هر حقیقتی از نظر ظرافت و لطافت، از سطحی یکسان برخوردار باشد، و کتاب و سنت لبالب از این نکته است که معارف دین دارای مراتب متعددند و هر مرتبه‌ای مخاطب مخصوص خود را می‌طلبد و بی‌اعتنایی به این مراتب به معنای نابودی معارف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تجرد نفس را امری نمی‌داند که از روایات برآید، بلکه ظاهر روایات را دلیل مادّی بودن نفس می‌شمارد و سپس در ضمن تطبیق عقول عشره بر ارواح ائمه علیهم السلام به مخالفت با فلاسفه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ضمن رد ادعاهای ایشان، طریق احتیاط دینی را در آن می‌داند که اشخاصی همچون علّامه مجلسی که در زمینه مباحث عقلی دارای عمق و ژرفا نیستند، به ظواهر آیات و روایات تمسک کنند و علم به حقایق آنها را به اهلش واگذارند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دفاع از منهج فلاسفه و در رد ادعای علّامه مجلسی سه دلیل اقامه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حجیت ظواهر شرعیه، مبتنی بر برهانی عقلانی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دینی متوقف بر ظهور لفظ است و از آنجا که ظواهر لفظی دلیل ظنی‌اند، نمی‌توانند با براهین عقلی که قطعی‌اند به مبارزه برخیزند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تمسک به برهان‌های عقلی در اصول دین و آن‌گاه معزول دانستن عقل در حوزه معارفی که اخبار آحاد وارد شده، مستلزم تناقض آشکار است؛ زیرا ظواهر شرعیه که به کمک همین براهین عقلی اعتبار پیدا کرده‌اند، چگونه می‌توانند مقدمه‌ای را که به برکت آن سندیت پیدا کرده‌اند، ابطال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ایشان آن‌گاه علّامه مجلسی را این‌گونه مخاطب می‌سازند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طریق الاحتیاط الدینی لمن لم یتثبت فی الأبحاث العمیقة العقلیة أن یتعلّق بظاهر الکتاب و ظواهر الأخبار المستفیضة و یرجع علم حقائقها إلی </w:t>
      </w:r>
    </w:p>
    <w:p>
      <w:pPr>
        <w:pStyle w:val="BookText"/>
        <w:rPr/>
      </w:pPr>
      <w:r>
        <w:rPr>
          <w:rFonts w:ascii="IRNazanin" w:hAnsi="IRNazanin" w:eastAsia="IRNazanin"/>
          <w:color w:val="111111"/>
          <w:sz w:val="28"/>
          <w:sz w:val="28"/>
          <w:szCs w:val="28"/>
          <w:rtl w:val="true"/>
          <w:lang w:bidi="fa-IR"/>
        </w:rPr>
        <w:t xml:space="preserve">اللّه عزّ اسمه، و یجتنب الورود فی الأبحاث العمیقة العقلیة إثباتاً و نفیاً؛ أما إثباتاً فلکونه مظنة الضلال، و فیه تعرض للهلاک الدائم، و أما نفیاً فلما فیه من وبال القول بغیر علم و الانتصار للدین بما لا یرضی به اللّه سبحانه و الابتلا بالمناقضه فی النظر؛ </w:t>
      </w:r>
      <w:r>
        <w:rPr>
          <w:rStyle w:val="FootnoteAnchor"/>
          <w:rtl w:val="true"/>
        </w:rPr>
        <w:footnoteReference w:id="5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احتیاط دینی برای کسی که در مباحث عمیق عقلی گام ننهاده آن است که به ظاهر کتاب و ظواهر روایات مستفیض عمل کند و علم به حقایق آنها را به خداوند واگذارد و از اظهارنظر اثباتی یا سلبی در مباحث عمیق عقلی اجتناب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اثباتاً از این جهت که احتمال غلتیدن در گمراهی و در معرض هلاکت ابدی قرار گرفتن وجود دارد، و نفیاً از این جهت که گناه اعتقاد بدون علم و دفاع از دین به گونه‌ای که مورد رضایت خداوند سبحان نیست و مبتلا شدن به تناقض گویی در اندیشه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معتقد است که علّامه مجلسی در بسیاری از موارد دچار تناقض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مورد همین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أول ذلک ما فی هذه المسألة فانه طعن فیها علی الحکمأ فی قولهم بالمجردات ثم اثبت جمیع خواص التجرد علی انوار النبی و الائمه علیهم السلام و لم یتنبّه انه لو استحال وجود موجود مجرد غیر اللّه سبحانه لم یتغیر حکم استحالته بتغییر اسمه، و تسمیة ما یسمونه عقلاً بالنور والطینة و نحوها؛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نخستین شاهد مدعا همین مسئله است، زیرا ایشان به فلاسفه به سبب اعتقاد به مجردات تاخته و آن‌گاه تمام ویژگی‌های تجرد را انوار پیامبر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توجه نکرده که اگر وجود موجود مجردی غیر از خداوند سبحان محال باشد، دیگر با تغییر دادن نام آن مجرد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یا امام علیه السلام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نهادن نامِ نور و طینت یا اسامی دیگر بر آنچه فلاسفه عقل می‌نامند، حکم استحاله آن تغییر نمی‌کند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آنکه تطبیق روایت آفرینش عقل و استنطاق از آن و نیز تطبیق صفات عقل بر </w:t>
      </w:r>
      <w:bookmarkStart w:id="489" w:name="pg14553_191925"/>
    </w:p>
    <w:p>
      <w:pPr>
        <w:pStyle w:val="BookText"/>
        <w:rPr/>
      </w:pPr>
      <w:bookmarkEnd w:id="489"/>
      <w:r>
        <w:rPr>
          <w:rFonts w:ascii="IRNazanin" w:hAnsi="IRNazanin" w:eastAsia="IRNazanin"/>
          <w:color w:val="111111"/>
          <w:sz w:val="28"/>
          <w:sz w:val="28"/>
          <w:szCs w:val="28"/>
          <w:rtl w:val="true"/>
          <w:lang w:bidi="fa-IR"/>
        </w:rPr>
        <w:t>رسول اکرم صلی الله علیه و آله در کلام صدرالمتألهین، در شرح همین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أمعن النظر فی هذا المقام وجد کل ماوصف به العقل الاول و حکی عنه کان من خواص روحه صلی الله علیه و آله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استنطقه ای جعله ذا نطق و کلام یلیق بذلک المقام،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أقبل فأقبل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هذا حال روحه صلی الله علیه و آله إذا قال له أقبل إلی الدنیا و أهبط إلی الارض رحمة للعالمین فأقبل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أدبر ای ارجع إلی ربک فادبر عن الدنیا و رجع إلی ربه لیلة المعراج؛ </w:t>
      </w:r>
      <w:r>
        <w:rPr>
          <w:rStyle w:val="FootnoteAnchor"/>
          <w:rtl w:val="true"/>
        </w:rPr>
        <w:footnoteReference w:id="54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در این روایات در نگرد، در می‌یابد تمام توصیف‌های عقل اول از ویژگی‌های رسول اکرم صلی الله علیه و آله است؛ زیرا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او را دارای نطق و گفتار ساخت، با به نطق درآوردن ایشان سازگار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فادبر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تماماً بیانگر حالت روح پیامبر صلی الله علیه و آله است؛ آن هنگام که خداوند به ایشان خطاب کرد که رو به‌سوی دنیا آور و به زمین فرود آ تا رحمت برای جهانیان باشی و او چنین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آن‌گاه به او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به‌سوی پروردگارت برگرد، و او در شب معراج به دنیا پشت کرد و به‌سوی پروردگارش بازگشت</w:t>
      </w:r>
      <w:r>
        <w:rPr>
          <w:rFonts w:eastAsia="IRNazanin" w:cs="IRNazanin"/>
          <w:color w:val="111111"/>
          <w:sz w:val="28"/>
          <w:szCs w:val="28"/>
          <w:rtl w:val="true"/>
          <w:lang w:bidi="fa-IR"/>
        </w:rPr>
        <w:t>.</w:t>
      </w:r>
    </w:p>
    <w:p>
      <w:pPr>
        <w:pStyle w:val="Heading4"/>
        <w:numPr>
          <w:ilvl w:val="3"/>
          <w:numId w:val="1"/>
        </w:numPr>
        <w:rPr/>
      </w:pPr>
      <w:bookmarkStart w:id="490" w:name="__RefHeading___Toc652027_1878427129"/>
      <w:bookmarkStart w:id="491" w:name="_Toc188"/>
      <w:bookmarkEnd w:id="490"/>
      <w:r>
        <w:rPr/>
        <w:t>2</w:t>
      </w:r>
      <w:r>
        <w:rPr>
          <w:rtl w:val="true"/>
        </w:rPr>
        <w:t xml:space="preserve">. </w:t>
      </w:r>
      <w:r>
        <w:rPr>
          <w:rtl w:val="true"/>
        </w:rPr>
        <w:t>عقل فعال و تطبیق آن بر پیامبر و اهل بیت علیهم السلام</w:t>
      </w:r>
      <w:bookmarkEnd w:id="491"/>
    </w:p>
    <w:p>
      <w:pPr>
        <w:pStyle w:val="BookText"/>
        <w:rPr/>
      </w:pPr>
      <w:r>
        <w:rPr>
          <w:rFonts w:ascii="IRNazanin" w:hAnsi="IRNazanin" w:eastAsia="IRNazanin"/>
          <w:color w:val="111111"/>
          <w:sz w:val="28"/>
          <w:sz w:val="28"/>
          <w:szCs w:val="28"/>
          <w:rtl w:val="true"/>
          <w:lang w:bidi="fa-IR"/>
        </w:rPr>
        <w:t>از جمله روایات دشوار روایاتی است که در آنها از تفویض امور هستی و احیاناً تدبیر آنها به ائمه علیهم السلام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اشکال تفویض، ناسازگاری آن با توحید ربوبی و نیز توحید فاعلی است که از آموزه‌های مسلّم قرآن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مرحوم علّامه مجلسی مقصود از تفویض را اجرای این کارها با دعا و استدعای ائمه علیهم السلام دانسته و معتقد است سایر معانی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آن‌گاه به مسلک فلاسفه اشاره می‌کند که آنان با اعتقاد به عقل فعال به گونه‌ای خاص تفویض را حل کرده‌اند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یسلک مسلک الحکماء و یمکنه تصحیح ذلک بانه لما کان العقل الفعال عندهم مدبّراً للکائنات و یحملونه مرتبطاً بنفس النبی و </w:t>
      </w:r>
      <w:bookmarkStart w:id="492" w:name="pg14553_191926"/>
    </w:p>
    <w:p>
      <w:pPr>
        <w:pStyle w:val="BookText"/>
        <w:rPr/>
      </w:pPr>
      <w:bookmarkEnd w:id="492"/>
      <w:r>
        <w:rPr>
          <w:rFonts w:ascii="IRNazanin" w:hAnsi="IRNazanin" w:eastAsia="IRNazanin"/>
          <w:color w:val="111111"/>
          <w:sz w:val="28"/>
          <w:sz w:val="28"/>
          <w:szCs w:val="28"/>
          <w:rtl w:val="true"/>
          <w:lang w:bidi="fa-IR"/>
        </w:rPr>
        <w:t>اوصیائه علیهم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فالمراد بخلقهم خلق ذلک النور المتعلق بهم المشرق علیهم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r>
        <w:rPr>
          <w:rStyle w:val="FootnoteAnchor"/>
          <w:rtl w:val="true"/>
        </w:rPr>
        <w:footnoteReference w:id="54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طبق مکتب فلاسفه بیندیشد و بتواند مدعای آنان را بدین صورت تصحیح کند که چون عقل فعال از نظر فلاسفه مدبّر هستی است و این عقل فعال را به نفس پیامبر و اهل بیت علیهم السلام مرتبط می‌دانند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در این صورت مقصود از آفرینش آنان، آفرینش آن نوری است که متعلق به ایشان است و بر ایشان آشکار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معتقد است اعتقاد به عقل فعال با مبانی شریعت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تلک المقدمات موقوفة علی امور مخالفة للشریعة والاصول المقررة فیها؛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البته باید دانست این 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پذیرش عقل فعال و تطبیق آن بر پیامبر و اهل‌بیت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منوط به اموری است که با شریعت و مبانی آن ناسازگار است</w:t>
      </w:r>
      <w:r>
        <w:rPr>
          <w:rFonts w:eastAsia="IRNazanin" w:cs="IRNazanin"/>
          <w:color w:val="111111"/>
          <w:sz w:val="28"/>
          <w:szCs w:val="28"/>
          <w:rtl w:val="true"/>
          <w:lang w:bidi="fa-IR"/>
        </w:rPr>
        <w:t>.</w:t>
      </w:r>
    </w:p>
    <w:p>
      <w:pPr>
        <w:pStyle w:val="Heading4"/>
        <w:numPr>
          <w:ilvl w:val="3"/>
          <w:numId w:val="1"/>
        </w:numPr>
        <w:rPr/>
      </w:pPr>
      <w:bookmarkStart w:id="493" w:name="__RefHeading___Toc652029_1878427129"/>
      <w:bookmarkStart w:id="494" w:name="_Toc189"/>
      <w:bookmarkEnd w:id="493"/>
      <w:r>
        <w:rPr/>
        <w:t>3</w:t>
      </w:r>
      <w:r>
        <w:rPr>
          <w:rtl w:val="true"/>
        </w:rPr>
        <w:t xml:space="preserve">. </w:t>
      </w:r>
      <w:r>
        <w:rPr>
          <w:rtl w:val="true"/>
        </w:rPr>
        <w:t>جایگاه عقل در اصول دین</w:t>
      </w:r>
      <w:bookmarkEnd w:id="49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میان متفکران مسلمان رایج و پذیرفته شده این است که فهم و باور اصول و مبانی دینی، مبتنی بر عقل و تفکر عقلانی است و ضمن آنکه در این گونه موارد تقلید جای ندارد، نمی‌توان به ادله 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آیات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برای اثبات وجود مانع یا رسالت پیامبر نمی‌توان از قرآن یا روایات دلیل‌آورد؛ زیرا این عمل مبتلا به اشکال دور است؛ چون استناد به این دو دلیل، متفرع بر آن است که اصل حجیت و اعتبار آنها با تکیه به صدور آنها از منبع ربوبی ثابت گردد، درحالی‌که وجود منبع ربوبی برای منکر آن هنوز ثابت و پذیرفته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برابر منکر وجود خدا یا منکر رسالت می‌توان از سخن خدا یا کتاب وحی شاهد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آنکه در مناظرات رسول اکرم صلی الله علیه و آله و ائمه اطهار علیهم السلام با ملحدان و دهریان به منبع وحی تکیه نشده و تمام استدلال‌ها مبتنی بر دلایل عقلانی است، همین نکته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مفهوم این سخن آن نیست که ادله نقلی در جزئیات مباحث مربوط به اصول دینی جایگاهی ندارد، بلکه درست به عکس، در برخی از مباحث جزئی، تنها راه وصولْ دلایل قرآنی یا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اثبات اصل معاد بر اساس برهان عدالت یا حکمت یا سایر براهین عقلانی باشد، رهیافت به چگونگی حیات اخروی و چند و چون بهشت و جهنم و نعمت‌ها و نقمت‌ها مبتنی بر آیات و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رغم آنکه استدلال به دلایل عقلانی و احیاناً مبانی فلسفی در گفتار مرحوم علّامه مجلسی در شرح اُصول کافی موج می‌زند، اما ایشان در مواردی کاربرد دلایل عقلی در اصول دین را انکار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چنین آمده است که راوی از امام صادق علیه السلام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گفتار شما برگرفته از رسول خدا صلی الله علیه و آله است یا سخن خود شماست؟ امام علیه السلام چنین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کلام رسول اللّه صلی الله علیه و آله و من عندی؛ از گفتار رسول خدا صلی الله علیه و آله و از جانب خودم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در این صورت، شریک رسول خدا صلی الله علیه و آله هستید؟ </w:t>
      </w:r>
      <w:r>
        <w:rPr>
          <w:rStyle w:val="FootnoteAnchor"/>
          <w:rtl w:val="true"/>
        </w:rPr>
        <w:footnoteReference w:id="5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رحمه الله در توضیح این روایت چنین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إذاً شریک رسول اللّه صلی الله علیه و آله، یدل علی بطلان الکلام الذی لم یکن مأخوذاً من الکتاب والسنة و انه لا یجوز الاعتماد فی اصول الدین علی الادلة العقلیة؛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سخن راوی که گفت پس شما در این صورت شریک پیامبر صلی الله علیه و آله هستید، دلالت بر بطلان گفتاری دارد که از کتاب و سنت برگرفته نشده باشد و ثابت می‌کند که در اصول دین بر دلایل عقلی نمی‌توان تکیه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آن‌گاه احتمال داده است که شاید مقصود امامْ فروع فقهی و فرائض است که عقل در آنها جایگاهی ندارد و استناد به وحی در آنها اجتناب‌ناپذیر است، ولی با آوردن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والتعمیم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به هر دو معنا ظاهرتر است، نظر نخست را تقویت می‌کند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ذیل روایت امام صادق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ابلیس قاس نفسه بآدم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ابلیس خود را با آدم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5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قیاس منهی در روایات را قیاس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تمثیل منطقی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احتمال داده که مقصودْ اعم از قیاس فقهی و 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یحتمل أن یکون المراد بالقیاس هنا ما هو أعم من القیاس الفقهی من الاستحسانات العقلیة و الآراء الواهیة التی لم تؤخذ من الکتاب والسنة و یکون المراد أن طریق العقل مما یقع فیه الخطأ کثیراً فلا یجوز الاتکال علیه فی امور الدین بل یجب الرجوع فی جمیع ذلک إلی اوصیاء سید المرسلین علیه السلام و هذا هو الظاهر فی اکثر اخبار هذا الباب فالمراد بالقیاس هنا القیاس اللغوی؛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احتمال دارد مقصود از قیاس در اینجا اعم از قیاس فقهی، شامل استحسان‌های عقلی و دیدگاه‌های موهوم، باشد که از کتاب و سنت برگرفته نشده است و مراد از طریق و راه عقلْ راهی است که در آن اشتباه بسیار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امور دین نمی‌توان بر عقل تکیه کرد، بلکه لازم است در تمام این مسائل دینی به اهل بیت پیامبر صلی الله علیه و آله مراجعه کرد و این نکته‌ای است که از ظاهر بیشتر روایات این باب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قیاس در این روایت قیاس لغوی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ایشان با توجه به این‌که اشتباهات بسیاری در استنتاجات عقلی راه پیدا می‌کند، استناد به براهین عقلی را در امور دین مردود می‌شمارد، و از آنجا که مقصودْ قیاس منطقی است نه فقهی، پیداست که مقصود ایشان اصول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انکار جایگاه عقل در اصول دین که از عبارت‌های ایشان پیداست، در جایی دیگر در شرح روایت مفضل، دلایل گوناگون اثبات توحید را برشمرده و ششمین دلیل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سمعیه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الادلّة السمعیة من الکتاب والسنة و هی اکثر من أن تحصی و قد مرّ بعضها و لا محذور فی التمسک بالادلة السمعیة فی باب التوحید، و </w:t>
      </w:r>
    </w:p>
    <w:p>
      <w:pPr>
        <w:pStyle w:val="BookText"/>
        <w:rPr/>
      </w:pPr>
      <w:r>
        <w:rPr>
          <w:rFonts w:ascii="IRNazanin" w:hAnsi="IRNazanin" w:eastAsia="IRNazanin"/>
          <w:color w:val="111111"/>
          <w:sz w:val="28"/>
          <w:sz w:val="28"/>
          <w:szCs w:val="28"/>
          <w:rtl w:val="true"/>
          <w:lang w:bidi="fa-IR"/>
        </w:rPr>
        <w:t xml:space="preserve">هذه هی المعتمد علیها عندی؛ </w:t>
      </w:r>
      <w:r>
        <w:rPr>
          <w:rStyle w:val="FootnoteAnchor"/>
          <w:rtl w:val="true"/>
        </w:rPr>
        <w:footnoteReference w:id="5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نقلی برگرفته از کتاب و سنت است که از حد شمار بیرون است و برخی از آنها طرح شد، و در باب توحیدْ تمسک به دلایل نقلی محذوری را در پی ندارد و من بر همین مبنا تکیه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نه‌تنها در تمسک به ادله نقلی در اثبات مبحث مهمی همچون توحید محذوری نمی‌بیند، بلکه ابراز می‌کند که آنچه به عنوان دلیل نزد او مورد استناد و اعتماد است، همین ادله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سخن ذیل از امام خمینی رحمه الله، در نقد همین ادعای علّامه مجلسی رحمه الله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اثبات صانع و توحید و تقدیس و اثبات معاد و نبوت و بلکه مطلق معارف حق، طلق عقل و از مختصات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کلام بعضی محدثین عالی مقام وارد شده است که در اثبات توحید، اعتماد بر دلیل نقلی است، از غرائب امور، بلکه از مصیباتی است که باید به خدا پناه برد</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علّامه مجلسی بر اساس همین نگرش که قیاس عقلانی در فهم از دین راه ندارد و تنها راه دستیابی به معارف دینی قرآن و سنت است، فقره چهارم روایت حضرت امیر علیه السلام را که در معرفی فقیه حقیقی است، دلیلی بر ابطال فلسفه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آن حضرت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أخبرکم بالفقیه حق الفقیه؟ من لم یقنط الناس من رحمة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لم یترک القرآن رغبة عنه إلی غیره؛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 xml:space="preserve">آیا فقیه واقعی را به شما نشناسانم؟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مردم را از رحمت خداوند ناامید نسازد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از قرآن به منبعی غیر آن روی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علّامه مجلسی در این باره چنین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والرابعة إلی ابطال مذهب المتفلسفة الذین أعرضوا عن القرآن و أهله، و حاولوا اکتساب العلم و العرفان من کتب قدماء الفلاسفة و مذهب الحنفیة </w:t>
      </w:r>
      <w:bookmarkStart w:id="495" w:name="pg14553_191930"/>
    </w:p>
    <w:p>
      <w:pPr>
        <w:pStyle w:val="BookText"/>
        <w:rPr/>
      </w:pPr>
      <w:bookmarkEnd w:id="495"/>
      <w:r>
        <w:rPr>
          <w:rFonts w:ascii="IRNazanin" w:hAnsi="IRNazanin" w:eastAsia="IRNazanin"/>
          <w:color w:val="111111"/>
          <w:sz w:val="28"/>
          <w:sz w:val="28"/>
          <w:szCs w:val="28"/>
          <w:rtl w:val="true"/>
          <w:lang w:bidi="fa-IR"/>
        </w:rPr>
        <w:t xml:space="preserve">الذین عملوا بالقیاس و ترکوا القرآن؛ </w:t>
      </w:r>
      <w:r>
        <w:rPr>
          <w:rStyle w:val="FootnoteAnchor"/>
          <w:rtl w:val="true"/>
        </w:rPr>
        <w:footnoteReference w:id="55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نکتۀ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استفاده از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روایت در مقام باطل ساختن مکتب فلسفه‌زدگانی است که از قرآن و قرآنیان روی گردانیده و کوشیده‌اند علم و عرفان را از کتاب‌های فلاسفه گذشته فراگیرند؛ چنان‌که روایت در صدد ابطال مذهب حنفیه است که به قیاس عمل کرده، قرآن را رها ساختند</w:t>
      </w:r>
      <w:r>
        <w:rPr>
          <w:rFonts w:eastAsia="IRNazanin" w:cs="IRNazanin"/>
          <w:color w:val="111111"/>
          <w:sz w:val="28"/>
          <w:szCs w:val="28"/>
          <w:rtl w:val="true"/>
          <w:lang w:bidi="fa-IR"/>
        </w:rPr>
        <w:t>.</w:t>
      </w:r>
    </w:p>
    <w:p>
      <w:pPr>
        <w:pStyle w:val="Heading4"/>
        <w:numPr>
          <w:ilvl w:val="3"/>
          <w:numId w:val="1"/>
        </w:numPr>
        <w:rPr/>
      </w:pPr>
      <w:bookmarkStart w:id="496" w:name="__RefHeading___Toc652031_1878427129"/>
      <w:bookmarkStart w:id="497" w:name="_Toc190"/>
      <w:bookmarkEnd w:id="496"/>
      <w:r>
        <w:rPr/>
        <w:t>4</w:t>
      </w:r>
      <w:r>
        <w:rPr>
          <w:rtl w:val="true"/>
        </w:rPr>
        <w:t xml:space="preserve">. </w:t>
      </w:r>
      <w:r>
        <w:rPr>
          <w:rtl w:val="true"/>
        </w:rPr>
        <w:t>حدوث زمانی عالم</w:t>
      </w:r>
      <w:bookmarkEnd w:id="497"/>
    </w:p>
    <w:p>
      <w:pPr>
        <w:pStyle w:val="BookText"/>
        <w:rPr/>
      </w:pPr>
      <w:r>
        <w:rPr>
          <w:rFonts w:ascii="IRNazanin" w:hAnsi="IRNazanin" w:eastAsia="IRNazanin"/>
          <w:color w:val="111111"/>
          <w:sz w:val="28"/>
          <w:sz w:val="28"/>
          <w:szCs w:val="28"/>
          <w:rtl w:val="true"/>
          <w:lang w:bidi="fa-IR"/>
        </w:rPr>
        <w:t>یکی از اختلافات عمیق میان فلاسفه و متکلمان، تبیین چگونگی نیاز ممکن و معلول به علت است، فیلسوف حدوث ذاتی را عامل فقر و نیاز معلول به علت می‌شناسد، اما متکلم حدوث زمانی را سبب نیاز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اختلاف نگرشْ آن است که عالم از نظر فلسفه به رغم قدیم بودن می‌تواند حادث باشد، درحالی‌که متکلم این مدعا را نمی‌پذیرد و قدمت را با ضرورت وجوب ذاتی یکی می‌داند و اجتماع میان قدمت زمانی و حدوث را ممتنع و عالم را حادث زمانی می‌شناسد</w:t>
      </w:r>
      <w:r>
        <w:rPr>
          <w:rFonts w:eastAsia="IRNazanin" w:cs="IRNazanin"/>
          <w:color w:val="111111"/>
          <w:sz w:val="28"/>
          <w:szCs w:val="28"/>
          <w:rtl w:val="true"/>
          <w:lang w:bidi="fa-IR"/>
        </w:rPr>
        <w:t xml:space="preserve">. </w:t>
      </w:r>
      <w:r>
        <w:rPr>
          <w:rStyle w:val="FootnoteAnchor"/>
          <w:rtl w:val="true"/>
        </w:rPr>
        <w:footnoteReference w:id="551"/>
      </w:r>
      <w:r>
        <w:rPr>
          <w:rFonts w:ascii="IRNazanin" w:hAnsi="IRNazanin" w:eastAsia="IRNazanin"/>
          <w:color w:val="111111"/>
          <w:sz w:val="28"/>
          <w:sz w:val="28"/>
          <w:szCs w:val="28"/>
          <w:rtl w:val="true"/>
          <w:lang w:bidi="fa-IR"/>
        </w:rPr>
        <w:t>با توجه به آنکه در ظاهر آیات و روایات قرائن و شواهد بسیاری بر حدوث زمانی عالم آمده، طبیعی است که محدثان همصدا با متکلمان، عالم را حادث زمانی بدانند و گفتار فلاسفه را مخالف قرآن و سنت و مخالف ضرورت دین قلمداد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حدوث عالم و اثبات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اثر مرحوم کلینی، دیدگاه‌های ادیان و ملل را در این باره می‌آورد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مسلمانان، یهود، نصارا و مجوسْ عالم را در ذات و صفات و به صورت فردی و نوعی حادث زمانی می‌دانند، اما اکثر فلاسفه و دهری‌ها و مدعیان تناسخ مادّه و صورت عقول، نفوس و افلاک و صورت عناصر را قدیم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چنین ادامه می‌دهد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ذلک مما اطبق علیه الملیون و دلت علیه الآیات المتکاثرة و الاحادیث </w:t>
      </w:r>
      <w:bookmarkStart w:id="498" w:name="pg14553_191931"/>
    </w:p>
    <w:p>
      <w:pPr>
        <w:pStyle w:val="BookText"/>
        <w:rPr/>
      </w:pPr>
      <w:bookmarkEnd w:id="498"/>
      <w:r>
        <w:rPr>
          <w:rFonts w:ascii="IRNazanin" w:hAnsi="IRNazanin" w:eastAsia="IRNazanin"/>
          <w:color w:val="111111"/>
          <w:sz w:val="28"/>
          <w:sz w:val="28"/>
          <w:szCs w:val="28"/>
          <w:rtl w:val="true"/>
          <w:lang w:bidi="fa-IR"/>
        </w:rPr>
        <w:t xml:space="preserve">المتواترة الصریحة فی ذلک، و عدم القول بذلک مستلزم لإنکار ما ورد فی الآیات و الأخبار من فناء الاشیأ و خرق السماوات و انتشار الکواکب بل المعاد الجسمانی؛ </w:t>
      </w:r>
      <w:r>
        <w:rPr>
          <w:rStyle w:val="FootnoteAnchor"/>
          <w:rtl w:val="true"/>
        </w:rPr>
        <w:footnoteReference w:id="5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باوری است که تمام دینداران بر آن اجماع دارند و آیات فراوان و روایات متواتر و صریحی بر آن دلالت می‌کند، و عدم اعتقاد به آن مستلزم انکار آیات و روایاتی است که از نابودی اشیا و شکافتن آسمان‌ها و پراکنده شدن ستارگان بلکه از معاد جسمانی سخن به میان آورده‌اند</w:t>
      </w:r>
      <w:r>
        <w:rPr>
          <w:rFonts w:eastAsia="IRNazanin" w:cs="IRNazanin"/>
          <w:color w:val="111111"/>
          <w:sz w:val="28"/>
          <w:szCs w:val="28"/>
          <w:rtl w:val="true"/>
          <w:lang w:bidi="fa-IR"/>
        </w:rPr>
        <w:t>.</w:t>
      </w:r>
    </w:p>
    <w:p>
      <w:pPr>
        <w:pStyle w:val="Heading4"/>
        <w:numPr>
          <w:ilvl w:val="3"/>
          <w:numId w:val="1"/>
        </w:numPr>
        <w:rPr/>
      </w:pPr>
      <w:bookmarkStart w:id="499" w:name="__RefHeading___Toc652033_1878427129"/>
      <w:bookmarkStart w:id="500" w:name="_Toc191"/>
      <w:bookmarkEnd w:id="499"/>
      <w:r>
        <w:rPr/>
        <w:t>5</w:t>
      </w:r>
      <w:r>
        <w:rPr>
          <w:rtl w:val="true"/>
        </w:rPr>
        <w:t xml:space="preserve">. </w:t>
      </w:r>
      <w:r>
        <w:rPr>
          <w:rtl w:val="true"/>
        </w:rPr>
        <w:t>عدم تجرد فرشتگان</w:t>
      </w:r>
      <w:bookmarkEnd w:id="500"/>
    </w:p>
    <w:p>
      <w:pPr>
        <w:pStyle w:val="BookText"/>
        <w:rPr/>
      </w:pPr>
      <w:r>
        <w:rPr>
          <w:rFonts w:ascii="IRNazanin" w:hAnsi="IRNazanin" w:eastAsia="IRNazanin"/>
          <w:color w:val="111111"/>
          <w:sz w:val="28"/>
          <w:sz w:val="28"/>
          <w:szCs w:val="28"/>
          <w:rtl w:val="true"/>
          <w:lang w:bidi="fa-IR"/>
        </w:rPr>
        <w:t xml:space="preserve">مرحوم کلینی با توجه به روایاتی که در آن از ورود فرشتگان به خانه ائمه علیهم السلام سخن به میان آمده، بابی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أن الائمة تدخل الملائکة بیوتهم وتطأ بسطهم و تأتیهم بالاخبار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دست روایات به نقل از امام صادق علیه السلام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ابی العلاء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دستش را به متکاهایی که در خانه بود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متکاهایی است که فرشتگان بارها بر آن تکیه داده‌اند و ما گاهی پرهای کوچکشان را از زمین برچیده‌ایم</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علّامه مجلسی از ظاهر این روایت نتیجه گرفته است که بر خلاف نظر فلاسفه که فرشته را موجودی مجرد می‌دانند، فرشته موجودی مادّی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والخبر یدل صریحاً علی تجسم الملائکة و انهم اولوا أجنحة کما علیه اجماع المسلمین ردّاً علی الفلاسفة و من یتبعهم؛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این روایت به صراحت بر جسمانیت فرشتگان و این‌که دارای بال‌اند دلالت می‌کند؛ چنان‌که مسلمانان بالاجماع در برابر فلاسفه و پیروانشان بر همین عقیده هستند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در استناد ادعای تجرد فرشتگان به فلاسفه جای تردید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p>
    <w:p>
      <w:pPr>
        <w:pStyle w:val="BookText"/>
        <w:rPr/>
      </w:pPr>
      <w:r>
        <w:rPr>
          <w:rFonts w:ascii="IRNazanin" w:hAnsi="IRNazanin" w:eastAsia="IRNazanin"/>
          <w:color w:val="111111"/>
          <w:sz w:val="28"/>
          <w:sz w:val="28"/>
          <w:szCs w:val="28"/>
          <w:rtl w:val="true"/>
          <w:lang w:bidi="fa-IR"/>
        </w:rPr>
        <w:t>ملّاهادی سبزواری به نقل از صدرالمتألهین در تبیین ماهیت فرشتگان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دوم دیدگاه فلاسفه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جواهر قائم به ذات‌اند که فاقد تحیّز مکانی‌اند و از نظر ماهیت با انواع نفوس ناطقه بشری تفاوت داشته، نسبت به آنها از استعداد و توان کامل‌تری برخوردارند</w:t>
      </w:r>
      <w:r>
        <w:rPr>
          <w:rFonts w:eastAsia="IRNazanin" w:cs="IRNazanin"/>
          <w:color w:val="111111"/>
          <w:sz w:val="28"/>
          <w:szCs w:val="28"/>
          <w:rtl w:val="true"/>
          <w:lang w:bidi="fa-IR"/>
        </w:rPr>
        <w:t xml:space="preserve">. . . . </w:t>
      </w:r>
      <w:r>
        <w:rPr>
          <w:rStyle w:val="FootnoteAnchor"/>
          <w:rtl w:val="true"/>
        </w:rPr>
        <w:footnoteReference w:id="5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الاسماء الحسنی،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قائم به ذات بودن و عاری بودن از قید تحیز مکانی و نیز کامل‌تر دانستن فرشتگان از نفوس بشری، صفاتی است که تجرد فرشته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علّامه طباطبایی در تفسیر آیه یکم سوره فاطر که از برخورداری فرشتگان از بال‌های متعدد سخن به میان آورده، به صراحت از تجرد آنان دفاع کرده است</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بخشی از عبارت ایشان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اینجا آشکار می‌گردد که فرشتگان موجوداتی هستند که در وجود خود از مادّه جسمانی‌ای که در معرض زوال و تباهی و تغییرات و از ویژگی‌های آن کمال‌یابی تدریجی است، مبرّا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از اینجا به دست می‌آید آنچه که در روایات از صورت‌های فرشتگان و شکل‌ها و هیأت‌های جسمانی آنها آمده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بیانگر تمثلات و ظهور آنان برای پیامبران و ائمه علیهم السلام است و مقصود تشکل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شکل‌یابی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میان تمثل و تشکل فرق است</w:t>
      </w:r>
      <w:r>
        <w:rPr>
          <w:rFonts w:eastAsia="IRNazanin" w:cs="IRNazanin"/>
          <w:color w:val="111111"/>
          <w:sz w:val="28"/>
          <w:szCs w:val="28"/>
          <w:rtl w:val="true"/>
          <w:lang w:bidi="fa-IR"/>
        </w:rPr>
        <w:t xml:space="preserve">. . . .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ایشان برخورداری فرشتگان از بال را کنایه از قدرت سیر و تفاوت شمار بال‌ها را ناظر به تفاوت این قدرت می‌داند و بر اساس دیدگاهی که بر دلالت واژه‌ها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واژه‌های لاهوتی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گوهر معنایی تأکید دارد، معتقد است که اطلاق واژه جناح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معنای ظاهری و مادّی محدود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اطلاق لفظِ 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ضرورتاً بدین معنا نیست که فرشتگان به‌سان غالب پرندگان دارای بال و پر باشند، چنان‌که در نظایر چنین واژه‌هایی نظیر واژه‌های عرش، کرسی، لوح، قلم و جز آن چنین است</w:t>
      </w:r>
      <w:r>
        <w:rPr>
          <w:rFonts w:eastAsia="IRNazanin" w:cs="IRNazanin"/>
          <w:color w:val="111111"/>
          <w:sz w:val="28"/>
          <w:szCs w:val="28"/>
          <w:rtl w:val="true"/>
          <w:lang w:bidi="fa-IR"/>
        </w:rPr>
        <w:t xml:space="preserve">. </w:t>
      </w:r>
      <w:r>
        <w:rPr>
          <w:rStyle w:val="FootnoteAnchor"/>
          <w:rtl w:val="true"/>
        </w:rPr>
        <w:footnoteReference w:id="558"/>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گفتار آمده، به روایاتی اشاره دارد که در آنها از این واژه استفاده شده و علّامه مجلسی با استناد به این دست از روایات، به جسمانی </w:t>
      </w:r>
    </w:p>
    <w:p>
      <w:pPr>
        <w:pStyle w:val="BookText"/>
        <w:rPr/>
      </w:pPr>
      <w:r>
        <w:rPr>
          <w:rFonts w:ascii="IRNazanin" w:hAnsi="IRNazanin" w:eastAsia="IRNazanin"/>
          <w:color w:val="111111"/>
          <w:sz w:val="28"/>
          <w:sz w:val="28"/>
          <w:szCs w:val="28"/>
          <w:rtl w:val="true"/>
          <w:lang w:bidi="fa-IR"/>
        </w:rPr>
        <w:t>بودن فرشتگان رأی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ظواهر آیات و روایات و براهین عقلانی دیدگاه فلاسفه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 از مؤلف کنز الدقائق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مسلمانان فرشتگان را اجسام لطیفی می‌دانند که قادر به شکل‌یابی در اشکال مختلف‌اند و دلیلشان آن است که پیامبران فرشتگان را می‌دیده‌اند</w:t>
      </w:r>
      <w:r>
        <w:rPr>
          <w:rFonts w:eastAsia="IRNazanin" w:cs="IRNazanin"/>
          <w:color w:val="111111"/>
          <w:sz w:val="28"/>
          <w:szCs w:val="28"/>
          <w:rtl w:val="true"/>
          <w:lang w:bidi="fa-IR"/>
        </w:rPr>
        <w:t xml:space="preserve">. </w:t>
      </w:r>
      <w:r>
        <w:rPr>
          <w:rStyle w:val="FootnoteAnchor"/>
          <w:rtl w:val="true"/>
        </w:rPr>
        <w:footnoteReference w:id="5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الدقائق،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تفصیل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نورالبراهین،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تأویل مختلف الحدیث، ص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دادن این نظریه به اکثر مسلمانان جای تأمل دارد و همان‌گونه که مرحوم علّامه طباطبایی آورده‌اند دیدن با تمثل فرشتگان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قابل رؤیت بودن فرشتگان برای پیامبران صلی الله علیه و آله ضرورتاً به معنای تجرد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به خانه‌های ائمه علیهم السلام آمد و شد داشته‌اند و برخی از اصحاب ائمه علیهم السلام آنان را دیده و دریافته‌اند که آنها از اجنّه بوده و در خدمت ائمه علیهم السلام هستند</w:t>
      </w:r>
      <w:r>
        <w:rPr>
          <w:rFonts w:eastAsia="IRNazanin" w:cs="IRNazanin"/>
          <w:color w:val="111111"/>
          <w:sz w:val="28"/>
          <w:szCs w:val="28"/>
          <w:rtl w:val="true"/>
          <w:lang w:bidi="fa-IR"/>
        </w:rPr>
        <w:t xml:space="preserve">. </w:t>
      </w:r>
      <w:r>
        <w:rPr>
          <w:rStyle w:val="FootnoteAnchor"/>
          <w:rtl w:val="true"/>
        </w:rPr>
        <w:footnoteReference w:id="560"/>
      </w:r>
      <w:r>
        <w:rPr>
          <w:rFonts w:ascii="IRNazanin" w:hAnsi="IRNazanin" w:eastAsia="IRNazanin"/>
          <w:color w:val="111111"/>
          <w:sz w:val="28"/>
          <w:sz w:val="28"/>
          <w:szCs w:val="28"/>
          <w:rtl w:val="true"/>
          <w:lang w:bidi="fa-IR"/>
        </w:rPr>
        <w:t>علّامه مجلسی از این روایات نتیجه گرفته که جن، موجود مادّی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معتقد شده است ادعای فلاسفه مبنی بر انکار یا عدم رؤیت آنها خروج از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أن الجن یمکن للناس رؤیتهم حتی لغیر الانبیاء والاوصیاء علیهم السلام و أنهم أجسام لطیفة یتشکّلون باشکال الانس و غیرهم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القول بنفیهم او عدم جواز رؤیتهم خروج عن الدین و هو مذهب فلاسفة الملحدین و منهم من ینکر رؤیتهم إذا کانوا بصورهم الاصلیة و هو ایضاً باطل؛ </w:t>
      </w:r>
      <w:r>
        <w:rPr>
          <w:rStyle w:val="FootnoteAnchor"/>
          <w:rtl w:val="true"/>
        </w:rPr>
        <w:footnoteReference w:id="561"/>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دلالت دارد که غیر پیامبران و اوصیا، یعنی عموم مردم، می‌توانند جن را ببینند، و ثابت می‌کند که اجنّه اجسام لطیفی هستند که به شکل‌های انسانی یا سایر اشکال درمی‌آیند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اعتقاد به انکار یا عدم امکان دیدن جنّیان، خروج از دین است، و این نگرش فلاسفه ملحد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فلاسفه نیز معتقدند که دیدن اجنّه با صورت واقعی‌شان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نیز باطل است</w:t>
      </w:r>
      <w:r>
        <w:rPr>
          <w:rFonts w:eastAsia="IRNazanin" w:cs="IRNazanin"/>
          <w:color w:val="111111"/>
          <w:sz w:val="28"/>
          <w:szCs w:val="28"/>
          <w:rtl w:val="true"/>
          <w:lang w:bidi="fa-IR"/>
        </w:rPr>
        <w:t xml:space="preserve">. </w:t>
      </w:r>
      <w:r>
        <w:rPr>
          <w:rStyle w:val="FootnoteAnchor"/>
          <w:rtl w:val="true"/>
        </w:rPr>
        <w:footnoteReference w:id="562"/>
      </w:r>
      <w:bookmarkStart w:id="501" w:name="pg14553_191934"/>
    </w:p>
    <w:p>
      <w:pPr>
        <w:pStyle w:val="BookText"/>
        <w:rPr/>
      </w:pPr>
      <w:bookmarkEnd w:id="501"/>
      <w:r>
        <w:rPr>
          <w:rFonts w:ascii="IRNazanin" w:hAnsi="IRNazanin" w:eastAsia="IRNazanin"/>
          <w:color w:val="111111"/>
          <w:sz w:val="28"/>
          <w:sz w:val="28"/>
          <w:szCs w:val="28"/>
          <w:rtl w:val="true"/>
          <w:lang w:bidi="fa-IR"/>
        </w:rPr>
        <w:t>نگارنده به دیدگاه روشنی از فلاسفه دربارۀ ماهیت جن بر نخورده است، اما از دیدگاهی که در ترتیب موجودات بر اساس مراتب وجودی آنها ارائه داده‌اند، می‌توان استفاده کرد که فلاسفه نیز جنیان را از نوع اجسام لطیف می‌شمارند و جسم لطیف بودن با امکان رؤیت کاملاً سازگار است</w:t>
      </w:r>
      <w:r>
        <w:rPr>
          <w:rFonts w:eastAsia="IRNazanin" w:cs="IRNazanin"/>
          <w:color w:val="111111"/>
          <w:sz w:val="28"/>
          <w:szCs w:val="28"/>
          <w:rtl w:val="true"/>
          <w:lang w:bidi="fa-IR"/>
        </w:rPr>
        <w:t>.</w:t>
      </w:r>
    </w:p>
    <w:p>
      <w:pPr>
        <w:pStyle w:val="Heading4"/>
        <w:numPr>
          <w:ilvl w:val="3"/>
          <w:numId w:val="1"/>
        </w:numPr>
        <w:rPr/>
      </w:pPr>
      <w:bookmarkStart w:id="502" w:name="__RefHeading___Toc652035_1878427129"/>
      <w:bookmarkStart w:id="503" w:name="_Toc192"/>
      <w:bookmarkEnd w:id="502"/>
      <w:r>
        <w:rPr/>
        <w:t>6</w:t>
      </w:r>
      <w:r>
        <w:rPr>
          <w:rtl w:val="true"/>
        </w:rPr>
        <w:t xml:space="preserve">. </w:t>
      </w:r>
      <w:r>
        <w:rPr>
          <w:rtl w:val="true"/>
        </w:rPr>
        <w:t>استحاله خرق و التیام</w:t>
      </w:r>
      <w:bookmarkEnd w:id="503"/>
    </w:p>
    <w:p>
      <w:pPr>
        <w:pStyle w:val="BookText"/>
        <w:rPr/>
      </w:pPr>
      <w:r>
        <w:rPr>
          <w:rFonts w:ascii="IRNazanin" w:hAnsi="IRNazanin" w:eastAsia="IRNazanin"/>
          <w:color w:val="111111"/>
          <w:sz w:val="28"/>
          <w:sz w:val="28"/>
          <w:szCs w:val="28"/>
          <w:rtl w:val="true"/>
          <w:lang w:bidi="fa-IR"/>
        </w:rPr>
        <w:t>اگر فیلسوفان تنها در حوزه الهیات بالمعنی الاعم اظهارنظر می‌کردند شاید کمتر مورد انتقاد قرار می‌گرفتند، زیرا در این حوزه تنها راه تحقیق و کاوش عقل است و تجربه به کار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ورود فلسفه به حوزه طبیعیات که سراسر مبتنی بر حس و تجربه است، و اظهارِ نظر مبتنی بر استدلال عقلانی در این زمینه، باعث بروز لغزش‌های بزرگی در فلسفه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نگرش‌های فلاسفه در عرصه طبیعیات که همراه با لغزش و اشتباه بوده، بحث افلاک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ابتنای این نگرش بر هیئت بطلمیوس که بعدها با نظریه کپرنیک و نیوتن فرو ریخت، فلاسفه معتقد بودند که هر یک از کرات آسمانی دارای نفس خاصی است که از سوی عقول ده‌گانه تدبیر و تمشیت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شفافیت و بلورین بودن افلاک و فلکی که محیط به عالم مادّی است، آنان را به نظریه استحاله خرق و التیام رهنمون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معتقد شدند که نه می‌توان با شکافتن عرصه آسمان و ورود به افلاک حریم آنها را خرق کرد و نه می‌توان شکاف ایجاد شده را التیام بخشید و به جای نخستش بازگرداند</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تفصیل بیشتر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المراد، ص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المواقف،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eastAsia="IRNazanin" w:cs="IRNazanin"/>
          <w:color w:val="111111"/>
          <w:sz w:val="28"/>
          <w:szCs w:val="28"/>
          <w:rtl w:val="true"/>
          <w:lang w:bidi="fa-IR"/>
        </w:rPr>
        <w:t>-</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الحدیقة الهلالیة، ص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سفینة النجاة، ص </w:t>
      </w:r>
      <w:r>
        <w:rPr>
          <w:rFonts w:eastAsia="IRNazanin" w:cs="IRNazanin"/>
          <w:color w:val="111111"/>
          <w:sz w:val="28"/>
          <w:szCs w:val="28"/>
          <w:lang w:bidi="fa-IR"/>
        </w:rPr>
        <w:t>358</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پذیرش این اصل برای فلاسفه مسلمان مشکلاتی را در تعامل با ظاهر آیات و روایات به همراه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چالش مسئله معراج پیامبر اکرم صلی الله علیه و آله به آسمان‌هاست که به استناد ظاهر دلایل نقلی، جسمانی بوده است و با استحاله خرق و التیام نمی‌سازد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مفهوم چنین معراجی آن است که جسم مادّی پیامبر صلی الله علیه و آله، پرده فرو افتاده بر افلاک را در شکافته و به درون آنها راه یافته است و طبیعتاً پس از فرودْ این خرق التیام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به سبب این محذور فلسفی مدعی شدند که معراج پیامبر اکرم صلی الله علیه و آله روحانی و معنوی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ذیل روایات معراج با تأکید بر جسمانی بودن آن، روحانی بودن آن را ناشی از ضعف تتبع در روایات یا فقدان تدیّن در اثر فریفته شدن به نگرش‌های فلاسفه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الآیات مع الأخبار تدل علی عروجه صلی الله علیه و آله إلی بیت المقدس ثمّ منه إلی السماء فی لیلة واحدة بجسده الشریف، و انکار ذلک أو تأویله بالمعراج الروحانی أو بکونه فی المنام ینشأ إمّا من قلّة التتبع فی آثار الائمة الطاهرین أو من فقد التدین و ضعف الیقین أو الانخداع بتسویلات المتفلسفین، والاخبار الواردة فی هذا المطلب لا اظن مثلها ورد فی شیء فی اصول المذهب؛</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آیات قرآن و روایات دلالت دارند که پیامبر صلی الله علیه و آله در یک شب با بدن شریف خود به بیت‌المقدس و سپس از آنجا به آسمان عروج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این معراج یا تأویل آن به معراج روحانی یا ادعای وقوع آن در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ناشی از قلت تتبع در روایات ائمه علیهم السلام یا فقدان تدین یا ضعف یقین یا فریب خوردن به سخنان فریب دهنده فلسفه‌زدگان است؛ درحالی‌که روایات وارد در این زمینه به قدری زیاد است که گمان ندارم نظیر آن در سایر مبانی مذهب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علّامه به نظریه خرق و التیام اشاره کرده و آن را از شبهات اوهام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اعتذارهم بعدم قبول للخرق والالتیام فلا یخفی علی أولی الافهام إن ما تمسکوا به فی ذلک لیس الاّ من شبهات الاوهام؛</w:t>
      </w:r>
      <w:r>
        <w:rPr>
          <w:rStyle w:val="FootnoteAnchor"/>
          <w:rtl w:val="true"/>
        </w:rPr>
        <w:footnoteReference w:id="565"/>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فلاسفه می‌گویند عدم پذیرش معراج جسمانی به خاطر مخالفت با قاعده خرق و التیام است، مردود است؛ زیرا بر تمام صاحبان اندیشه روشن </w:t>
      </w:r>
      <w:bookmarkStart w:id="504" w:name="pg14553_191936"/>
    </w:p>
    <w:p>
      <w:pPr>
        <w:pStyle w:val="BookText"/>
        <w:rPr/>
      </w:pPr>
      <w:bookmarkEnd w:id="504"/>
      <w:r>
        <w:rPr>
          <w:rFonts w:ascii="IRNazanin" w:hAnsi="IRNazanin" w:eastAsia="IRNazanin"/>
          <w:color w:val="111111"/>
          <w:sz w:val="28"/>
          <w:sz w:val="28"/>
          <w:szCs w:val="28"/>
          <w:rtl w:val="true"/>
          <w:lang w:bidi="fa-IR"/>
        </w:rPr>
        <w:t>است که آنان در این مسئله تنها به وهم‌های شبهه‌انگیز خود تکیه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از عقل‌گرایان متأخر که به رغم پیروی از اهل بیت علیهم السلام این چنین در برابر آرای فلسفی بیگانه کرنش نشان داده‌اند، اظهار تعجب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انی لأعجب من بعض متأخرین اصحابنا کیف أصابهم الوهن فی امثال ذلک مع إن مخالفیهم مع قلّة اخبارهم و ندرة آثارهم بالنظر الیهم و عدم تدیّنهم لم یجوزا ردّها و لم یرخصوا فی تأویلها و هم مع کونهم من اتباع الائمة الاطهار و عندهم أضعاف ما عند مخالفیهم من صحیح الاثار یقتفون آثار شرذمة من سفهاء المخالفین و یذکرون اقوالهم بین اقوال الشیعة المتدیّنین؛</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من از برخی از عالمان متأخر شیعه درشگفتم که چگونه در امثال چنین مطالبی دچار وهن شده‌اند، درحالی‌که مخالفانشان به رغم قلت روایات و ندرت میراث روایی و باور واقعی نداشتن، انکار چنین مسائلی را تجویز نمی‌کنند و تأویل آنها را مجاز نمی‌شمرند و اینان به رغم پیروی از ائمه اطهار علیهم السلام و برخورداری از چندین برابر روایات صحیح، از سخنان گروهی ناچیز و سفیه از مخالفان ما پیروی می‌کنند و گفتارشان را در میان سخنان عالمان شیعی متدین می‌آورند</w:t>
      </w:r>
      <w:r>
        <w:rPr>
          <w:rFonts w:eastAsia="IRNazanin" w:cs="IRNazanin"/>
          <w:color w:val="111111"/>
          <w:sz w:val="28"/>
          <w:szCs w:val="28"/>
          <w:rtl w:val="true"/>
          <w:lang w:bidi="fa-IR"/>
        </w:rPr>
        <w:t>.</w:t>
      </w:r>
    </w:p>
    <w:p>
      <w:pPr>
        <w:pStyle w:val="Heading4"/>
        <w:numPr>
          <w:ilvl w:val="3"/>
          <w:numId w:val="1"/>
        </w:numPr>
        <w:rPr/>
      </w:pPr>
      <w:bookmarkStart w:id="505" w:name="__RefHeading___Toc652037_1878427129"/>
      <w:bookmarkStart w:id="506" w:name="_Toc193"/>
      <w:bookmarkEnd w:id="505"/>
      <w:r>
        <w:rPr/>
        <w:t>7</w:t>
      </w:r>
      <w:r>
        <w:rPr>
          <w:rtl w:val="true"/>
        </w:rPr>
        <w:t xml:space="preserve">. </w:t>
      </w:r>
      <w:r>
        <w:rPr>
          <w:rtl w:val="true"/>
        </w:rPr>
        <w:t>معاد روحانی</w:t>
      </w:r>
      <w:bookmarkEnd w:id="50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جسمانی و روحانی بودن معاد از باورهای مسلّم متکلمان اسلامی است که به دلایل محکم نقلی، اعم از آیات و روایات، تکیه دارد و مورد وفاق مسلمانان است</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 xml:space="preserve">در کنار متکلمان، فلاسفه مسلمان اذعان کرده‌اند که معاد جسمانی با براهین عقلی </w:t>
      </w:r>
    </w:p>
    <w:p>
      <w:pPr>
        <w:pStyle w:val="BookText"/>
        <w:rPr/>
      </w:pPr>
      <w:r>
        <w:rPr>
          <w:rFonts w:ascii="IRNazanin" w:hAnsi="IRNazanin" w:eastAsia="IRNazanin"/>
          <w:color w:val="111111"/>
          <w:sz w:val="28"/>
          <w:sz w:val="28"/>
          <w:szCs w:val="28"/>
          <w:rtl w:val="true"/>
          <w:lang w:bidi="fa-IR"/>
        </w:rPr>
        <w:t>قابل اثبات نیست؛ زیرا چنین معاد و بازگشتی با قانون فلسفی استحاله اعاده معدوم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فلاسفه تأکید کرده‌اند که به سبب صراحت ادله نقلی بدان تن می‌دهند و معاد را جسمانی می‌دانند</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به رغم چنین کرنش ستودنی در برابر ادله نقلی، نوع نگرش به جهان آخرت و حشر و نشر و عذاب و نعمت در گفتار فلاسفه به گونه‌ای است که بیشتر با معاد روحانی سازگار است و به زحمت می‌توان آن را با معاد جسمانی تطبیق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مدعا آنکه یکی از مشاهیر فلاسفه معاصر، مرحوم میرزا محمدتقی آملی که همگان بر تضلع و احاطه او بر مبانی فلسفی پای فشرده‌اند، در پایان شرح خود بر منظومه حکیم فرزانه ملاهادی سبزواری، در ذیل مباحث معاد سوگند یاد می‌کند که این تصویر از معاد با کتاب و سنت منطبق نیست</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شماری دیگر از فلاسفه و نیز طرفداران فلسفه با روحانی بودن معاد که از سوی گروهی از فلاسفه پیشین مورد تأکید قرار گرفته، به مخالفت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آقا علی مدرس زنوزی، مرحوم کمپانی، و میرزا احمد آشتیانی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آن جمله‌اند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مرحوم علّامه مجلسی در شرح روایت امام صادق علیه السلام که در آن از تجسم اعمال نیک و بد مؤمن در قبر سخن به میان آمده است، به دیدگاه فلاسفه دربارۀ معاد و مثالی و روحانی دانستن آن اشاره کرده و لازمه چنین نگرشی را خروج از دین شمرده و به اندیشمندان متأخر شیعه به خاطر همداستان شدن با فیلسوفان پیشین و متأخر و پیروی از مکتب مشاییان و اشراقیان، سخت تاخته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والحاصل انه یمکن حمل الایات و الاخبار علی أن اللّه تعالی یخلق باز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الاعمال الحسنه صوراً حسنة لیظهر حسنها للناس و باز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الاعمال السیئة صوراً قبیحة لیظهر قبحها معاینة؛</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نتیجه آنکه می‌توان آیات و روایات را بر این حمل کرد که خداوند متعال به ازای اعمال حسنه، صورت‌های زیبا را می‌آفریند تا زیبایی آنها را به مردم نشان دهد و در برابر اعمال زشت، صورت‌های زشت می‌آفریند تا زشتی آنها را به عیان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ایشان مسئله تجسم اعمال را پذیرفته و آن را به معنای آفرینش صورت‌های زشت و زیبا به ازای اعمال بد و خوب از جانب خداوند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چنین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حاجة إلی القول بامر مخالف لطور العقل لا یستقیم إلاّ بتأویل فی المعاد و جعله من الاجساد المثالیة و ارجاعه الی الامور الخیالیة کما یشعر به تشبیههم الدنیا والاخرة بنشأتی النوم و الیقظة و إن الاغراض فی الیقظة اجسام فی المنام و هذا مستلزم لانکار الدین و الخروج عن الاسلام و کثیر من اصحابنا المتأخرین رحمه الله یتبعون الفلاسفة القدماء والمتأخرین و المشائین و الاشراقیین فی بعض مذاهبهم، ذاهلین عما یستلزم من مخالفة ضروریات الدین؛ </w:t>
      </w:r>
      <w:r>
        <w:rPr>
          <w:rStyle w:val="FootnoteAnchor"/>
          <w:rtl w:val="true"/>
        </w:rPr>
        <w:footnoteReference w:id="57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نیازی نیست که به نگرشی که مخالف نگاه عقل است و تنها با تأویل معاد و منطبق دانستن آن با اجساد مثالی و بازگرداندن آن به امور خیالی و موهوم، قابل دفاع است، باورمند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از این‌که فلاسفه دنیا و آخرت را به دو نشئه خواب و بیداری تشبیه می‌کنند و این‌که معتقدند اهداف در بیداری، در خواب به صورت جسم درمی‌آیند،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باوری مستلزم انکار دین و خروج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عالمان متأخر ما، از فلاسفه گذشته و متأخر و از مشاییان و اشراقیان پیروی کرده‌اند، درحالی‌که در برخی از مسائل از لازمه این نگرش‌ها که به مخالفت با ضروریات دین می‌انجامد، غافل بوده‌اند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اجساد مثالی راه حلی است که در سخن برخی از فلاسفه آمده و مقصود از آنْ این </w:t>
      </w:r>
    </w:p>
    <w:p>
      <w:pPr>
        <w:pStyle w:val="BookText"/>
        <w:rPr/>
      </w:pPr>
      <w:r>
        <w:rPr>
          <w:rFonts w:ascii="IRNazanin" w:hAnsi="IRNazanin" w:eastAsia="IRNazanin"/>
          <w:color w:val="111111"/>
          <w:sz w:val="28"/>
          <w:sz w:val="28"/>
          <w:szCs w:val="28"/>
          <w:rtl w:val="true"/>
          <w:lang w:bidi="fa-IR"/>
        </w:rPr>
        <w:t>است که انسان در جهان آخرت، نه با همین بدن مادّی دنیایی، بلکه با بدنی عنصری و لطیف که مثل و به مثابه بدن دنیایی اوست، محشور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بدن عنصری نظیر بدنی است که انسان در عالم خواب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فیلسوفان، روح بدون وجود بدن به هر شکلی که باشد قوام نخواهد داشت و از آنجا که ادامه حضور بدن دنیایی در جهان آخرت میسور نیست، روح در قالب بدن مثالی تمثل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اعتقاد به بدن مثالی، روحانی بودن معاد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معتقد است که پذیرش روحانی بودن معاد و محشور شدن انسان در قالب بدن مثالی، مخالفت با ضرورت دین است و در نتیجه خروج از اسلام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درست به همین جهت، از معاصران خود به خاطر کرنش در برابر فلسفه مشاییان و اشراقیان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گله کرده است</w:t>
      </w:r>
      <w:r>
        <w:rPr>
          <w:rFonts w:eastAsia="IRNazanin" w:cs="IRNazanin"/>
          <w:color w:val="111111"/>
          <w:sz w:val="28"/>
          <w:szCs w:val="28"/>
          <w:rtl w:val="true"/>
          <w:lang w:bidi="fa-IR"/>
        </w:rPr>
        <w:t xml:space="preserve">. </w:t>
      </w:r>
      <w:bookmarkStart w:id="507" w:name="pg14553_191940"/>
    </w:p>
    <w:p>
      <w:pPr>
        <w:pStyle w:val="BookText"/>
        <w:rPr/>
      </w:pPr>
      <w:bookmarkEnd w:id="507"/>
      <w:r>
        <w:rPr>
          <w:rFonts w:ascii="IRNazanin" w:hAnsi="IRNazanin" w:eastAsia="IRNazanin"/>
          <w:color w:val="111111"/>
          <w:sz w:val="28"/>
          <w:sz w:val="28"/>
          <w:szCs w:val="28"/>
          <w:rtl w:val="true"/>
          <w:lang w:bidi="fa-IR"/>
        </w:rPr>
        <w:t>علامه مجلسی و مرآة العقول</w:t>
      </w:r>
    </w:p>
    <w:p>
      <w:pPr>
        <w:pStyle w:val="Heading2"/>
        <w:numPr>
          <w:ilvl w:val="1"/>
          <w:numId w:val="1"/>
        </w:numPr>
        <w:rPr/>
      </w:pPr>
      <w:bookmarkStart w:id="508" w:name="__RefHeading___Toc652039_1878427129"/>
      <w:bookmarkStart w:id="509" w:name="_Toc194"/>
      <w:bookmarkEnd w:id="508"/>
      <w:r>
        <w:rPr>
          <w:rtl w:val="true"/>
        </w:rPr>
        <w:t>علامه مجلسی و مرآة العقول</w:t>
      </w:r>
      <w:bookmarkEnd w:id="509"/>
    </w:p>
    <w:p>
      <w:pPr>
        <w:pStyle w:val="Heading3"/>
        <w:numPr>
          <w:ilvl w:val="2"/>
          <w:numId w:val="1"/>
        </w:numPr>
        <w:rPr/>
      </w:pPr>
      <w:bookmarkStart w:id="510" w:name="__RefHeading___Toc652041_1878427129"/>
      <w:bookmarkStart w:id="511" w:name="_Toc195"/>
      <w:bookmarkEnd w:id="510"/>
      <w:r>
        <w:rPr>
          <w:rtl w:val="true"/>
        </w:rPr>
        <w:t>اشارة</w:t>
      </w:r>
      <w:bookmarkEnd w:id="511"/>
    </w:p>
    <w:p>
      <w:pPr>
        <w:pStyle w:val="BookText"/>
        <w:rPr/>
      </w:pPr>
      <w:r>
        <w:rPr>
          <w:rFonts w:ascii="IRNazanin" w:hAnsi="IRNazanin" w:eastAsia="IRNazanin"/>
          <w:color w:val="111111"/>
          <w:sz w:val="28"/>
          <w:sz w:val="28"/>
          <w:szCs w:val="28"/>
          <w:rtl w:val="true"/>
          <w:lang w:bidi="fa-IR"/>
        </w:rPr>
        <w:t xml:space="preserve">علامه مجلسی و مرآة العقول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محمد علی سلطانی</w:t>
      </w:r>
    </w:p>
    <w:p>
      <w:pPr>
        <w:pStyle w:val="Heading3"/>
        <w:numPr>
          <w:ilvl w:val="2"/>
          <w:numId w:val="1"/>
        </w:numPr>
        <w:rPr/>
      </w:pPr>
      <w:bookmarkStart w:id="512" w:name="__RefHeading___Toc652043_1878427129"/>
      <w:bookmarkStart w:id="513" w:name="_Toc196"/>
      <w:bookmarkEnd w:id="512"/>
      <w:r>
        <w:rPr>
          <w:rtl w:val="true"/>
        </w:rPr>
        <w:t>چکیده</w:t>
      </w:r>
      <w:bookmarkEnd w:id="513"/>
    </w:p>
    <w:p>
      <w:pPr>
        <w:pStyle w:val="BookText"/>
        <w:rPr/>
      </w:pPr>
      <w:r>
        <w:rPr>
          <w:rFonts w:ascii="IRNazanin" w:hAnsi="IRNazanin" w:eastAsia="IRNazanin"/>
          <w:color w:val="111111"/>
          <w:sz w:val="28"/>
          <w:sz w:val="28"/>
          <w:szCs w:val="28"/>
          <w:rtl w:val="true"/>
          <w:lang w:bidi="fa-IR"/>
        </w:rPr>
        <w:t>علامه مجلسی پس از انزوای صوفیه و تقویت اخباری‌گری، با استفاده از موقعیت فراهم آمده با تمام توان به جمع‌آوری، تدوین و شرح حدیث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معدود محدثان جهان تشیع است که در تألیف، تدوین و شرح و تفسیر آثار حدیثی توفیق فراوان به دست آورد و تأثیر شگرفی در روند حدیث‌نگاری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علامه مجلسی در توجه به حدیث و تدوین کتب حدیثی، ایجاد رویکردی در جامعه به سوی حدیث و معارف اسلامی و بازگرداندن توجه مردم از عرفان و تصوف خانقاهی و حکمت و فلسفه به معارف حدیثی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بخش‌های مربوط به درجۀ اعتبار احادیث از دو شیوۀ اعتبار سند و اعتبار محتوایی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مرآة العقول با یک شیوه واحد به تفسیر احادیث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بحث را تفصیل فراوان داده و در مواردی، گذرا و گاه بدون هر گونه تفسیر از کنار روایت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مباحث حدیثی، مباحث دیگری در مرآة العقول مطرح شده که از جمله آنها مباحث فلسفی، کلامی، تفسیری و فقه و اصولی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فضای فرهنگی برآمده از شکست علمی اصولیان در برابر هجوم همه‌جانبه </w:t>
      </w:r>
    </w:p>
    <w:p>
      <w:pPr>
        <w:pStyle w:val="BookText"/>
        <w:rPr/>
      </w:pPr>
      <w:r>
        <w:rPr>
          <w:rFonts w:ascii="IRNazanin" w:hAnsi="IRNazanin" w:eastAsia="IRNazanin"/>
          <w:color w:val="111111"/>
          <w:sz w:val="28"/>
          <w:sz w:val="28"/>
          <w:szCs w:val="28"/>
          <w:rtl w:val="true"/>
          <w:lang w:bidi="fa-IR"/>
        </w:rPr>
        <w:t xml:space="preserve">جریان اخباریگری و عقب‌نشینی محسوس آنان در نیمه نخست قرن یازدهم </w:t>
      </w:r>
      <w:r>
        <w:rPr>
          <w:rStyle w:val="FootnoteAnchor"/>
          <w:rtl w:val="true"/>
        </w:rPr>
        <w:footnoteReference w:id="5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دوره حیات اخباریگری در تاریخ تشیع با ظهور میرزا محمد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شاگردش‌ملا امین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امین استرآبادی با نوشتن کتاب الفوائد المدنیة پایه‌های اخباری‌گری را مستحکم کرد و نظر عده زیادی از دانشوران و فقیهان را به سوی اخباریگری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تا ظهور وحید بهبهانی و چالش‌های شدید فکری بین وی و مرحوم شیخ یوسف بحرانی مؤلف حدائق الناظرة در کربلا و جذب شاگردان مبرز شیخ یوسف، نظیر کاشف الغطاء، سید بحر العلوم و سید مهدی شهرستانی به سوی وحید بهبهانی و از رونق افتادن درس شیخ یوسف ادامه داشت و پس از وی به جریانی فراموش شده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حدیث و تدوین و تفسیر آن را در جهان تشیع رونق بخشید قدرت متکی بر مذهب شیعۀ صفویان در تقابل فرهنگی با خلافت عثمانی و در جستجوی مشروعیّت سیاسی، به یاری جریان حدیث‌نگاری شتافت و پایگاه محدثان را هر چه بیشتر مستحکم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گرایش‌های افراطی تصوّف و گسترش روش عرفانی خانقاهی در پی درون‌گرایی اجتماعی از سلطه طولانی مغولان در پیش از حاکمیت صفویان و رونق فراوان حکمت و فلسفه </w:t>
      </w:r>
      <w:r>
        <w:rPr>
          <w:rStyle w:val="FootnoteAnchor"/>
          <w:rtl w:val="true"/>
        </w:rPr>
        <w:footnoteReference w:id="575"/>
      </w:r>
      <w:r>
        <w:rPr>
          <w:rFonts w:ascii="IRNazanin" w:hAnsi="IRNazanin" w:eastAsia="IRNazanin"/>
          <w:color w:val="111111"/>
          <w:sz w:val="28"/>
          <w:sz w:val="28"/>
          <w:szCs w:val="28"/>
          <w:rtl w:val="true"/>
          <w:lang w:bidi="fa-IR"/>
        </w:rPr>
        <w:t>در دوره آغازین استقرار سلسله صفوی نیز زمینه‌های لازم را در گروه قابل توجّه عالمان دینی عصر یاد شده برای رویکردی جدّی به حدیث و متون حدیث به وجود آورد و دوره‌ای تازه برای تدوین مجموعه‌های حدیثی به وجود آمد</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در همین دوره افزون بر شرح مجلسی بر کافی به نام مرآة العقول، شروح دیگری، از قبیل شرح کافی ملا خلیل توسط ملّا خلیل بن غازی قزوینی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شروح اصول کافی ملا صالح حسام الدّین محمد صالح بن احمد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مجلسی اوّل، شرح اصول کافی آخوند ملا محمد بن ابراهیم صدر الدین شیرازی مشهور به ملا صدرا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حاشیه محمد بن سیّد حیدر حسینی طباطبایی نایینی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میرزا رفیعا بر کتاب کافی نوشته 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در همین دوره چندین شرح به تهذیب الأحکام ومن لایحضره الفقیه نگاشته شد که مشهورترین آنها روضة المتقین مجلسی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و لوامع صاحبقرانی به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ملاذ الأخیار از مجلسی دوّم در شرح تهذیب الأحکام شیخ طوسی نیز از تألیف همین دوره رویکرد به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الاسلام وقت‌شناس و پر نفوذ عصر صفوی، علّامه محمد باقر مجلسی با تیزهوشی و درایت فوق العاده، زمان را برای احیا و گسترش متون حدیثی، مناسب یافت و با تشکیل گروه‌های علمی و پژوهشی تحت اشراف خویش، بهترین بهره را از شرایط به وجود آمده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معدود محدثان جهان تشیع است که در تألیف، تدوین و شرح و تفسیر آثار حدیثی توفیق فراوان به دست آورد و تأثیر شگرفی در روند حدیث‌نگاری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افزون بر مجموعه حدیثی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تاکنون پر حجم‌ترین، متنوع‌ترین، کامل‌ترین و در عین حال ابتکاری‌ترین جامع حدیثی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ارزشمند دیگری نیز در این حوزه نگاشت که از جمله آنها شرح مفصّل بر کتاب الکافی ثقة الاسلام کلینی با عنوان مرآة العقول فی شرح اخبار آل الرسول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این کتاب که مقارن اواخر عمر مرحوم مجلسی است، از نظر تحوّل فکری و دست‌آوردهای حدیث‌شناسی وی جای تأمّل وتوجّه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بازیابی و استخراج شیوه حدیث‌نگاری و روش تفسیر حدیث وی و دست‌یابی به آرمان‌ها و آرای او در تفسیر کافی ، کاری لازم و بایسته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مقاله در صدد بازشناسی غیر تفصیلی شیوه حدیث‌نگاری مجلسی در مرآة العقول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پژوهش‌های تفصیلی دربارۀ موضوع یاد شده، در این کتاب و کتب دیگر وی، تک نگاری‌های مستقل می‌طلبد که در جای خود باید بدان پرداخت</w:t>
      </w:r>
      <w:r>
        <w:rPr>
          <w:rFonts w:eastAsia="IRNazanin" w:cs="IRNazanin"/>
          <w:color w:val="111111"/>
          <w:sz w:val="28"/>
          <w:szCs w:val="28"/>
          <w:rtl w:val="true"/>
          <w:lang w:bidi="fa-IR"/>
        </w:rPr>
        <w:t>.</w:t>
      </w:r>
      <w:bookmarkStart w:id="514" w:name="pg14553_191943"/>
    </w:p>
    <w:p>
      <w:pPr>
        <w:pStyle w:val="Heading3"/>
        <w:numPr>
          <w:ilvl w:val="2"/>
          <w:numId w:val="1"/>
        </w:numPr>
        <w:rPr/>
      </w:pPr>
      <w:bookmarkStart w:id="515" w:name="__RefHeading___Toc652045_1878427129"/>
      <w:bookmarkStart w:id="516" w:name="_Toc197"/>
      <w:bookmarkEnd w:id="514"/>
      <w:bookmarkEnd w:id="515"/>
      <w:r>
        <w:rPr>
          <w:rtl w:val="true"/>
        </w:rPr>
        <w:t xml:space="preserve">انگیزه نگارش </w:t>
      </w:r>
      <w:r>
        <w:rPr>
          <w:rtl w:val="true"/>
        </w:rPr>
        <w:t>«</w:t>
      </w:r>
      <w:r>
        <w:rPr>
          <w:rtl w:val="true"/>
        </w:rPr>
        <w:t>مرآة العقول فی شرح اخبار آل الرسول</w:t>
      </w:r>
      <w:r>
        <w:rPr>
          <w:rtl w:val="true"/>
        </w:rPr>
        <w:t>»</w:t>
      </w:r>
      <w:bookmarkEnd w:id="516"/>
    </w:p>
    <w:p>
      <w:pPr>
        <w:pStyle w:val="BookText"/>
        <w:rPr/>
      </w:pPr>
      <w:r>
        <w:rPr>
          <w:rFonts w:ascii="IRNazanin" w:hAnsi="IRNazanin" w:eastAsia="IRNazanin"/>
          <w:color w:val="111111"/>
          <w:sz w:val="28"/>
          <w:sz w:val="28"/>
          <w:szCs w:val="28"/>
          <w:rtl w:val="true"/>
          <w:lang w:bidi="fa-IR"/>
        </w:rPr>
        <w:t>مرحوم علّامه مجلسی در همه نگارش‌های حدیثی خود، یک هدف و انگیزه فراگیر داشت که در آغاز بسیاری از کتاب‌های خویش بدان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انگیزه، گاه انگیزه‌ها و هدف‌های فرعی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تألیف مرآة العقول نیز چنین اهدافی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فراگیر مجلسی در توجّه به حدیث و تدوین کتب حدیثی ایجاد رویکردی در جامعه به سوی حدیث و معارف منقول از اهل بیت علیهم السلام و باز گرداندن توجّه‌ها از عرفان و تصوّف خانقاهی و حکمت و فلسفه به معارف حدیثی بوده وی در بحار الانوار ، مرآة العقول و بعضی کتاب‌های دیگر خود در این خصوص، کلامی با مضمون همگون دارد </w:t>
      </w:r>
      <w:r>
        <w:rPr>
          <w:rStyle w:val="FootnoteAnchor"/>
          <w:rtl w:val="true"/>
        </w:rPr>
        <w:footnoteReference w:id="57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بحار الأنوار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انی کنت فی عنفوان شبابی حریصاً علی طلب العلوم، بأنواعها، مولعاً باجتناء فنون المعالی من افنانها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حیاضها و أتیت ریاضها و عثرت علی صحاحها و مراضها، حتی ملأت کمّی من الوان ثمارها واحتوی جیبی علی اصناف خیارها و شربت من کل منهل جرعة رویّة، واخذت من کل بیدر حفنة مغنیة، فنظرت الی ثمرات تلک العلوم و غایاتها، وتفکّرت فی اغراض المحصلین و ما یحثّهم علی البلوغ الی نهایاتها و تأملت فیما ینفع منها فی المعاد، و تبصّرت فیما یوصل منها الی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فأیقنت بفضله والهامه تعالی، انّ زلال العلم لا ینقع الّا اذا أخذ من عین صافیة، نبعت عن ینابیع الوحی والإلهام وانّ الحکمة لا تنجع، اذا لم تؤخذ من نوامیس الدّین ومعاقل الأنام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فترکت ما ضیعت زماناً من عمری فیه، مع کونه الرایج فی دهرنا، واقبلت علی ما علمت انّه سینفعی فی معادی مع کونه کاسداً فی عصرنا فاخترت الفحص عن اخبار الأئمة الطاهرین الأبرار سلام اللّه علیهم، واخذت فی البحث عنها و اعطیت النظر فیها حقّه واوفیت التّدرّب فیها حظّه؛ </w:t>
      </w:r>
      <w:r>
        <w:rPr>
          <w:rStyle w:val="FootnoteAnchor"/>
          <w:rtl w:val="true"/>
        </w:rPr>
        <w:footnoteReference w:id="578"/>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در آغاز جوانی برای آموختن همه گونه دانش‌ها حریص، و برای </w:t>
      </w:r>
    </w:p>
    <w:p>
      <w:pPr>
        <w:pStyle w:val="BookText"/>
        <w:rPr/>
      </w:pPr>
      <w:r>
        <w:rPr>
          <w:rFonts w:ascii="IRNazanin" w:hAnsi="IRNazanin" w:eastAsia="IRNazanin"/>
          <w:color w:val="111111"/>
          <w:sz w:val="28"/>
          <w:sz w:val="28"/>
          <w:szCs w:val="28"/>
          <w:rtl w:val="true"/>
          <w:lang w:bidi="fa-IR"/>
        </w:rPr>
        <w:t>دست‌یابی به انواع فنون از منابع آن شیفته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خدا به قلمرو دانش پا نهادم و بر بوستان آنها وارد شدم؛ بر خوب و بد آنها واقف گشتم و سبد خویش از انواع میوه‌هایش پر نموده و از بهترین آنها برگزیدم و از هر آبشخوری جرعه‌ای چشیدم و از هر خرمنی مشتی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ثمره آن دانش‌ها و نتایج آنها نگریستم و در اهداف جویندگان آن وانگیزه‌هایی که آنان را در دست یابی به نهایت چنین دانش‌هایی تشویق می‌کند، 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بهره‌های آخرتی آنها دقت کردم و در راهبری آنها به سوی رشد و تعالی تأمل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و الهام الهی، یقین پیدا کردم که دانش زلال جز آن گاهی که از چشمه روشن و صاف وحی و الهام می‌جوشد، سیراب کننده نیست وحکمت، جز در صورتی که از محرم اسرار دین و پناهگاه مردم آموخته نشود، سودمند نمی‌باشد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این روی، دانش‌هایی که مدتی از عمرم را در آنها هدر داده بودم، رها کردم؛ با آن که امروزه این دانش‌ها سکّه بازار است و بر آنچه که برای روز واپسینم سودمند است، روی آوردم؛ گرچه این امور، امروز بازار کسادی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پژوهش در اخبار امامان معصوم علیهم السلام روی آوردم و به مباحثه و دقت نظر در آنها پرداختم و از پرداختن به آن حظّی فراوان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انگیزه و علّت رویکرد به حدیث را در مقدمۀ مرآة العقول روشن‌تر و صریح‌تر از بحار الأنوار بیان می‌کند و در آن از رویکردهای غیر صحیح در نظر خویش به نام یاد می‌کند و می‌نویسد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انّی لما الفیت اهل دهرنا آراء متشتّتة واهواء مختلفة، قد طارت بهم الجهالات الی اوکارها وغاصت بهم الفتن فی غمارها وجذبتهم الدواعی المتنوّعة الی اقطارها وحیرتهم الضلالة فی فیافیها و قفارها فمنهم من سمی جهالة اخذها من حثالة من اهل الفکر و الضلالة المنکرین لشرایع النبوّة وقواعد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 واتخذ من سبقه فی تلک الحیرة والعمی ائمّة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ومنهم من یسلک مسالک اهل البدع والأهواء، المنتمین الی الفقر والفناء؛ لیس لهم فی دنیاهم واُخراهم الاّ الشقاء والعناء، فضحهم اللّه عند </w:t>
      </w:r>
    </w:p>
    <w:p>
      <w:pPr>
        <w:pStyle w:val="BookText"/>
        <w:rPr/>
      </w:pPr>
      <w:r>
        <w:rPr>
          <w:rFonts w:ascii="IRNazanin" w:hAnsi="IRNazanin" w:eastAsia="IRNazanin"/>
          <w:color w:val="111111"/>
          <w:sz w:val="28"/>
          <w:sz w:val="28"/>
          <w:szCs w:val="28"/>
          <w:rtl w:val="true"/>
          <w:lang w:bidi="fa-IR"/>
        </w:rPr>
        <w:t>اهل الأرض کما خذلهم عند اهل السماء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فدریت بما القیت الیک، انّ حقیقة العلم لا توجد إلاّ فی اخبارهم وانّ سبیل النجاة لا یعثر علیه الاّ بالفحص عن 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فصرفت الهمة عن غیرها الیها و اتکلّت فی اخذ المعارف علیها</w:t>
      </w:r>
      <w:r>
        <w:rPr>
          <w:rFonts w:eastAsia="IRNazanin" w:cs="IRNazanin"/>
          <w:color w:val="111111"/>
          <w:sz w:val="28"/>
          <w:szCs w:val="28"/>
          <w:rtl w:val="true"/>
          <w:lang w:bidi="fa-IR"/>
        </w:rPr>
        <w:t xml:space="preserve">. . . . </w:t>
      </w:r>
      <w:r>
        <w:rPr>
          <w:rStyle w:val="FootnoteAnchor"/>
          <w:rtl w:val="true"/>
        </w:rPr>
        <w:footnoteReference w:id="57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مردم روزگارم را بر نظریه‌های ناپیوسته و هواهای گوناگون یافتم؛ به گونه‌ای که جهل و نادانی در درونشان لانه ساخته و فتنه‌ها در خویش غرقشان کرده و انگیزه‌های گوناگون به راهشان افکنده و گمراهی آنان را در بیابان‌ها و صحراها رهایشان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آنچه را که از پس مانده‌های گمراهان ومنکران شریعت پیامبران و قوانین رسالت فرا گرفته‌اند، حکمت نام نهاد، و پیش‌روان آنان در این سر در گمی و کوری را پیشوای خود می‌شمردند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گروهی دیگر راه و روش بدعت‌گذاران و هوا پرستانی منتسب به فقر و فنا را پیموده‌اند؛ کسانی که در دنیا و آخرت جز بدبختی وسیله روزی ندارند و خداوند آنان را در نزد زمینیان رسوا و در پیش عرشیان ذلیل ساخته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آنچه که پیش از این گفتم، به خوبی پیداست که حقیقت علم جز در اخبار امامان علیهم السلام یافت نمی‌شود و راه رستگاری بجز از راه جستجو در آثارشان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همت خویش را از دیگر دانش‌ها به دانش حدیث برگرداندم و در دست‌یابی به معارف، بر این آثار تکیه زدم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در پی چنین احساسی، رویکردی جدّی به حدیث پیدا کرد و در همین راستا به تدریس و بحث دربارۀ روایات کتب روایی متداول زمان خویش از قبیل کتاب کافی پرداخت و حاصل این مباحث را در شکل تعلیقه بر کتاب یاد شده، به طور متفرّق و نامنظم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این یادداشت‌ها و احساس ترس نسبت به از بین رفتن آنها، کنار درخواست فرزندش محمد صادق مجلسی مبنی بر نگارش شرحی کامل بر احادیث کتب مرسوم و متداول حدیثی، علامه را به فکر تنظیم یادداشت‌های </w:t>
      </w:r>
      <w:bookmarkStart w:id="517" w:name="pg14553_191946"/>
    </w:p>
    <w:p>
      <w:pPr>
        <w:pStyle w:val="BookText"/>
        <w:rPr/>
      </w:pPr>
      <w:bookmarkEnd w:id="517"/>
      <w:r>
        <w:rPr>
          <w:rFonts w:ascii="IRNazanin" w:hAnsi="IRNazanin" w:eastAsia="IRNazanin"/>
          <w:color w:val="111111"/>
          <w:sz w:val="28"/>
          <w:sz w:val="28"/>
          <w:szCs w:val="28"/>
          <w:rtl w:val="true"/>
          <w:lang w:bidi="fa-IR"/>
        </w:rPr>
        <w:t xml:space="preserve">قبل و تکمیل آنها انداخت </w:t>
      </w:r>
      <w:r>
        <w:rPr>
          <w:rStyle w:val="FootnoteAnchor"/>
          <w:rtl w:val="true"/>
        </w:rPr>
        <w:footnoteReference w:id="5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انگیزه‌های فرعی در کنار هدف کلی و اصلی وی، موجب پیدایش مرآة العقول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تأثیر رویکرد حدیثی یاد شده و نگارش غیر منظم حواشی بر کتاب‌های گوناگون کافی در طول چندین سال </w:t>
      </w:r>
      <w:r>
        <w:rPr>
          <w:rStyle w:val="FootnoteAnchor"/>
          <w:rtl w:val="true"/>
        </w:rPr>
        <w:footnoteReference w:id="581"/>
      </w:r>
      <w:r>
        <w:rPr>
          <w:rFonts w:ascii="IRNazanin" w:hAnsi="IRNazanin" w:eastAsia="IRNazanin"/>
          <w:color w:val="111111"/>
          <w:sz w:val="28"/>
          <w:sz w:val="28"/>
          <w:szCs w:val="28"/>
          <w:rtl w:val="true"/>
          <w:lang w:bidi="fa-IR"/>
        </w:rPr>
        <w:t>، در شیوه تدوین مرآة العقول تأثیر جدّی داشت و این عوامل، خوانندگان مرآة العقول را در بازیابی شیوه حدیثی مرآة العقول کمک خواهد کرد</w:t>
      </w:r>
      <w:r>
        <w:rPr>
          <w:rFonts w:eastAsia="IRNazanin" w:cs="IRNazanin"/>
          <w:color w:val="111111"/>
          <w:sz w:val="28"/>
          <w:szCs w:val="28"/>
          <w:rtl w:val="true"/>
          <w:lang w:bidi="fa-IR"/>
        </w:rPr>
        <w:t>.</w:t>
      </w:r>
    </w:p>
    <w:p>
      <w:pPr>
        <w:pStyle w:val="Heading3"/>
        <w:numPr>
          <w:ilvl w:val="2"/>
          <w:numId w:val="1"/>
        </w:numPr>
        <w:rPr/>
      </w:pPr>
      <w:bookmarkStart w:id="518" w:name="__RefHeading___Toc652047_1878427129"/>
      <w:bookmarkStart w:id="519" w:name="_Toc198"/>
      <w:bookmarkEnd w:id="518"/>
      <w:r>
        <w:rPr>
          <w:rtl w:val="true"/>
        </w:rPr>
        <w:t>شیوه حدیث نگاری مرآة العقول</w:t>
      </w:r>
      <w:bookmarkEnd w:id="519"/>
    </w:p>
    <w:p>
      <w:pPr>
        <w:pStyle w:val="BookText"/>
        <w:rPr/>
      </w:pPr>
      <w:r>
        <w:rPr>
          <w:rFonts w:ascii="IRNazanin" w:hAnsi="IRNazanin" w:eastAsia="IRNazanin"/>
          <w:color w:val="111111"/>
          <w:sz w:val="28"/>
          <w:sz w:val="28"/>
          <w:szCs w:val="28"/>
          <w:rtl w:val="true"/>
          <w:lang w:bidi="fa-IR"/>
        </w:rPr>
        <w:t>مرحوم علامه مجلسی در مقدمۀ کتاب یاد شده، به طور گذرا از شیوه خود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کوتاه می‌تواند مقدمه‌ای برای شناخت روش حدیثی وی در کتاب مرآة العقول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خصوص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ازمعت علی ان اقتصر علی ما لابدّ منه فی بیان حال اسانید الأخبار، الّتی هی لها کالأساس و المبانی واکتفی فی حلّ معضلات الألفاظ و کشف مخیّبات المطالب بما یتفطّن به من یدرک بالأشارات الخفیّة دقایق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وسأذکر فیها 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بعض افاضل المحشین و فوائدهم و ما استفدت من برکات انفاس مشایخنا المحققین وعوایدهم، من غیر تعرض لذکر اسمائهم او ما یرد علیهم؛ </w:t>
      </w:r>
      <w:r>
        <w:rPr>
          <w:rStyle w:val="FootnoteAnchor"/>
          <w:rtl w:val="true"/>
        </w:rPr>
        <w:footnoteReference w:id="582"/>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تصمیم گرفتم در بیان وضع سندهای اخبار که همچون پایه و اساس بحث است، به ضرورت بسنده کنم، و در حلّ دشواری‌های واژه‌ها و شناسایی مطالب پنهان به مقداری که زیرک‌ها از اشاره‌های پنهان به معانی ظریف </w:t>
      </w:r>
      <w:bookmarkStart w:id="520" w:name="pg14553_191947"/>
    </w:p>
    <w:p>
      <w:pPr>
        <w:pStyle w:val="BookText"/>
        <w:rPr/>
      </w:pPr>
      <w:bookmarkEnd w:id="520"/>
      <w:r>
        <w:rPr>
          <w:rFonts w:ascii="IRNazanin" w:hAnsi="IRNazanin" w:eastAsia="IRNazanin"/>
          <w:color w:val="111111"/>
          <w:sz w:val="28"/>
          <w:sz w:val="28"/>
          <w:szCs w:val="28"/>
          <w:rtl w:val="true"/>
          <w:lang w:bidi="fa-IR"/>
        </w:rPr>
        <w:t>می‌رسند، اکتفا کنم و به یاری خداوند، بدون نام بردن و ایراد گرفتن، سخن پاره‌ای از محشین و نکته‌های آنان و نیز آنچه که از زبان آنان شنیده‌ام، خواهم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گفتار فوق، نخستین مبحثی که می‌توان بر آن پرداخت، موضوع اعتبار احادیث و شیوه علّامه در این خصوص است</w:t>
      </w:r>
      <w:r>
        <w:rPr>
          <w:rFonts w:eastAsia="IRNazanin" w:cs="IRNazanin"/>
          <w:color w:val="111111"/>
          <w:sz w:val="28"/>
          <w:szCs w:val="28"/>
          <w:rtl w:val="true"/>
          <w:lang w:bidi="fa-IR"/>
        </w:rPr>
        <w:t>.</w:t>
      </w:r>
    </w:p>
    <w:p>
      <w:pPr>
        <w:pStyle w:val="Heading3"/>
        <w:numPr>
          <w:ilvl w:val="2"/>
          <w:numId w:val="1"/>
        </w:numPr>
        <w:rPr/>
      </w:pPr>
      <w:bookmarkStart w:id="521" w:name="__RefHeading___Toc652049_1878427129"/>
      <w:bookmarkStart w:id="522" w:name="_Toc199"/>
      <w:bookmarkEnd w:id="521"/>
      <w:r>
        <w:rPr>
          <w:rtl w:val="true"/>
        </w:rPr>
        <w:t>بحث اعتبار احادیث در مرآة العقول</w:t>
      </w:r>
      <w:bookmarkEnd w:id="522"/>
    </w:p>
    <w:p>
      <w:pPr>
        <w:pStyle w:val="BookText"/>
        <w:rPr/>
      </w:pPr>
      <w:r>
        <w:rPr>
          <w:rFonts w:ascii="IRNazanin" w:hAnsi="IRNazanin" w:eastAsia="IRNazanin"/>
          <w:color w:val="111111"/>
          <w:sz w:val="28"/>
          <w:sz w:val="28"/>
          <w:szCs w:val="28"/>
          <w:rtl w:val="true"/>
          <w:lang w:bidi="fa-IR"/>
        </w:rPr>
        <w:t>مرحوم علّامه مجلسی در بحث‌های مربوط به درجۀ اعتبار احادیث، از دو شیوۀ اعتبار سندی و اعتباری محتوایی بهره می‌گیرد، در مواردی، حدیثی را با ترازوی رجال می‌سنجد و صحت و سقم آن را می‌نمایاند و در مواردی، ضعف سندی حدیث را در سایه محتوا و متن حدیث نادیده گرفته و حدیث را معتبر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سندی، ضمن توجّه به شیوه مشهور، دیدگاه رجالی خویش را نیز یادآور می‌شود و در مواردی به علل این اختلاف رأی می‌پردازد</w:t>
      </w:r>
      <w:r>
        <w:rPr>
          <w:rFonts w:eastAsia="IRNazanin" w:cs="IRNazanin"/>
          <w:color w:val="111111"/>
          <w:sz w:val="28"/>
          <w:szCs w:val="28"/>
          <w:rtl w:val="true"/>
          <w:lang w:bidi="fa-IR"/>
        </w:rPr>
        <w:t>.</w:t>
      </w:r>
    </w:p>
    <w:p>
      <w:pPr>
        <w:pStyle w:val="Heading3"/>
        <w:numPr>
          <w:ilvl w:val="2"/>
          <w:numId w:val="1"/>
        </w:numPr>
        <w:rPr/>
      </w:pPr>
      <w:bookmarkStart w:id="523" w:name="__RefHeading___Toc652051_1878427129"/>
      <w:bookmarkStart w:id="524" w:name="_Toc200"/>
      <w:bookmarkEnd w:id="523"/>
      <w:r>
        <w:rPr>
          <w:rtl w:val="true"/>
        </w:rPr>
        <w:t>اعتبار محتوایی</w:t>
      </w:r>
      <w:bookmarkEnd w:id="524"/>
    </w:p>
    <w:p>
      <w:pPr>
        <w:pStyle w:val="BookText"/>
        <w:rPr/>
      </w:pPr>
      <w:r>
        <w:rPr>
          <w:rFonts w:ascii="IRNazanin" w:hAnsi="IRNazanin" w:eastAsia="IRNazanin"/>
          <w:color w:val="111111"/>
          <w:sz w:val="28"/>
          <w:sz w:val="28"/>
          <w:szCs w:val="28"/>
          <w:rtl w:val="true"/>
          <w:lang w:bidi="fa-IR"/>
        </w:rPr>
        <w:t>مرحوم مجلسی اعتبار سندی را شیوۀ کافی برای صحّت یا سقم روایات نمی‌داند و در بسیاری موارد از محتوا و مضمون روایت و نیز از ساختار کلام و عبارت، به صحّت صدور روایت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مرآة العقول ، موارد فراوانی را می‌توان برای این مدّعا ذکر کرد در ذیل نمونه‌هایی یادآوری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بیست و پنجم، ذیل خطبة الوسیلة امیرالمؤمنین علیه السلام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الحدیث الرابع ضعیف؛ لکن هذه الأخبار قوة مبانیه ورفعة معانیها، تشهد بصحتها، ولا تحتاج الی سند، مع انّ هذه الخطبة من الخطب المشهورة عنه علیه السلام </w:t>
      </w:r>
      <w:r>
        <w:rPr>
          <w:rStyle w:val="FootnoteAnchor"/>
          <w:rtl w:val="true"/>
        </w:rPr>
        <w:footnoteReference w:id="58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جای دیگر همین مجلد، ذیل خطبۀ طالوتیه امیرالمؤمنین علیه السلام می‌نویسد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الحدیث الخامس، ضعیف علی مصطلح القوم؛ لکن بلاغة الکلام و غرابة </w:t>
      </w:r>
    </w:p>
    <w:p>
      <w:pPr>
        <w:pStyle w:val="BookText"/>
        <w:rPr/>
      </w:pPr>
      <w:r>
        <w:rPr>
          <w:rFonts w:ascii="IRNazanin" w:hAnsi="IRNazanin" w:eastAsia="IRNazanin"/>
          <w:color w:val="111111"/>
          <w:sz w:val="28"/>
          <w:sz w:val="28"/>
          <w:szCs w:val="28"/>
          <w:rtl w:val="true"/>
          <w:lang w:bidi="fa-IR"/>
        </w:rPr>
        <w:t>الاُسلوب و النظام تأبی صدوره عن غیر الإمام علیه السلام</w:t>
      </w:r>
      <w:r>
        <w:rPr>
          <w:rFonts w:eastAsia="IRNazanin" w:cs="IRNazanin"/>
          <w:color w:val="111111"/>
          <w:sz w:val="28"/>
          <w:szCs w:val="28"/>
          <w:rtl w:val="true"/>
          <w:lang w:bidi="fa-IR"/>
        </w:rPr>
        <w:t xml:space="preserve">. </w:t>
      </w:r>
      <w:r>
        <w:rPr>
          <w:rStyle w:val="FootnoteAnchor"/>
          <w:rtl w:val="true"/>
        </w:rPr>
        <w:footnoteReference w:id="5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محل دیگری از همین مجلد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بثلاثة أسانید، فی الأول ضعف و الثانی حسن کالصحیح و فی الثالث ضعف أو جهالة، لکن مجموع الأسانید لتقوی بعضها ببعض، فی قوة الصحیح</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در جلد سوّم دربارۀ حسن بن عباس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الأوّل، ضعیف علی المشهور بالحسن بن العباس، لکن یظهر من کتب الرجال، انّه لم یکن لتضعیفه سبب الّا روایة هذه الأخبار العالیة الغامضة الّتی لا یصل الیها عقول اکثر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والکتاب کان مشهوراً عند المحدثین واحمد بن محمد روی هذا الکتاب مع أنه أخرج البرقی عن قم، بسبب انه کان یروی عن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یکن هذه الکتاب معتبراً عنده، لما تصدّی لروایته والشواهد علی صحته عندی کثیرة</w:t>
      </w:r>
      <w:r>
        <w:rPr>
          <w:rFonts w:eastAsia="IRNazanin" w:cs="IRNazanin"/>
          <w:color w:val="111111"/>
          <w:sz w:val="28"/>
          <w:szCs w:val="28"/>
          <w:rtl w:val="true"/>
          <w:lang w:bidi="fa-IR"/>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در مجلد یازدهم، ذیل حدیث عبداللّه بن سنان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ضعیف سنداً ومتنه یدلّ علی صحّته</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وی گاهی وجود حدیث در یک اصل و یا کتاب معتبر و مشهور حدیثی را برای معتبر شمردن آن کافی می‌شمارد و ضمن بیان ضعف آن، برپایه نظریۀ مشهور تأکید می‌کند که حدیث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محدثان وجود دارد، بنابر این ضعف آن جبران شده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خصوص روایات منقول در اصول معتبر، بحث سندی را تنها برای ترجیح در موارد تعارض روایات، لازم می‌شمارد وگرنه به نظر وی، نفس وجود روایت در اصول معتبر، حجّت کافی برای جواز عمل به مضمون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می‌نویسد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وجود الخبر فی امثال تلک الاصول المعتبرة، ممّا یورث جواز العمل به؛ لکن لابدّ من الرجوع الی الأسانید، لترجیح بعضها علی بعض عند </w:t>
      </w:r>
      <w:bookmarkStart w:id="525" w:name="pg14553_191949"/>
    </w:p>
    <w:p>
      <w:pPr>
        <w:pStyle w:val="BookText"/>
        <w:rPr/>
      </w:pPr>
      <w:bookmarkEnd w:id="525"/>
      <w:r>
        <w:rPr>
          <w:rFonts w:ascii="IRNazanin" w:hAnsi="IRNazanin" w:eastAsia="IRNazanin"/>
          <w:color w:val="111111"/>
          <w:sz w:val="28"/>
          <w:sz w:val="28"/>
          <w:szCs w:val="28"/>
          <w:rtl w:val="true"/>
          <w:lang w:bidi="fa-IR"/>
        </w:rPr>
        <w:t>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کون جمیعها معتبراً لا ینافی کون بعضها اقوی</w:t>
      </w:r>
      <w:r>
        <w:rPr>
          <w:rFonts w:eastAsia="IRNazanin" w:cs="IRNazanin"/>
          <w:color w:val="111111"/>
          <w:sz w:val="28"/>
          <w:szCs w:val="28"/>
          <w:rtl w:val="true"/>
          <w:lang w:bidi="fa-IR"/>
        </w:rPr>
        <w:t xml:space="preserve">. </w:t>
      </w:r>
      <w:r>
        <w:rPr>
          <w:rStyle w:val="FootnoteAnchor"/>
          <w:rtl w:val="true"/>
        </w:rPr>
        <w:footnoteReference w:id="5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همین اساس، در ذیل حدیث عیسی بن المستفاد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 علی المشهور لکنّه معتبرٌ اخذه من کتاب الوصیة لعیسی بن المستفاد وهو من اصول المعتبرة، ذکره النجاشی والشیخ فی فهرستیهما واورد اکثر الکتاب السید بن طاووس قدس سره فی کتاب الطرف</w:t>
      </w:r>
      <w:r>
        <w:rPr>
          <w:rFonts w:eastAsia="IRNazanin" w:cs="IRNazanin"/>
          <w:color w:val="111111"/>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و بر همین اساس، جهالت ابوالحسن محمد بن اسماعیل نیشابوری بندقی را که از طریق فضل بن شاذان کتاب صفوان بن یحیی را نقل می‌کند، به صحّت روایت مضرّ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شرح روایت اول وی در باب غسل شهر رمضان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مجهول کالصحیح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ذیل روایت دوّم توضیح می‌دهد که مجهول کالصحیح، لأنه معطوف علی الخبر السابق وهذا یؤید أنه مأخوذ من کتاب الصفوان و لا یضرّ جهالة الراوی</w:t>
      </w:r>
      <w:r>
        <w:rPr>
          <w:rFonts w:eastAsia="IRNazanin" w:cs="IRNazanin"/>
          <w:color w:val="111111"/>
          <w:sz w:val="28"/>
          <w:szCs w:val="28"/>
          <w:rtl w:val="true"/>
          <w:lang w:bidi="fa-IR"/>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و دربارۀ سعدان بن مسلم با آن که مشهور، روایت وی را مجهول می‌دانند ولی به خاطر آن که شیخ، وجود اصلی را برای او گزارش می‌کند، جهالت وی را مانع از اعتبار روایت نمی‌داند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مجهولٌ علی المشهور بسعدان، و ربّما یعدّ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الشیخ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اصلٌ</w:t>
      </w:r>
      <w:r>
        <w:rPr>
          <w:rFonts w:eastAsia="IRNazanin" w:cs="IRNazanin"/>
          <w:color w:val="111111"/>
          <w:sz w:val="28"/>
          <w:szCs w:val="28"/>
          <w:rtl w:val="true"/>
          <w:lang w:bidi="fa-IR"/>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6" w:name="__RefHeading___Toc652053_1878427129"/>
      <w:bookmarkStart w:id="527" w:name="_Toc201"/>
      <w:bookmarkEnd w:id="526"/>
      <w:r>
        <w:rPr>
          <w:rtl w:val="true"/>
        </w:rPr>
        <w:t>اعتبار سندی</w:t>
      </w:r>
      <w:bookmarkEnd w:id="527"/>
    </w:p>
    <w:p>
      <w:pPr>
        <w:pStyle w:val="Heading4"/>
        <w:numPr>
          <w:ilvl w:val="3"/>
          <w:numId w:val="1"/>
        </w:numPr>
        <w:rPr/>
      </w:pPr>
      <w:bookmarkStart w:id="528" w:name="__RefHeading___Toc652055_1878427129"/>
      <w:bookmarkStart w:id="529" w:name="_Toc202"/>
      <w:bookmarkEnd w:id="528"/>
      <w:r>
        <w:rPr>
          <w:rtl w:val="true"/>
        </w:rPr>
        <w:t>اشارة</w:t>
      </w:r>
      <w:bookmarkEnd w:id="52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در بررسی اسناد روایات، از تفصیل پرهیز می‌کند و تنها در مواردی خاص و به ندرت به بررسی شخصیّت‌های سند می‌پردازد و در خیلی موارد با به کارگیری اصطلاحات ویژه رجالی، اعتبار حدیثی را روشن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درجۀ اعتبار حدیث، تعابیری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حسن، ضعیف، موثق، مجهول، ضعیف علی المشهور، ضعیف علی المشهور و معتبر عندی، ضعیف کالموثق، مجهول کالصحیح، مجهول فی قوة الصحیح، صحیح علی الأظهر، حسن أو موثق لا یقصران عن الصحیح، ضعیف علی المشهور وربّما یعَدّ موثقاً، حسن علی الظاهر، </w:t>
      </w:r>
      <w:bookmarkStart w:id="530" w:name="pg14553_191950"/>
    </w:p>
    <w:p>
      <w:pPr>
        <w:pStyle w:val="BookText"/>
        <w:rPr/>
      </w:pPr>
      <w:bookmarkEnd w:id="530"/>
      <w:r>
        <w:rPr>
          <w:rFonts w:ascii="IRNazanin" w:hAnsi="IRNazanin" w:eastAsia="IRNazanin"/>
          <w:color w:val="111111"/>
          <w:sz w:val="28"/>
          <w:sz w:val="28"/>
          <w:szCs w:val="28"/>
          <w:rtl w:val="true"/>
          <w:lang w:bidi="fa-IR"/>
        </w:rPr>
        <w:t>حسن کالصحیح، مجهول علی المشهور، مرفوع او ضعیف وموثق کالصحیح بهره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وقتی تعبیرهایی از قبیل ضعیف علی المشهور و یا مجهول علی المشهور را به کار می‌برد، باور مشهور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گاه تصریح می‌کند که نظر وی با نظر مشهور مخالف است و نظر خود را روشن بیان می‌کند و گاه رأی خویش را بیان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نظر خود را بیان نمی‌کند، به تعبیرهای یادشده اکتفا می‌کند و در دیگر موارد، از تعبیر ضعیف علی المشهور و معتبر عندی و یا ضعیف علی المشهور و ربّما یعدّ موثقاً بهره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مرحوم مجلسی نسبت به رأی مشهور نظر دارد، با توجّه به تعداد راویان موارد زیادی نیست؛ ولی با نظر به این که آنان راویان پرحدیث هستند، احادیث زیادی در قلمرو اختلاف رأی وی با مشهور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مجلسی حدیث آنان را بر خلاف نظر مشهور معتبر می‌داند، عبارت‌اند از</w:t>
      </w:r>
      <w:r>
        <w:rPr>
          <w:rFonts w:eastAsia="IRNazanin" w:cs="IRNazanin"/>
          <w:color w:val="111111"/>
          <w:sz w:val="28"/>
          <w:szCs w:val="28"/>
          <w:rtl w:val="true"/>
          <w:lang w:bidi="fa-IR"/>
        </w:rPr>
        <w:t>:</w:t>
      </w:r>
    </w:p>
    <w:p>
      <w:pPr>
        <w:pStyle w:val="Heading4"/>
        <w:numPr>
          <w:ilvl w:val="3"/>
          <w:numId w:val="1"/>
        </w:numPr>
        <w:rPr/>
      </w:pPr>
      <w:bookmarkStart w:id="531" w:name="__RefHeading___Toc652057_1878427129"/>
      <w:bookmarkStart w:id="532" w:name="_Toc203"/>
      <w:bookmarkEnd w:id="531"/>
      <w:r>
        <w:rPr/>
        <w:t>1</w:t>
      </w:r>
      <w:r>
        <w:rPr>
          <w:rtl w:val="true"/>
        </w:rPr>
        <w:t xml:space="preserve">. </w:t>
      </w:r>
      <w:r>
        <w:rPr>
          <w:rtl w:val="true"/>
        </w:rPr>
        <w:t>روایت نوفلی از سکونی</w:t>
      </w:r>
      <w:bookmarkEnd w:id="532"/>
    </w:p>
    <w:p>
      <w:pPr>
        <w:pStyle w:val="BookText"/>
        <w:rPr/>
      </w:pPr>
      <w:r>
        <w:rPr>
          <w:rFonts w:ascii="IRNazanin" w:hAnsi="IRNazanin" w:eastAsia="IRNazanin"/>
          <w:color w:val="111111"/>
          <w:sz w:val="28"/>
          <w:sz w:val="28"/>
          <w:szCs w:val="28"/>
          <w:rtl w:val="true"/>
          <w:lang w:bidi="fa-IR"/>
        </w:rPr>
        <w:t xml:space="preserve">حسین بن یزید نوفلی و اسماعیل بن ابی زیاد سکونی، هیچ کدام توثیق خاصّ ندارند و نوفلی از سوی بعضی از عالمان قمی متهمّ به غلو شده است؛ </w:t>
      </w:r>
      <w:r>
        <w:rPr>
          <w:rStyle w:val="FootnoteAnchor"/>
          <w:rtl w:val="true"/>
        </w:rPr>
        <w:footnoteReference w:id="5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طوسی، ص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منشورات الرّضی،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روایات منقول از طریق وی نشانی از غلو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سکونی از عامه است مشهور رجالیون به علّت فقدان توثیق خاص، روایات این دو راوی را توثیق نمی‌کنند و پاره‌ای دیگر به علل گوناگون و از جمله وقوع این دو راوی در اسناد کامل الزیارات ، توثیق عام می‌کنند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آن دو را موثق می‌شمارند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این دو راوی را موثق می‌شمارد و از این طریق، تعداد زیادی از روایت‌ها معتبر می‌گردند</w:t>
      </w:r>
      <w:r>
        <w:rPr>
          <w:rFonts w:eastAsia="IRNazanin" w:cs="IRNazanin"/>
          <w:color w:val="111111"/>
          <w:sz w:val="28"/>
          <w:szCs w:val="28"/>
          <w:rtl w:val="true"/>
          <w:lang w:bidi="fa-IR"/>
        </w:rPr>
        <w:t xml:space="preserve">. </w:t>
      </w:r>
      <w:bookmarkStart w:id="533" w:name="pg14553_191951"/>
    </w:p>
    <w:p>
      <w:pPr>
        <w:pStyle w:val="Heading4"/>
        <w:numPr>
          <w:ilvl w:val="3"/>
          <w:numId w:val="1"/>
        </w:numPr>
        <w:rPr/>
      </w:pPr>
      <w:bookmarkStart w:id="534" w:name="__RefHeading___Toc652059_1878427129"/>
      <w:bookmarkStart w:id="535" w:name="_Toc204"/>
      <w:bookmarkEnd w:id="533"/>
      <w:bookmarkEnd w:id="534"/>
      <w:r>
        <w:rPr/>
        <w:t>2</w:t>
      </w:r>
      <w:r>
        <w:rPr>
          <w:rtl w:val="true"/>
        </w:rPr>
        <w:t xml:space="preserve">. </w:t>
      </w:r>
      <w:r>
        <w:rPr>
          <w:rtl w:val="true"/>
        </w:rPr>
        <w:t>سهل بن زیاد</w:t>
      </w:r>
      <w:bookmarkEnd w:id="535"/>
    </w:p>
    <w:p>
      <w:pPr>
        <w:pStyle w:val="BookText"/>
        <w:rPr/>
      </w:pPr>
      <w:r>
        <w:rPr>
          <w:rFonts w:ascii="IRNazanin" w:hAnsi="IRNazanin" w:eastAsia="IRNazanin"/>
          <w:color w:val="111111"/>
          <w:sz w:val="28"/>
          <w:sz w:val="28"/>
          <w:szCs w:val="28"/>
          <w:rtl w:val="true"/>
          <w:lang w:bidi="fa-IR"/>
        </w:rPr>
        <w:t>ابو سعید، سهل بن زیاد الآدمی از راویان پر حدیث و مورد اختلاف رجالیون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رجالیون وی را تضعیف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متهمّ به غلوّ، دروغگویی، فاسد الروایة و المذهب، راوی مراسیل، معتمد بر مجاهیل و احمق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عیسی اشعری وی را از قم اخراج کرده است؛ </w:t>
      </w:r>
      <w:r>
        <w:rPr>
          <w:rStyle w:val="FootnoteAnchor"/>
          <w:rtl w:val="true"/>
        </w:rPr>
        <w:footnoteReference w:id="5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فی معرفة الرجال، علّامه حلّی، نشر الفقاهه قم، 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بعضی از رجالیون با اسناد به توثیق نجاشی در رجال خود،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روایت وی را قابل اعتماد می‌شمارند و در شأن وی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فی السهل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به روایت‌های سهل بن زیاد اعتماد دارد و از آن جایی که سهل از راویان پرحدیث است، تعداد زیادی از روایت‌ها بدین وسیله در قلمرو روایات معتبر قرار می‌گیرند</w:t>
      </w:r>
      <w:r>
        <w:rPr>
          <w:rFonts w:eastAsia="IRNazanin" w:cs="IRNazanin"/>
          <w:color w:val="111111"/>
          <w:sz w:val="28"/>
          <w:szCs w:val="28"/>
          <w:rtl w:val="true"/>
          <w:lang w:bidi="fa-IR"/>
        </w:rPr>
        <w:t>.</w:t>
      </w:r>
    </w:p>
    <w:p>
      <w:pPr>
        <w:pStyle w:val="Heading4"/>
        <w:numPr>
          <w:ilvl w:val="3"/>
          <w:numId w:val="1"/>
        </w:numPr>
        <w:rPr/>
      </w:pPr>
      <w:bookmarkStart w:id="536" w:name="__RefHeading___Toc652061_1878427129"/>
      <w:bookmarkStart w:id="537" w:name="_Toc205"/>
      <w:bookmarkEnd w:id="536"/>
      <w:r>
        <w:rPr/>
        <w:t>3</w:t>
      </w:r>
      <w:r>
        <w:rPr>
          <w:rtl w:val="true"/>
        </w:rPr>
        <w:t xml:space="preserve">. </w:t>
      </w:r>
      <w:r>
        <w:rPr>
          <w:rtl w:val="true"/>
        </w:rPr>
        <w:t>معلی بن محمد</w:t>
      </w:r>
      <w:bookmarkEnd w:id="537"/>
    </w:p>
    <w:p>
      <w:pPr>
        <w:pStyle w:val="BookText"/>
        <w:rPr/>
      </w:pPr>
      <w:r>
        <w:rPr>
          <w:rFonts w:ascii="IRNazanin" w:hAnsi="IRNazanin" w:eastAsia="IRNazanin"/>
          <w:color w:val="111111"/>
          <w:sz w:val="28"/>
          <w:sz w:val="28"/>
          <w:szCs w:val="28"/>
          <w:rtl w:val="true"/>
          <w:lang w:bidi="fa-IR"/>
        </w:rPr>
        <w:t>ابوالحسن معلی بن محمد البصری نیز از راویان پر حدیث و مورد اختلاف در نزد رجالیون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و علّامه در خلاصة الأقوال وی را مضطرب الحدیث والمذهب می‌دانند و ابن غضائری وی را با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نعرف حدیثه وننکره یروی عن الضعفاء ویجوزان یخرج شاهداً</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احادیث معلی بن محمد را معتبر می‌شمارد</w:t>
      </w:r>
      <w:r>
        <w:rPr>
          <w:rFonts w:eastAsia="IRNazanin" w:cs="IRNazanin"/>
          <w:color w:val="111111"/>
          <w:sz w:val="28"/>
          <w:szCs w:val="28"/>
          <w:rtl w:val="true"/>
          <w:lang w:bidi="fa-IR"/>
        </w:rPr>
        <w:t>.</w:t>
      </w:r>
    </w:p>
    <w:p>
      <w:pPr>
        <w:pStyle w:val="Heading4"/>
        <w:numPr>
          <w:ilvl w:val="3"/>
          <w:numId w:val="1"/>
        </w:numPr>
        <w:rPr/>
      </w:pPr>
      <w:bookmarkStart w:id="538" w:name="__RefHeading___Toc652063_1878427129"/>
      <w:bookmarkStart w:id="539" w:name="_Toc206"/>
      <w:bookmarkEnd w:id="538"/>
      <w:r>
        <w:rPr/>
        <w:t>4</w:t>
      </w:r>
      <w:r>
        <w:rPr>
          <w:rtl w:val="true"/>
        </w:rPr>
        <w:t xml:space="preserve">. </w:t>
      </w:r>
      <w:r>
        <w:rPr>
          <w:rtl w:val="true"/>
        </w:rPr>
        <w:t>مفضل بن عمر</w:t>
      </w:r>
      <w:bookmarkEnd w:id="53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از راویانی است که درباره‌اش اختلاف نظر ژرفی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وی را از بزرگان شمرده و گروهی او را از فاسد مذهبان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ارشاد وی را از شیوخ اصحاب امام صادق علیه السلام و از خاصّان و معتمدان و از جمله فقهای صالح مورد وثوق دانسته است </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کتاب الغیبة او را از جمله ممدوحان و از خاصّان </w:t>
      </w:r>
      <w:bookmarkStart w:id="540" w:name="pg14553_191952"/>
    </w:p>
    <w:p>
      <w:pPr>
        <w:pStyle w:val="BookText"/>
        <w:rPr/>
      </w:pPr>
      <w:bookmarkEnd w:id="540"/>
      <w:r>
        <w:rPr>
          <w:rFonts w:ascii="IRNazanin" w:hAnsi="IRNazanin" w:eastAsia="IRNazanin"/>
          <w:color w:val="111111"/>
          <w:sz w:val="28"/>
          <w:sz w:val="28"/>
          <w:szCs w:val="28"/>
          <w:rtl w:val="true"/>
          <w:lang w:bidi="fa-IR"/>
        </w:rPr>
        <w:t xml:space="preserve">و کارپردازان امام صادق علیه السلام شمرده است </w:t>
      </w:r>
      <w:r>
        <w:rPr>
          <w:rStyle w:val="FootnoteAnchor"/>
          <w:rtl w:val="true"/>
        </w:rPr>
        <w:footnoteReference w:id="59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الغیبة، 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مدحش روایاتی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کشی نیز در مدحش روایات چندی آورده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علامه و نجاشی وی را فاسد المذهب و الروایة دانسته‌اند و غیر قابل اعتماد شمرده‌اند؛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ابن غضائری تصریح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متهافت مرتفع القول خطابیٌ، وقد زید علیه شیء کثیر و حمل الغلاة فی حدیثه حملاً عظیماً و لا یجوزان یکتب حدیثه</w:t>
      </w:r>
      <w:r>
        <w:rPr>
          <w:rFonts w:eastAsia="IRNazanin" w:cs="IRNazanin"/>
          <w:color w:val="111111"/>
          <w:sz w:val="28"/>
          <w:szCs w:val="28"/>
          <w:rtl w:val="true"/>
          <w:lang w:bidi="fa-IR"/>
        </w:rPr>
        <w:t xml:space="preserve">. . .» .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علامه مجلسی در روایت‌هایی که به خاطر وجود وی در سلسله روایت، ضعیف شمرده شده است، رأی مشهور را نمی‌پذیرد و با تعبیر ضعیف علی المشهور که بیانگر عدم باور به قول مشهور است از کنار روایت می‌گذرد</w:t>
      </w:r>
      <w:r>
        <w:rPr>
          <w:rFonts w:eastAsia="IRNazanin" w:cs="IRNazanin"/>
          <w:color w:val="111111"/>
          <w:sz w:val="28"/>
          <w:szCs w:val="28"/>
          <w:rtl w:val="true"/>
          <w:lang w:bidi="fa-IR"/>
        </w:rPr>
        <w:t>.</w:t>
      </w:r>
    </w:p>
    <w:p>
      <w:pPr>
        <w:pStyle w:val="Heading4"/>
        <w:numPr>
          <w:ilvl w:val="3"/>
          <w:numId w:val="1"/>
        </w:numPr>
        <w:rPr/>
      </w:pPr>
      <w:bookmarkStart w:id="541" w:name="__RefHeading___Toc652065_1878427129"/>
      <w:bookmarkStart w:id="542" w:name="_Toc207"/>
      <w:bookmarkEnd w:id="541"/>
      <w:r>
        <w:rPr/>
        <w:t>5</w:t>
      </w:r>
      <w:r>
        <w:rPr>
          <w:rtl w:val="true"/>
        </w:rPr>
        <w:t xml:space="preserve">. </w:t>
      </w:r>
      <w:r>
        <w:rPr>
          <w:rtl w:val="true"/>
        </w:rPr>
        <w:t>علی ابن ابی حمزه بطائنی</w:t>
      </w:r>
      <w:bookmarkEnd w:id="542"/>
    </w:p>
    <w:p>
      <w:pPr>
        <w:pStyle w:val="BookText"/>
        <w:rPr/>
      </w:pPr>
      <w:r>
        <w:rPr>
          <w:rFonts w:ascii="IRNazanin" w:hAnsi="IRNazanin" w:eastAsia="IRNazanin"/>
          <w:color w:val="111111"/>
          <w:sz w:val="28"/>
          <w:sz w:val="28"/>
          <w:szCs w:val="28"/>
          <w:rtl w:val="true"/>
          <w:lang w:bidi="fa-IR"/>
        </w:rPr>
        <w:t>ابوالحسن علی بن ابی حمزه سالم البطائنی یکی از راهبران واقفیه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خلاصة الأقوال ، علّامه از قول علی بن حسن بن فضال نقل می‌کند که وی بطائنی را دروغگو، متهم و ملعون می‌شمرد و راضی نبود احادیثی را که از وی نقل کرده است، دیگران به توسط وی از بطائنی نقل کنند</w:t>
      </w:r>
      <w:r>
        <w:rPr>
          <w:rFonts w:eastAsia="IRNazanin" w:cs="IRNazanin"/>
          <w:color w:val="111111"/>
          <w:sz w:val="28"/>
          <w:szCs w:val="28"/>
          <w:rtl w:val="true"/>
          <w:lang w:bidi="fa-IR"/>
        </w:rPr>
        <w:t xml:space="preserve">. </w:t>
      </w:r>
      <w:r>
        <w:rPr>
          <w:rStyle w:val="FootnoteAnchor"/>
          <w:rtl w:val="true"/>
        </w:rPr>
        <w:footnoteReference w:id="598"/>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غضائری ضمن لعن وی، او را پایه و ریشه واقفیان می‌دانست و از وی به عنوان دشمن‌ترین فرد نسبت به امام، یاد می‌کرد </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مرحوم مجلسی بر پایه مبانی خاص خود، وی را قابل اعتماد می‌دانست و روایت‌هایی را که به خاطر وجود وی در سند روایت ضعیف شمرده می‌شوند، بی‌اشکال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علت این امر آن باشد که از جمله راویان از وی حسن بن محبوب و عثمان بن عیسی است و عثمان پس از توبه از مذهب واقفیان، بنابر نظری از جمله کسانی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اجتمعت‌العصابة علی تصحیح ما یصحّ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شأن آنان به کار می‌رود؛ </w:t>
      </w:r>
      <w:r>
        <w:rPr>
          <w:rStyle w:val="FootnoteAnchor"/>
          <w:rtl w:val="true"/>
        </w:rPr>
        <w:footnoteReference w:id="600"/>
      </w:r>
      <w:r>
        <w:rPr>
          <w:rFonts w:ascii="IRNazanin" w:hAnsi="IRNazanin" w:eastAsia="IRNazanin"/>
          <w:color w:val="111111"/>
          <w:sz w:val="28"/>
          <w:sz w:val="28"/>
          <w:szCs w:val="28"/>
          <w:rtl w:val="true"/>
          <w:lang w:bidi="fa-IR"/>
        </w:rPr>
        <w:t>چنان که ابن محبوب نیز از همین گروه شمرده می‌شود</w:t>
      </w:r>
      <w:r>
        <w:rPr>
          <w:rFonts w:eastAsia="IRNazanin" w:cs="IRNazanin"/>
          <w:color w:val="111111"/>
          <w:sz w:val="28"/>
          <w:szCs w:val="28"/>
          <w:rtl w:val="true"/>
          <w:lang w:bidi="fa-IR"/>
        </w:rPr>
        <w:t xml:space="preserve">. </w:t>
      </w:r>
      <w:r>
        <w:rPr>
          <w:rStyle w:val="FootnoteAnchor"/>
          <w:rtl w:val="true"/>
        </w:rPr>
        <w:footnoteReference w:id="601"/>
      </w:r>
      <w:bookmarkStart w:id="543" w:name="pg14553_191953"/>
    </w:p>
    <w:p>
      <w:pPr>
        <w:pStyle w:val="Heading4"/>
        <w:numPr>
          <w:ilvl w:val="3"/>
          <w:numId w:val="1"/>
        </w:numPr>
        <w:rPr/>
      </w:pPr>
      <w:bookmarkStart w:id="544" w:name="__RefHeading___Toc652067_1878427129"/>
      <w:bookmarkStart w:id="545" w:name="_Toc208"/>
      <w:bookmarkEnd w:id="543"/>
      <w:bookmarkEnd w:id="544"/>
      <w:r>
        <w:rPr/>
        <w:t>6</w:t>
      </w:r>
      <w:r>
        <w:rPr>
          <w:rtl w:val="true"/>
        </w:rPr>
        <w:t xml:space="preserve">. </w:t>
      </w:r>
      <w:r>
        <w:rPr>
          <w:rtl w:val="true"/>
        </w:rPr>
        <w:t>محمد بن سنان</w:t>
      </w:r>
      <w:bookmarkEnd w:id="545"/>
    </w:p>
    <w:p>
      <w:pPr>
        <w:pStyle w:val="BookText"/>
        <w:rPr/>
      </w:pPr>
      <w:r>
        <w:rPr>
          <w:rFonts w:ascii="IRNazanin" w:hAnsi="IRNazanin" w:eastAsia="IRNazanin"/>
          <w:color w:val="111111"/>
          <w:sz w:val="28"/>
          <w:sz w:val="28"/>
          <w:szCs w:val="28"/>
          <w:rtl w:val="true"/>
          <w:lang w:bidi="fa-IR"/>
        </w:rPr>
        <w:t>ابوجعفر محمد بن سنان الزاهری نیز از جمله کسانی است که اختلاف نظر بسیاری دربارۀ وی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او را غیر قابل اعتماد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خلاصه علامه، وی فردی ضعیف شمرده شده و روایاتی که وی به تنهایی نقل می‌کند، غیر قابل اعتماد دانسته شده است</w:t>
      </w:r>
      <w:r>
        <w:rPr>
          <w:rFonts w:eastAsia="IRNazanin" w:cs="IRNazanin"/>
          <w:color w:val="111111"/>
          <w:sz w:val="28"/>
          <w:szCs w:val="28"/>
          <w:rtl w:val="true"/>
          <w:lang w:bidi="fa-IR"/>
        </w:rPr>
        <w:t xml:space="preserve">. </w:t>
      </w:r>
      <w:r>
        <w:rPr>
          <w:rStyle w:val="FootnoteAnchor"/>
          <w:rtl w:val="true"/>
        </w:rPr>
        <w:footnoteReference w:id="60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بن شاذان وی را از جمله دروغگویان مشهور دانسته است و در عین حال، از قول صفوان نقل شده که محمد بن سنان بارها می‌خواست از جمع یاران شیعه خارج شود که به همت وی در جمع نگه داشته شده است</w:t>
      </w:r>
      <w:r>
        <w:rPr>
          <w:rFonts w:eastAsia="IRNazanin" w:cs="IRNazanin"/>
          <w:color w:val="111111"/>
          <w:sz w:val="28"/>
          <w:szCs w:val="28"/>
          <w:rtl w:val="true"/>
          <w:lang w:bidi="fa-IR"/>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مرحوم مجلسی روایاتی را که ابن سنان در آن است از نظر وجود وی در سلسله روایت غیر قابل اعتماد نمی‌داند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علی المشهور بمحمد بن سنان و معتبر عندی</w:t>
      </w:r>
      <w:r>
        <w:rPr>
          <w:rFonts w:eastAsia="IRNazanin" w:cs="IRNazanin"/>
          <w:color w:val="111111"/>
          <w:sz w:val="28"/>
          <w:szCs w:val="28"/>
          <w:rtl w:val="true"/>
          <w:lang w:bidi="fa-IR"/>
        </w:rPr>
        <w:t xml:space="preserve">» </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نیز از راویان پر حدیث است و تصحیح و توثیق وی، موجب ورود بسیاری از روایات به قلمرو روایات معتبر می‌گردد</w:t>
      </w:r>
      <w:r>
        <w:rPr>
          <w:rFonts w:eastAsia="IRNazanin" w:cs="IRNazanin"/>
          <w:color w:val="111111"/>
          <w:sz w:val="28"/>
          <w:szCs w:val="28"/>
          <w:rtl w:val="true"/>
          <w:lang w:bidi="fa-IR"/>
        </w:rPr>
        <w:t>.</w:t>
      </w:r>
    </w:p>
    <w:p>
      <w:pPr>
        <w:pStyle w:val="Heading4"/>
        <w:numPr>
          <w:ilvl w:val="3"/>
          <w:numId w:val="1"/>
        </w:numPr>
        <w:rPr/>
      </w:pPr>
      <w:bookmarkStart w:id="546" w:name="__RefHeading___Toc652069_1878427129"/>
      <w:bookmarkStart w:id="547" w:name="_Toc209"/>
      <w:bookmarkEnd w:id="546"/>
      <w:r>
        <w:rPr/>
        <w:t>7</w:t>
      </w:r>
      <w:r>
        <w:rPr>
          <w:rtl w:val="true"/>
        </w:rPr>
        <w:t xml:space="preserve">. </w:t>
      </w:r>
      <w:r>
        <w:rPr>
          <w:rtl w:val="true"/>
        </w:rPr>
        <w:t>ابان بن ابی عیاش</w:t>
      </w:r>
      <w:bookmarkEnd w:id="547"/>
    </w:p>
    <w:p>
      <w:pPr>
        <w:pStyle w:val="BookText"/>
        <w:rPr/>
      </w:pPr>
      <w:r>
        <w:rPr>
          <w:rFonts w:ascii="IRNazanin" w:hAnsi="IRNazanin" w:eastAsia="IRNazanin"/>
          <w:color w:val="111111"/>
          <w:sz w:val="28"/>
          <w:sz w:val="28"/>
          <w:szCs w:val="28"/>
          <w:rtl w:val="true"/>
          <w:lang w:bidi="fa-IR"/>
        </w:rPr>
        <w:t>ابو اسماعیل ابان بن فیروز ابی عیاش تنها راوی کتاب سلیم بن قیس است و بسیاری وضع کتاب سلیم را به وی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عامی المذهب بود و از راویان ضعیف است</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مرحوم مجلسی وی را قابل اعتماد می‌داند و در روایت‌هایی که وی در سلسله سند آن است،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علی مشهور، معتبر عندی</w:t>
      </w:r>
      <w:r>
        <w:rPr>
          <w:rFonts w:eastAsia="IRNazanin" w:cs="IRNazanin"/>
          <w:color w:val="111111"/>
          <w:sz w:val="28"/>
          <w:szCs w:val="28"/>
          <w:rtl w:val="true"/>
          <w:lang w:bidi="fa-IR"/>
        </w:rPr>
        <w:t xml:space="preserve">» </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اختلاف الحدیث ذیل حدیث اوّل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علی المشهور معتبر عندی و کتاب سلیم عندی موجود و اری فیه ما یورث الظنّ القوی بصحته</w:t>
      </w:r>
      <w:r>
        <w:rPr>
          <w:rFonts w:eastAsia="IRNazanin" w:cs="IRNazanin"/>
          <w:color w:val="111111"/>
          <w:sz w:val="28"/>
          <w:szCs w:val="28"/>
          <w:rtl w:val="true"/>
          <w:lang w:bidi="fa-IR"/>
        </w:rPr>
        <w:t xml:space="preserve">» . </w:t>
      </w:r>
      <w:r>
        <w:rPr>
          <w:rStyle w:val="FootnoteAnchor"/>
          <w:rtl w:val="true"/>
        </w:rPr>
        <w:footnoteReference w:id="607"/>
      </w:r>
    </w:p>
    <w:p>
      <w:pPr>
        <w:pStyle w:val="Heading4"/>
        <w:numPr>
          <w:ilvl w:val="3"/>
          <w:numId w:val="1"/>
        </w:numPr>
        <w:rPr/>
      </w:pPr>
      <w:bookmarkStart w:id="548" w:name="__RefHeading___Toc652071_1878427129"/>
      <w:bookmarkStart w:id="549" w:name="_Toc210"/>
      <w:bookmarkEnd w:id="548"/>
      <w:r>
        <w:rPr/>
        <w:t>8</w:t>
      </w:r>
      <w:r>
        <w:rPr>
          <w:rtl w:val="true"/>
        </w:rPr>
        <w:t xml:space="preserve">. </w:t>
      </w:r>
      <w:r>
        <w:rPr>
          <w:rtl w:val="true"/>
        </w:rPr>
        <w:t>موسی بن بکر</w:t>
      </w:r>
      <w:bookmarkEnd w:id="54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راوی‌ای پر روایت است و توثیق خاص ندارد؛ گرچه روایاتی از طریق </w:t>
      </w:r>
      <w:bookmarkStart w:id="550" w:name="pg14553_191954"/>
    </w:p>
    <w:p>
      <w:pPr>
        <w:pStyle w:val="BookText"/>
        <w:rPr/>
      </w:pPr>
      <w:bookmarkEnd w:id="550"/>
      <w:r>
        <w:rPr>
          <w:rFonts w:ascii="IRNazanin" w:hAnsi="IRNazanin" w:eastAsia="IRNazanin"/>
          <w:color w:val="111111"/>
          <w:sz w:val="28"/>
          <w:sz w:val="28"/>
          <w:szCs w:val="28"/>
          <w:rtl w:val="true"/>
          <w:lang w:bidi="fa-IR"/>
        </w:rPr>
        <w:t xml:space="preserve">خودش در توثیق خویش نقل کرده است </w:t>
      </w:r>
      <w:r>
        <w:rPr>
          <w:rStyle w:val="FootnoteAnchor"/>
          <w:rtl w:val="true"/>
        </w:rPr>
        <w:footnoteReference w:id="60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واقفی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مرحوم مجلسی به وی اعتماد دارد و روایت‌هایی که به خاطر وجود وی ضعیف تلقی می‌شود، به مشهور نسبت داده است که حاکی از عدم پذیرش مرحوم مجلسی است</w:t>
      </w:r>
      <w:r>
        <w:rPr>
          <w:rFonts w:eastAsia="IRNazanin" w:cs="IRNazanin"/>
          <w:color w:val="111111"/>
          <w:sz w:val="28"/>
          <w:szCs w:val="28"/>
          <w:rtl w:val="true"/>
          <w:lang w:bidi="fa-IR"/>
        </w:rPr>
        <w:t>.</w:t>
      </w:r>
    </w:p>
    <w:p>
      <w:pPr>
        <w:pStyle w:val="Heading4"/>
        <w:numPr>
          <w:ilvl w:val="3"/>
          <w:numId w:val="1"/>
        </w:numPr>
        <w:rPr/>
      </w:pPr>
      <w:bookmarkStart w:id="551" w:name="__RefHeading___Toc652073_1878427129"/>
      <w:bookmarkStart w:id="552" w:name="_Toc211"/>
      <w:bookmarkEnd w:id="551"/>
      <w:r>
        <w:rPr/>
        <w:t>9</w:t>
      </w:r>
      <w:r>
        <w:rPr>
          <w:rtl w:val="true"/>
        </w:rPr>
        <w:t xml:space="preserve">. </w:t>
      </w:r>
      <w:r>
        <w:rPr>
          <w:rtl w:val="true"/>
        </w:rPr>
        <w:t>طلحة بن زید</w:t>
      </w:r>
      <w:bookmarkEnd w:id="552"/>
    </w:p>
    <w:p>
      <w:pPr>
        <w:pStyle w:val="BookText"/>
        <w:rPr/>
      </w:pPr>
      <w:r>
        <w:rPr>
          <w:rFonts w:ascii="IRNazanin" w:hAnsi="IRNazanin" w:eastAsia="IRNazanin"/>
          <w:color w:val="111111"/>
          <w:sz w:val="28"/>
          <w:sz w:val="28"/>
          <w:szCs w:val="28"/>
          <w:rtl w:val="true"/>
          <w:lang w:bidi="fa-IR"/>
        </w:rPr>
        <w:t>طلحة بن زید، عامی مذهب است؛ ولی کتابی دارد که رجالیون آن را معتبر می‌دانند</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او راوی پر روایتی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نیز وی را معتمد می‌داند و از این روی، در ذیل روایت‌های وی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کالموثق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 که نشان اعتماد وی به روایت طلحة بن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علی المشهور لکنّه قویٌ</w:t>
      </w:r>
      <w:r>
        <w:rPr>
          <w:rFonts w:eastAsia="IRNazanin" w:cs="IRNazanin"/>
          <w:color w:val="111111"/>
          <w:sz w:val="28"/>
          <w:szCs w:val="28"/>
          <w:rtl w:val="true"/>
          <w:lang w:bidi="fa-IR"/>
        </w:rPr>
        <w:t xml:space="preserve">» . </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شاید یکی از علل اصلی رویکرد مجلسی به معتبر شمردن این قبیل راویان، باور وی به شیوه‌ای خاص غیر از شیوه متداول در بین رجالیون دربارۀ شناسایی راویان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ذیل حدیث سیزدهم باب نوادر کتاب فضل العلم می‌نویسد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اعرفوا منازل الناس علی قدر روایتهم عنّا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علیه السلام علی قدر روایاتهم عنّا، ای کیفاً و کماً أو الأعم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طریق الی معرفة الرجال غیر ما ذکره ارباب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اقوی وانفع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بعض الرواة نری اخبارهم مضبوطة لیس فیها تشویش، کزرارة، محمد بن مسلم و أضرابهما و بعضهم لیسوا کذلک کعمّار الساباطی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نری بعض الأصحاب اخبارهم خالیة عن التقیه کعلی بن جعفر، و بعضهم اکثرها محمولة علی التقیّة کالسکونی و اضرابه و کذا نری بعض الأصحاب رووا مطالب عالیة و مسائل غامضة و اسرار کثیرة کهشام بن حکم و مفضّل بن عمر و لم نر فی اخبار غیرهم ذلک و بعضهم رووا اخباراً کثیرة و ذلک یدلّ علی شدّة اعتنائهم بامور الدین وبعضهم لیسوا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ذلک من </w:t>
      </w:r>
      <w:bookmarkStart w:id="553" w:name="pg14553_191955"/>
    </w:p>
    <w:p>
      <w:pPr>
        <w:pStyle w:val="BookText"/>
        <w:rPr/>
      </w:pPr>
      <w:bookmarkEnd w:id="553"/>
      <w:r>
        <w:rPr>
          <w:rFonts w:ascii="IRNazanin" w:hAnsi="IRNazanin" w:eastAsia="IRNazanin"/>
          <w:color w:val="111111"/>
          <w:sz w:val="28"/>
          <w:sz w:val="28"/>
          <w:szCs w:val="28"/>
          <w:rtl w:val="true"/>
          <w:lang w:bidi="fa-IR"/>
        </w:rPr>
        <w:t xml:space="preserve">مرجّحات الرواة ویظهر الجمیع بالتتبّع التامّ فیها؛ </w:t>
      </w:r>
      <w:r>
        <w:rPr>
          <w:rStyle w:val="FootnoteAnchor"/>
          <w:rtl w:val="true"/>
        </w:rPr>
        <w:footnoteReference w:id="61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افراد را با مقدار روایت آنان از ما بشناسید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به مقدار و به چگونگی نقل و یا به هر دوی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مراد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قدرشان را بشناسید و این روش شناخت، غیر از روش شناختی است که رجالیون یادآور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این خصوص، قویتر و نافع‌تر است؛ زیرا پاره‌ای از راویان مثل زراره و محمد بن مسلم و امثال آنها را می‌بینیم که روایت‌هایشان دقیق وبدون اضطراب است و بعض دیگر نظیر عمار ساباطی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دیگر همچون علی بن جعفر روایاتشان خالی از تقیه است و گروهی دیگر، همچون سکونی و امثال وی روایتشان بیشتر حمل بر تقیه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اصحاب همچون هشام بن حکم و مفضّل بن عمر را می‌نگریم که مطالب عالی و دشوار را نقل می‌کنند، اخباری که در نقل دیگر راویان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اخبار فراوانی نقل کرده‌اند که دلیل بر اهتمام بیشتر آنان به امور دین است، و بعضی دیگر چنین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مطالب از مرجّحات راویان به شمار می‌آید و با جستجوی کامل در روایات، این مطالب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دیدگاه، طبیعی است که وی اخبار هشام بن حکم و مفضّل بن عمر را معتبر بداند و سخن کسانی را که با توجّه به محتوای روایت، اینان احتمال غلو در آنها می‌دهند نپذیرد و دربارۀ افرادی که از کمیّت بالایی در نقل روایت برخوردارند، نه تنها در آنان نشانی از بی‌توجّهی و کم دقتی نبیند، بلکه کثرت روایت را ناشی از اهتمام به دین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سایۀ چنین دیدی، گستره راویان معتبر و روایت‌های معتبر بسیار زیاد خواهد گشت و نوعی آسان‌گیری در نقد سندی روایت به وجود خواهد آمد</w:t>
      </w:r>
      <w:r>
        <w:rPr>
          <w:rFonts w:eastAsia="IRNazanin" w:cs="IRNazanin"/>
          <w:color w:val="111111"/>
          <w:sz w:val="28"/>
          <w:szCs w:val="28"/>
          <w:rtl w:val="true"/>
          <w:lang w:bidi="fa-IR"/>
        </w:rPr>
        <w:t>.</w:t>
      </w:r>
    </w:p>
    <w:p>
      <w:pPr>
        <w:pStyle w:val="Heading3"/>
        <w:numPr>
          <w:ilvl w:val="2"/>
          <w:numId w:val="1"/>
        </w:numPr>
        <w:rPr/>
      </w:pPr>
      <w:bookmarkStart w:id="554" w:name="__RefHeading___Toc652075_1878427129"/>
      <w:bookmarkStart w:id="555" w:name="_Toc212"/>
      <w:bookmarkEnd w:id="554"/>
      <w:r>
        <w:rPr>
          <w:rtl w:val="true"/>
        </w:rPr>
        <w:t>شیوه تفسیر حدیث در مرآة العقول</w:t>
      </w:r>
      <w:bookmarkEnd w:id="55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پس از تبیین میزان اعتبار احادیث، به شرح و تفسیر حدیث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و تفسیر احادیث در مجموع مرآة العقول به یک شیوه عمل نشده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بحث را تفصیل فراوان داده و در مواردی، گذرا و گاه بدون هر گونه شرح و تفسیر از کنار روایت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کافی و بویژه در مبحث حجّت، روایت‌ها از شرح و تفصیل بیشتری برخوردار شده‌اند؛ ولی در قسمت فروع کافی کم کم از حجم شرح کاسته شده و در بخش‌هایی بدون هرگونه شرح، تنها به میزان اعتبار حدیث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این نکته، خالی از فایده نیست که مرحوم مجلسی نصف روایت‌های کتاب دعا و نیز کتاب عشرة و کتاب زکاة و خمس و نصف صلاة را شرح نکرده است و شرح این قسمت‌ها توسط شاگردش امیر محمد حسین خاتون آبادی نوشته شده است</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محمد باقر خوانساری، اسماعیلیان، قم، 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شرح احادیث، نخست واژه‌های مشکل را با بهره‌گیری از قواعد صرفی و استفاده از کتب لغت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بهره‌گیری وی در شرح لغات از قاموس المحیط فیروز آبادی، صحاح اللغة جوهری، مصباح المنیر ، نهایة ابن اثیر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بسیاری موارد، بدون بهره‌گیری از کتب لغت واژه‌ها را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شرح مفردات و واژه‌ها، عبارت‌های کوتاه و دارای معنای مستقل را بخش بخش شرح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را با تفصیل بیشتری توضیح داده و آرای گوناگون دربارۀ هر اصطلاح را می‌آورد و در نهایت، یکی از آنها را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احادیث، از شروح گذشتگان و نیز معاصران خود بهره می‌گیرد و ضمن یاد کرد با تعابیر کلی و مبهم در خیلی از موارد، از آوردن نام کتاب یا نام مؤلف آن سرباز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نیز به این موضوع پرداخته و می‌نویسد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سأذکر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بعض افاضل المحشین و فوائدهم و ما استفدت من برکات انفاس مشایخنا المحققین و عوایدهم من غیر تعرّض لذکر اسمائهم أو ما یرد علیهم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مواردی که از فیلسوفان و یا عارفان چیزی نقل می‌کند با عنوان بعض الأفاضل، بعض السالکین مسلک الفلاسفة یاد می‌کند، با این حال، نام تعداد زیادی از آثار نویسندگان بزرگ قبل از مجلسی به عنوان منبع نقل قول‌ها در مرآة العقول ذکر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تفسیری، بیشترین مطالب و آرای شیعی از تفسیر طبرسی و تفسیر منسوب به امام حسن عسکری علیه السلام آورده شده است، از تفاسیر اهل سنّت، استفاده‌های زیادی شده و مطلب فراوانی از تفسیر فخر رازی، معالم التنزیل در حاشیه تفسیر ابن کثیر ، انوار التنزیل از بیضاوی و کشاف زمخشری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الاحکام فاضل استرآبادی، ارشاد و امالی مفید، المقالات و غرر الفوائد و درر القلائد سیدمرتضی، ملل و نحل شهرستانی، شرح المشکاة طیبی، اعلام النبوة ماوردی، تاریخ طبری ، مغازی واقدی، رجال نجاشی ، اقبال الاعمال و سعد السعود ابن طاووس و المغرب مطرزی از جمله منابعی هستند که مجلسی به وفور از آنها بهره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شرح احادیث، اصل را بر توجیه و ارائه تفسیر قابل قبول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در خصوص روایات ضعیف السند هم از ارائه راه حل برای جمع و توجیه اخبار دست نمی‌شود و می‌کوشد معنایی قابل قبول از آن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گاه وی را به مباحثی می‌کشاند که چندان با مباحث و باورهای کلامی همخوانی ندارند، از جملۀ این روایات، روایاتی هستند که در آنها آیات قرآنی با پاره‌ای اختلاف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و تفسیر روایتی از این دست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والاخبار من طریق الخاصّة و العامّة فی النقص والتغییر متواترة، والعقل یحکم بانّه اذا کان القرآن متفرقاً منتشراً عند الناس و تصدی غیر المعصوم لجمعه یمتنع عادة ان یکون جمعه کاملاً موافقاً للواقع، لکن لا ریب فی انّ الناس مکلّفون بالعمل بما فی المصاحف و تلاوته حتّی یظهر القائم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معلوم متواتر من طریق اهل البیت؛ </w:t>
      </w:r>
      <w:r>
        <w:rPr>
          <w:rStyle w:val="FootnoteAnchor"/>
          <w:rtl w:val="true"/>
        </w:rPr>
        <w:footnoteReference w:id="6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از طریق خاصه و عامه در نقص و تغییر قرآن متواتر است و با توجه به این که قرآن پراکنده بود و مسئول جمع‌آوری آن، انسان‌ها بودند، عقل حکم می‌کند به طور طبیعی نباید با واقع به طور کامل موافق باشد؛ با این حال، نباید </w:t>
      </w:r>
      <w:bookmarkStart w:id="556" w:name="pg14553_191958"/>
    </w:p>
    <w:p>
      <w:pPr>
        <w:pStyle w:val="BookText"/>
        <w:rPr/>
      </w:pPr>
      <w:bookmarkEnd w:id="556"/>
      <w:r>
        <w:rPr>
          <w:rFonts w:ascii="IRNazanin" w:hAnsi="IRNazanin" w:eastAsia="IRNazanin"/>
          <w:color w:val="111111"/>
          <w:sz w:val="28"/>
          <w:sz w:val="28"/>
          <w:szCs w:val="28"/>
          <w:rtl w:val="true"/>
          <w:lang w:bidi="fa-IR"/>
        </w:rPr>
        <w:t>تردید کرد که ما تا ظهور حضرت قائم علیه السلام مکلّف به عمل و خواندن همین قرآن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طریق روایت معصومان علیهم السلام معلوم و متواتر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شبیه چنین بیانی را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تَنازَعْتُمْ فِی شَیْءٍ فَرُدُّوهُ إِلَی اَللّهِ وَ اَلرَّسُولِ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نتیجه و آثار مترتب بر نظریه امکان تحریف، چنان گسترده و زیان‌آور است که با توصیه‌هایی از این دست که ما مکلّف به عمل به مصاحف موجود هستیم، نمی‌توان از آثار مخرّب آن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روایاتی که سخن از نقص و یا زیاده در قرآن دارند، با توجّه به وجود جریان‌های حدیث ساز و بویژه غالیان، به مراتب قابل پذیرش‌تر از توجیه‌ها فوق است، بویژه آن که بنابر باور شیعیان جمع قرآن و حفظ آن را خداوند خویش تضمین کرده است و حفظ و جمع آن یکی از معجزات قرآن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روایاتی که معارض با قرآن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چنان مشکل باشد که نیازمند چنان توجیهاتی باشد</w:t>
      </w:r>
      <w:r>
        <w:rPr>
          <w:rFonts w:eastAsia="IRNazanin" w:cs="IRNazanin"/>
          <w:color w:val="111111"/>
          <w:sz w:val="28"/>
          <w:szCs w:val="28"/>
          <w:rtl w:val="true"/>
          <w:lang w:bidi="fa-IR"/>
        </w:rPr>
        <w:t>.</w:t>
      </w:r>
    </w:p>
    <w:p>
      <w:pPr>
        <w:pStyle w:val="Heading3"/>
        <w:numPr>
          <w:ilvl w:val="2"/>
          <w:numId w:val="1"/>
        </w:numPr>
        <w:rPr/>
      </w:pPr>
      <w:bookmarkStart w:id="557" w:name="__RefHeading___Toc652077_1878427129"/>
      <w:bookmarkStart w:id="558" w:name="_Toc213"/>
      <w:bookmarkEnd w:id="557"/>
      <w:r>
        <w:rPr>
          <w:rtl w:val="true"/>
        </w:rPr>
        <w:t>مباحث غیر حدیثی در مرآة العقول</w:t>
      </w:r>
      <w:bookmarkEnd w:id="558"/>
    </w:p>
    <w:p>
      <w:pPr>
        <w:pStyle w:val="Heading4"/>
        <w:numPr>
          <w:ilvl w:val="3"/>
          <w:numId w:val="1"/>
        </w:numPr>
        <w:rPr/>
      </w:pPr>
      <w:bookmarkStart w:id="559" w:name="__RefHeading___Toc652079_1878427129"/>
      <w:bookmarkStart w:id="560" w:name="_Toc214"/>
      <w:bookmarkEnd w:id="559"/>
      <w:r>
        <w:rPr>
          <w:rtl w:val="true"/>
        </w:rPr>
        <w:t>اشارة</w:t>
      </w:r>
      <w:bookmarkEnd w:id="560"/>
    </w:p>
    <w:p>
      <w:pPr>
        <w:pStyle w:val="BookText"/>
        <w:rPr/>
      </w:pPr>
      <w:r>
        <w:rPr>
          <w:rFonts w:ascii="IRNazanin" w:hAnsi="IRNazanin" w:eastAsia="IRNazanin"/>
          <w:color w:val="111111"/>
          <w:sz w:val="28"/>
          <w:sz w:val="28"/>
          <w:szCs w:val="28"/>
          <w:rtl w:val="true"/>
          <w:lang w:bidi="fa-IR"/>
        </w:rPr>
        <w:t>مرحوم مجلسی در شرح و تفسیر احادیث، به تبیین محتوای احادیث بسنده نکرده است؛ بلکه در بسیاری از موارد به تفصیل در مباحث غیر حدیثی وارد شده است و بحث‌هایی از قبیل مباحث ادبی، کلامی، تفسیری، فلسفی و فقهی را نیز مورد بررسی قرار داده است</w:t>
      </w:r>
      <w:r>
        <w:rPr>
          <w:rFonts w:eastAsia="IRNazanin" w:cs="IRNazanin"/>
          <w:color w:val="111111"/>
          <w:sz w:val="28"/>
          <w:szCs w:val="28"/>
          <w:rtl w:val="true"/>
          <w:lang w:bidi="fa-IR"/>
        </w:rPr>
        <w:t>:</w:t>
      </w:r>
    </w:p>
    <w:p>
      <w:pPr>
        <w:pStyle w:val="Heading4"/>
        <w:numPr>
          <w:ilvl w:val="3"/>
          <w:numId w:val="1"/>
        </w:numPr>
        <w:rPr/>
      </w:pPr>
      <w:bookmarkStart w:id="561" w:name="__RefHeading___Toc652081_1878427129"/>
      <w:bookmarkStart w:id="562" w:name="_Toc215"/>
      <w:bookmarkEnd w:id="561"/>
      <w:r>
        <w:rPr/>
        <w:t>1</w:t>
      </w:r>
      <w:r>
        <w:rPr>
          <w:rtl w:val="true"/>
        </w:rPr>
        <w:t xml:space="preserve">. </w:t>
      </w:r>
      <w:r>
        <w:rPr>
          <w:rtl w:val="true"/>
        </w:rPr>
        <w:t>بحث فلسفی</w:t>
      </w:r>
      <w:bookmarkEnd w:id="56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با آن که نسبت به فلسفه و حکمت، دید خوبی ندارد و در بسیاری موارد، موضع‌گیری‌های تندی علیه فیلسوفان دارد، در عین حال با توجّه به پیشینه تحصیل خود، گاه به بحث‌های فلسفی کشانده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پس از نقل کلام فیلسوفان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لهم علی هذه الأمور دلیل الا مموّهات شبهات أو خیالات غریبة زیّنوها بلطائف عبارات</w:t>
      </w:r>
      <w:r>
        <w:rPr>
          <w:rFonts w:eastAsia="IRNazanin" w:cs="IRNazanin"/>
          <w:color w:val="111111"/>
          <w:sz w:val="28"/>
          <w:szCs w:val="28"/>
          <w:rtl w:val="true"/>
          <w:lang w:bidi="fa-IR"/>
        </w:rPr>
        <w:t xml:space="preserve">» . </w:t>
      </w:r>
      <w:r>
        <w:rPr>
          <w:rStyle w:val="FootnoteAnchor"/>
          <w:rtl w:val="true"/>
        </w:rPr>
        <w:footnoteReference w:id="615"/>
      </w:r>
      <w:r>
        <w:rPr>
          <w:rFonts w:ascii="IRNazanin" w:hAnsi="IRNazanin" w:eastAsia="IRNazanin"/>
          <w:color w:val="111111"/>
          <w:sz w:val="28"/>
          <w:sz w:val="28"/>
          <w:szCs w:val="28"/>
          <w:rtl w:val="true"/>
          <w:lang w:bidi="fa-IR"/>
        </w:rPr>
        <w:t xml:space="preserve">مجلسی مباحث فلسفی را بیشتر در </w:t>
      </w:r>
      <w:bookmarkStart w:id="563" w:name="pg14553_191959"/>
    </w:p>
    <w:p>
      <w:pPr>
        <w:pStyle w:val="BookText"/>
        <w:rPr/>
      </w:pPr>
      <w:bookmarkEnd w:id="563"/>
      <w:r>
        <w:rPr>
          <w:rFonts w:ascii="IRNazanin" w:hAnsi="IRNazanin" w:eastAsia="IRNazanin"/>
          <w:color w:val="111111"/>
          <w:sz w:val="28"/>
          <w:sz w:val="28"/>
          <w:szCs w:val="28"/>
          <w:rtl w:val="true"/>
          <w:lang w:bidi="fa-IR"/>
        </w:rPr>
        <w:t>حاشیه موضوعات کلامی از قبیل مبحث بدا، جبر و اختیار، توحید اراده، حقیقت عقل و غیره آورده است ودر مواردی تنها به نقل کلام فیلسوفان بسنده کرده است</w:t>
      </w:r>
      <w:r>
        <w:rPr>
          <w:rFonts w:eastAsia="IRNazanin" w:cs="IRNazanin"/>
          <w:color w:val="111111"/>
          <w:sz w:val="28"/>
          <w:szCs w:val="28"/>
          <w:rtl w:val="true"/>
          <w:lang w:bidi="fa-IR"/>
        </w:rPr>
        <w:t>.</w:t>
      </w:r>
    </w:p>
    <w:p>
      <w:pPr>
        <w:pStyle w:val="Heading4"/>
        <w:numPr>
          <w:ilvl w:val="3"/>
          <w:numId w:val="1"/>
        </w:numPr>
        <w:rPr/>
      </w:pPr>
      <w:bookmarkStart w:id="564" w:name="__RefHeading___Toc652083_1878427129"/>
      <w:bookmarkStart w:id="565" w:name="_Toc216"/>
      <w:bookmarkEnd w:id="564"/>
      <w:r>
        <w:rPr/>
        <w:t>2</w:t>
      </w:r>
      <w:r>
        <w:rPr>
          <w:rtl w:val="true"/>
        </w:rPr>
        <w:t xml:space="preserve">. </w:t>
      </w:r>
      <w:r>
        <w:rPr>
          <w:rtl w:val="true"/>
        </w:rPr>
        <w:t>بحث کلامی</w:t>
      </w:r>
      <w:bookmarkEnd w:id="565"/>
    </w:p>
    <w:p>
      <w:pPr>
        <w:pStyle w:val="BookText"/>
        <w:rPr/>
      </w:pPr>
      <w:r>
        <w:rPr>
          <w:rFonts w:ascii="IRNazanin" w:hAnsi="IRNazanin" w:eastAsia="IRNazanin"/>
          <w:color w:val="111111"/>
          <w:sz w:val="28"/>
          <w:sz w:val="28"/>
          <w:szCs w:val="28"/>
          <w:rtl w:val="true"/>
          <w:lang w:bidi="fa-IR"/>
        </w:rPr>
        <w:t>بیشترین مباحث فرعی در مرآة العقول ، بحث‌های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آرای اشاعره و معتزله و اثبات دیدگاه کلامی برآمده از احادیث شیعه، هدف جدّی مجلسی در بحث‌های کلامی مرآة العقول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گاه، کلام متکلمان شیعه را نیز با توجّه به مفاد روایات، مورد نقد و بررسی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مواجه کلامی وی در این کتاب با فخر رازی و مباحث کلامی تفسیر کبیر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فخر رازی با تعابیری از قبیل معاند، ناصبی و غیر آن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یادکرد عبارتی از سخن فخر رازی و پاسخ مرحوم مجلسی می‌تواند در ترسیم فضای چالش فکری آن دو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بدا از قول فخر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الرافضة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البداء جائز علی اللّه تعالی وهو ان یعتقد شیئاً ثم یظهر له انّ الأمر بخلاف ما اعتقده وتمسّکوا فیه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یَمْحُوا اَللّهُ ما یَشاءُ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انتهی کلامه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رافضیان بر این باور هستند که بدا بر خداوند متعال جایز است و معنای بدا آن است که خداوند چیزی را باور داشته باشد؛ ولی بعداً معلوم شود که واقع، بر خلاف باور اوست و برای تأیید این مطلب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 اَللّهُ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گاه مجلسی در پاسخ می‌نویسد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ادری من این اخذ هذا القول الّذی افتری به علیهم مع انّ الکتب الامامیّة المتقدمین علیه کالصدوق والمفید و الشیخ و المرتضی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مشحونة بالتبرّی عن ذلک؟ ولا یقولون الاّ به بعض ما ذکره سابقاً أو بما هو اصوب منها کما ستعرف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انّهم فی اکثر الموارد، ینسبون الی الربّ تعالی ما لا یلیق به والامامیّة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یبالغون فی تنزیهه تعالی و یفحمونهم بالحجج البالغة ولمّا لم </w:t>
      </w:r>
      <w:bookmarkStart w:id="566" w:name="pg14553_191960"/>
    </w:p>
    <w:p>
      <w:pPr>
        <w:pStyle w:val="BookText"/>
        <w:rPr/>
      </w:pPr>
      <w:bookmarkEnd w:id="566"/>
      <w:r>
        <w:rPr>
          <w:rFonts w:ascii="IRNazanin" w:hAnsi="IRNazanin" w:eastAsia="IRNazanin"/>
          <w:color w:val="111111"/>
          <w:sz w:val="28"/>
          <w:sz w:val="28"/>
          <w:szCs w:val="28"/>
          <w:rtl w:val="true"/>
          <w:lang w:bidi="fa-IR"/>
        </w:rPr>
        <w:t xml:space="preserve">یظفروا فی عقائدهم بما یوجب نقصاً یباهتونهم و یفترون علیهم بأمثال تلک الأقاویل الفاسدة وهل البهتان والإفتراء الاّ دأب العاجزین؟ ولو فرض انّ بعضاً من الجهله المنتحلین للتشیّع قال بذلک فالإمامیّة یتبرؤن منه ومن قوله کما یتبرؤن من هذا الناصبی وامثاله واقاویلهم الفاسدة </w:t>
      </w:r>
      <w:r>
        <w:rPr>
          <w:rStyle w:val="FootnoteAnchor"/>
          <w:rtl w:val="true"/>
        </w:rPr>
        <w:footnoteReference w:id="61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نمی‌دانم این اتّهام راوی از کجا در آورده است؛ با آن که آثار نویسندگان شیعی مقدم بر وی نظیر صدوق، مفید، شیخ، سید مرتضی و دیگران انباشته از تبرّا از باوران به نظریه فوق است و اینان به آنچه که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درست معنای 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و یا به عقایدی بهتر از آن باور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 که عامیان چیزهایی به خداوند نسبت می‌دهند که در شأن مقام الهی نیست و امامیه در تنزیه باری تعالی مبالغه فراوان می‌کنند و با دلایل قوی آن را اثبات می‌کنند و عامیان چون در عیب جویی بر امامیه چیزی به دست نمی‌آورند به این قبیل سخنان، به امامیه اتهام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جز این است که بهتان و افترا منش ناتوانان است؟ و اگر فرض شود که بعضی از منتسبان به تشیّع از این قبیل سخنان می‌گویند، باید دانست که شیعیان از این سخنان و سخنان فاسد ناصبی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تبرا می‌جویند</w:t>
      </w:r>
      <w:r>
        <w:rPr>
          <w:rFonts w:eastAsia="IRNazanin" w:cs="IRNazanin"/>
          <w:color w:val="111111"/>
          <w:sz w:val="28"/>
          <w:szCs w:val="28"/>
          <w:rtl w:val="true"/>
          <w:lang w:bidi="fa-IR"/>
        </w:rPr>
        <w:t>.</w:t>
      </w:r>
    </w:p>
    <w:p>
      <w:pPr>
        <w:pStyle w:val="Heading4"/>
        <w:numPr>
          <w:ilvl w:val="3"/>
          <w:numId w:val="1"/>
        </w:numPr>
        <w:rPr/>
      </w:pPr>
      <w:bookmarkStart w:id="567" w:name="__RefHeading___Toc652085_1878427129"/>
      <w:bookmarkStart w:id="568" w:name="_Toc217"/>
      <w:bookmarkEnd w:id="567"/>
      <w:r>
        <w:rPr/>
        <w:t>3</w:t>
      </w:r>
      <w:r>
        <w:rPr>
          <w:rtl w:val="true"/>
        </w:rPr>
        <w:t xml:space="preserve">. </w:t>
      </w:r>
      <w:r>
        <w:rPr>
          <w:rtl w:val="true"/>
        </w:rPr>
        <w:t>تفسیری</w:t>
      </w:r>
      <w:bookmarkEnd w:id="56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تفسیری در مرآة العقول ، از جمله مباحث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تفسیرها در حوزه‌های کلامی که به مباحثی از قبیل فضایل و مباحث حجّت و امامت می‌پردازد، از تفصیل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مباحث تفسیری، برای تبیین دیدگاه شیعه، بیشتر از تفسیر مجمع البیان طبرسی بهره می‌گیرد و شاید کمتر بحث تفسیری جدّی وجود داشته باشد که نقل قولی از طبرسی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دقّت نظرهای تفسیری که خود انجام می‌دهد و تفصیل‌هایی که در ذیل آیات قرآنی می‌آورد، بهره‌های قابل توجّهی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دیدگاه اهل سنّت از تفسیر بیضاوی، </w:t>
      </w:r>
      <w:bookmarkStart w:id="569" w:name="pg14553_191961"/>
    </w:p>
    <w:p>
      <w:pPr>
        <w:pStyle w:val="BookText"/>
        <w:rPr/>
      </w:pPr>
      <w:bookmarkEnd w:id="569"/>
      <w:r>
        <w:rPr>
          <w:rFonts w:ascii="IRNazanin" w:hAnsi="IRNazanin" w:eastAsia="IRNazanin"/>
          <w:color w:val="111111"/>
          <w:sz w:val="28"/>
          <w:sz w:val="28"/>
          <w:szCs w:val="28"/>
          <w:rtl w:val="true"/>
          <w:lang w:bidi="fa-IR"/>
        </w:rPr>
        <w:t>فخر رازی و زمخشری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همانطوری که گذشت نسبت به دیدگاه فخر رازی در خیلی از موارد، حالت نقد و بررسی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جهت تأیید نظر خود، از آوردن احتمالات فخر رازی در تفسیر پاره‌ای از آیات اختلافی غفلت نمی‌ورزد</w:t>
      </w:r>
      <w:r>
        <w:rPr>
          <w:rFonts w:eastAsia="IRNazanin" w:cs="IRNazanin"/>
          <w:color w:val="111111"/>
          <w:sz w:val="28"/>
          <w:szCs w:val="28"/>
          <w:rtl w:val="true"/>
          <w:lang w:bidi="fa-IR"/>
        </w:rPr>
        <w:t>.</w:t>
      </w:r>
    </w:p>
    <w:p>
      <w:pPr>
        <w:pStyle w:val="Heading4"/>
        <w:numPr>
          <w:ilvl w:val="3"/>
          <w:numId w:val="1"/>
        </w:numPr>
        <w:rPr/>
      </w:pPr>
      <w:bookmarkStart w:id="570" w:name="__RefHeading___Toc652087_1878427129"/>
      <w:bookmarkStart w:id="571" w:name="_Toc218"/>
      <w:bookmarkEnd w:id="570"/>
      <w:r>
        <w:rPr/>
        <w:t>4</w:t>
      </w:r>
      <w:r>
        <w:rPr>
          <w:rtl w:val="true"/>
        </w:rPr>
        <w:t xml:space="preserve">. </w:t>
      </w:r>
      <w:r>
        <w:rPr>
          <w:rtl w:val="true"/>
        </w:rPr>
        <w:t>فقهی</w:t>
      </w:r>
      <w:r>
        <w:rPr>
          <w:rtl w:val="true"/>
        </w:rPr>
        <w:t>-</w:t>
      </w:r>
      <w:r>
        <w:rPr>
          <w:rtl w:val="true"/>
        </w:rPr>
        <w:t>اصولی</w:t>
      </w:r>
      <w:bookmarkEnd w:id="571"/>
    </w:p>
    <w:p>
      <w:pPr>
        <w:pStyle w:val="BookText"/>
        <w:rPr/>
      </w:pPr>
      <w:r>
        <w:rPr>
          <w:rFonts w:ascii="IRNazanin" w:hAnsi="IRNazanin" w:eastAsia="IRNazanin"/>
          <w:color w:val="111111"/>
          <w:sz w:val="28"/>
          <w:sz w:val="28"/>
          <w:szCs w:val="28"/>
          <w:rtl w:val="true"/>
          <w:lang w:bidi="fa-IR"/>
        </w:rPr>
        <w:t>مباحث فقهی و اصولی در مرآة العقول جایگاه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معتدلانه اخباری مرحوم مجلسی موجب شده است که وی در آوردن دیدگاه‌های فقهی تنها به نظریه‌های اصولیان و یا اخباریان اکتفا نکند، بلکه در بسیاری موارد دیدگاه هر دو گروه را می‌آورد و همین امر به خواننده کمک می‌کند تا نتیجه فقهی دو نگرش را در کنار هم مطالعه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در ذیل پاره‌ای از روایات به تقویت دیدگاه اصولیان می‌پردازد و در مواردی نظریه اخباریان را تأیید می‌کند در ذیل حدیث نوزدهم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 والرأی والمقاییس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فضل العلم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نفی مذهب المصوّبة، الذین یقولون لیس للشارع حکم معین فی کل فرع بل فوّض الاحکام الی آراء المجتهدین، فحکم کل مجتهد فی کل فرع هو حکم اللّه الواقعی فی حقّه وفی حق مقلّده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تصویب لمذهب المخطئة القائلین بانّ الشارع قد حکم فی کل فرع بحکم معیّن والمجتهد بعد استفراغ الوسع، قد یصیب وقد یخطی والمخطئ مصاب لبذل جهده و خطأه مغتفر وللمصیب اجران احدهما لإصابته والآخر لاجتهاده وربّما یقال هذه الأخبار تدلّ علی نفی الاجتهاد مطلقاً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للمحدثین ایضاً نوعاً من الاجتهاد یقع منهم الخطاء والصواب ولا محیص لهم عن ذلک </w:t>
      </w:r>
      <w:r>
        <w:rPr>
          <w:rStyle w:val="FootnoteAnchor"/>
          <w:rtl w:val="true"/>
        </w:rPr>
        <w:footnoteReference w:id="61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از این عبارت به دست می‌آید، وی ضمن رد دیدگاه مصوّبه در مقوله اجتهاد و اثبات دیدگاه مخطئه به پاسخگویی از استدلال اخباریگری در خصوص نفی مطلق اجتهاد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قبیل دفاع از جریان اجتهاد، در کنار نقل قول‌هایی از مرحوم استرآبادی و تأیید نظریه وی در مواردی گویای نوعی ویژه از نظریه اجتهاد با </w:t>
      </w:r>
      <w:bookmarkStart w:id="572" w:name="pg14553_191962"/>
    </w:p>
    <w:p>
      <w:pPr>
        <w:pStyle w:val="BookText"/>
        <w:rPr/>
      </w:pPr>
      <w:bookmarkEnd w:id="572"/>
      <w:r>
        <w:rPr>
          <w:rFonts w:ascii="IRNazanin" w:hAnsi="IRNazanin" w:eastAsia="IRNazanin"/>
          <w:color w:val="111111"/>
          <w:sz w:val="28"/>
          <w:sz w:val="28"/>
          <w:szCs w:val="28"/>
          <w:rtl w:val="true"/>
          <w:lang w:bidi="fa-IR"/>
        </w:rPr>
        <w:t>رنگ و بوی اخباری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اخباریگری اجتهادانه را باید نوعی اخباریگری معتدلانه بشماریم و افراد چون مجلسی دوّم، شیخ حرّ عاملی و صاحب حدائق را از شخصیت‌های این روش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بویژه بخش فروع آن، نمایی روشن از روش فقهی مرحوم مجلسی را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بخش‌ها دیدگاه برجستگان دو شاخه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 و اخباری را می‌آورد</w:t>
      </w:r>
      <w:r>
        <w:rPr>
          <w:rFonts w:eastAsia="IRNazanin" w:cs="IRNazanin"/>
          <w:color w:val="111111"/>
          <w:sz w:val="28"/>
          <w:szCs w:val="28"/>
          <w:rtl w:val="true"/>
          <w:lang w:bidi="fa-IR"/>
        </w:rPr>
        <w:t>.</w:t>
      </w:r>
    </w:p>
    <w:p>
      <w:pPr>
        <w:pStyle w:val="Heading3"/>
        <w:numPr>
          <w:ilvl w:val="2"/>
          <w:numId w:val="1"/>
        </w:numPr>
        <w:rPr/>
      </w:pPr>
      <w:bookmarkStart w:id="573" w:name="__RefHeading___Toc652089_1878427129"/>
      <w:bookmarkStart w:id="574" w:name="_Toc219"/>
      <w:bookmarkEnd w:id="573"/>
      <w:r>
        <w:rPr>
          <w:rtl w:val="true"/>
        </w:rPr>
        <w:t>بهره های فرعی در مرآة العقول</w:t>
      </w:r>
      <w:bookmarkEnd w:id="574"/>
    </w:p>
    <w:p>
      <w:pPr>
        <w:pStyle w:val="Heading4"/>
        <w:numPr>
          <w:ilvl w:val="3"/>
          <w:numId w:val="1"/>
        </w:numPr>
        <w:rPr/>
      </w:pPr>
      <w:bookmarkStart w:id="575" w:name="__RefHeading___Toc652091_1878427129"/>
      <w:bookmarkStart w:id="576" w:name="_Toc220"/>
      <w:bookmarkEnd w:id="575"/>
      <w:r>
        <w:rPr>
          <w:rtl w:val="true"/>
        </w:rPr>
        <w:t>اشارة</w:t>
      </w:r>
      <w:bookmarkEnd w:id="576"/>
    </w:p>
    <w:p>
      <w:pPr>
        <w:pStyle w:val="BookText"/>
        <w:rPr/>
      </w:pPr>
      <w:r>
        <w:rPr>
          <w:rFonts w:ascii="IRNazanin" w:hAnsi="IRNazanin" w:eastAsia="IRNazanin"/>
          <w:color w:val="111111"/>
          <w:sz w:val="28"/>
          <w:sz w:val="28"/>
          <w:szCs w:val="28"/>
          <w:rtl w:val="true"/>
          <w:lang w:bidi="fa-IR"/>
        </w:rPr>
        <w:t>در مرآة العقول بهره‌های حاشیه‌ای زیادی وجود دارد که می‌تواند برای محققان سودمند باشد در ذیل به پاره‌ای از این نکات اشاره می‌شود</w:t>
      </w:r>
      <w:r>
        <w:rPr>
          <w:rFonts w:eastAsia="IRNazanin" w:cs="IRNazanin"/>
          <w:color w:val="111111"/>
          <w:sz w:val="28"/>
          <w:szCs w:val="28"/>
          <w:rtl w:val="true"/>
          <w:lang w:bidi="fa-IR"/>
        </w:rPr>
        <w:t>:</w:t>
      </w:r>
    </w:p>
    <w:p>
      <w:pPr>
        <w:pStyle w:val="Heading4"/>
        <w:numPr>
          <w:ilvl w:val="3"/>
          <w:numId w:val="1"/>
        </w:numPr>
        <w:rPr/>
      </w:pPr>
      <w:bookmarkStart w:id="577" w:name="__RefHeading___Toc652093_1878427129"/>
      <w:bookmarkStart w:id="578" w:name="_Toc221"/>
      <w:bookmarkEnd w:id="577"/>
      <w:r>
        <w:rPr/>
        <w:t>1</w:t>
      </w:r>
      <w:r>
        <w:rPr>
          <w:rtl w:val="true"/>
        </w:rPr>
        <w:t xml:space="preserve">. </w:t>
      </w:r>
      <w:r>
        <w:rPr>
          <w:rtl w:val="true"/>
        </w:rPr>
        <w:t>تفاوت نسخ</w:t>
      </w:r>
      <w:bookmarkEnd w:id="578"/>
    </w:p>
    <w:p>
      <w:pPr>
        <w:pStyle w:val="BookText"/>
        <w:rPr/>
      </w:pPr>
      <w:r>
        <w:rPr>
          <w:rFonts w:ascii="IRNazanin" w:hAnsi="IRNazanin" w:eastAsia="IRNazanin"/>
          <w:color w:val="111111"/>
          <w:sz w:val="28"/>
          <w:sz w:val="28"/>
          <w:szCs w:val="28"/>
          <w:rtl w:val="true"/>
          <w:lang w:bidi="fa-IR"/>
        </w:rPr>
        <w:t>مرحوم مجلسی در ذیل پاره‌ای از روایات به اختلاف نسخ کافی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پاره‌ای از احادیث در بعضی از نسخه‌ها و فقدان آن در نسخه‌های دیگر و یا اختلاف متن روایات در نسخه‌های گوناگون، بیانگر رواج تعداد زیادی از نسخ کافی در 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با توجّه به همین امر، اختلاف نسخ را یادآوری کرده‌اند به عنوان نمونه در ذیل حدیث پنجم باب المتوسمین از کتاب الحجّة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نسخة اخری، کلام الجامعین لنسخ الکافی فانّهم اشاروا الی اختلاف نسخ النعمانی و الصفوانی و غیرهما من تلامذة الکلینی</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Heading4"/>
        <w:numPr>
          <w:ilvl w:val="3"/>
          <w:numId w:val="1"/>
        </w:numPr>
        <w:rPr/>
      </w:pPr>
      <w:bookmarkStart w:id="579" w:name="__RefHeading___Toc652095_1878427129"/>
      <w:bookmarkStart w:id="580" w:name="_Toc222"/>
      <w:bookmarkEnd w:id="579"/>
      <w:r>
        <w:rPr/>
        <w:t>2</w:t>
      </w:r>
      <w:r>
        <w:rPr>
          <w:rtl w:val="true"/>
        </w:rPr>
        <w:t xml:space="preserve">. </w:t>
      </w:r>
      <w:r>
        <w:rPr>
          <w:rtl w:val="true"/>
        </w:rPr>
        <w:t>دیدگاه وی نسبت به افراد</w:t>
      </w:r>
      <w:bookmarkEnd w:id="580"/>
    </w:p>
    <w:p>
      <w:pPr>
        <w:pStyle w:val="BookText"/>
        <w:rPr/>
      </w:pPr>
      <w:r>
        <w:rPr>
          <w:rFonts w:ascii="IRNazanin" w:hAnsi="IRNazanin" w:eastAsia="IRNazanin"/>
          <w:color w:val="111111"/>
          <w:sz w:val="28"/>
          <w:sz w:val="28"/>
          <w:szCs w:val="28"/>
          <w:rtl w:val="true"/>
          <w:lang w:bidi="fa-IR"/>
        </w:rPr>
        <w:t>اظهارنظرهای مجلسی دربارۀ دانشوران زمان خویش و دانشمندان پیش از خود که در مرآة العقول به فراوانی دیده می‌شود، از نکات قابل توجّه و خواندنی این کتاب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وی دربارۀ فیلسوفان، متکلمان، فقیهان و محدثان، ضمن معرّفی نوع گرایش فکری مجلسی از نظر شناخت آنان نیز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دربارۀ میرداماد پس از نقل کلامی از وی در خصوص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علم یا عقل قدسی می‌نویسد</w:t>
      </w:r>
      <w:r>
        <w:rPr>
          <w:rFonts w:eastAsia="IRNazanin" w:cs="IRNazanin"/>
          <w:color w:val="111111"/>
          <w:sz w:val="28"/>
          <w:szCs w:val="28"/>
          <w:rtl w:val="true"/>
          <w:lang w:bidi="fa-IR"/>
        </w:rPr>
        <w:t xml:space="preserve">: </w:t>
      </w:r>
      <w:bookmarkStart w:id="581" w:name="pg14553_191963"/>
    </w:p>
    <w:p>
      <w:pPr>
        <w:pStyle w:val="BookText"/>
        <w:rPr/>
      </w:pPr>
      <w:bookmarkEnd w:id="581"/>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التأویلات فی الأخبار، جرأة علی من صدرت عنه و الأولی تسلیمها ورد علمها الیهم </w:t>
      </w:r>
      <w:r>
        <w:rPr>
          <w:rStyle w:val="FootnoteAnchor"/>
          <w:rtl w:val="true"/>
        </w:rPr>
        <w:footnoteReference w:id="619"/>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گونه تأویلات در اخبار ناشی از جرأتی است که در وی است و بهتر است این روایت‌ها و آگاهی به آنها را به ائمه علیهم السلام وابگذاریم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صدوق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انّ الصدوق قدس سره رواه فی التوحید ناقلاً عن الکلینی بهذا السند بعینه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لا ادری انّ نسخته کانت هکذا أو غیّره لیوافق قواعد العدل و یشکل احتمال هذا الظنّ فی مثله؛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از صدوق شگفت آور است که به همین سند، روایت را از طریق کلینی در کتاب التوحید خویش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من نمی‌دانم آیا نسخه وی چنین بود و یا آن که وی برای هماهنگ کرد روایت با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گمان دوّم دربارۀ امثال وی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نفس تصوّر چنین احتمالی مشکل‌تر از اصل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خواجه نصرالدین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مبحث 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نفی انتساب قول به بدا به شیعه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وأعجب منه، انّه اجاب المحقق الطوسی رحمه الله فی نقد المحصّل عن ذلک لعدم احاطته قدس سره کثیراً بالأخبار بانّهم لا یقولونه بالبداء؛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شگفت آن که محقق طوسی در نقد المحصل از این ایراد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محقّق طوسی به اخبار اهل بیت علیهم السلام احاطه نداشته است، نمی‌دانست که شیعیان به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ندارند</w:t>
      </w:r>
      <w:r>
        <w:rPr>
          <w:rFonts w:eastAsia="IRNazanin" w:cs="IRNazanin"/>
          <w:color w:val="111111"/>
          <w:sz w:val="28"/>
          <w:szCs w:val="28"/>
          <w:rtl w:val="true"/>
          <w:lang w:bidi="fa-IR"/>
        </w:rPr>
        <w:t>.</w:t>
      </w:r>
    </w:p>
    <w:p>
      <w:pPr>
        <w:pStyle w:val="Heading4"/>
        <w:numPr>
          <w:ilvl w:val="3"/>
          <w:numId w:val="1"/>
        </w:numPr>
        <w:rPr/>
      </w:pPr>
      <w:bookmarkStart w:id="582" w:name="__RefHeading___Toc652097_1878427129"/>
      <w:bookmarkStart w:id="583" w:name="_Toc223"/>
      <w:bookmarkEnd w:id="582"/>
      <w:r>
        <w:rPr/>
        <w:t>3</w:t>
      </w:r>
      <w:r>
        <w:rPr>
          <w:rtl w:val="true"/>
        </w:rPr>
        <w:t xml:space="preserve">. </w:t>
      </w:r>
      <w:r>
        <w:rPr>
          <w:rtl w:val="true"/>
        </w:rPr>
        <w:t>تأیید وجود روش نقل به معنا در بین محدثان</w:t>
      </w:r>
      <w:bookmarkEnd w:id="583"/>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تصلب به نقل عین الفاظ حدیث توسط راویان و یا نقل به معنی از مباحث جدّی حدیثی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اعتقاد بر این باشد که راویان در نقل عین الفاظ روایات جدّی بودند، </w:t>
      </w:r>
      <w:bookmarkStart w:id="584" w:name="pg14553_191964"/>
    </w:p>
    <w:p>
      <w:pPr>
        <w:pStyle w:val="BookText"/>
        <w:rPr/>
      </w:pPr>
      <w:bookmarkEnd w:id="584"/>
      <w:r>
        <w:rPr>
          <w:rFonts w:ascii="IRNazanin" w:hAnsi="IRNazanin" w:eastAsia="IRNazanin"/>
          <w:color w:val="111111"/>
          <w:sz w:val="28"/>
          <w:sz w:val="28"/>
          <w:szCs w:val="28"/>
          <w:rtl w:val="true"/>
          <w:lang w:bidi="fa-IR"/>
        </w:rPr>
        <w:t>امکان استدلال به مفردات روایات و نیز ساختار کلامی و جمله‌ای احادیث وجود دارد و گرنه تنها مضمون آنها حجت خواهد بود ونه مفردات یا ساختار عبارتی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تأیید می‌کند که در مواردی، راویان احادیث را نقل به معنا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 شرح و تفسیر حدیث دوّم از باب روایة الکتب و الحدیث از کتاب فضل العلم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جواز نقل الحدیث بالمعنی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کفی هذا الحدیث، شاهداً بصدق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واکثر الأصحاب جوزّوا ذلک مطلقاً مع حصول الشرایط المذکورة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لأنّه من المعلوم، انّ الصحابة واصحاب الأئمة علیهم السلام لم یکونوا یکتبون الأحادیث عند سماعها و یبعد بل یستحیل عادة حفظهم جمیع الألفاظ علی ما هی علیه و قد سمعوها مرّة واحدةً، خصوصاً فی الأحادیث الطویله مع تطاول الأزمنة ولهذا کثیراً ما یروی عنهم المعنی الواحد بألفاظ مختلفة ولم ینکر ذلک علیهم و لا یبقی لمن تتبّع الأخبار فی هذا شبهة؛ </w:t>
      </w:r>
      <w:r>
        <w:rPr>
          <w:rStyle w:val="FootnoteAnchor"/>
          <w:rtl w:val="true"/>
        </w:rPr>
        <w:footnoteReference w:id="6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بر جواز نقل به معنی حدیث دلالت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گواهی این روایت به درستی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اصحاب این امر را به طور مطلق با حصول شرایط یاد شده، جایز دانسته‌اند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زیرا معلوم است که اصحاب پیامبر صلی الله علیه و آله و امامان در وقت سماع احادیث آنها را نمی‌نوشتند و بعید، بلکه عادة محال است که الفاظ روایت‌ها را همانگونه که می‌شنیدند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در احادیث دراز دامن و خصوصاً در طول 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به وفور می‌بینیم که یک معنا با چند تعبیر نقل شده است و بر این قبیل نقل هم ایرادی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برای جستجوگر در روایت‌ها اثبات می‌شود</w:t>
      </w:r>
      <w:r>
        <w:rPr>
          <w:rFonts w:eastAsia="IRNazanin" w:cs="IRNazanin"/>
          <w:color w:val="111111"/>
          <w:sz w:val="28"/>
          <w:szCs w:val="28"/>
          <w:rtl w:val="true"/>
          <w:lang w:bidi="fa-IR"/>
        </w:rPr>
        <w:t>.</w:t>
      </w:r>
    </w:p>
    <w:p>
      <w:pPr>
        <w:pStyle w:val="Heading4"/>
        <w:numPr>
          <w:ilvl w:val="3"/>
          <w:numId w:val="1"/>
        </w:numPr>
        <w:rPr/>
      </w:pPr>
      <w:bookmarkStart w:id="585" w:name="__RefHeading___Toc652099_1878427129"/>
      <w:bookmarkStart w:id="586" w:name="_Toc224"/>
      <w:bookmarkEnd w:id="585"/>
      <w:r>
        <w:rPr/>
        <w:t>4</w:t>
      </w:r>
      <w:r>
        <w:rPr>
          <w:rtl w:val="true"/>
        </w:rPr>
        <w:t xml:space="preserve">. </w:t>
      </w:r>
      <w:r>
        <w:rPr>
          <w:rtl w:val="true"/>
        </w:rPr>
        <w:t>شناسایی راویان مجهول</w:t>
      </w:r>
      <w:bookmarkEnd w:id="58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مجلسی تعداد راویان مجهول بیش از زمان کنونی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عمدۀ آن تنظیم‌های گوناگون احادیث و کتب رجالی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بعضی از بزرگان آن روزگار را به فکر دستیابی به شیوه هایی انداخت که بتوانند از تعداد راویان مجهول </w:t>
      </w:r>
    </w:p>
    <w:p>
      <w:pPr>
        <w:pStyle w:val="BookText"/>
        <w:rPr/>
      </w:pPr>
      <w:r>
        <w:rPr>
          <w:rFonts w:ascii="IRNazanin" w:hAnsi="IRNazanin" w:eastAsia="IRNazanin"/>
          <w:color w:val="111111"/>
          <w:sz w:val="28"/>
          <w:sz w:val="28"/>
          <w:szCs w:val="28"/>
          <w:rtl w:val="true"/>
          <w:lang w:bidi="fa-IR"/>
        </w:rPr>
        <w:t>بکاهند که از آن جمله مرحوم اردبیلی مؤلف جامع الرواة و مرحوم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در مقدمه کتابش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توجّه الی هذا المطلب الأقصی والمقصد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النظر الدقیق فی صحّة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صار بسبب اتفاق ذکر الراوی علی سبیل الإطلاق أو باعتبار اختلاف النسخ فیه متفکراً تفکراً عمیقاً و متحیراً تحیراً عظیماً ولم یجد ترجیحاً للحکم بالصحة والضعف أو غیرهما، فلا جرم صار الخبر بسبب هذا فی نظر هذا الضعیف مجهولاً بل فی نظر جمع کثیر من فحول العلماء والفقهاء ایضاً، حتی حکموا بجهالة الخبر الموصوف بهذا الوصف ولم یجعلوه مناطاً للحکم؛ </w:t>
      </w:r>
      <w:r>
        <w:rPr>
          <w:rStyle w:val="FootnoteAnchor"/>
          <w:rtl w:val="true"/>
        </w:rPr>
        <w:footnoteReference w:id="6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نویسنده به این مقصد والا و مطلب نهایی توجه می‌کرد، به خاطر یاد کرد نام راوی، به طور مطلق و رها و گاه به خاطر اختلاف نسخه‌ها، در اندیشه ژرفی فرو می‌رفت و خود را در تحیّر بزرگی می‌یافت و هیچ دلیلی برای درستی و یا نادرستی روایت پیدا نمی‌کرد و خبر به همین خاطر، در قلمرو روایت‌های مجهول قرار می‌گرفت، این امر، نه تنها برای این ضعیف، بلکه بر دانشوران بزرگ نیز چنین بود و از این روی، حکم بر مجهول بودن روایت می‌کردند و آن روایت را ملاک و دلیل حکم قرار نمی‌دادند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پایه، مرحوم اردبیلی کتاب خویش را در واقع به انگیزۀ اخراج راویان از قلمرو مجهول به حوزۀ معلوم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مرآة العقول ، مرحوم مجلسی نیز در بسیاری از موارد تلاش می‌کند تا راوی را شناسایی کند</w:t>
      </w:r>
      <w:r>
        <w:rPr>
          <w:rFonts w:eastAsia="IRNazanin" w:cs="IRNazanin"/>
          <w:color w:val="111111"/>
          <w:sz w:val="28"/>
          <w:szCs w:val="28"/>
          <w:rtl w:val="true"/>
          <w:lang w:bidi="fa-IR"/>
        </w:rPr>
        <w:t xml:space="preserve">. </w:t>
      </w:r>
      <w:r>
        <w:rPr>
          <w:rStyle w:val="FootnoteAnchor"/>
          <w:rtl w:val="true"/>
        </w:rPr>
        <w:footnoteReference w:id="624"/>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یادآوری این نکته خالی از فایده نیست که علی رغم تلاش مصحح محترم، کتاب مرآة العقول نیازمند تصحیح دقیق و علمی دیگری است و شکل کنونی آن رضایت بخش نیست</w:t>
      </w:r>
      <w:r>
        <w:rPr>
          <w:rFonts w:eastAsia="IRNazanin" w:cs="IRNazanin"/>
          <w:color w:val="111111"/>
          <w:sz w:val="28"/>
          <w:szCs w:val="28"/>
          <w:rtl w:val="true"/>
          <w:lang w:bidi="fa-IR"/>
        </w:rPr>
        <w:t xml:space="preserve">. </w:t>
      </w:r>
      <w:bookmarkStart w:id="587" w:name="pg14553_191966"/>
    </w:p>
    <w:p>
      <w:pPr>
        <w:pStyle w:val="BookText"/>
        <w:rPr/>
      </w:pPr>
      <w:bookmarkEnd w:id="587"/>
      <w:r>
        <w:rPr>
          <w:rFonts w:ascii="IRNazanin" w:hAnsi="IRNazanin" w:eastAsia="IRNazanin"/>
          <w:color w:val="111111"/>
          <w:sz w:val="28"/>
          <w:sz w:val="28"/>
          <w:szCs w:val="28"/>
          <w:rtl w:val="true"/>
          <w:lang w:bidi="fa-IR"/>
        </w:rPr>
        <w:t>یک مناظرۀ علمی در پاسخ علامه قاضی خضری</w:t>
      </w:r>
    </w:p>
    <w:p>
      <w:pPr>
        <w:pStyle w:val="Heading2"/>
        <w:numPr>
          <w:ilvl w:val="1"/>
          <w:numId w:val="1"/>
        </w:numPr>
        <w:rPr/>
      </w:pPr>
      <w:bookmarkStart w:id="588" w:name="__RefHeading___Toc652101_1878427129"/>
      <w:bookmarkStart w:id="589" w:name="_Toc225"/>
      <w:bookmarkEnd w:id="588"/>
      <w:r>
        <w:rPr>
          <w:rtl w:val="true"/>
        </w:rPr>
        <w:t>یک مناظرۀ علمی در پاسخ علامه قاضی خضری</w:t>
      </w:r>
      <w:bookmarkEnd w:id="589"/>
    </w:p>
    <w:p>
      <w:pPr>
        <w:pStyle w:val="Heading3"/>
        <w:numPr>
          <w:ilvl w:val="2"/>
          <w:numId w:val="1"/>
        </w:numPr>
        <w:rPr/>
      </w:pPr>
      <w:bookmarkStart w:id="590" w:name="__RefHeading___Toc652103_1878427129"/>
      <w:bookmarkStart w:id="591" w:name="_Toc226"/>
      <w:bookmarkEnd w:id="590"/>
      <w:r>
        <w:rPr>
          <w:rtl w:val="true"/>
        </w:rPr>
        <w:t>اشارة</w:t>
      </w:r>
      <w:bookmarkEnd w:id="591"/>
    </w:p>
    <w:p>
      <w:pPr>
        <w:pStyle w:val="BookText"/>
        <w:rPr/>
      </w:pPr>
      <w:r>
        <w:rPr>
          <w:rFonts w:ascii="IRNazanin" w:hAnsi="IRNazanin" w:eastAsia="IRNazanin"/>
          <w:color w:val="111111"/>
          <w:sz w:val="28"/>
          <w:sz w:val="28"/>
          <w:szCs w:val="28"/>
          <w:rtl w:val="true"/>
          <w:lang w:bidi="fa-IR"/>
        </w:rPr>
        <w:t xml:space="preserve">یک مناظرۀ علمی در پاسخ علامه قاضی خضری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محمد صادق نجمی</w:t>
      </w:r>
    </w:p>
    <w:p>
      <w:pPr>
        <w:pStyle w:val="Heading3"/>
        <w:numPr>
          <w:ilvl w:val="2"/>
          <w:numId w:val="1"/>
        </w:numPr>
        <w:rPr/>
      </w:pPr>
      <w:bookmarkStart w:id="592" w:name="__RefHeading___Toc652105_1878427129"/>
      <w:bookmarkStart w:id="593" w:name="_Toc227"/>
      <w:bookmarkEnd w:id="592"/>
      <w:r>
        <w:rPr>
          <w:rtl w:val="true"/>
        </w:rPr>
        <w:t>چکیده</w:t>
      </w:r>
      <w:bookmarkEnd w:id="593"/>
    </w:p>
    <w:p>
      <w:pPr>
        <w:pStyle w:val="BookText"/>
        <w:rPr/>
      </w:pPr>
      <w:r>
        <w:rPr>
          <w:rFonts w:ascii="IRNazanin" w:hAnsi="IRNazanin" w:eastAsia="IRNazanin"/>
          <w:color w:val="111111"/>
          <w:sz w:val="28"/>
          <w:sz w:val="28"/>
          <w:szCs w:val="28"/>
          <w:rtl w:val="true"/>
          <w:lang w:bidi="fa-IR"/>
        </w:rPr>
        <w:t>یکی از علمای اهل سنت پرسش‌هایی دربارۀ عقاید و آثار شیعی مطرح ساخته و یکی از علمای شیعه در کتاب به پرسش‌های وی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بخشی از آن کتاب است که حاوی دو پرسش از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شیعه در پاسخ به این پرسش‌ها که چرا در الکافی از خلفا و فرزندان آنها روایتی وجود ندارد، به تفصیل پاسخ گفته است</w:t>
      </w:r>
      <w:r>
        <w:rPr>
          <w:rFonts w:eastAsia="IRNazanin" w:cs="IRNazanin"/>
          <w:color w:val="111111"/>
          <w:sz w:val="28"/>
          <w:szCs w:val="28"/>
          <w:rtl w:val="true"/>
          <w:lang w:bidi="fa-IR"/>
        </w:rPr>
        <w:t>.</w:t>
      </w:r>
    </w:p>
    <w:p>
      <w:pPr>
        <w:pStyle w:val="Heading3"/>
        <w:numPr>
          <w:ilvl w:val="2"/>
          <w:numId w:val="1"/>
        </w:numPr>
        <w:rPr/>
      </w:pPr>
      <w:bookmarkStart w:id="594" w:name="__RefHeading___Toc652107_1878427129"/>
      <w:bookmarkStart w:id="595" w:name="_Toc228"/>
      <w:bookmarkEnd w:id="594"/>
      <w:r>
        <w:rPr>
          <w:rtl w:val="true"/>
        </w:rPr>
        <w:t>سؤال</w:t>
      </w:r>
      <w:r>
        <w:rPr>
          <w:rtl w:val="true"/>
        </w:rPr>
        <w:t xml:space="preserve">: </w:t>
      </w:r>
      <w:r>
        <w:rPr>
          <w:rtl w:val="true"/>
        </w:rPr>
        <w:t>چرا در کافی از خلفای سه گانه حتی یک حدیث هم نقل نشده است؟</w:t>
      </w:r>
      <w:bookmarkEnd w:id="595"/>
    </w:p>
    <w:p>
      <w:pPr>
        <w:pStyle w:val="Heading4"/>
        <w:numPr>
          <w:ilvl w:val="3"/>
          <w:numId w:val="1"/>
        </w:numPr>
        <w:rPr/>
      </w:pPr>
      <w:bookmarkStart w:id="596" w:name="__RefHeading___Toc652109_1878427129"/>
      <w:bookmarkStart w:id="597" w:name="_Toc229"/>
      <w:bookmarkEnd w:id="596"/>
      <w:r>
        <w:rPr>
          <w:rtl w:val="true"/>
        </w:rPr>
        <w:t>اشارة</w:t>
      </w:r>
      <w:bookmarkEnd w:id="597"/>
    </w:p>
    <w:p>
      <w:pPr>
        <w:pStyle w:val="BookText"/>
        <w:rPr/>
      </w:pPr>
      <w:r>
        <w:rPr>
          <w:rFonts w:ascii="IRNazanin" w:hAnsi="IRNazanin" w:eastAsia="IRNazanin"/>
          <w:color w:val="111111"/>
          <w:sz w:val="28"/>
          <w:sz w:val="28"/>
          <w:szCs w:val="28"/>
          <w:rtl w:val="true"/>
          <w:lang w:bidi="fa-IR"/>
        </w:rPr>
        <w:t>پاسخ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علت عدم نقل حدیث از خلفای سه گانه را در دو مسئله ریشه یابی نمود اول قلّت و کم بودن حدیث خلفا و دومی انتخاب نزدیک‌ترین و مطمئن‌ترین راه نیل به حدیث رسول خدا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پاسخ مشروح و تفصیلی این سؤال همانند پاسخ سؤال اول به طرح چند مطلب تاریخی حدیثی نیازمند است که توجه حضرتعالی را به این مطالب جلب می‌کنیم</w:t>
      </w:r>
      <w:r>
        <w:rPr>
          <w:rFonts w:eastAsia="IRNazanin" w:cs="IRNazanin"/>
          <w:color w:val="111111"/>
          <w:sz w:val="28"/>
          <w:szCs w:val="28"/>
          <w:rtl w:val="true"/>
          <w:lang w:bidi="fa-IR"/>
        </w:rPr>
        <w:t>.</w:t>
      </w:r>
    </w:p>
    <w:p>
      <w:pPr>
        <w:pStyle w:val="Heading4"/>
        <w:numPr>
          <w:ilvl w:val="3"/>
          <w:numId w:val="1"/>
        </w:numPr>
        <w:rPr/>
      </w:pPr>
      <w:bookmarkStart w:id="598" w:name="__RefHeading___Toc652111_1878427129"/>
      <w:bookmarkStart w:id="599" w:name="_Toc230"/>
      <w:bookmarkEnd w:id="598"/>
      <w:r>
        <w:rPr/>
        <w:t>1</w:t>
      </w:r>
      <w:r>
        <w:rPr>
          <w:rtl w:val="true"/>
        </w:rPr>
        <w:t xml:space="preserve">. </w:t>
      </w:r>
      <w:r>
        <w:rPr>
          <w:rtl w:val="true"/>
        </w:rPr>
        <w:t>حدیث از دیدگاه خلفا</w:t>
      </w:r>
      <w:bookmarkEnd w:id="599"/>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طوری که در بخش اول این نامه مطرح گردید، پس از رسول خدا صلی الله علیه و آله در میان مسلمانان در مورد نقل حدیث آن حضرت اختلاف نظر و تفاوت سلیقه به وجود آمد </w:t>
      </w:r>
      <w:bookmarkStart w:id="600" w:name="pg14553_191967"/>
    </w:p>
    <w:p>
      <w:pPr>
        <w:pStyle w:val="BookText"/>
        <w:rPr/>
      </w:pPr>
      <w:bookmarkEnd w:id="600"/>
      <w:r>
        <w:rPr>
          <w:rFonts w:ascii="IRNazanin" w:hAnsi="IRNazanin" w:eastAsia="IRNazanin"/>
          <w:color w:val="111111"/>
          <w:sz w:val="28"/>
          <w:sz w:val="28"/>
          <w:szCs w:val="28"/>
          <w:rtl w:val="true"/>
          <w:lang w:bidi="fa-IR"/>
        </w:rPr>
        <w:t>که اهل بیت طرفدار جدی نقل و کتابت حدیث ولی خلفا و عده‌ای از صحابه به پیروی از آنان از نقل و کتابت حدیث ممانعت و جلوگیری نمودند این موضوع گر چه یک بحث گسترده و دامنه‌دار و یک موضوع اساسی و ریشه‌داری است اما به تناسب حجم نامه و در محدوده همین پاسخ سیر این مسئله را در دوران خلفا و نتیجه آن را در کتاب‌های حدیثی اهل سنت بررسی، آن‌گاه به پاسخ مشروح سؤال به صورت جمع‌بندی مطالب، نائل می‌گردیم</w:t>
      </w:r>
      <w:r>
        <w:rPr>
          <w:rFonts w:eastAsia="IRNazanin" w:cs="IRNazanin"/>
          <w:color w:val="111111"/>
          <w:sz w:val="28"/>
          <w:szCs w:val="28"/>
          <w:rtl w:val="true"/>
          <w:lang w:bidi="fa-IR"/>
        </w:rPr>
        <w:t>.</w:t>
      </w:r>
    </w:p>
    <w:p>
      <w:pPr>
        <w:pStyle w:val="Heading4"/>
        <w:numPr>
          <w:ilvl w:val="3"/>
          <w:numId w:val="1"/>
        </w:numPr>
        <w:rPr/>
      </w:pPr>
      <w:bookmarkStart w:id="601" w:name="__RefHeading___Toc652113_1878427129"/>
      <w:bookmarkStart w:id="602" w:name="_Toc231"/>
      <w:bookmarkEnd w:id="601"/>
      <w:r>
        <w:rPr/>
        <w:t>2</w:t>
      </w:r>
      <w:r>
        <w:rPr>
          <w:rtl w:val="true"/>
        </w:rPr>
        <w:t xml:space="preserve">. </w:t>
      </w:r>
      <w:r>
        <w:rPr>
          <w:rtl w:val="true"/>
        </w:rPr>
        <w:t>حدیث در دوران ابوبکر</w:t>
      </w:r>
      <w:bookmarkEnd w:id="602"/>
    </w:p>
    <w:p>
      <w:pPr>
        <w:pStyle w:val="BookText"/>
        <w:rPr/>
      </w:pPr>
      <w:r>
        <w:rPr>
          <w:rFonts w:ascii="IRNazanin" w:hAnsi="IRNazanin" w:eastAsia="IRNazanin"/>
          <w:color w:val="111111"/>
          <w:sz w:val="28"/>
          <w:sz w:val="28"/>
          <w:szCs w:val="28"/>
          <w:rtl w:val="true"/>
          <w:lang w:bidi="fa-IR"/>
        </w:rPr>
        <w:t>ذهبی در تذکرة الحفاظ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رسول خدا صلی الله علیه و آله ابوبکر مردم را جمع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پیامبر اکرم حدیث‌هایی نقل می‌کنید و گاهی در میان شما اختلاف پدید می‌آید و اگر وضع بدین منوال بگذرد مسلمانان آینده به اختلاف شدیدتری دچار خواهند گردید، لذا پس از این از پیامبر حدیثی نقل نکنید و اگر کسی مطلبی از شما سؤال نمود بگویید میان ما و شما همین قرآن بس، حلال آن را حلال و حرامش را حرام بدانید</w:t>
      </w:r>
      <w:r>
        <w:rPr>
          <w:rFonts w:eastAsia="IRNazanin" w:cs="IRNazanin"/>
          <w:color w:val="111111"/>
          <w:sz w:val="28"/>
          <w:szCs w:val="28"/>
          <w:rtl w:val="true"/>
          <w:lang w:bidi="fa-IR"/>
        </w:rPr>
        <w:t xml:space="preserve">. </w:t>
      </w:r>
      <w:r>
        <w:rPr>
          <w:rStyle w:val="FootnoteAnchor"/>
          <w:rtl w:val="true"/>
        </w:rPr>
        <w:footnoteReference w:id="6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الحفاظ،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ذهبی از عایشه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ابوبکر پانصد حدیث از رسول خدا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دیدم در میان رختخوابش ناراحت است؛ به طوری که ناراحتی وی موجب نگرانی من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علت ناراحتی او را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آن احادیث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آن احادیث را به وسیلۀ آتش از بین برد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بمیرم و این احادیث در پیش شما بماند و شاید در میان آنها حدیث‌هایی باشد که من از افراد مورد اعتماد نقل کرده باشم ولی آنان در واقع افراد مورد اعتمادی نباشند و من مسؤول باشم</w:t>
      </w:r>
      <w:r>
        <w:rPr>
          <w:rFonts w:eastAsia="IRNazanin" w:cs="IRNazanin"/>
          <w:color w:val="111111"/>
          <w:sz w:val="28"/>
          <w:szCs w:val="28"/>
          <w:rtl w:val="true"/>
          <w:lang w:bidi="fa-IR"/>
        </w:rPr>
        <w:t xml:space="preserve">. </w:t>
      </w:r>
      <w:r>
        <w:rPr>
          <w:rStyle w:val="FootnoteAnchor"/>
          <w:rtl w:val="true"/>
        </w:rPr>
        <w:footnoteReference w:id="627"/>
      </w:r>
    </w:p>
    <w:p>
      <w:pPr>
        <w:pStyle w:val="Heading4"/>
        <w:numPr>
          <w:ilvl w:val="3"/>
          <w:numId w:val="1"/>
        </w:numPr>
        <w:rPr/>
      </w:pPr>
      <w:bookmarkStart w:id="603" w:name="__RefHeading___Toc652115_1878427129"/>
      <w:bookmarkStart w:id="604" w:name="_Toc232"/>
      <w:bookmarkEnd w:id="603"/>
      <w:r>
        <w:rPr/>
        <w:t>3</w:t>
      </w:r>
      <w:r>
        <w:rPr>
          <w:rtl w:val="true"/>
        </w:rPr>
        <w:t xml:space="preserve">. </w:t>
      </w:r>
      <w:r>
        <w:rPr>
          <w:rtl w:val="true"/>
        </w:rPr>
        <w:t>حدیث در دوران عمر بن الخطاب</w:t>
      </w:r>
      <w:bookmarkEnd w:id="60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گذشت دوران تقریباً دو ساله خلافت خلیفه اول و شروع خلافت عمر بن خطاب و در طول ده سال خلافت وی، منع از نقل و کتابت حدیث مرحلۀ جدی‌تری </w:t>
      </w:r>
      <w:bookmarkStart w:id="605" w:name="pg14553_191968"/>
    </w:p>
    <w:p>
      <w:pPr>
        <w:pStyle w:val="BookText"/>
        <w:rPr/>
      </w:pPr>
      <w:bookmarkEnd w:id="605"/>
      <w:r>
        <w:rPr>
          <w:rFonts w:ascii="IRNazanin" w:hAnsi="IRNazanin" w:eastAsia="IRNazanin"/>
          <w:color w:val="111111"/>
          <w:sz w:val="28"/>
          <w:sz w:val="28"/>
          <w:szCs w:val="28"/>
          <w:rtl w:val="true"/>
          <w:lang w:bidi="fa-IR"/>
        </w:rPr>
        <w:t>به خود گرفت به طوری که قرظة بن کعب چون از سوی خلیفۀ دوم مأموریت یافت به عراق برود پس از ورود به عراق از وی خواستند تا حدیث پیامبر را به آنان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قرظة بن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را از نقل حدیث منع نموده است</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حاکم،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سنن ابن ماجه،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طبقات ابن سعد،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جامع بیان العلم،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سنن دارمی،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تذکرة الحفاظ،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خلیفه دوم سه نفر از محدثین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ابو درداء و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ممانعت از نقل حدیث تحت نظر قرار داد</w:t>
      </w:r>
      <w:r>
        <w:rPr>
          <w:rFonts w:eastAsia="IRNazanin" w:cs="IRNazanin"/>
          <w:color w:val="111111"/>
          <w:sz w:val="28"/>
          <w:szCs w:val="28"/>
          <w:rtl w:val="true"/>
          <w:lang w:bidi="fa-IR"/>
        </w:rPr>
        <w:t xml:space="preserve">. </w:t>
      </w:r>
      <w:r>
        <w:rPr>
          <w:rStyle w:val="FootnoteAnchor"/>
          <w:rtl w:val="true"/>
        </w:rPr>
        <w:footnoteReference w:id="629"/>
      </w:r>
    </w:p>
    <w:p>
      <w:pPr>
        <w:pStyle w:val="Heading4"/>
        <w:numPr>
          <w:ilvl w:val="3"/>
          <w:numId w:val="1"/>
        </w:numPr>
        <w:rPr/>
      </w:pPr>
      <w:bookmarkStart w:id="606" w:name="__RefHeading___Toc652117_1878427129"/>
      <w:bookmarkStart w:id="607" w:name="_Toc233"/>
      <w:bookmarkEnd w:id="606"/>
      <w:r>
        <w:rPr/>
        <w:t>4</w:t>
      </w:r>
      <w:r>
        <w:rPr>
          <w:rtl w:val="true"/>
        </w:rPr>
        <w:t xml:space="preserve">. </w:t>
      </w:r>
      <w:r>
        <w:rPr>
          <w:rtl w:val="true"/>
        </w:rPr>
        <w:t>حدیث در دوران عثمان</w:t>
      </w:r>
      <w:bookmarkEnd w:id="607"/>
    </w:p>
    <w:p>
      <w:pPr>
        <w:pStyle w:val="BookText"/>
        <w:rPr/>
      </w:pPr>
      <w:r>
        <w:rPr>
          <w:rFonts w:ascii="IRNazanin" w:hAnsi="IRNazanin" w:eastAsia="IRNazanin"/>
          <w:color w:val="111111"/>
          <w:sz w:val="28"/>
          <w:sz w:val="28"/>
          <w:szCs w:val="28"/>
          <w:rtl w:val="true"/>
          <w:lang w:bidi="fa-IR"/>
        </w:rPr>
        <w:t>همین وضع در دوران خلافت دوازده ساله عثمان بن عفان نیز ادامه یافت به طوری که در منابع تاریخی حدیثی نقل شده است که او در بالای منبر اعلان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هر حدیثی از رسول خدا صلی الله علیه و آله به جز حدیث‌هایی که خود او در دوران دو خلیفه گذشته شنیده است شدیداً ممنوع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لأحد أن یروی حدیثاً عن رسول اللّه لم اسمع به فی عهد ابی بکر ولا عمر </w:t>
      </w:r>
      <w:r>
        <w:rPr>
          <w:rFonts w:eastAsia="IRNazanin" w:cs="IRNazanin"/>
          <w:color w:val="111111"/>
          <w:sz w:val="28"/>
          <w:szCs w:val="28"/>
          <w:rtl w:val="true"/>
          <w:lang w:bidi="fa-IR"/>
        </w:rPr>
        <w:t xml:space="preserve">) . </w:t>
      </w:r>
      <w:r>
        <w:rPr>
          <w:rStyle w:val="FootnoteAnchor"/>
          <w:rtl w:val="true"/>
        </w:rPr>
        <w:footnoteReference w:id="630"/>
      </w:r>
    </w:p>
    <w:p>
      <w:pPr>
        <w:pStyle w:val="Heading4"/>
        <w:numPr>
          <w:ilvl w:val="3"/>
          <w:numId w:val="1"/>
        </w:numPr>
        <w:rPr/>
      </w:pPr>
      <w:bookmarkStart w:id="608" w:name="__RefHeading___Toc652119_1878427129"/>
      <w:bookmarkStart w:id="609" w:name="_Toc234"/>
      <w:bookmarkEnd w:id="608"/>
      <w:r>
        <w:rPr/>
        <w:t>5</w:t>
      </w:r>
      <w:r>
        <w:rPr>
          <w:rtl w:val="true"/>
        </w:rPr>
        <w:t xml:space="preserve">. </w:t>
      </w:r>
      <w:r>
        <w:rPr>
          <w:rtl w:val="true"/>
        </w:rPr>
        <w:t>قلّت حدیث خلفا در منابع اهل سنت</w:t>
      </w:r>
      <w:bookmarkEnd w:id="609"/>
    </w:p>
    <w:p>
      <w:pPr>
        <w:pStyle w:val="BookText"/>
        <w:rPr/>
      </w:pPr>
      <w:r>
        <w:rPr>
          <w:rFonts w:ascii="IRNazanin" w:hAnsi="IRNazanin" w:eastAsia="IRNazanin"/>
          <w:color w:val="111111"/>
          <w:sz w:val="28"/>
          <w:sz w:val="28"/>
          <w:szCs w:val="28"/>
          <w:rtl w:val="true"/>
          <w:lang w:bidi="fa-IR"/>
        </w:rPr>
        <w:t xml:space="preserve">نتیجه این سیاست در نقل و کتابت حدیث از سوی خلفا این بود که سائب بن یزید متوفای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صحابه رسول خدا صلی الله علیه و آله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مدینه تا مکه با سعد بن مالک </w:t>
      </w:r>
      <w:r>
        <w:rPr>
          <w:rStyle w:val="FootnoteAnchor"/>
          <w:rtl w:val="true"/>
        </w:rPr>
        <w:footnoteReference w:id="631"/>
      </w:r>
      <w:r>
        <w:rPr>
          <w:rFonts w:ascii="IRNazanin" w:hAnsi="IRNazanin" w:eastAsia="IRNazanin"/>
          <w:color w:val="111111"/>
          <w:sz w:val="28"/>
          <w:sz w:val="28"/>
          <w:szCs w:val="28"/>
          <w:rtl w:val="true"/>
          <w:lang w:bidi="fa-IR"/>
        </w:rPr>
        <w:t>هم سفر شدم؛ سعد در طول این سفر حتی یک حدیث هم از رسول خدا صلی الله علیه و آله نقل ننمود</w:t>
      </w:r>
      <w:r>
        <w:rPr>
          <w:rFonts w:eastAsia="IRNazanin" w:cs="IRNazanin"/>
          <w:color w:val="111111"/>
          <w:sz w:val="28"/>
          <w:szCs w:val="28"/>
          <w:rtl w:val="true"/>
          <w:lang w:bidi="fa-IR"/>
        </w:rPr>
        <w:t xml:space="preserve">. </w:t>
      </w:r>
      <w:r>
        <w:rPr>
          <w:rStyle w:val="FootnoteAnchor"/>
          <w:rtl w:val="true"/>
        </w:rPr>
        <w:footnoteReference w:id="63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سائب بن یزید حقیقتی است که امروز می‌توانیم در منابع مورد اعتماد و مجموعه‌های حدیثی اهل سنت از صحاح و سنن به وضوح لمس و درک کنیم و با توجه به این مجموعه‌ها ملاحظه خواهید فرمود که تعداد احادیثی که از خلفا نقل شده </w:t>
      </w:r>
      <w:bookmarkStart w:id="610" w:name="pg14553_191969"/>
    </w:p>
    <w:p>
      <w:pPr>
        <w:pStyle w:val="BookText"/>
        <w:rPr/>
      </w:pPr>
      <w:bookmarkEnd w:id="610"/>
      <w:r>
        <w:rPr>
          <w:rFonts w:ascii="IRNazanin" w:hAnsi="IRNazanin" w:eastAsia="IRNazanin"/>
          <w:color w:val="111111"/>
          <w:sz w:val="28"/>
          <w:sz w:val="28"/>
          <w:szCs w:val="28"/>
          <w:rtl w:val="true"/>
          <w:lang w:bidi="fa-IR"/>
        </w:rPr>
        <w:t>و در حدی از قلت است که حتی برای خود حضرتعالی هم اعجاب‌انگیز و حیرت‌آور خواهد بود و برای این‌که معیاری از این احادیث به دست بیاید از میان منابع حدیثی صحیح مسلم را که از لحاظ حدیث در میان صحاح ششگانه بالاترین رقم را دارا می‌باشد منظور می‌نماییم تا وضع سایر صحاح و سنن با مقایسه با این صحیح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باید ملاحظه نمود که از مجموع احادیثی که در صحیح مسلم بزرگ‌ترین و مورد اعتمادترین کتاب حدیثی اهل سنت از خلفا نقل شده است چه قدر است؟</w:t>
      </w:r>
    </w:p>
    <w:p>
      <w:pPr>
        <w:pStyle w:val="BookText"/>
        <w:rPr/>
      </w:pPr>
      <w:r>
        <w:rPr>
          <w:rFonts w:ascii="IRNazanin" w:hAnsi="IRNazanin" w:eastAsia="IRNazanin"/>
          <w:color w:val="111111"/>
          <w:sz w:val="28"/>
          <w:sz w:val="28"/>
          <w:szCs w:val="28"/>
          <w:rtl w:val="true"/>
          <w:lang w:bidi="fa-IR"/>
        </w:rPr>
        <w:t xml:space="preserve">بررسی دقیق نشان می‌دهد مجموع این احادیث با حذف مکررات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ابوبکر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بن الخطاب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عثمان بن عفان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ارقام آن وقت می‌تواند کاملاً روشن شود که مقایسه‌ای بین آنها و رقم حدیث‌هایی که از یکی از راویان دیگر در همان صحیح مسلم نقل شده است به عمل آید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 حدیث‌های او در صحیح مسلم به پانصد و هشتاد و پنج حدیث بالغ گردیده است؛ یعنی مجموع احادیث خلفای سه گانه حتی کمتر 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یک راوی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چنین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حدیث‌هایی که در صحیح مسلم از ابوبکر نقل شده است یکصد و شانزده بار کمتر از احادیثی است که از ابوهریره نقل گردیده و احادیث خلیفه دوم و سوم به ترتیب چهارده و سی و شش بار کمتر از احادیث ابوهریره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w:t>
      </w:r>
    </w:p>
    <w:p>
      <w:pPr>
        <w:pStyle w:val="Heading3"/>
        <w:numPr>
          <w:ilvl w:val="2"/>
          <w:numId w:val="1"/>
        </w:numPr>
        <w:rPr/>
      </w:pPr>
      <w:bookmarkStart w:id="611" w:name="__RefHeading___Toc652121_1878427129"/>
      <w:bookmarkStart w:id="612" w:name="_Toc235"/>
      <w:bookmarkEnd w:id="611"/>
      <w:r>
        <w:rPr>
          <w:rtl w:val="true"/>
        </w:rPr>
        <w:t>پاسخ مجدد سؤال و جمع بندی مطالب گذشته</w:t>
      </w:r>
      <w:bookmarkEnd w:id="612"/>
    </w:p>
    <w:p>
      <w:pPr>
        <w:pStyle w:val="BookText"/>
        <w:rPr/>
      </w:pPr>
      <w:r>
        <w:rPr>
          <w:rFonts w:ascii="IRNazanin" w:hAnsi="IRNazanin" w:eastAsia="IRNazanin"/>
          <w:color w:val="111111"/>
          <w:sz w:val="28"/>
          <w:sz w:val="28"/>
          <w:szCs w:val="28"/>
          <w:rtl w:val="true"/>
          <w:lang w:bidi="fa-IR"/>
        </w:rPr>
        <w:t>با توجه به مطالب پنجگانه که در مورد حدیث از دیدگاه خلفا ملاحظه فرمودید همان پاسخ اجمالی به صورت مجدد و واضح‌تری برای سؤال دوم شما به دست آمد و آن این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جایی که مسلم بن حجاج نیشابوری دومین محدث بزرگ و مورد اعتماد در میان برادران اهل سنت نتوانسته است در مجموعۀ حدیثی خود که بزرگ‌ترین رقم حدیث در میان صحاح را دارا می‌باشد از خلیفه اول بیش از پنج حدیث و از خلیفه </w:t>
      </w:r>
      <w:bookmarkStart w:id="613" w:name="pg14553_191970"/>
    </w:p>
    <w:p>
      <w:pPr>
        <w:pStyle w:val="BookText"/>
        <w:rPr/>
      </w:pPr>
      <w:bookmarkEnd w:id="613"/>
      <w:r>
        <w:rPr>
          <w:rFonts w:ascii="IRNazanin" w:hAnsi="IRNazanin" w:eastAsia="IRNazanin"/>
          <w:color w:val="111111"/>
          <w:sz w:val="28"/>
          <w:sz w:val="28"/>
          <w:szCs w:val="28"/>
          <w:rtl w:val="true"/>
          <w:lang w:bidi="fa-IR"/>
        </w:rPr>
        <w:t>دوم بیش از چهل و یک حدیث و از خلیفه سوم بیش از شانزده حدیث نقل نماید و مسلماً اگر حدیث صحیح دیگری علاوه بر این رقم به دست می‌آورد از نقل آن امتناع نمی‌ورزید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چه توقع و انتظار دارید که کلینی رحمه الله به دلایل علمی فراوان که یکی از آنها در پاسخ سؤال سوم مطرح خواهد گردید در همان عدد محدود و شصت و دو حدیث نیز خدشه وارد کند و در استناد این چند حدیث به راویان آنها یعنی خلفای سه گانه تردید نماید که آیا واقعاً این چند حدیث از آنان نقل گردیده است یا نه؟</w:t>
      </w:r>
    </w:p>
    <w:p>
      <w:pPr>
        <w:pStyle w:val="BookText"/>
        <w:rPr/>
      </w:pPr>
      <w:r>
        <w:rPr>
          <w:rFonts w:ascii="IRNazanin" w:hAnsi="IRNazanin" w:eastAsia="IRNazanin"/>
          <w:color w:val="111111"/>
          <w:sz w:val="28"/>
          <w:sz w:val="28"/>
          <w:szCs w:val="28"/>
          <w:rtl w:val="true"/>
          <w:lang w:bidi="fa-IR"/>
        </w:rPr>
        <w:t>همان تردید و خدشه‌ای که خلیفه اول برای از بین بردن پانصد حدیث موجود در نزد خود مطرح و برای عمل خود با آن استدلال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در میان آنها احادیثی باشد که من از افراد مورد اعتماد نقل کرده باشم ولی آنان در واقع افراد مورد اعتماد نباشند و من مسئول باشم</w:t>
      </w:r>
      <w:r>
        <w:rPr>
          <w:rFonts w:eastAsia="IRNazanin" w:cs="IRNazanin"/>
          <w:color w:val="111111"/>
          <w:sz w:val="28"/>
          <w:szCs w:val="28"/>
          <w:rtl w:val="true"/>
          <w:lang w:bidi="fa-IR"/>
        </w:rPr>
        <w:t xml:space="preserve">» . </w:t>
      </w:r>
      <w:r>
        <w:rPr>
          <w:rStyle w:val="FootnoteAnchor"/>
          <w:rtl w:val="true"/>
        </w:rPr>
        <w:footnoteReference w:id="6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در بحث حدیث در دوران ابوبکر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تحلیل خلیفه اول نشانگر آن است که در میان حدیث‌هایی که خلفا نقل نموده‌اند حدیث‌هایی نیز وجود دارد که آنها نه از شخص پیامبر اکرم صلی الله علیه و آله بلکه از افراد و صحابه دیگر فرا گرفته‌اند؛ بنابر این اگر همان نظر و بینشی را که خلفا نسبت به حدیث‌های خود داشتند محدثانی مانند کلینی هم داشته باشند جای بسی تقدیس و تقدیر است و چنین عملی را نباید بر تعصب حمل نمود</w:t>
      </w:r>
      <w:r>
        <w:rPr>
          <w:rFonts w:eastAsia="IRNazanin" w:cs="IRNazanin"/>
          <w:color w:val="111111"/>
          <w:sz w:val="28"/>
          <w:szCs w:val="28"/>
          <w:rtl w:val="true"/>
          <w:lang w:bidi="fa-IR"/>
        </w:rPr>
        <w:t>.</w:t>
      </w:r>
    </w:p>
    <w:p>
      <w:pPr>
        <w:pStyle w:val="Heading3"/>
        <w:numPr>
          <w:ilvl w:val="2"/>
          <w:numId w:val="1"/>
        </w:numPr>
        <w:rPr/>
      </w:pPr>
      <w:bookmarkStart w:id="614" w:name="__RefHeading___Toc652123_1878427129"/>
      <w:bookmarkStart w:id="615" w:name="_Toc236"/>
      <w:bookmarkEnd w:id="614"/>
      <w:r>
        <w:rPr>
          <w:rtl w:val="true"/>
        </w:rPr>
        <w:t>صاحبان صحاح با دو سؤال مواجه می شوند</w:t>
      </w:r>
      <w:r>
        <w:rPr>
          <w:rtl w:val="true"/>
        </w:rPr>
        <w:t>:</w:t>
      </w:r>
      <w:bookmarkEnd w:id="615"/>
    </w:p>
    <w:p>
      <w:pPr>
        <w:pStyle w:val="BookText"/>
        <w:rPr/>
      </w:pPr>
      <w:r>
        <w:rPr>
          <w:rFonts w:ascii="IRNazanin" w:hAnsi="IRNazanin" w:eastAsia="IRNazanin"/>
          <w:color w:val="111111"/>
          <w:sz w:val="28"/>
          <w:sz w:val="28"/>
          <w:szCs w:val="28"/>
          <w:rtl w:val="true"/>
          <w:lang w:bidi="fa-IR"/>
        </w:rPr>
        <w:t>با توجه به مطالب گذشته و با روشن شدن این موضوع که در صحاح ششگانه حدیث اهل بیتی به حداقل رسیده و در بعضی از افراد اهل بیت حتی یک حدیث هم نقل نگردیده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روشن شدن این موضوع که احادیث خلفای سه گانه در کنار راویان دیگر در حدی محدود و خیلی پایین و گاهی به یک صدم احادیث بعضی از راویان حدیث هم نمی‌رسد، صاحبان صحاح و مسانید با دو سؤال مختلف مواجه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از سوی ما و سؤالی از سوی شما</w:t>
      </w:r>
      <w:r>
        <w:rPr>
          <w:rFonts w:eastAsia="IRNazanin" w:cs="IRNazanin"/>
          <w:color w:val="111111"/>
          <w:sz w:val="28"/>
          <w:szCs w:val="28"/>
          <w:rtl w:val="true"/>
          <w:lang w:bidi="fa-IR"/>
        </w:rPr>
        <w:t xml:space="preserve">. </w:t>
      </w:r>
      <w:bookmarkStart w:id="616" w:name="pg14553_191971"/>
    </w:p>
    <w:p>
      <w:pPr>
        <w:pStyle w:val="BookText"/>
        <w:rPr/>
      </w:pPr>
      <w:bookmarkEnd w:id="616"/>
      <w:r>
        <w:rPr>
          <w:rFonts w:ascii="IRNazanin" w:hAnsi="IRNazanin" w:eastAsia="IRNazanin"/>
          <w:color w:val="111111"/>
          <w:sz w:val="28"/>
          <w:sz w:val="28"/>
          <w:szCs w:val="28"/>
          <w:rtl w:val="true"/>
          <w:lang w:bidi="fa-IR"/>
        </w:rPr>
        <w:t>اما سؤال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همان سؤالی است که در بخش اول این نامه احمد بن حنبل با آن مواجه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محدثین در مورد اهل بیت وظیفۀ خود را انجام نداده‌اند و با توصیه و تأکید رسول خدا صلی الله علیه و آله دربارۀ اهل بیت از نقل حدیث آنان امتناع ورزیده و به جای آن از افرادی مانند سمره و ابوهریره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همه حدیث برای مسلمانان به ارمغان آورده‌اند؟</w:t>
      </w:r>
    </w:p>
    <w:p>
      <w:pPr>
        <w:pStyle w:val="BookText"/>
        <w:rPr/>
      </w:pPr>
      <w:r>
        <w:rPr>
          <w:rFonts w:ascii="IRNazanin" w:hAnsi="IRNazanin" w:eastAsia="IRNazanin"/>
          <w:color w:val="111111"/>
          <w:sz w:val="28"/>
          <w:sz w:val="28"/>
          <w:szCs w:val="28"/>
          <w:rtl w:val="true"/>
          <w:lang w:bidi="fa-IR"/>
        </w:rPr>
        <w:t>زیرا در صحیح مسلم که مقیاسی است برای سایر صحاح و سنن از امیرمؤمنان علیه السلام تعداد سی و دو حدیث و از حضرت زهرا علیها السلام فقط یک حدیث آمده و اما از حسنین دو ریحانه رسول خدا صلی الله علیه و آله حتی یک حدیث مسند و متصل نیز نقل نگردیده است</w:t>
      </w:r>
      <w:r>
        <w:rPr>
          <w:rFonts w:eastAsia="IRNazanin" w:cs="IRNazanin"/>
          <w:color w:val="111111"/>
          <w:sz w:val="28"/>
          <w:szCs w:val="28"/>
          <w:rtl w:val="true"/>
          <w:lang w:bidi="fa-IR"/>
        </w:rPr>
        <w:t xml:space="preserve">. </w:t>
      </w:r>
      <w:r>
        <w:rPr>
          <w:rStyle w:val="FootnoteAnchor"/>
          <w:rtl w:val="true"/>
        </w:rPr>
        <w:footnoteReference w:id="6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در این زمینه توجه جنابعالی را به مطالعه جلد اول سیری در صحیحین جلب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پاسخ صاحبان صحاح در مقابل این سؤال ما همان باشد که در بخش اول و در ذیل پاسخ سؤال اول شما مشروحاً بیان گردید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اختناق و فشار حاکم بر حدیث اهل بیتی در طول تاریخ نه تنها امکان نقل حدیث از اهل بیت وجود نداشت بلکه مقتضیات و شرایط ایجاب می‌نمود حدیث‌هایی بر ضد اهل بیت جعل نموده و این جعلیات و دروغ‌ها را در جامعه ترویج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در صحیح مسلم در کنار پانصد و هشتاد حدیث که از ابوهریره نقل شده است به نقل تعداد سی و دو حدیث از امیرمؤمنان علیه السلام و در کنار صدها و صدها حدیث که از بانوان مختلف نقل شده تنها به نقل یک حدیث از دخت گرامی رسول خدا صلی الله علیه و آله اکتفا گردیده است و از حسن و حسین دو عضو اهل بیت و دو ریحانۀ رسول خدا صلی الله علیه و آله اصلاً اسمی به میان نیامده و حتی یک حدیث مسند و متصل از این دو بزرگوار نقل نشده است معذورمان دارید</w:t>
      </w:r>
      <w:r>
        <w:rPr>
          <w:rFonts w:eastAsia="IRNazanin" w:cs="IRNazanin"/>
          <w:color w:val="111111"/>
          <w:sz w:val="28"/>
          <w:szCs w:val="28"/>
          <w:rtl w:val="true"/>
          <w:lang w:bidi="fa-IR"/>
        </w:rPr>
        <w:t>! !</w:t>
      </w:r>
    </w:p>
    <w:p>
      <w:pPr>
        <w:pStyle w:val="Heading3"/>
        <w:numPr>
          <w:ilvl w:val="2"/>
          <w:numId w:val="1"/>
        </w:numPr>
        <w:rPr/>
      </w:pPr>
      <w:bookmarkStart w:id="617" w:name="__RefHeading___Toc652125_1878427129"/>
      <w:bookmarkStart w:id="618" w:name="_Toc237"/>
      <w:bookmarkEnd w:id="617"/>
      <w:r>
        <w:rPr>
          <w:rtl w:val="true"/>
        </w:rPr>
        <w:t>و اما سؤال حضرتعالی</w:t>
      </w:r>
      <w:r>
        <w:rPr>
          <w:rtl w:val="true"/>
        </w:rPr>
        <w:t>:</w:t>
      </w:r>
      <w:bookmarkEnd w:id="61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سؤال حضرتعالی از صاحبان صحاح همان سؤالی است که در مقابل محدثین شیعه عنوان فرموده‌اید که مثلاً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خلفای سه گانه حدیث نقل </w:t>
      </w:r>
      <w:bookmarkStart w:id="619" w:name="pg14553_191972"/>
    </w:p>
    <w:p>
      <w:pPr>
        <w:pStyle w:val="BookText"/>
        <w:rPr/>
      </w:pPr>
      <w:bookmarkEnd w:id="619"/>
      <w:r>
        <w:rPr>
          <w:rFonts w:ascii="IRNazanin" w:hAnsi="IRNazanin" w:eastAsia="IRNazanin"/>
          <w:color w:val="111111"/>
          <w:sz w:val="28"/>
          <w:sz w:val="28"/>
          <w:szCs w:val="28"/>
          <w:rtl w:val="true"/>
          <w:lang w:bidi="fa-IR"/>
        </w:rPr>
        <w:t>ننموده است؟ آری، اینک همان سؤال از سوی شما با ملایمت نه با احساسات متوجه صاحبان صحاح ششگانه می‌باشد و از آنان می‌پرسید که در مجموعه‌های حدیثی خود چرا از خلفای سه گانه تعداد کم و محدود و گاهی دقیقاً به تعداد انگشتان یک دست حدیث نقل نموده‌اند، اما از راویان عادی و کسانی که به مدت خیلی کم حضور رسول خدا صلی الله علیه و آله را درک نموده‌اند، صدها و هزاران حدیث فراهم آورده‌اند؟ مگر خلفا از ابو هریره و عمرو عاص و از تمیم داری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ضعیف‌ترند؟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خلفا از نظر عقیده و ایمان در مرحلۀ پایین‌تر از سمرة بن جندب و یا حافظه آنان ضعیف‌تر از بعضی از بانوان بود </w:t>
      </w:r>
      <w:r>
        <w:rPr>
          <w:rStyle w:val="FootnoteAnchor"/>
          <w:rtl w:val="true"/>
        </w:rPr>
        <w:footnoteReference w:id="63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مسلم از عایشه ام المؤمنین تعداد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یعنی دقیقاً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حدیث ابوبکر نقل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3"/>
        <w:numPr>
          <w:ilvl w:val="2"/>
          <w:numId w:val="1"/>
        </w:numPr>
        <w:rPr/>
      </w:pPr>
      <w:bookmarkStart w:id="620" w:name="__RefHeading___Toc652127_1878427129"/>
      <w:bookmarkStart w:id="621" w:name="_Toc238"/>
      <w:bookmarkEnd w:id="620"/>
      <w:r>
        <w:rPr>
          <w:rtl w:val="true"/>
        </w:rPr>
        <w:t>پاسخ محدثین و بیان یک حقیقت تلخ</w:t>
      </w:r>
      <w:bookmarkEnd w:id="621"/>
    </w:p>
    <w:p>
      <w:pPr>
        <w:pStyle w:val="BookText"/>
        <w:rPr/>
      </w:pPr>
      <w:r>
        <w:rPr>
          <w:rFonts w:ascii="IRNazanin" w:hAnsi="IRNazanin" w:eastAsia="IRNazanin"/>
          <w:color w:val="111111"/>
          <w:sz w:val="28"/>
          <w:sz w:val="28"/>
          <w:szCs w:val="28"/>
          <w:rtl w:val="true"/>
          <w:lang w:bidi="fa-IR"/>
        </w:rPr>
        <w:t>پاسخ این محدثین و صاحبان صحاح در مقابل سؤال شما این است که نه خلفا را از نظر ایمان و عقیده مانند سمرة و عمرو عاص می‌شناسیم و نه قصد اسائه ادب به ساحت آنان داشته‌ایم؛ بلکه عملکرد ما به علت عدم دسترسی به حدیث خلفا و در اثر ممنوعیت نقل حدیث از ناحیۀ خود آنان و به طور الزامی و اجتناب‌ناپذیر بوده است و حتی نقل این چند حدیث انگشت شمار هم برخلاف دستور صریح آنان انجام گرفته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قسمت دوم سؤال شما که چرا از افرادی مانند ابو هریره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همه حدیث نقل نموده‌ایم این یک واقعیت غیر قابل انکار و در عین حال مبین یک حقیقت تلخ و ناگوار است و انگیزه آن هم خیلی واضح و روشن است زیرا با وجود ممنوعیت نقل و نشر حدیث از ناحیه خلفا و جلوگیری از حدیث اهل بیتی به وسیله حکام، حدیث رسول خدا صلی الله علیه و آله در میان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پیروان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گردیده و بلکه مدتی در بوته فراموشی قرار گرفت و با نیاز مبرم و فوق العاده‌ای که مسلمانان در ابعاد مختلف مذهبی از عقاید و احکام و از توحید و معاد گرفته تا تفسیر قرآن، و تاریخ سرگذشت انبیاء و از جزئیات احکام فقهی در ابعاد وسیعش گرفته تا کیفیت زندگی رسول خدا صلی الله علیه و آله و از سرگذشت اقوام و ملل گذشته گرفته تا آینده جهان اسلام و </w:t>
      </w:r>
      <w:bookmarkStart w:id="622" w:name="pg14553_191973"/>
    </w:p>
    <w:p>
      <w:pPr>
        <w:pStyle w:val="BookText"/>
        <w:rPr/>
      </w:pPr>
      <w:bookmarkEnd w:id="622"/>
      <w:r>
        <w:rPr>
          <w:rFonts w:ascii="IRNazanin" w:hAnsi="IRNazanin" w:eastAsia="IRNazanin"/>
          <w:color w:val="111111"/>
          <w:sz w:val="28"/>
          <w:sz w:val="28"/>
          <w:szCs w:val="28"/>
          <w:rtl w:val="true"/>
          <w:lang w:bidi="fa-IR"/>
        </w:rPr>
        <w:t>بالاخره در تمام برنامه‌های زندگی از بزرگ تا کوچک خود را نیازمند به حدیث رسول خدا صلی الله علیه و آله می‌دیدند و چون به دست آوردن این همه برنامه از احادیث کم و محدود و از محدثین قابل اعتماد موجود امکان‌پذیر نبود، جامعه اسلامی با یک خلأ بزرگ و با یک نیاز شدید مواجه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شرایط است که عده‌ای فرصت طلب و قصه گو برای پر کردن این خلأ و به نام راوی حدیث در صحنه ظاهر گردیدند و مطالب فراوانی را که از اسلام و حدیث رسول خدا صلی الله علیه و آله فاصله زیادی داشت به عنوان حدیث در میان جامعه منتشر نمودند و مسلمانان در اثر همان نیاز شدید از این مطالب استقبال و مانند حدیث واقعی رسول خدا صلی الله علیه و آله با جان و دل پذیرا گردیدند و همین مطالب تدریجاً به نام حدیث صحیح به مجموعه‌های حدیثی منتقل و برای همیشه در میان مسلمانان تثبیت و تحکیم گردید که در این میان نقش حکام را که بخشی از این مطالب ارتباط مستقیم با حکومت آنان داشته نباید نادیده گرفت و اگر آمارگیری صحیح و مقایسه دقیق به عمل آید، خواهیم دید که تعداد این نوع حدیث‌ها در صحاح ششگانه از کثرت قابل توجهی برخوردار است و در این‌جا است که قیافه اسلام دگرگون شده و تعالیم عالیه آن و حقایق آسمانیش که از زبان رسول خدا صلی الله علیه و آله جاری گردیده است به مطالبی که از افکار علمای یهود و نصاری ترشح نموده و از زبان داستان سرایان و افسانه گویان گرفته شده است مبدل می‌گردد</w:t>
      </w:r>
      <w:r>
        <w:rPr>
          <w:rFonts w:eastAsia="IRNazanin" w:cs="IRNazanin"/>
          <w:color w:val="111111"/>
          <w:sz w:val="28"/>
          <w:szCs w:val="28"/>
          <w:rtl w:val="true"/>
          <w:lang w:bidi="fa-IR"/>
        </w:rPr>
        <w:t>.</w:t>
      </w:r>
    </w:p>
    <w:p>
      <w:pPr>
        <w:pStyle w:val="Heading3"/>
        <w:numPr>
          <w:ilvl w:val="2"/>
          <w:numId w:val="1"/>
        </w:numPr>
        <w:rPr/>
      </w:pPr>
      <w:bookmarkStart w:id="623" w:name="__RefHeading___Toc652129_1878427129"/>
      <w:bookmarkStart w:id="624" w:name="_Toc239"/>
      <w:bookmarkEnd w:id="623"/>
      <w:r>
        <w:rPr>
          <w:rtl w:val="true"/>
        </w:rPr>
        <w:t>نمونه هایی از این افسانه ها</w:t>
      </w:r>
      <w:bookmarkEnd w:id="624"/>
    </w:p>
    <w:p>
      <w:pPr>
        <w:pStyle w:val="BookText"/>
        <w:rPr/>
      </w:pPr>
      <w:r>
        <w:rPr>
          <w:rFonts w:ascii="IRNazanin" w:hAnsi="IRNazanin" w:eastAsia="IRNazanin"/>
          <w:color w:val="111111"/>
          <w:sz w:val="28"/>
          <w:sz w:val="28"/>
          <w:szCs w:val="28"/>
          <w:rtl w:val="true"/>
          <w:lang w:bidi="fa-IR"/>
        </w:rPr>
        <w:t>چون بررسی عمیق و گسترده در این نوع حدیث‌ها به وقت کافی نیازمند است، در این فرصت و به تناسب این نامه فقط چند نمونه از این حدیث‌ها را از نظر شریف می‌گذرانیم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هم‌بستر شدن حضرت سلیمان با یکصد همسرش</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در حدیث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نقل نموده است که روزی حضرت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امشب با یکصد تن از همسرانم هم‌بستر خواهم شد که هر یک از </w:t>
      </w:r>
    </w:p>
    <w:p>
      <w:pPr>
        <w:pStyle w:val="BookText"/>
        <w:rPr/>
      </w:pPr>
      <w:r>
        <w:rPr>
          <w:rFonts w:ascii="IRNazanin" w:hAnsi="IRNazanin" w:eastAsia="IRNazanin"/>
          <w:color w:val="111111"/>
          <w:sz w:val="28"/>
          <w:sz w:val="28"/>
          <w:szCs w:val="28"/>
          <w:rtl w:val="true"/>
          <w:lang w:bidi="fa-IR"/>
        </w:rPr>
        <w:t>آنان فرزندی جنگجو به دنیا بیاورد و همه آنان در راه خدا جهاد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که در نزد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سلیمان علیه السلام از گفتن این جمله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تمام همسرانش فقط یکی حامله گردید آن هم جای انسان کامل تکه گوشتی به دنیا آورد</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پنج مورد از صحیح بخاری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کتاب الجهاد،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کتاب النکاح،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کتاب الایمان،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کفارات الایمان،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کتاب التوحید و در صحیح مسلم،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کتاب الایمان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کور شدن عزرائیل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ابوهریره از رسول خدا صلی الله علیه و آله نقل نموده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از طرف خدا مأمور گردید تا به نزد موسی علیه السلام رفته و او را قبض روح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موسی علیه السلام به مقام دفاع برآمده و سیلی محکمی به صورت عزرائیل علیه السلام نواخت که در اثر آن سیلی چشم عزرائیل کور و مجبور به برگشت به سوی خدا گردید و عرضه داشت خدایا مرا به نزد بنده‌ای فرستادی که قصد مردن ندارد</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مسابقه سنگ و موسی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از رسول خدا صلی الله علیه و آله نقل می‌کند که حضرت موسی علیه السلام شخص خجول و باحیایی بود و به همین جهت بدن خویش را آنچنان می‌پوشانید که کسی نتوانسته بود کوچکترین نقطه‌ای از جسم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بنی اسرائیل به شک افتادند و به مقام آزار و اذیت او برآمدند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در بدن او عیبی و مرضی، برص و فتقی وجود دارد که خود را این چنین می‌پوشاند ولی خداوند خواست او را تبرئه کند و لذا روزی در محل خلوتی لباس خود را درآورد و روی قطعه سنگی گذاشت تا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غسل نمودن که خواست لباس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سنگ از جلو او فرار کرد و لباس‌ها را فراری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عصای خویش را به دست گرفت و در پشت سر سنگ می‌دوید و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سنگ لباس‌های مرا، آی سنگ لباس‌های مرا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وضع و با بدن عریان به نزد سران بنی اسرائیل رسید و او را با همین حالت عریان مشاهده </w:t>
      </w:r>
    </w:p>
    <w:p>
      <w:pPr>
        <w:pStyle w:val="BookText"/>
        <w:rPr/>
      </w:pPr>
      <w:r>
        <w:rPr>
          <w:rFonts w:ascii="IRNazanin" w:hAnsi="IRNazanin" w:eastAsia="IRNazanin"/>
          <w:color w:val="111111"/>
          <w:sz w:val="28"/>
          <w:sz w:val="28"/>
          <w:szCs w:val="28"/>
          <w:rtl w:val="true"/>
          <w:lang w:bidi="fa-IR"/>
        </w:rPr>
        <w:t>نمودند و معلوم گردید که در بدن وی هیچ عیب و نقصی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سنگ متوقف و موسی علیه السلام لباس خود را پس گرفت و چون به خشم آمده بود، با عصای خود محکم به سنگ کوبید و به خدا سوگند که چندین اثر ضربه در قطعه سنگ نمایان گردید</w:t>
      </w:r>
      <w:r>
        <w:rPr>
          <w:rFonts w:eastAsia="IRNazanin" w:cs="IRNazanin"/>
          <w:color w:val="111111"/>
          <w:sz w:val="28"/>
          <w:szCs w:val="28"/>
          <w:rtl w:val="true"/>
          <w:lang w:bidi="fa-IR"/>
        </w:rPr>
        <w:t xml:space="preserve">. </w:t>
      </w:r>
      <w:r>
        <w:rPr>
          <w:rStyle w:val="FootnoteAnchor"/>
          <w:rtl w:val="true"/>
        </w:rPr>
        <w:footnoteReference w:id="6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 این حدیث در صحیح بخاری، جلد یک کتاب الغسل 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بدء الخلق و در صحیح مسلم،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جواز الاغتسال عریاناً و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فضائل موسی نقل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و حضور در نماز با جنابت</w:t>
      </w:r>
    </w:p>
    <w:p>
      <w:pPr>
        <w:pStyle w:val="BookText"/>
        <w:rPr/>
      </w:pPr>
      <w:r>
        <w:rPr>
          <w:rFonts w:ascii="IRNazanin" w:hAnsi="IRNazanin" w:eastAsia="IRNazanin"/>
          <w:color w:val="111111"/>
          <w:sz w:val="28"/>
          <w:sz w:val="28"/>
          <w:szCs w:val="28"/>
          <w:rtl w:val="true"/>
          <w:lang w:bidi="fa-IR"/>
        </w:rPr>
        <w:t>ابو 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اقامه نماز گفته شد و صف‌ها منظم گردید و رسول خدا صلی الله علیه و آله برای اقامه نماز جماعت در محراب قرار گرفت و در همین موقع متذکر گردید که جنب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 که در جای خود باشید و صف‌ها را به هم نزنید آن‌گاه به منزل برگشت و در حالی که آب غسل از سر و صورتش می‌ریخت، مجدداً در محراب قرار گرفت و نماز را با آن حضرت به جای آوردیم</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 مگس یا داروی شفابخش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از رسول خدا صلی الله علیه و آله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وقع الذباب فی اناء احدکم فلیغمسه کله ثم لیطرحه فان فی احد جناحیه شفاء وفی الاخر داء</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اگر مگس در ظرف غذای شما افتاد، همه آن را داخل غذا کنید آن‌گاه دور بیاندازید؛ زیرا که در یکی از دو بالش درد است و در دیگری شفا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هریره برای دفع هر گونه شک و تردید از شنونده، این جمله را نیز اضافه نموده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یتقی بالذی فیه الداء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مگس با همان بالی که دارای مرض است از خود دفع خطر می‌کند</w:t>
      </w:r>
      <w:r>
        <w:rPr>
          <w:rFonts w:eastAsia="IRNazanin" w:cs="IRNazanin"/>
          <w:color w:val="111111"/>
          <w:sz w:val="28"/>
          <w:szCs w:val="28"/>
          <w:rtl w:val="true"/>
          <w:lang w:bidi="fa-IR"/>
        </w:rPr>
        <w:t xml:space="preserve">. </w:t>
      </w:r>
      <w:r>
        <w:rPr>
          <w:rStyle w:val="FootnoteAnchor"/>
          <w:rtl w:val="true"/>
        </w:rPr>
        <w:footnoteReference w:id="641"/>
      </w:r>
      <w:bookmarkStart w:id="625" w:name="pg14553_191976"/>
    </w:p>
    <w:p>
      <w:pPr>
        <w:pStyle w:val="BookText"/>
        <w:rPr/>
      </w:pPr>
      <w:bookmarkEnd w:id="625"/>
      <w:r>
        <w:rPr>
          <w:rFonts w:ascii="IRNazanin" w:hAnsi="IRNazanin" w:eastAsia="IRNazanin"/>
          <w:color w:val="111111"/>
          <w:sz w:val="28"/>
          <w:sz w:val="28"/>
          <w:szCs w:val="28"/>
          <w:rtl w:val="true"/>
          <w:lang w:bidi="fa-IR"/>
        </w:rPr>
        <w:t>و این بود نمونه‌هایی از عملکرد و یا معجزه انبیا و نمونه‌ای از یک مسئله بهداشتی مورد ابتلاء که در احادیث ابو هریره منعکس گردیده است و جالب توجه این‌که داستان کور شدن عزرائیل و مسابقه موسی علیه السلام در صحیح مسلم در باب فضائل حضرت موسی و شفا بخش بودن بال مگس در صحیح بخاری و سنن ابن ماجه در کتاب طب و در کنار احادیث مربوط به ادعیه و اغذیه و ادویه شفابخش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هر نوع بحث و اظهارنظر در مضمون این چند حدیث خودداری نموده و قضاوت را به عهده حضرتعالی می‌گذاریم ولی در مجموع می‌توانیم از این فضایل و معجزات و از این طب و بهداشت که در احادیث ابو هریره منعکس گردیده است، به محتوای بقیه </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نیز که در عقاید و احکام و در قصص و تفسیر قرآن نقل نموده است پی ببریم؛ مثلاً، درجۀ صحت حدیث‌های او را در مسئله رؤیت حسی خداوند در آخرت که مورد قبول اکثریت و بلکه همه علمای اهل سنت است ارزیابی کنیم</w:t>
      </w:r>
      <w:r>
        <w:rPr>
          <w:rFonts w:eastAsia="IRNazanin" w:cs="IRNazanin"/>
          <w:color w:val="111111"/>
          <w:sz w:val="28"/>
          <w:szCs w:val="28"/>
          <w:rtl w:val="true"/>
          <w:lang w:bidi="fa-IR"/>
        </w:rPr>
        <w:t>.</w:t>
      </w:r>
    </w:p>
    <w:p>
      <w:pPr>
        <w:pStyle w:val="Heading3"/>
        <w:numPr>
          <w:ilvl w:val="2"/>
          <w:numId w:val="1"/>
        </w:numPr>
        <w:rPr/>
      </w:pPr>
      <w:bookmarkStart w:id="626" w:name="__RefHeading___Toc652131_1878427129"/>
      <w:bookmarkStart w:id="627" w:name="_Toc240"/>
      <w:bookmarkEnd w:id="626"/>
      <w:r>
        <w:rPr>
          <w:rtl w:val="true"/>
        </w:rPr>
        <w:t>کیسه ابو هریره</w:t>
      </w:r>
      <w:bookmarkEnd w:id="627"/>
    </w:p>
    <w:p>
      <w:pPr>
        <w:pStyle w:val="BookText"/>
        <w:rPr/>
      </w:pPr>
      <w:r>
        <w:rPr>
          <w:rFonts w:ascii="IRNazanin" w:hAnsi="IRNazanin" w:eastAsia="IRNazanin"/>
          <w:color w:val="111111"/>
          <w:sz w:val="28"/>
          <w:sz w:val="28"/>
          <w:szCs w:val="28"/>
          <w:rtl w:val="true"/>
          <w:lang w:bidi="fa-IR"/>
        </w:rPr>
        <w:t>خوشبختانه خود ابو هریره محققین و صاحب‌نظران را راهنمایی کرده و بر وجود کیسه‌ای که به تناسب اوضاع و احوال می‌توانست حدیثی از میان آن کیسه نه از رسول خدا صلی الله علیه و آله تحویل بدهد اعتراف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حدیثی از رسول خدا صلی الله علیه و آله دربارۀ نفقات نقل نموده و چون در این حدیث مطالب غیرقابل قبول و تعجب‌انگیز برای شنوندگان وجود داشت، جرئت پیدا کرده و سؤال نمودند که یا ابا هریره این مطلب را واقعاً از رسول خدا صلی الله علیه و آله شنیده‌ای؟</w:t>
      </w:r>
    </w:p>
    <w:p>
      <w:pPr>
        <w:pStyle w:val="BookText"/>
        <w:rPr/>
      </w:pPr>
      <w:r>
        <w:rPr>
          <w:rFonts w:ascii="IRNazanin" w:hAnsi="IRNazanin" w:eastAsia="IRNazanin"/>
          <w:color w:val="111111"/>
          <w:sz w:val="28"/>
          <w:sz w:val="28"/>
          <w:szCs w:val="28"/>
          <w:rtl w:val="true"/>
          <w:lang w:bidi="fa-IR"/>
        </w:rPr>
        <w:t>ابو هریره مجبور شد حقیقتی را که تکیه گاه او بود اظهار نماید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از کیسه ابو هریره بوده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فقالوا أسمعت هذا من رسول اللّه؟ قال لا هذا من کیس ابی هریره </w:t>
      </w:r>
      <w:r>
        <w:rPr>
          <w:rFonts w:eastAsia="IRNazanin" w:cs="IRNazanin"/>
          <w:color w:val="111111"/>
          <w:sz w:val="28"/>
          <w:szCs w:val="28"/>
          <w:rtl w:val="true"/>
          <w:lang w:bidi="fa-IR"/>
        </w:rPr>
        <w:t xml:space="preserve">» . </w:t>
      </w:r>
      <w:r>
        <w:rPr>
          <w:rStyle w:val="FootnoteAnchor"/>
          <w:rtl w:val="true"/>
        </w:rPr>
        <w:footnoteReference w:id="642"/>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 این حدیث را در صحیح بخاری،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النفقات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فرمایید</w:t>
      </w:r>
      <w:r>
        <w:rPr>
          <w:rFonts w:eastAsia="IRNazanin" w:cs="IRNazanin"/>
          <w:color w:val="111111"/>
          <w:sz w:val="28"/>
          <w:szCs w:val="28"/>
          <w:rtl w:val="true"/>
          <w:lang w:bidi="fa-IR"/>
        </w:rPr>
        <w:t>.</w:t>
      </w:r>
      <w:bookmarkStart w:id="628" w:name="pg14553_191977"/>
    </w:p>
    <w:p>
      <w:pPr>
        <w:pStyle w:val="BookText"/>
        <w:rPr/>
      </w:pPr>
      <w:bookmarkEnd w:id="628"/>
      <w:r>
        <w:rPr>
          <w:rFonts w:ascii="IRNazanin" w:hAnsi="IRNazanin" w:eastAsia="IRNazanin"/>
          <w:color w:val="111111"/>
          <w:sz w:val="28"/>
          <w:sz w:val="28"/>
          <w:szCs w:val="28"/>
          <w:rtl w:val="true"/>
          <w:lang w:bidi="fa-IR"/>
        </w:rPr>
        <w:t>و این بود مشروح پاسخ اول و مطالبی در ذیل آن و اما پاسخ دوم یعنی انتخاب نزدیک‌ترین و مطمئن‌ترین طریق نیل به حدیث رسول خدا صلی الله علیه و آله را در صفحات آینده و در پاسخ سؤال سوم مطالعه فرمایید</w:t>
      </w:r>
      <w:r>
        <w:rPr>
          <w:rFonts w:eastAsia="IRNazanin" w:cs="IRNazanin"/>
          <w:color w:val="111111"/>
          <w:sz w:val="28"/>
          <w:szCs w:val="28"/>
          <w:rtl w:val="true"/>
          <w:lang w:bidi="fa-IR"/>
        </w:rPr>
        <w:t>.</w:t>
      </w:r>
    </w:p>
    <w:p>
      <w:pPr>
        <w:pStyle w:val="Heading3"/>
        <w:numPr>
          <w:ilvl w:val="2"/>
          <w:numId w:val="1"/>
        </w:numPr>
        <w:rPr/>
      </w:pPr>
      <w:bookmarkStart w:id="629" w:name="__RefHeading___Toc652133_1878427129"/>
      <w:bookmarkStart w:id="630" w:name="_Toc241"/>
      <w:bookmarkEnd w:id="629"/>
      <w:r>
        <w:rPr>
          <w:rtl w:val="true"/>
        </w:rPr>
        <w:t>سؤال</w:t>
      </w:r>
      <w:r>
        <w:rPr>
          <w:rtl w:val="true"/>
        </w:rPr>
        <w:t xml:space="preserve">: </w:t>
      </w:r>
      <w:r>
        <w:rPr>
          <w:rtl w:val="true"/>
        </w:rPr>
        <w:t>چرا در کافی از فرزندان خلفا حدیث نقل نگردیده است؟</w:t>
      </w:r>
      <w:bookmarkEnd w:id="630"/>
    </w:p>
    <w:p>
      <w:pPr>
        <w:pStyle w:val="Heading4"/>
        <w:numPr>
          <w:ilvl w:val="3"/>
          <w:numId w:val="1"/>
        </w:numPr>
        <w:rPr/>
      </w:pPr>
      <w:bookmarkStart w:id="631" w:name="__RefHeading___Toc652135_1878427129"/>
      <w:bookmarkStart w:id="632" w:name="_Toc242"/>
      <w:bookmarkEnd w:id="631"/>
      <w:r>
        <w:rPr>
          <w:rtl w:val="true"/>
        </w:rPr>
        <w:t>اشارة</w:t>
      </w:r>
      <w:bookmarkEnd w:id="632"/>
    </w:p>
    <w:p>
      <w:pPr>
        <w:pStyle w:val="BookText"/>
        <w:rPr/>
      </w:pPr>
      <w:r>
        <w:rPr>
          <w:rFonts w:ascii="IRNazanin" w:hAnsi="IRNazanin" w:eastAsia="IRNazanin"/>
          <w:color w:val="111111"/>
          <w:sz w:val="28"/>
          <w:sz w:val="28"/>
          <w:szCs w:val="28"/>
          <w:rtl w:val="true"/>
          <w:lang w:bidi="fa-IR"/>
        </w:rPr>
        <w:t>و اما سؤال حضرتعالی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مرحوم کلینی در کافی از فرزندان خلفا حدیث نقل ننموده است؟</w:t>
      </w:r>
    </w:p>
    <w:p>
      <w:pPr>
        <w:pStyle w:val="BookText"/>
        <w:rPr/>
      </w:pPr>
      <w:r>
        <w:rPr>
          <w:rFonts w:ascii="IRNazanin" w:hAnsi="IRNazanin" w:eastAsia="IRNazanin"/>
          <w:color w:val="111111"/>
          <w:sz w:val="28"/>
          <w:sz w:val="28"/>
          <w:szCs w:val="28"/>
          <w:rtl w:val="true"/>
          <w:lang w:bidi="fa-IR"/>
        </w:rPr>
        <w:t>پاسخ اجمالی سؤال شما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رحمه الله با این عمل خود نزدیک‌ترین و مطمئن‌ترین راه وصول به حدیث رسول خدا صلی الله علیه و آله را انتخاب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 تفصیل این پاسخ نیز نیازمند بیان چند مطلب است</w:t>
      </w:r>
      <w:r>
        <w:rPr>
          <w:rFonts w:eastAsia="IRNazanin" w:cs="IRNazanin"/>
          <w:color w:val="111111"/>
          <w:sz w:val="28"/>
          <w:szCs w:val="28"/>
          <w:rtl w:val="true"/>
          <w:lang w:bidi="fa-IR"/>
        </w:rPr>
        <w:t>:</w:t>
      </w:r>
    </w:p>
    <w:p>
      <w:pPr>
        <w:pStyle w:val="Heading4"/>
        <w:numPr>
          <w:ilvl w:val="3"/>
          <w:numId w:val="1"/>
        </w:numPr>
        <w:rPr/>
      </w:pPr>
      <w:bookmarkStart w:id="633" w:name="__RefHeading___Toc652137_1878427129"/>
      <w:bookmarkStart w:id="634" w:name="_Toc243"/>
      <w:bookmarkEnd w:id="633"/>
      <w:r>
        <w:rPr/>
        <w:t>1</w:t>
      </w:r>
      <w:r>
        <w:rPr>
          <w:rtl w:val="true"/>
        </w:rPr>
        <w:t xml:space="preserve">. </w:t>
      </w:r>
      <w:r>
        <w:rPr>
          <w:rtl w:val="true"/>
        </w:rPr>
        <w:t>فرزندان خلفا</w:t>
      </w:r>
      <w:r>
        <w:rPr>
          <w:rtl w:val="true"/>
        </w:rPr>
        <w:t>:</w:t>
      </w:r>
      <w:bookmarkEnd w:id="634"/>
    </w:p>
    <w:p>
      <w:pPr>
        <w:pStyle w:val="BookText"/>
        <w:rPr/>
      </w:pPr>
      <w:r>
        <w:rPr>
          <w:rFonts w:ascii="IRNazanin" w:hAnsi="IRNazanin" w:eastAsia="IRNazanin"/>
          <w:color w:val="111111"/>
          <w:sz w:val="28"/>
          <w:sz w:val="28"/>
          <w:szCs w:val="28"/>
          <w:rtl w:val="true"/>
          <w:lang w:bidi="fa-IR"/>
        </w:rPr>
        <w:t xml:space="preserve">لابد منظور حضرتعالی از فرزندان خلفا عایشه و حفصه، اُم المؤمنین، و عبداللّه و اسماء می‌باشد زیرا تا آن‌جا که ما بررسی نمودیم از فرزندان خلفا به جز از طریق این چهار تن از سایرین حدیث مسند و متصل از رسول خدا صلی الله علیه و آله نقل نگردیده است و مجموع احادیث آنان در صحیح مسلم به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بالغ گردیده است</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عایشه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اسماء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حفصه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Heading4"/>
        <w:numPr>
          <w:ilvl w:val="3"/>
          <w:numId w:val="1"/>
        </w:numPr>
        <w:rPr/>
      </w:pPr>
      <w:bookmarkStart w:id="635" w:name="__RefHeading___Toc652139_1878427129"/>
      <w:bookmarkStart w:id="636" w:name="_Toc244"/>
      <w:bookmarkEnd w:id="635"/>
      <w:r>
        <w:rPr/>
        <w:t>2</w:t>
      </w:r>
      <w:r>
        <w:rPr>
          <w:rtl w:val="true"/>
        </w:rPr>
        <w:t xml:space="preserve">. </w:t>
      </w:r>
      <w:r>
        <w:rPr>
          <w:rtl w:val="true"/>
        </w:rPr>
        <w:t>حدیث عالی السند و نازل السند</w:t>
      </w:r>
      <w:r>
        <w:rPr>
          <w:rtl w:val="true"/>
        </w:rPr>
        <w:t>:</w:t>
      </w:r>
      <w:bookmarkEnd w:id="636"/>
    </w:p>
    <w:p>
      <w:pPr>
        <w:pStyle w:val="BookText"/>
        <w:rPr/>
      </w:pPr>
      <w:r>
        <w:rPr>
          <w:rFonts w:ascii="IRNazanin" w:hAnsi="IRNazanin" w:eastAsia="IRNazanin"/>
          <w:color w:val="111111"/>
          <w:sz w:val="28"/>
          <w:sz w:val="28"/>
          <w:szCs w:val="28"/>
          <w:rtl w:val="true"/>
          <w:lang w:bidi="fa-IR"/>
        </w:rPr>
        <w:t>در علم درایة الحدیث اصطلاحی وجود دارد به نام حدیث عالی و حدیث نازل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عالی به حدیثی گفته می‌شود که در عین اتصال، دارای واسطه و سند کم باشد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حدیث نازل بر عکس، حدیثی است که واسطه و سند آن بیشتر است و احادیث عالی از نظر محدثین دارای ارزش بیشتر و اهمیت فوق العاده می‌باشد؛ زیرا هر حدیثی که سندش عالی باشد و با واسطه کم به معصوم برسد در چنین حدیث، مسلماً </w:t>
      </w:r>
      <w:bookmarkStart w:id="637" w:name="pg14553_191978"/>
    </w:p>
    <w:p>
      <w:pPr>
        <w:pStyle w:val="BookText"/>
        <w:rPr/>
      </w:pPr>
      <w:bookmarkEnd w:id="637"/>
      <w:r>
        <w:rPr>
          <w:rFonts w:ascii="IRNazanin" w:hAnsi="IRNazanin" w:eastAsia="IRNazanin"/>
          <w:color w:val="111111"/>
          <w:sz w:val="28"/>
          <w:sz w:val="28"/>
          <w:szCs w:val="28"/>
          <w:rtl w:val="true"/>
          <w:lang w:bidi="fa-IR"/>
        </w:rPr>
        <w:t xml:space="preserve">احتمال فراموشی و نقل به معنی و سایر احتمالاًت دیگر که موجب تضعیف حدیث است کمتر بوده و از قوت بیشتری برخوردار خواهد گردید و از این‌جا است که علما و محدثین شیعه و اهل سنت این نوع حدیث‌ها را جمع آوری و در مجموعه‌های مستقل و جداگانه نقل نموده‌اند و در اصطلاح محدثین شیعه این مجموعه‌ها قرب الاسناد و در میان محدثین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شده‌اند</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کشف الظنون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به عنوان عوالی از محدثین اهل سنت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به عنوان قرب الاسناد از محدثین شیعه معرفی شده است</w:t>
      </w:r>
      <w:r>
        <w:rPr>
          <w:rFonts w:eastAsia="IRNazanin" w:cs="IRNazanin"/>
          <w:color w:val="111111"/>
          <w:sz w:val="28"/>
          <w:szCs w:val="28"/>
          <w:rtl w:val="true"/>
          <w:lang w:bidi="fa-IR"/>
        </w:rPr>
        <w:t>.</w:t>
      </w:r>
    </w:p>
    <w:p>
      <w:pPr>
        <w:pStyle w:val="Heading4"/>
        <w:numPr>
          <w:ilvl w:val="3"/>
          <w:numId w:val="1"/>
        </w:numPr>
        <w:rPr/>
      </w:pPr>
      <w:bookmarkStart w:id="638" w:name="__RefHeading___Toc652141_1878427129"/>
      <w:bookmarkStart w:id="639" w:name="_Toc245"/>
      <w:bookmarkEnd w:id="638"/>
      <w:r>
        <w:rPr/>
        <w:t>3</w:t>
      </w:r>
      <w:r>
        <w:rPr>
          <w:rtl w:val="true"/>
        </w:rPr>
        <w:t xml:space="preserve">. </w:t>
      </w:r>
      <w:r>
        <w:rPr>
          <w:rtl w:val="true"/>
        </w:rPr>
        <w:t>کلینی و انتخاب حدیث‌های عالی السند</w:t>
      </w:r>
      <w:bookmarkEnd w:id="639"/>
    </w:p>
    <w:p>
      <w:pPr>
        <w:pStyle w:val="BookText"/>
        <w:rPr/>
      </w:pPr>
      <w:r>
        <w:rPr>
          <w:rFonts w:ascii="IRNazanin" w:hAnsi="IRNazanin" w:eastAsia="IRNazanin"/>
          <w:color w:val="111111"/>
          <w:sz w:val="28"/>
          <w:sz w:val="28"/>
          <w:szCs w:val="28"/>
          <w:rtl w:val="true"/>
          <w:lang w:bidi="fa-IR"/>
        </w:rPr>
        <w:t>مرحوم کلینی در کافی معمولاً احادیث را با چهار یا پنج واسطه از یکی از ائمه علیهم السلام نقل می‌کند و اگر می‌خواست همین حدیث‌ها را از یکی از خلفا و یا فرزندان‌شان نقل کند، به دو برابر واسطه نیازمند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کلینی که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با ائمه هدی علیهم السلام دارای فاصله زمانی کم می‌باشد، مثلاً، با حضرت رضا و با امام صادق علیهما السلام به ترتیب یکصد و بیست و پنج و یکصد و هشتاد سال فاصله زمانی دارد</w:t>
      </w:r>
      <w:r>
        <w:rPr>
          <w:rFonts w:eastAsia="IRNazanin" w:cs="IRNazanin"/>
          <w:color w:val="111111"/>
          <w:sz w:val="28"/>
          <w:szCs w:val="28"/>
          <w:rtl w:val="true"/>
          <w:lang w:bidi="fa-IR"/>
        </w:rPr>
        <w:t xml:space="preserve">.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در صورتی که این فاصله در مورد فرزندان خلفا مثلاً عایشه و عبداللّه بن عمر دویست و هفتاد و دویست و پنجاه و شش سال یعنی بیش از دو برابر فاصله زمانی یاد شده می‌باشد</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و به همین نسبت سند حدیث، طولانی و تعداد ناقلین آن به بیش از دو برابر و به جای پنج نفر به ده تا دوازده نفر مخصوصاً در مورد خود خلفا ارتقاء می‌یابد</w:t>
      </w:r>
      <w:r>
        <w:rPr>
          <w:rFonts w:eastAsia="IRNazanin" w:cs="IRNazanin"/>
          <w:color w:val="111111"/>
          <w:sz w:val="28"/>
          <w:szCs w:val="28"/>
          <w:rtl w:val="true"/>
          <w:lang w:bidi="fa-IR"/>
        </w:rPr>
        <w:t>.</w:t>
      </w:r>
    </w:p>
    <w:p>
      <w:pPr>
        <w:pStyle w:val="Heading4"/>
        <w:numPr>
          <w:ilvl w:val="3"/>
          <w:numId w:val="1"/>
        </w:numPr>
        <w:rPr/>
      </w:pPr>
      <w:bookmarkStart w:id="640" w:name="__RefHeading___Toc652143_1878427129"/>
      <w:bookmarkStart w:id="641" w:name="_Toc246"/>
      <w:bookmarkEnd w:id="640"/>
      <w:r>
        <w:rPr/>
        <w:t>4</w:t>
      </w:r>
      <w:r>
        <w:rPr>
          <w:rtl w:val="true"/>
        </w:rPr>
        <w:t xml:space="preserve">. </w:t>
      </w:r>
      <w:r>
        <w:rPr>
          <w:rtl w:val="true"/>
        </w:rPr>
        <w:t>حدیث مطمئن و حدیث مطمئن‌تر</w:t>
      </w:r>
      <w:r>
        <w:rPr>
          <w:rtl w:val="true"/>
        </w:rPr>
        <w:t>:</w:t>
      </w:r>
      <w:bookmarkEnd w:id="64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مهم این‌که خلفا و فرزندان‌شان را نه شما معصوم از خطا و اشتباه می‌دانید و نه خودشان، پس این سؤال همیشه وجود دارد که آیا آنان در نسبت منقولات خود به رسول خدا صلی الله علیه و آله علم و یقین داشتند؟ و یا این‌که در همه آنها این احتمال قوی وجود دارد همان پاسخ را بگویند که خلیفه اول به دخترش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می‌ترسم در میان این </w:t>
      </w:r>
      <w:bookmarkStart w:id="642" w:name="pg14553_191979"/>
    </w:p>
    <w:p>
      <w:pPr>
        <w:pStyle w:val="BookText"/>
        <w:rPr/>
      </w:pPr>
      <w:bookmarkEnd w:id="642"/>
      <w:r>
        <w:rPr>
          <w:rFonts w:ascii="IRNazanin" w:hAnsi="IRNazanin" w:eastAsia="IRNazanin"/>
          <w:color w:val="111111"/>
          <w:sz w:val="28"/>
          <w:sz w:val="28"/>
          <w:szCs w:val="28"/>
          <w:rtl w:val="true"/>
          <w:lang w:bidi="fa-IR"/>
        </w:rPr>
        <w:t>احادیث حدیث‌هایی وجود داشته باشد که من فکر می‌کنم از رسول خدا صلی الله علیه و آله شنیده‌ام ولی در واقع از کسان دیگر دریافت کرده باشم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در مورد ائمه هدی علیهم السلام ما کوچکترین تردیدی نداریم که اگر روایتی از آنان نقل شده باشد که سند آن صحیح و اتصال آن به یکی از آنها مسلم باشد این حدیث گفتار رسول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ائمه علیهم السلام نیز این موضوع را با صراحت کامل و عقیده راسخ اعلان نموده‌اند که حدیث ما حدیث رسول خدا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نه تنها کلینی رحمه الله بلکه هیچ محدثی اعم از شیعه و اهل سنت حاضر نیست حدیث عالی السندی را که با پنج واسطه به رسول خدا صلی الله علیه و آله می‌رسد ترک نموده و حدیث نازل السندی را که با ده واسطه به مروی عنه می‌رسد نقل نماید مگر با مرجحات قوی که نزول سند را جبران کند و در مورد بحث چنین مرجحی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به فرض انتخاب چنین روش و نقل حدیث نازل با وجود حدیث عالی هیچ محدثی حاضر نیست حدیث مطمئن‌تر را که به معصوم می‌رسد ترک و حدیث دیگری را که به غیر معصوم می‌رسد ولو مطمئن است نقل نماید؛ بنابر این مرحوم کلینی با انتخاب این روش نزدیک‌ترین و مطمئن‌ترین راه را در نیل به حدیث رسول خدا صلی الله علیه و آله اختیار نموده است و انتخاب این روش برای هر محدث دیگر اعم از محدث شیعه و اهل سنت از نظر علمی ضروری و اجتناب‌ناپذیر می‌باشد</w:t>
      </w:r>
      <w:r>
        <w:rPr>
          <w:rFonts w:eastAsia="IRNazanin" w:cs="IRNazanin"/>
          <w:color w:val="111111"/>
          <w:sz w:val="28"/>
          <w:szCs w:val="28"/>
          <w:rtl w:val="true"/>
          <w:lang w:bidi="fa-IR"/>
        </w:rPr>
        <w:t>.</w:t>
      </w:r>
    </w:p>
    <w:p>
      <w:pPr>
        <w:pStyle w:val="Heading3"/>
        <w:numPr>
          <w:ilvl w:val="2"/>
          <w:numId w:val="1"/>
        </w:numPr>
        <w:rPr/>
      </w:pPr>
      <w:bookmarkStart w:id="643" w:name="__RefHeading___Toc652145_1878427129"/>
      <w:bookmarkStart w:id="644" w:name="_Toc247"/>
      <w:bookmarkEnd w:id="643"/>
      <w:r>
        <w:rPr>
          <w:rtl w:val="true"/>
        </w:rPr>
        <w:t>نکته قابل توجه</w:t>
      </w:r>
      <w:r>
        <w:rPr>
          <w:rtl w:val="true"/>
        </w:rPr>
        <w:t>!</w:t>
      </w:r>
      <w:bookmarkEnd w:id="64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باید به این نکته توجه نمود که اگر ما از محور سؤال شما که منحصراً کتاب کافی است فراتر برویم و در مورد سایر جوامع حدیثی و منابع تفسیری شیعه بحث کنیم، پاسخ ما این است که در این جوامع و منابع احادیث فراوان از طریق راویان اهل سنت و خصوصاً عایشه و عبداللّه بن عمر و حتی خلفای سه گانه با قلت حدیث‌شان نقل گردیده است، زیرا شرایط و محدودیت احادیث کافی در آنها وجود نداشته است</w:t>
      </w:r>
      <w:r>
        <w:rPr>
          <w:rFonts w:eastAsia="IRNazanin" w:cs="IRNazanin"/>
          <w:color w:val="111111"/>
          <w:sz w:val="28"/>
          <w:szCs w:val="28"/>
          <w:rtl w:val="true"/>
          <w:lang w:bidi="fa-IR"/>
        </w:rPr>
        <w:t xml:space="preserve">. </w:t>
      </w:r>
      <w:bookmarkStart w:id="645" w:name="pg14553_191980"/>
    </w:p>
    <w:p>
      <w:pPr>
        <w:pStyle w:val="Heading3"/>
        <w:numPr>
          <w:ilvl w:val="2"/>
          <w:numId w:val="1"/>
        </w:numPr>
        <w:rPr/>
      </w:pPr>
      <w:bookmarkStart w:id="646" w:name="__RefHeading___Toc652147_1878427129"/>
      <w:bookmarkStart w:id="647" w:name="_Toc248"/>
      <w:bookmarkEnd w:id="645"/>
      <w:bookmarkEnd w:id="646"/>
      <w:r>
        <w:rPr>
          <w:rtl w:val="true"/>
        </w:rPr>
        <w:t>صحابه از دیدگاه شیعه و اهل سنت</w:t>
      </w:r>
      <w:bookmarkEnd w:id="647"/>
    </w:p>
    <w:p>
      <w:pPr>
        <w:pStyle w:val="BookText"/>
        <w:rPr/>
      </w:pPr>
      <w:r>
        <w:rPr>
          <w:rFonts w:ascii="IRNazanin" w:hAnsi="IRNazanin" w:eastAsia="IRNazanin"/>
          <w:color w:val="111111"/>
          <w:sz w:val="28"/>
          <w:sz w:val="28"/>
          <w:szCs w:val="28"/>
          <w:rtl w:val="true"/>
          <w:lang w:bidi="fa-IR"/>
        </w:rPr>
        <w:t>گر چه مطالب گذشته در پاسخ بخش دوم و سوم سؤال حضرتعالی کافی به نظر می‌رسد، اما به لحاظ این‌که یکی از مطالب بی اساس و نسبت‌های ناروایی که در طول تاریخ مطرح گردیده و از تهمت‌های بزرگی که بر ضد شیعه به کار گرفته شده و حول محور آن تبلیغ شده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همه صحابه را مورد طعن قرار داده و به حدیث هیچ یک از آنان اعتماد نمی‌کند لذا این موضوع را نه در حد وسیع و گسترده بلکه به طور اجمال و خلاصه و متناسب با این نامه مطرح می‌نماییم؛ زیرا این بینش خلاف واقع و این قضاوت نادرست، تبعات و آثار زیانبار و ضایعات جبران‌ناپذیری به همراه داشته و به صورت حربه‌ای شکننده در ضربه زدن به اسلام در دست دشمنان قرار گرفته است و شاید سؤال حضرتعالی نیز به طور ناخودآگاه در اثر همین تبلیغ به وجود آمده و از همان پندار بی‌اساس ریشه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طوری که در مقدمه اشاره گردید، بهترین راه مأیوس نمودن دشمنان اسلام و از بین بردن فاصله و اختلاف در صفوف فشرده و به هم‌پیوسته مسلمانان آگاه نمودن آنها است و همان‌گونه که برنده‌ترین حربه دشمنان و کاری‌ترین سلاح پیروزی آنان در راه اهداف شوم‌شان جمود فکری و بی‌اطلاعی یک گروه از مسلمان‌ها از حقیقت نظرات گروه دیگر است مهم‌ترین وظیفه علما نیز خلع سلاح کردن دشمنان از راه بیان واقعیات و روشن ساختن اندیشه و افکار مسلمین است و بر اساس علم و آگاهی و منطق صحیح است که می‌توان به پی‌ریزی کاخ محکم و زیبای اتحاد و یگانگی و ایجاد سد نفوذناپذیر اخوت و برادری امیدوار و مطمئن گردید</w:t>
      </w:r>
      <w:r>
        <w:rPr>
          <w:rFonts w:eastAsia="IRNazanin" w:cs="IRNazanin"/>
          <w:color w:val="111111"/>
          <w:sz w:val="28"/>
          <w:szCs w:val="28"/>
          <w:rtl w:val="true"/>
          <w:lang w:bidi="fa-IR"/>
        </w:rPr>
        <w:t>.</w:t>
      </w:r>
    </w:p>
    <w:p>
      <w:pPr>
        <w:pStyle w:val="Heading3"/>
        <w:numPr>
          <w:ilvl w:val="2"/>
          <w:numId w:val="1"/>
        </w:numPr>
        <w:rPr/>
      </w:pPr>
      <w:bookmarkStart w:id="648" w:name="__RefHeading___Toc652149_1878427129"/>
      <w:bookmarkStart w:id="649" w:name="_Toc249"/>
      <w:bookmarkEnd w:id="648"/>
      <w:r>
        <w:rPr>
          <w:rtl w:val="true"/>
        </w:rPr>
        <w:t>سه نظریه متمایز</w:t>
      </w:r>
      <w:r>
        <w:rPr>
          <w:rtl w:val="true"/>
        </w:rPr>
        <w:t>:</w:t>
      </w:r>
      <w:bookmarkEnd w:id="649"/>
    </w:p>
    <w:p>
      <w:pPr>
        <w:pStyle w:val="BookText"/>
        <w:rPr/>
      </w:pPr>
      <w:r>
        <w:rPr>
          <w:rFonts w:ascii="IRNazanin" w:hAnsi="IRNazanin" w:eastAsia="IRNazanin"/>
          <w:color w:val="111111"/>
          <w:sz w:val="28"/>
          <w:sz w:val="28"/>
          <w:szCs w:val="28"/>
          <w:rtl w:val="true"/>
          <w:lang w:bidi="fa-IR"/>
        </w:rPr>
        <w:t>در مورد صحابه سه عقیده مختلف و سه نظریه متمایز وجود دارد و یا سه نظریه متمایز متصور است بدین ترتیب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صحابه بدون استثناء عادل هستند و هیچ گناه و عمل ناشایستی را مرتکب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صحابه با داشتن بزرگ‌ترین افتخارات که نیل به دیدار رسول خدا صلی الله علیه و آله است از </w:t>
      </w:r>
      <w:bookmarkStart w:id="650" w:name="pg14553_191981"/>
    </w:p>
    <w:p>
      <w:pPr>
        <w:pStyle w:val="BookText"/>
        <w:rPr/>
      </w:pPr>
      <w:bookmarkEnd w:id="650"/>
      <w:r>
        <w:rPr>
          <w:rFonts w:ascii="IRNazanin" w:hAnsi="IRNazanin" w:eastAsia="IRNazanin"/>
          <w:color w:val="111111"/>
          <w:sz w:val="28"/>
          <w:sz w:val="28"/>
          <w:szCs w:val="28"/>
          <w:rtl w:val="true"/>
          <w:lang w:bidi="fa-IR"/>
        </w:rPr>
        <w:t>نظر فکر و عمل مانند سایر مسلمانان هستند و ممکن است در میان آنان افراد عادل و افراد غیر عادل هر دو وجود داشته باشد که نیکانشان به پاداش نیکی و عمل صالح خود نائل و افراد خطاکار در مقابل معصیت و گناهشان مجازات خواهند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و مرتد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عقیدۀ خطرناک و کفرآمیز در صورتی که واقعیت داشته باشد، عقیدۀ کسانی است که از اسلام خارج گردیده‌اند و چنین مطلبی که مخالف با نص قرآن و سنت و مخالف با اجماع مسلمین است به جز بر زبان و قلم شخص کافر و دور از اسلام جاری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سه نظریه و سه بینش متمایز و مختلف دربارۀ صحابه ممکن و محتمل است و مسلماً همه یا بعضی از آنها در خارج نیز طرفدارانی دارند و باید قدری تأمل و بررسی نمود که آیا کدام یک از این نظرات سه گانه می‌تواند به واقع نزدیک‌تر و مطابق با قرآن و سنت و قابل قبول علم و عقل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قول سوم همان‌گونه که اشاره نمودیم از نظر قرآن و سنت محکوم و از نظر همه مسلمانان باطل و مردود است و کسی به جز دشمنان اسلام نمی‌تواند دارای چنین عقیده‌ای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طوری که در صفحات آینده ملاحظه خواهید فرمود اصلاً وجود چنین عقیده‌ای جای سؤال و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به عدالت همه صحابه که بی شباهت به ادعای یک نوع عصمت بر همه صحابه نمی‌باشد، با موازین علمی و حقایق قرآنی و حدیثی و با واقعیات تاریخی سازگار نیست؛ در نتیجه باید قول دوم را پذیرفت که راه وسط و دور از افراط و تفریط و مورد تأیید قرآن و سنت است و آن عقیده شیعه است که برای صحابه نسبت به عقیده و ایمان و به اندازۀ اعمال و افکارشان ارج و اعتبار قائل است</w:t>
      </w:r>
      <w:r>
        <w:rPr>
          <w:rFonts w:eastAsia="IRNazanin" w:cs="IRNazanin"/>
          <w:color w:val="111111"/>
          <w:sz w:val="28"/>
          <w:szCs w:val="28"/>
          <w:rtl w:val="true"/>
          <w:lang w:bidi="fa-IR"/>
        </w:rPr>
        <w:t>.</w:t>
      </w:r>
    </w:p>
    <w:p>
      <w:pPr>
        <w:pStyle w:val="Heading3"/>
        <w:numPr>
          <w:ilvl w:val="2"/>
          <w:numId w:val="1"/>
        </w:numPr>
        <w:rPr/>
      </w:pPr>
      <w:bookmarkStart w:id="651" w:name="__RefHeading___Toc652151_1878427129"/>
      <w:bookmarkStart w:id="652" w:name="_Toc250"/>
      <w:bookmarkEnd w:id="651"/>
      <w:r>
        <w:rPr>
          <w:rtl w:val="true"/>
        </w:rPr>
        <w:t>نظریه اهل سنت</w:t>
      </w:r>
      <w:r>
        <w:rPr>
          <w:rtl w:val="true"/>
        </w:rPr>
        <w:t>:</w:t>
      </w:r>
      <w:bookmarkEnd w:id="65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نظر شیعه را در این مورد توضیح بدهیم به بیان عقیده و نظریۀ اهل سنت از زبان چند تن از علما و دانشمندان‌شان می‌پردازیم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 حاتم رازی امام و پیشوای 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و تعدیل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دانشمند رجال‌شناس در مورد صحابه پس از بیان مفصل و گفتار مشروح چنین نتیجه‌گیری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فکانوا عدول الامة وائمة الهدی وحجج الدین ونقلة الکتاب والسنة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صحابه عدول امت، رهبران هدایت، حجت‌های خدا در آئین و ناقلان کتاب و سنت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در مقدمه استیعاب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عدالة جمیعهم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همه صحابه ثابت و مسلم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اهمیت و لزوم شناخت راویان حدیث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والصحابه یشارکون فی ذلک الا الجرح والتعدیل فانهم کلهم عدول لا یتطرق الیهم الجرح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آنچه گفته شد صحابه رسول خدا صلی الله علیه و آله با سایر راویان حدیث شریک هستند مگر در جرح و انتقاد؛ زیرا همه صحابه عادل هستند و هیچ نقد و انتقادی بر آنان راه ندارد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 حجر عسقلانی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اتفق اهل السنه علی ان الجمیع عدول ولم یخالف فی ذلک الاشذ من المبتدعة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اهل سنت متفق القول هستند که همه صحابه عادل می‌باشند و در این عقیده مخالفی وجود ندارد، به جز عده معدود از افراد بدعت گذار منحرف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ابن حجر مکی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آنچه که اهل سنت و جماعت بر آن اجماع و اتفاق دارند، این است که بر هر مسلمانی واجب است همه صحابه را از راه اثبات عدالت آنان تزکیه نموده و به نیکی یاد نماید و از طعن و انتقاد نسبت به آنان خودداری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عبدالرحمان بن أبی حاتم رازی متوفای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ق بزرگ‌ترین شخصیت علمی است که در تفسیر و حدیث دارای‌تألیفاتی بوده و در رجال‌شناسی معروفیت بیشتری دارد و کتاب او در معرفی و نقد رجال و ناقلان حدیث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تدوین و پس از گذشت یازده قرن امروز هم در میان علما دست به دست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روشنی به مقام علمی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الجرح والتعدیل،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الاستیعاب فی معرفة الاصحاب تألیف حافظ محدث یوسف بن عبدالبر متوفای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 الغابه فی معرفة الصحابه تألیف عز الدین محمد بن الجزری معروف به ابن اثیر متوفای </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الاصابه فی تمییز الصحابه تألیف ابن حجر عسقلانی متوفای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bookmarkStart w:id="653" w:name="pg14553_191983"/>
    </w:p>
    <w:p>
      <w:pPr>
        <w:pStyle w:val="BookText"/>
        <w:rPr/>
      </w:pPr>
      <w:bookmarkEnd w:id="653"/>
      <w:r>
        <w:rPr>
          <w:rFonts w:ascii="IRNazanin" w:hAnsi="IRNazanin" w:eastAsia="IRNazanin"/>
          <w:color w:val="111111"/>
          <w:sz w:val="28"/>
          <w:sz w:val="28"/>
          <w:szCs w:val="28"/>
          <w:rtl w:val="true"/>
          <w:lang w:bidi="fa-IR"/>
        </w:rPr>
        <w:t>نماید؛ زیرا خداوند در آیات متعدد آنان را تعریف و توصیف نموده است</w:t>
      </w:r>
      <w:r>
        <w:rPr>
          <w:rFonts w:eastAsia="IRNazanin" w:cs="IRNazanin"/>
          <w:color w:val="111111"/>
          <w:sz w:val="28"/>
          <w:szCs w:val="28"/>
          <w:rtl w:val="true"/>
          <w:lang w:bidi="fa-IR"/>
        </w:rPr>
        <w:t xml:space="preserve">. </w:t>
      </w:r>
      <w:r>
        <w:rPr>
          <w:rStyle w:val="FootnoteAnchor"/>
          <w:rtl w:val="true"/>
        </w:rPr>
        <w:footnoteReference w:id="6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اجمالی از نظریه چند تن از علمای اهل سنت دربارۀ صحابه و اگر گفتار همه علمای بزرگ را در این مورد بیاوریم کتاب بزرگ و مستقلی تشکیل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نظریه و مبنا است که موجب پیدایش حدیث‌های افرادی مانند سمره و عمرو عاص گردیده و ده‌ها افراد شناخته شده و ناشناس از زن و مرد را که در بخش اول این نامه اشاره گردید در ردیف ناقلان حدیث قرار داده و حدیث همۀ آنان به عنوان حدیث صحیح معرفی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اهل سنت بر نظریه خویش از آیات و احادیث دلائلی ذکر نموده‌اند ولی چون هدف اصلی بیان نظریه شیعه است از نقل و بررسی دلائل علمای اهل سنت صرف نظر نموده و توجه حضرت عالی را به اصل مطلب جلب می‌نماییم</w:t>
      </w:r>
      <w:r>
        <w:rPr>
          <w:rFonts w:eastAsia="IRNazanin" w:cs="IRNazanin"/>
          <w:color w:val="111111"/>
          <w:sz w:val="28"/>
          <w:szCs w:val="28"/>
          <w:rtl w:val="true"/>
          <w:lang w:bidi="fa-IR"/>
        </w:rPr>
        <w:t>.</w:t>
      </w:r>
    </w:p>
    <w:p>
      <w:pPr>
        <w:pStyle w:val="Heading3"/>
        <w:numPr>
          <w:ilvl w:val="2"/>
          <w:numId w:val="1"/>
        </w:numPr>
        <w:rPr/>
      </w:pPr>
      <w:bookmarkStart w:id="654" w:name="__RefHeading___Toc652153_1878427129"/>
      <w:bookmarkStart w:id="655" w:name="_Toc251"/>
      <w:bookmarkEnd w:id="654"/>
      <w:r>
        <w:rPr>
          <w:rtl w:val="true"/>
        </w:rPr>
        <w:t>شیعه دوستداران صحابه رحمهم الله</w:t>
      </w:r>
      <w:bookmarkEnd w:id="655"/>
    </w:p>
    <w:p>
      <w:pPr>
        <w:pStyle w:val="BookText"/>
        <w:rPr/>
      </w:pPr>
      <w:r>
        <w:rPr>
          <w:rFonts w:ascii="IRNazanin" w:hAnsi="IRNazanin" w:eastAsia="IRNazanin"/>
          <w:color w:val="111111"/>
          <w:sz w:val="28"/>
          <w:sz w:val="28"/>
          <w:szCs w:val="28"/>
          <w:rtl w:val="true"/>
          <w:lang w:bidi="fa-IR"/>
        </w:rPr>
        <w:t>شیعه آن گروه از صحابه رسول خدا صلی الله علیه و آله را که در راه او جانفشانی کرده و برای اعتلای کلمه توحید فداکاری نموده‌اند مخلصانه و از ته دل دوست داشته و به وجود آنان افتخار می‌کند و زیارت قبر آنها را از مستحبات دانسته و آنان را در قبول شدن حوایج و خواسته‌ها به پیشگاه خدا شفیع قرار می‌دهد و این محبت و دوستی را به صورت درسی از ائمه و پیشوایان خود فرا گرفته است و نمونه‌ای از این درس در صحیفه سجادیه که به نام زبور آل محمد شهرت یافته منعکس گردیده است که امام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را این‌چنین دعا می‌کند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به خصوص صحابه و یاران محمد صلی الله علیه و آله آنانکه به او یاری کردند و یاری او را نیکو به پایان بردند و در راه ایمان به سوی او شتافتند و در پذیرفتن آئینش بر دیگران سبقت جستند و دعوت او را به هنگامی که رسالتش را با دلائل به گوششان رسانید، پذیرا گردیدند و جدایی از زن و فرزند را در راه آشکار ساختن دعوتش تحمل نمودند و برای تثبیت نبوتش با پدران و </w:t>
      </w:r>
      <w:bookmarkStart w:id="656" w:name="pg14553_191984"/>
    </w:p>
    <w:p>
      <w:pPr>
        <w:pStyle w:val="BookText"/>
        <w:rPr/>
      </w:pPr>
      <w:bookmarkEnd w:id="656"/>
      <w:r>
        <w:rPr>
          <w:rFonts w:ascii="IRNazanin" w:hAnsi="IRNazanin" w:eastAsia="IRNazanin"/>
          <w:color w:val="111111"/>
          <w:sz w:val="28"/>
          <w:sz w:val="28"/>
          <w:szCs w:val="28"/>
          <w:rtl w:val="true"/>
          <w:lang w:bidi="fa-IR"/>
        </w:rPr>
        <w:t>فرزندان خویش جنگیدند و به برکت وجود او پیروز شدند، آنانکه محبت او را به صورت تجارتی که ضرری به آن راه ندارد به آغوش کشیدند، آنانکه چون به دامن پیامبر چسبیدند، از اقوامشان دوری گزیدند و چون در سایه قرب پیامبر سکونت کردند، اقربایشان طردشان نمودند، بار خدایا پاداش آنچه را که برای تو و در راه تو از دست داده‌اند فراموش نفرما و در مقابل آنانکه مردم را به دین تو گرد آوردند و برای رضای تو پیامبرت را در دعوت مردم به سویت همراهی کردند از رضا و خشنودیت خوشنودشان فرما و در عوض آنانکه در راه تو از دیار خویش هجرت گزیده و زندگی سخت را بر زندگی راحت اختیار نمودند از نیکوترین اجر و عالی‌ترین پاداش برخوردارشان فرما</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واصحاب محمد خاصه الذین احسنوا الصحابه والذین ابلوا البلاء الحسن فی نصره وکانفوه واسرعوا الی وفادته وسابقوا الی دعوته واستجابوا له حیث اسمعهم حجة رسالاته وفارقوا الازواج والاولاد فی اظهار کلمته وقاتلوا الاباء والابناء فی تثبیت نبوته وانتصروا به ومن کانوا منطوین علی محبته یرجون تجارة لن تبور فی مودته والذین هجرتهم العشائر اذا تعلقوا بعروته وانتفت منهم القرابات اذ سکنوا فی ظل قرابته فلا تنس لهم اللهم ما ترکوا لک وفیک وارضهم من رضوانک وبما حاشوا الخلق علیک وکانوا مع رسولک دعاة لک الیک واشکرهم علی هجرهم فیک دیار قومهم وخروجهم من سعة المعاش الی ضیقه ومن کثرت فی اعزاز دینک من مظلومهم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صحیفه سجادیه، دعای چهارم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657" w:name="__RefHeading___Toc652155_1878427129"/>
      <w:bookmarkStart w:id="658" w:name="_Toc252"/>
      <w:bookmarkEnd w:id="657"/>
      <w:r>
        <w:rPr>
          <w:rtl w:val="true"/>
        </w:rPr>
        <w:t>عقیدۀ شیعه در محدوده کتاب و سنت</w:t>
      </w:r>
      <w:r>
        <w:rPr>
          <w:rtl w:val="true"/>
        </w:rPr>
        <w:t>:</w:t>
      </w:r>
      <w:bookmarkEnd w:id="658"/>
    </w:p>
    <w:p>
      <w:pPr>
        <w:pStyle w:val="BookText"/>
        <w:rPr/>
      </w:pPr>
      <w:r>
        <w:rPr>
          <w:rFonts w:ascii="IRNazanin" w:hAnsi="IRNazanin" w:eastAsia="IRNazanin"/>
          <w:color w:val="111111"/>
          <w:sz w:val="28"/>
          <w:sz w:val="28"/>
          <w:szCs w:val="28"/>
          <w:rtl w:val="true"/>
          <w:lang w:bidi="fa-IR"/>
        </w:rPr>
        <w:t>این بود نمونه‌ای از عقیده شیعه دربارۀ صحابه و این است دوستی و محبت شیعه نسبت به صحابه و یاران رسول خدا صلی الله علیه و آله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وجود این دوستی و محبت، شیعه معتقد است که صحبت و دیدار پیامبر صلی الله علیه و آله در عین این‌که بزرگ‌ترین فضیلت و بالاترین افتخار است، اما به تنهایی نمی‌تواند موجب عدالت یا دلیل مصونیت از گناه و معصیت شود؛ بلکه آنچه که عامل سعادت و نجات از عذاب قیامت است عقیده و ایمان و عمل به قرآن و سنت است و لذا صحابه نیز مانند سایر مسلمانان می‌باشند و در میان آنان افراد عادل و متعهد وجود دارد که قسمت مهم و خیل عظیمی از صحابه را در بر می‌گیرد و در میان صحابه گروه دومی </w:t>
      </w:r>
      <w:bookmarkStart w:id="659" w:name="pg14553_191985"/>
    </w:p>
    <w:p>
      <w:pPr>
        <w:pStyle w:val="BookText"/>
        <w:rPr/>
      </w:pPr>
      <w:bookmarkEnd w:id="659"/>
      <w:r>
        <w:rPr>
          <w:rFonts w:ascii="IRNazanin" w:hAnsi="IRNazanin" w:eastAsia="IRNazanin"/>
          <w:color w:val="111111"/>
          <w:sz w:val="28"/>
          <w:sz w:val="28"/>
          <w:szCs w:val="28"/>
          <w:rtl w:val="true"/>
          <w:lang w:bidi="fa-IR"/>
        </w:rPr>
        <w:t>وجود دارد پیمان‌شکن، اهل گناه و معصیت؛ افرادی که نفاق بر دل‌شان حاکم بود و گروه سومی نیز وجود دارد مجهول الحال که از درجه ایمان و کیفیت عقیده و افکارشان اطلاع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ما است که گروه اول را دوست بداریم، سعادت دنیا و آخرت خویش را در پیروی از راه و رسم‌شان بدانیم و حدیث‌شان را از جان و دل پذیرا باشیم و اما گروه دوم و آنانکه جرم و نفاق و پیمان‌شکنی آنها مسلم شده است؛ چنین افرادی از نظر ما دارای احترام نیستند همان‌گونه که حدیث آنان ارج و بهائی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افراد مجهول الحال از اظهارنظر در مورد آنان خودداری و در رد و قبول حدیث‌شان توقف می‌کنیم تا وضع‌شان مشخص و کیفیت ایمان و عقیده‌شان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راهی است که قرآن در پیش روی ما قرار داده و فکر و اندیشه‌ای است که سنت بر ما تعلیم و تفهیم نموده است و راه و رسمی است که سیره خلفا بر آن جاری گردیده است</w:t>
      </w:r>
      <w:r>
        <w:rPr>
          <w:rFonts w:eastAsia="IRNazanin" w:cs="IRNazanin"/>
          <w:color w:val="111111"/>
          <w:sz w:val="28"/>
          <w:szCs w:val="28"/>
          <w:rtl w:val="true"/>
          <w:lang w:bidi="fa-IR"/>
        </w:rPr>
        <w:t>.</w:t>
      </w:r>
    </w:p>
    <w:p>
      <w:pPr>
        <w:pStyle w:val="Heading3"/>
        <w:numPr>
          <w:ilvl w:val="2"/>
          <w:numId w:val="1"/>
        </w:numPr>
        <w:rPr/>
      </w:pPr>
      <w:bookmarkStart w:id="660" w:name="__RefHeading___Toc652157_1878427129"/>
      <w:bookmarkStart w:id="661" w:name="_Toc253"/>
      <w:bookmarkEnd w:id="660"/>
      <w:r>
        <w:rPr>
          <w:rtl w:val="true"/>
        </w:rPr>
        <w:t>صحابه از نظر قرآن</w:t>
      </w:r>
      <w:r>
        <w:rPr>
          <w:rtl w:val="true"/>
        </w:rPr>
        <w:t>:</w:t>
      </w:r>
      <w:bookmarkEnd w:id="661"/>
    </w:p>
    <w:p>
      <w:pPr>
        <w:pStyle w:val="BookText"/>
        <w:rPr/>
      </w:pPr>
      <w:r>
        <w:rPr>
          <w:rFonts w:ascii="IRNazanin" w:hAnsi="IRNazanin" w:eastAsia="IRNazanin"/>
          <w:color w:val="111111"/>
          <w:sz w:val="28"/>
          <w:sz w:val="28"/>
          <w:szCs w:val="28"/>
          <w:rtl w:val="true"/>
          <w:lang w:bidi="fa-IR"/>
        </w:rPr>
        <w:t>قرآن مجید صداقت گروهی از صحابه و رسوخ ایمان و عقیده در آنان را تأیید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اخلاص گروهی از صحابه را ستوده و از نیل و ارتقاء آنان به درجۀ کمال یاد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أَشِدّاءُ عَلَی اَلْکُفّارِ رُحَماءُ بَیْنَهُمْ تَراهُمْ رُکَّعاً سُجَّداً یَبْتَغُونَ فَضْلاً مِنَ اَللّهِ وَ رِضْواناً سِیماهُمْ فِی وُجُوهِهِمْ مِنْ أَثَرِ اَلسُّجُودِ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وصف این گروه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اَلَّذِینَ آمَنُوا بِاللّهِ وَ رَسُولِهِ ثُمَّ لَمْ یَرْتابُوا وَ جاهَدُوا بِأَمْوالِهِمْ وَ أَنْفُسِهِمْ فِی سَبِیلِ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نمونه‌ای از آیاتی است دربارۀ صداقت و اخلاص و ایمان و عقیده و جهاد و </w:t>
      </w:r>
    </w:p>
    <w:p>
      <w:pPr>
        <w:pStyle w:val="BookText"/>
        <w:rPr/>
      </w:pPr>
      <w:r>
        <w:rPr>
          <w:rFonts w:ascii="IRNazanin" w:hAnsi="IRNazanin" w:eastAsia="IRNazanin"/>
          <w:color w:val="111111"/>
          <w:sz w:val="28"/>
          <w:sz w:val="28"/>
          <w:szCs w:val="28"/>
          <w:rtl w:val="true"/>
          <w:lang w:bidi="fa-IR"/>
        </w:rPr>
        <w:t>فداکاری گروهی از 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قرآن مجید در مقابل این گروه از نفاق گروه دیگر از صحابه پرده برداشته و عمل و رفتار و ایمان و عقیده آنها را مخالف الگوهای صحیح اسلامی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مِمَّنْ حَوْلَکُمْ مِنَ اَلْأَعْرابِ مُنافِقُونَ وَ مِنْ أَهْلِ اَلْمَدِینَةِ مَرَدُوا عَلَی اَلنِّفاقِ لا تَعْلَمُهُمْ نَحْنُ نَعْلَمُهُمْ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اَلَّذِینَ یُؤْذُونَ اَلنَّبِیَّ وَ یَقُولُونَ هُوَ أُذُنٌ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ایذاء کنندگان پیامبر صلی الله علیه و آله را با عذاب سخت تهدید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یُؤْذُونَ رَسُولَ اَللّهِ لَهُمْ عَذابٌ أَلِیمٌ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گروهی به عنوان مخادع و متظاهر به ایمان و استهزاء کنندگان مؤمنان یاد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یَقُولُ آمَنّا بِاللّهِ وَ بِالْیَوْمِ اَلْآخِرِ وَ ما هُمْ بِمُؤْمِنِینَ یُخادِعُونَ اَللّهَ وَ اَلَّذِینَ آمَنُوا وَ ما یَخْدَعُونَ إِلاّ أَنْفُسَهُمْ وَ ما یَشْعُرُونَ وَ إِذا خَلَوْا إِلی شَیاطِینِهِمْ قالُوا إِنّا مَعَکُمْ إِنَّما نَحْنُ مُسْتَهْزِؤُنَ</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 گاهی پیمان شکنی و مخالفت بعضی از آنها را با حکم زکات مطرح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مَنْ عاهَدَ اَللّهَ لَئِنْ آتانا مِنْ فَضْلِهِ لَنَصَّدَّقَنَّ وَ لَنَکُونَنَّ مِنَ اَلصّالِحِینَ فَلَمّا آتاهُمْ مِنْ فَضْلِهِ بَخِلُوا بِهِ وَ تَوَلَّوْا وَ هُمْ مُعْرِضُونَ فَأَعْقَبَهُمْ نِفاقاً فِی قُلُوبِهِمْ إِلی یَوْمِ یَلْقَوْنَهُ بِما أَخْلَفُوا اَللّهَ ما وَعَدُوهُ وَ بِما کانُوا یَکْذِبُونَ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صحابه بودن به رسول خدا صلی الله علیه و آله مقامی است بس ارجمند و افتخاری </w:t>
      </w:r>
      <w:bookmarkStart w:id="662" w:name="pg14553_191987"/>
    </w:p>
    <w:p>
      <w:pPr>
        <w:pStyle w:val="BookText"/>
        <w:rPr/>
      </w:pPr>
      <w:bookmarkEnd w:id="662"/>
      <w:r>
        <w:rPr>
          <w:rFonts w:ascii="IRNazanin" w:hAnsi="IRNazanin" w:eastAsia="IRNazanin"/>
          <w:color w:val="111111"/>
          <w:sz w:val="28"/>
          <w:sz w:val="28"/>
          <w:szCs w:val="28"/>
          <w:rtl w:val="true"/>
          <w:lang w:bidi="fa-IR"/>
        </w:rPr>
        <w:t>است بسی والا، اما این واژه و این اصطلاح به طور عموم، هم شامل کسانی است که در بوته امتحان و آزمایش قرار گرفته و اخلاص عمل را به حد اعلا رسانیده‌اند و در جهاد در راه خدا و نصرت و یاری رسول خدا پیش قدم بودند و به عالی‌ترین درجه کمال انسانی ارتقاء یافته و نمونه بارزی از مکارم اخلاق گردیده و خوف و خشیت خدا در دلشان جایگزین شده و خود را از مصادیق این آیه شریفه قرار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اَلَّذِینَ إِذا ذُکِرَ اَللّهُ وَجِلَتْ قُلُوبُهُمْ وَ إِذا تُلِیَتْ عَلَیْهِمْ آیاتُهُ زادَتْهُمْ إِیماناً وَ عَلی رَبِّهِمْ یَتَوَکَّلُونَ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اصطلاح صحابه هم شامل این گروه از صحابه عالی مقام است و هم شامل کسانی است که در عین درک حضور رسول خدا ایمان به قلبشان راه نیافته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بِأَلْسِنَتِهِمْ ما لَیْسَ فِی قُلُوبِهِمْ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شرک و نفاق خود را در پشت پرده تظاهر به اسلام مخفی داشته و مصاحبت رسول خدا صلی الله علیه و آله و حضور در اجتماع مسلمانان را بهترین وسیله به اهداف شوم و نزدیک‌ترین راه ضربه زدن به اسلام و مسلمین تشخیص داده بودند و در مورد این گروه اخیر کفایت می‌کند سوره منافقین و آیات سوره بقره و توبه و بالاتر از همه آیه مربوط به توطئه بزرگ بنای مسجد ضرار که خداوند پرده از اسرار و اهداف‌شان بر گرفت و آنها را تا قیامت مفتضح و رسوا نمود</w:t>
      </w:r>
      <w:r>
        <w:rPr>
          <w:rFonts w:eastAsia="IRNazanin" w:cs="IRNazanin"/>
          <w:color w:val="111111"/>
          <w:sz w:val="28"/>
          <w:szCs w:val="28"/>
          <w:rtl w:val="true"/>
          <w:lang w:bidi="fa-IR"/>
        </w:rPr>
        <w:t>.</w:t>
      </w:r>
    </w:p>
    <w:p>
      <w:pPr>
        <w:pStyle w:val="Heading3"/>
        <w:numPr>
          <w:ilvl w:val="2"/>
          <w:numId w:val="1"/>
        </w:numPr>
        <w:rPr/>
      </w:pPr>
      <w:bookmarkStart w:id="663" w:name="__RefHeading___Toc652159_1878427129"/>
      <w:bookmarkStart w:id="664" w:name="_Toc254"/>
      <w:bookmarkEnd w:id="663"/>
      <w:r>
        <w:rPr>
          <w:rtl w:val="true"/>
        </w:rPr>
        <w:t>راه شناخت مؤمن و منافق</w:t>
      </w:r>
      <w:r>
        <w:rPr>
          <w:rtl w:val="true"/>
        </w:rPr>
        <w:t>:</w:t>
      </w:r>
      <w:bookmarkEnd w:id="664"/>
    </w:p>
    <w:p>
      <w:pPr>
        <w:pStyle w:val="BookText"/>
        <w:rPr/>
      </w:pPr>
      <w:r>
        <w:rPr>
          <w:rFonts w:ascii="IRNazanin" w:hAnsi="IRNazanin" w:eastAsia="IRNazanin"/>
          <w:color w:val="111111"/>
          <w:sz w:val="28"/>
          <w:sz w:val="28"/>
          <w:szCs w:val="28"/>
          <w:rtl w:val="true"/>
          <w:lang w:bidi="fa-IR"/>
        </w:rPr>
        <w:t>این بود نمونه‌ای از آیات شریفه در مورد تعدادی از صحابه که قرآن کریم در طی این آیات و آیات دیگر ما را از وجود تعدادی منافق در میان صحابه مطلع و از خطر آنان به ما هشدار می‌دهد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قبل از این‌که به بحث صحابه از دیدگاه سنت برسیم این سؤال مطرح می‌گردد که با توجه به مضمون آیات گذشته آیا ملاکی برای شناختن افراد منافق و معیاری برای مشخص نمودن آنان از افراد مؤمن و متعهد وجود دارد؟ و آیا می‌توانیم چنین افرادی </w:t>
      </w:r>
    </w:p>
    <w:p>
      <w:pPr>
        <w:pStyle w:val="BookText"/>
        <w:rPr/>
      </w:pPr>
      <w:r>
        <w:rPr>
          <w:rFonts w:ascii="IRNazanin" w:hAnsi="IRNazanin" w:eastAsia="IRNazanin"/>
          <w:color w:val="111111"/>
          <w:sz w:val="28"/>
          <w:sz w:val="28"/>
          <w:szCs w:val="28"/>
          <w:rtl w:val="true"/>
          <w:lang w:bidi="fa-IR"/>
        </w:rPr>
        <w:t>را از سایر صحابه رسول خدا صلی الله علیه و آله که دارای ایمان واقعی بودند تشخیص دهیم؟</w:t>
      </w:r>
    </w:p>
    <w:p>
      <w:pPr>
        <w:pStyle w:val="BookText"/>
        <w:rPr/>
      </w:pPr>
      <w:r>
        <w:rPr>
          <w:rFonts w:ascii="IRNazanin" w:hAnsi="IRNazanin" w:eastAsia="IRNazanin"/>
          <w:color w:val="111111"/>
          <w:sz w:val="28"/>
          <w:sz w:val="28"/>
          <w:szCs w:val="28"/>
          <w:rtl w:val="true"/>
          <w:lang w:bidi="fa-IR"/>
        </w:rPr>
        <w:t>پاسخ این است که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تشخیص و راه شناخت وجود دارد و آن را هم خود رسول خدا صلی الله علیه و آله در اختیار پیروانش قرار داده و در کتب حدیثی و در منابع اولی اهل سنت و شیعه از امیر مؤمنان علیه السلام نقل گردیده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 فلق الحبة وبرأ النسمة انه لعهد النبی الامی أن لا یحبّنی إلا مؤمن ولا یبغضنی إلا منافق </w:t>
      </w:r>
      <w:r>
        <w:rPr>
          <w:rFonts w:eastAsia="IRNazanin" w:cs="IRNazanin"/>
          <w:color w:val="111111"/>
          <w:sz w:val="28"/>
          <w:szCs w:val="28"/>
          <w:rtl w:val="true"/>
          <w:lang w:bidi="fa-IR"/>
        </w:rPr>
        <w:t xml:space="preserve">» . </w:t>
      </w:r>
      <w:r>
        <w:rPr>
          <w:rStyle w:val="FootnoteAnchor"/>
          <w:rtl w:val="true"/>
        </w:rPr>
        <w:footnoteReference w:id="64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دانه را شکافت و انسان را آفرید این پیمانیست از پیامبر امی بر من که مرا دوست نمی‌دارد مگر مؤمن و دشمن نمی‌دارد مگر شخص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الدلیل علی ان حب الانصار وعلی من الایمان، حدیث شماره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سنن ابن ماجه،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مقدمه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سنن نسائی،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باب علّامة المنافق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که این حدیث را نسائی در سنن خود در باب مستقلی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المنافق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 است که این علّامت در زمان رسول خدا صلی الله علیه و آله مورد استفاده و بهره‌برداری صحابه واقعی قرار می‌گرفت و آنان چهره‌های منافق را با بغض و دشمنی آنها نسبت به امیر مؤمنان علیه السلام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از صحابه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کنا نعرف المنافقین الا بتکذیبهم اللّه ورسوله والتخلف عن الصلوة والبغض لعلی ابن ابی طالب </w:t>
      </w:r>
      <w:r>
        <w:rPr>
          <w:rFonts w:eastAsia="IRNazanin" w:cs="IRNazanin"/>
          <w:color w:val="111111"/>
          <w:sz w:val="28"/>
          <w:szCs w:val="28"/>
          <w:rtl w:val="true"/>
          <w:lang w:bidi="fa-IR"/>
        </w:rPr>
        <w:t xml:space="preserve">» .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و ابو سعید خدری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کنا لنعرف المنافقین نحن معاشر الانصار ببغضهم علی بن ابی طالب </w:t>
      </w:r>
      <w:r>
        <w:rPr>
          <w:rFonts w:eastAsia="IRNazanin" w:cs="IRNazanin"/>
          <w:color w:val="111111"/>
          <w:sz w:val="28"/>
          <w:szCs w:val="28"/>
          <w:rtl w:val="true"/>
          <w:lang w:bidi="fa-IR"/>
        </w:rPr>
        <w:t xml:space="preserve">» . </w:t>
      </w:r>
      <w:r>
        <w:rPr>
          <w:rStyle w:val="FootnoteAnchor"/>
          <w:rtl w:val="true"/>
        </w:rPr>
        <w:footnoteReference w:id="651"/>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مضمون از تعدادی دیگر از صحابه مانند عبداللّه بن عباس، جابر بن عبداللّه انصاری، انس بن مالک، عمران بن حصین، ام المؤمنین عایشه و ام سلمه نقل گردیده است</w:t>
      </w:r>
      <w:r>
        <w:rPr>
          <w:rFonts w:eastAsia="IRNazanin" w:cs="IRNazanin"/>
          <w:color w:val="111111"/>
          <w:sz w:val="28"/>
          <w:szCs w:val="28"/>
          <w:rtl w:val="true"/>
          <w:lang w:bidi="fa-IR"/>
        </w:rPr>
        <w:t xml:space="preserve">. </w:t>
      </w:r>
      <w:r>
        <w:rPr>
          <w:rStyle w:val="FootnoteAnchor"/>
          <w:rtl w:val="true"/>
        </w:rPr>
        <w:footnoteReference w:id="652"/>
      </w:r>
      <w:bookmarkStart w:id="665" w:name="pg14553_191989"/>
    </w:p>
    <w:p>
      <w:pPr>
        <w:pStyle w:val="BookText"/>
        <w:rPr/>
      </w:pPr>
      <w:bookmarkEnd w:id="665"/>
      <w:r>
        <w:rPr>
          <w:rFonts w:ascii="IRNazanin" w:hAnsi="IRNazanin" w:eastAsia="IRNazanin"/>
          <w:color w:val="111111"/>
          <w:sz w:val="28"/>
          <w:sz w:val="28"/>
          <w:szCs w:val="28"/>
          <w:rtl w:val="true"/>
          <w:lang w:bidi="fa-IR"/>
        </w:rPr>
        <w:t>و این بود راه شناسایی منافقان که رسول خدا صلی الله علیه و آله به مسلمانان ارائه فرموده است و این است عملکرد و روش اصحاب رسول خدا صلی الله علیه و آله در به‌کارگیری این معیار که نمونه‌ای از احادیث آن را ملاحظه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نیز بجز آنچه رسول خدا صلی الله علیه و آله فرموده و سلف صالح از صحابه به آن عمل کرده‌اند معتقد نبوده و از راه آنان تخطی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 می‌گردیم به اصل موضوع و صحابه از نظر سنت</w:t>
      </w:r>
      <w:r>
        <w:rPr>
          <w:rFonts w:eastAsia="IRNazanin" w:cs="IRNazanin"/>
          <w:color w:val="111111"/>
          <w:sz w:val="28"/>
          <w:szCs w:val="28"/>
          <w:rtl w:val="true"/>
          <w:lang w:bidi="fa-IR"/>
        </w:rPr>
        <w:t>.</w:t>
      </w:r>
    </w:p>
    <w:p>
      <w:pPr>
        <w:pStyle w:val="Heading3"/>
        <w:numPr>
          <w:ilvl w:val="2"/>
          <w:numId w:val="1"/>
        </w:numPr>
        <w:rPr/>
      </w:pPr>
      <w:bookmarkStart w:id="666" w:name="__RefHeading___Toc652161_1878427129"/>
      <w:bookmarkStart w:id="667" w:name="_Toc255"/>
      <w:bookmarkEnd w:id="666"/>
      <w:r>
        <w:rPr>
          <w:rtl w:val="true"/>
        </w:rPr>
        <w:t>صحابه از نظر سنت</w:t>
      </w:r>
      <w:bookmarkEnd w:id="6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در حدیث مفصلی راجع به روز قیامت از رسول خدا صلی الله علیه و آله نقل می‌کند که فرمود در آن روز یک عده از صحابه من در سمت شمال قرار می‌گیرند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من برای حمایت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تو از اینها مفارقت کردی آنان نیز به اعقاب خویش و دوران گذشته برگشتند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اصحاب من وارد حوض کوثر می‌شوند ولی از آن ممنوع و جلوگیری می‌گردد،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اینها اصحاب و یاران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اینها بعد از تو به وجود آوردند خبر نداری؛ زیرا آنان پس از تو آئین خود را رها کرده و از آئین پدرانشان پیروی نمودند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حوض کوثر عده‌ای از کسانی را که با من مصاحبت داشتند می‌بینم که در نزد من حاضر شده‌اند، آن‌گاه از من دورشان می‌کنند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واصحاب الشمال ما اصحاب الشمال فی سموم وحمیم</w:t>
      </w:r>
      <w:r>
        <w:rPr>
          <w:rFonts w:eastAsia="IRNazanin" w:cs="IRNazanin"/>
          <w:color w:val="111111"/>
          <w:sz w:val="28"/>
          <w:szCs w:val="28"/>
          <w:rtl w:val="true"/>
          <w:lang w:bidi="fa-IR"/>
        </w:rPr>
        <w:t>.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وان اناساً من اصحابی یؤخذ بهم ذات الشمال فاقول اصحابی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 انهم لم یزالوا مرتدین علی اعقابهم منذ فارقتهم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کتاب بدء الخلق،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تفسیر سوره مائده؛ صحیح مسلم،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کتاب الجنه وصفه نعیمها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ان النبی صلی الله علیه و آله قال یرد علی الحوض رجال من اصحابی فیحلون عنی فاقول یا رب اصحابی فیقول انک لا علم لک بما احدثوا بعدک انهم ارتدوا علی ادبارهم القهقری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جلد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باب فی الحوض</w:t>
      </w:r>
      <w:r>
        <w:rPr>
          <w:rFonts w:eastAsia="IRNazanin" w:cs="IRNazanin"/>
          <w:color w:val="111111"/>
          <w:sz w:val="28"/>
          <w:szCs w:val="28"/>
          <w:rtl w:val="true"/>
          <w:lang w:bidi="fa-IR"/>
        </w:rPr>
        <w:t>.</w:t>
      </w:r>
      <w:bookmarkStart w:id="668" w:name="pg14553_191990"/>
    </w:p>
    <w:p>
      <w:pPr>
        <w:pStyle w:val="BookText"/>
        <w:rPr/>
      </w:pPr>
      <w:bookmarkEnd w:id="668"/>
      <w:r>
        <w:rPr>
          <w:rFonts w:ascii="IRNazanin" w:hAnsi="IRNazanin" w:eastAsia="IRNazanin"/>
          <w:color w:val="111111"/>
          <w:sz w:val="28"/>
          <w:sz w:val="28"/>
          <w:szCs w:val="28"/>
          <w:rtl w:val="true"/>
          <w:lang w:bidi="fa-IR"/>
        </w:rPr>
        <w:t>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ایشان صحابه‌های من هستند گفته می‌شود که نمی‌دانی پس از تو چه حوادثی به بار آوردند</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لیردن علی الحوض رجال ممن صاحبنی حتی اذا رأیتهم ورفعوا الی اختلجوا دونی فلاقولن ای رب اصحابی فلیقالن لی انک لا تدری ما احدثو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مسلم،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کتاب الفضائل باب اثبات حوض نبینا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انتقاد رسول خدا صلی الله علیه و آله از یک عده از صحابه، احادیث فراوان وجود دارد که آن حضرت با تعبیرات مختلف و با بیانات گوناگون عملکرد آنان را مورد نکوهش قرار داده و ضرر این عده را به مسلمانان گوشزد فرموده است، ولی ما برای رعایت اختصار و از لحاظ این‌که بدانیم که انتقاد رسول خدا مشخصاً متوجه عنوان صحابه و دور از هر نوع تأویل و تفسیر است به نقل این سه حدیث اکتفا نمودیم</w:t>
      </w:r>
      <w:r>
        <w:rPr>
          <w:rFonts w:eastAsia="IRNazanin" w:cs="IRNazanin"/>
          <w:color w:val="111111"/>
          <w:sz w:val="28"/>
          <w:szCs w:val="28"/>
          <w:rtl w:val="true"/>
          <w:lang w:bidi="fa-IR"/>
        </w:rPr>
        <w:t>.</w:t>
      </w:r>
    </w:p>
    <w:p>
      <w:pPr>
        <w:pStyle w:val="Heading3"/>
        <w:numPr>
          <w:ilvl w:val="2"/>
          <w:numId w:val="1"/>
        </w:numPr>
        <w:rPr/>
      </w:pPr>
      <w:bookmarkStart w:id="669" w:name="__RefHeading___Toc652163_1878427129"/>
      <w:bookmarkStart w:id="670" w:name="_Toc256"/>
      <w:bookmarkEnd w:id="669"/>
      <w:r>
        <w:rPr>
          <w:rtl w:val="true"/>
        </w:rPr>
        <w:t>سیرۀ خلفا</w:t>
      </w:r>
      <w:bookmarkEnd w:id="670"/>
    </w:p>
    <w:p>
      <w:pPr>
        <w:pStyle w:val="BookText"/>
        <w:rPr/>
      </w:pPr>
      <w:r>
        <w:rPr>
          <w:rFonts w:ascii="IRNazanin" w:hAnsi="IRNazanin" w:eastAsia="IRNazanin"/>
          <w:color w:val="111111"/>
          <w:sz w:val="28"/>
          <w:sz w:val="28"/>
          <w:szCs w:val="28"/>
          <w:rtl w:val="true"/>
          <w:lang w:bidi="fa-IR"/>
        </w:rPr>
        <w:t>سیره و روش امیرمؤمنان علیه السلام در دوران خلفای سه گانه و در دوران خلافت خویش، دلیل عینی بر گفتار ما است؛ زیرا آن حضرت هر یک از صحابه را که قانون‌شکنی می‌نمودند و حدود و مقررات اسلام را زیر پا می‌گذاشتند مجازات و به تناسب گناهی که مرتکب شده بودند اجرای حد و کسانی را که با داشتن عنوان صحابه بر خلاف کتاب و سنت عمل کرده و با آن حضرت به مقام جنگ و ستیز برآمده بودند در قنوت نماز و در بالای منبر علناً لعن و نفرین می‌نمودند</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و هم‌چنین خلیفه دوم در مقابل اعمال نادرست افرادی که افتخار صحابگی هم داشتند عکس العمل نشان می‌داد</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را استیضاح و ثروت کلان او را که پس از معزول شدن از ولایت بحرین با خود آورده بود مصادره نمود و بر وی آن قدر تازیانه زد که بدنش خون آلود گردید</w:t>
      </w:r>
      <w:r>
        <w:rPr>
          <w:rFonts w:eastAsia="IRNazanin" w:cs="IRNazanin"/>
          <w:color w:val="111111"/>
          <w:sz w:val="28"/>
          <w:szCs w:val="28"/>
          <w:rtl w:val="true"/>
          <w:lang w:bidi="fa-IR"/>
        </w:rPr>
        <w:t xml:space="preserve">. </w:t>
      </w:r>
      <w:r>
        <w:rPr>
          <w:rStyle w:val="FootnoteAnchor"/>
          <w:rtl w:val="true"/>
        </w:rPr>
        <w:footnoteReference w:id="656"/>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شیعه دربارۀ صحابه متخذ از قرآن و سنت و سیرۀ خلفا </w:t>
      </w:r>
      <w:bookmarkStart w:id="671" w:name="pg14553_191991"/>
    </w:p>
    <w:p>
      <w:pPr>
        <w:pStyle w:val="BookText"/>
        <w:rPr/>
      </w:pPr>
      <w:bookmarkEnd w:id="67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 و محدثین شیعه در نقل حدیث و فرا گرفتن دستورات مذهبی و احکام دینی خود در تمام ناقلان حدیث اعم از صحابه و غیر صحابه احتیاط به کار می‌برند و به طوری که قبلاً توضیح داده شد مرحوم کلینی و سایر محدثین در نقل حدیث از خلفا و فرزندانشان مجبور هستند به لحاظ فاصله زمانی این احادیث را از راویانی که شناخت دقیقی از همه آنان ندارند نقل نکنند؛ زیرا به طوری که ملاحظه فرمودید در میان این ناقلان گروه اول و افراد عادل و مورد اعتماد و هم گروه دوم و آنانکه مورد نکوهش خدا و رسول خدا قرار گرفته‌اند وجود دارد و مسلماً اگر بینش برادران اهل سنت دربارۀ صحابه مانند بینش شیعه و بر اساس واقع بینی نه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اصالة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بیشتر احادیث که به وسیله راویان مختلف از خلفا و فرزندانشان نقل گردیده است موضع دیگری اتخاذ و از اغلب حدیث‌ها که امروز به نام حدیث صحیح نامیده می‌شود صرف نظر می‌نمودند</w:t>
      </w:r>
      <w:r>
        <w:rPr>
          <w:rFonts w:eastAsia="IRNazanin" w:cs="IRNazanin"/>
          <w:color w:val="111111"/>
          <w:sz w:val="28"/>
          <w:szCs w:val="28"/>
          <w:rtl w:val="true"/>
          <w:lang w:bidi="fa-IR"/>
        </w:rPr>
        <w:t>.</w:t>
      </w:r>
    </w:p>
    <w:p>
      <w:pPr>
        <w:pStyle w:val="Heading3"/>
        <w:numPr>
          <w:ilvl w:val="2"/>
          <w:numId w:val="1"/>
        </w:numPr>
        <w:rPr/>
      </w:pPr>
      <w:bookmarkStart w:id="672" w:name="__RefHeading___Toc652165_1878427129"/>
      <w:bookmarkStart w:id="673" w:name="_Toc257"/>
      <w:bookmarkEnd w:id="672"/>
      <w:r>
        <w:rPr>
          <w:rtl w:val="true"/>
        </w:rPr>
        <w:t>سیاست و تعصب دو عامل تهمت</w:t>
      </w:r>
      <w:bookmarkEnd w:id="673"/>
    </w:p>
    <w:p>
      <w:pPr>
        <w:pStyle w:val="BookText"/>
        <w:rPr/>
      </w:pPr>
      <w:r>
        <w:rPr>
          <w:rFonts w:ascii="IRNazanin" w:hAnsi="IRNazanin" w:eastAsia="IRNazanin"/>
          <w:color w:val="111111"/>
          <w:sz w:val="28"/>
          <w:sz w:val="28"/>
          <w:szCs w:val="28"/>
          <w:rtl w:val="true"/>
          <w:lang w:bidi="fa-IR"/>
        </w:rPr>
        <w:t>پس از بیان عقیده شیعه در مورد صحابه و اثبات این‌که عقیده شیعه بر اساس قرآن و سنت و بر مبنای سیره خلفا است و شیعه تنها انتقاد از عملکرد آن عده از صحابه را جایز می‌داند که با امیرمؤمنان علیه السلام عداوت و دشمنی داشتند و یا به هر نحوی با دستورات قرآن و اوامر رسول اکرم صلی الله علیه و آله مخالفت صریح و آشکار نموده‌اند و به طوری که ملاحظه فرمودید این درس را نیز از متن قرآن و گفتار رسول خدا صلی الله علیه و آله و عملکرد صحابه فرا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این سؤال مطرح می‌شود که آیا این تهمت بزرگ و این افترای خانمان‌سوز که شیعه به همه صحابه بدبین است و همه صحابه را مورد طعن قرار می‌دهد چگونه به وجود آمده و از کجا ریشه گرفته است؟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سؤال به طور اجمال این است که این تهمت در اثر دو عامل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سیاست تحریف و دیگری تعصب و در کنار این دو عامل مسئله بی‌اطلاعی و عدم تحقیق نیز در اشاعه و گسترش این تهمت نقش مؤثری ایفا نموده است</w:t>
      </w:r>
      <w:r>
        <w:rPr>
          <w:rFonts w:eastAsia="IRNazanin" w:cs="IRNazanin"/>
          <w:color w:val="111111"/>
          <w:sz w:val="28"/>
          <w:szCs w:val="28"/>
          <w:rtl w:val="true"/>
          <w:lang w:bidi="fa-IR"/>
        </w:rPr>
        <w:t xml:space="preserve">. </w:t>
      </w:r>
      <w:bookmarkStart w:id="674" w:name="pg14553_191992"/>
    </w:p>
    <w:p>
      <w:pPr>
        <w:pStyle w:val="Heading3"/>
        <w:numPr>
          <w:ilvl w:val="2"/>
          <w:numId w:val="1"/>
        </w:numPr>
        <w:rPr/>
      </w:pPr>
      <w:bookmarkStart w:id="675" w:name="__RefHeading___Toc652167_1878427129"/>
      <w:bookmarkStart w:id="676" w:name="_Toc258"/>
      <w:bookmarkEnd w:id="674"/>
      <w:bookmarkEnd w:id="675"/>
      <w:r>
        <w:rPr>
          <w:rtl w:val="true"/>
        </w:rPr>
        <w:t>اما سیاست تحریف</w:t>
      </w:r>
      <w:bookmarkEnd w:id="676"/>
    </w:p>
    <w:p>
      <w:pPr>
        <w:pStyle w:val="BookText"/>
        <w:rPr/>
      </w:pPr>
      <w:r>
        <w:rPr>
          <w:rFonts w:ascii="IRNazanin" w:hAnsi="IRNazanin" w:eastAsia="IRNazanin"/>
          <w:color w:val="111111"/>
          <w:sz w:val="28"/>
          <w:sz w:val="28"/>
          <w:szCs w:val="28"/>
          <w:rtl w:val="true"/>
          <w:lang w:bidi="fa-IR"/>
        </w:rPr>
        <w:t xml:space="preserve">به طوری که در ذیل مطلب دوم اشاره گردید در دوران خلفای اموی و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نگوییم در طول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به جرم طرفداری از اهل بیت تحت فشار شدید قرار گرفته که زندان و شکنجه و کشتار دسته جمعی دربارۀ آنان از مسائل عادی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برای توجیه این جنایات در جامعه و برای جلب و هماهنگی افکار عمومی لازم بود دلائلی جامعه پسند،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 که حکام و عوامل جنایت، دست به تحریف زده و اقدام به قلب واقعیات نموده‌اند و به جای این‌که بگویند شیعه طرفدار اهل بیت و دوستدار خاندان پیامبر است آنها را با عداوت و دشمنی با صحابه متهم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تهمت‌ها است که می‌تواند جامعه را با چنین حکام هماهنگ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جنایات آنان مهر تأیید بزند و اگر حقیقت امر مطرح می‌گردید نه تنها مورد تأیید نبود بلکه امکان مواجهه با مخالفت و عکس العمل مسلمانان نیز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خود در شرایط فعلی شاهد این نوع تحریف‌ها هستیم و قلب واقعیات از سوی بعضی حکام را عمیقاً لمس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آن‌گاه که چهارصد نفر مسلمان در کنار مسجد الحرام به خاک و خون کشیده شده و به شهادت می‌رسند و هزاران نفر مجروح می‌گردد، حکام آل سعود برای جلب افکار مسلمانان جهان و توجیه عمل شیطانی خود دست به تحریف زده و به جای این‌که بت شکنی و مبارزه با کفر و استکبار ایرانی‌ها و شعار اللّه اکبر و مرگ بر آمریکای آنها را که علت این کشتار عظیم بوده مطرح کند از سیاست تحریف استفاده نموده و یک مطلب مضحک و غیرقابل قبولی را عنوان و در تمام رسانه‌های خبری دنیا اعلان می‌نماید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ایرانی مصمم بودند 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کعبه را از جای خود برکنند و به شهر قم منتقل کنند</w:t>
      </w:r>
      <w:r>
        <w:rPr>
          <w:rFonts w:eastAsia="IRNazanin" w:cs="IRNazanin"/>
          <w:color w:val="111111"/>
          <w:sz w:val="28"/>
          <w:szCs w:val="28"/>
          <w:rtl w:val="true"/>
          <w:lang w:bidi="fa-IR"/>
        </w:rPr>
        <w:t>» ! !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آیا می‌دانید که متأسفانه همین مطلب مضحک و بی اساس به گونه‌ای که یک عده ناآگاه و بی خبر از همۀ مسائل باور نموده‌اند ممکن است در آینده و در اثر تبلیغ و انتقال از جراید و روزنامه‌ها به کتب تاریخ و انعکاس اخبار و عکس‌های ساختگی و </w:t>
      </w:r>
      <w:bookmarkStart w:id="677" w:name="pg14553_191993"/>
    </w:p>
    <w:p>
      <w:pPr>
        <w:pStyle w:val="BookText"/>
        <w:rPr/>
      </w:pPr>
      <w:bookmarkEnd w:id="677"/>
      <w:r>
        <w:rPr>
          <w:rFonts w:ascii="IRNazanin" w:hAnsi="IRNazanin" w:eastAsia="IRNazanin"/>
          <w:color w:val="111111"/>
          <w:sz w:val="28"/>
          <w:sz w:val="28"/>
          <w:szCs w:val="28"/>
          <w:rtl w:val="true"/>
          <w:lang w:bidi="fa-IR"/>
        </w:rPr>
        <w:t xml:space="preserve">مونتاژ آن به دایرة المعارف‌ها به صورت یک واقعیت تاریخی درآید؟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اصل، مسئلۀ سب و عداوت صحابه یک مطلب مضحک و خلاف واقع بوده، اما با مرور زمان و با تبلیغ و انعکاس آن در کتاب‌ها در میان گروهی به صورت یک واقعیت تلقی می‌شود</w:t>
      </w:r>
      <w:r>
        <w:rPr>
          <w:rFonts w:eastAsia="IRNazanin" w:cs="IRNazanin"/>
          <w:color w:val="111111"/>
          <w:sz w:val="28"/>
          <w:szCs w:val="28"/>
          <w:rtl w:val="true"/>
          <w:lang w:bidi="fa-IR"/>
        </w:rPr>
        <w:t>.</w:t>
      </w:r>
    </w:p>
    <w:p>
      <w:pPr>
        <w:pStyle w:val="Heading3"/>
        <w:numPr>
          <w:ilvl w:val="2"/>
          <w:numId w:val="1"/>
        </w:numPr>
        <w:rPr/>
      </w:pPr>
      <w:bookmarkStart w:id="678" w:name="__RefHeading___Toc652169_1878427129"/>
      <w:bookmarkStart w:id="679" w:name="_Toc259"/>
      <w:bookmarkEnd w:id="678"/>
      <w:r>
        <w:rPr>
          <w:rtl w:val="true"/>
        </w:rPr>
        <w:t>یک نمونۀ تاریخی</w:t>
      </w:r>
      <w:bookmarkEnd w:id="679"/>
    </w:p>
    <w:p>
      <w:pPr>
        <w:pStyle w:val="BookText"/>
        <w:rPr/>
      </w:pPr>
      <w:r>
        <w:rPr>
          <w:rFonts w:ascii="IRNazanin" w:hAnsi="IRNazanin" w:eastAsia="IRNazanin"/>
          <w:color w:val="111111"/>
          <w:sz w:val="28"/>
          <w:sz w:val="28"/>
          <w:szCs w:val="28"/>
          <w:rtl w:val="true"/>
          <w:lang w:bidi="fa-IR"/>
        </w:rPr>
        <w:t>ما که سیاست تحریف را یکی از عوامل اصلی این تهمت مطرح نمودیم نه یک تلقی و برداشت از تاریخ، بلکه حقیقتی است که خود مورخین اشاراتی به آن نموده‌اند و به عنوان نمونه به نقل یک مورد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مورخ معروف در حوادث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سال شیعه‌ها در همه آفریقا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آن را چنین بیان می‌کند که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ماه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 بن بادیس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کل آفریقا از کنار جمعیتی عبور کرد و دربارۀ آنان سؤال 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روافض هستند که شیخین را سب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مردم و مأمورین به سوی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شیعه‌ها در آن‌جا اجتماع می‌کردند روانه شدند و از شیعه‌ها گروه گروه به قتل رسانیدند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و افرادی نیز که در قصر منصور و در مسجد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متحصن شده بودند، محاصره و سپس به قتل رسیدند و این کشتار در تمام آفریقا به وقوع پیوست که اکثر شعرا در سروده‌های خویش آن را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که گروهی از وقوع آن خوشحال و مسرور و گروهی دیگر گریان و محزون بودند</w:t>
      </w:r>
      <w:r>
        <w:rPr>
          <w:rFonts w:eastAsia="IRNazanin" w:cs="IRNazanin"/>
          <w:color w:val="111111"/>
          <w:sz w:val="28"/>
          <w:szCs w:val="28"/>
          <w:rtl w:val="true"/>
          <w:lang w:bidi="fa-IR"/>
        </w:rPr>
        <w:t xml:space="preserve">. </w:t>
      </w:r>
      <w:r>
        <w:rPr>
          <w:rStyle w:val="FootnoteAnchor"/>
          <w:rtl w:val="true"/>
        </w:rPr>
        <w:footnoteReference w:id="6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تکه از تاریخ که به طور اجمال و اختصار نقل شده است چند نکتۀ قابل توجه وجود دارد که حقیقت این تهمت و تحریف را روشن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 شیعیان در ماه محرم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اجتماع و حرکت‌شان به سوی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کشته شدنشان در این میدان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کشته شدن شیعیان در سایر نقاط آفریقا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شادمانی گروهی و حزن و اندوه گروه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از قدیم الایام و در طول تاریخ مانند امروز در همه نقاط دنیا و در مصر و آفریقا </w:t>
      </w:r>
      <w:r>
        <w:rPr>
          <w:rStyle w:val="FootnoteAnchor"/>
          <w:rtl w:val="true"/>
        </w:rPr>
        <w:footnoteReference w:id="6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عزاداری در طول دوران سلطنت فاطمی‌ها را در مصر و آفریقا در خطط مقریزی، چاپ بغداد،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در ماه محرم به منظور عزاداری حسین بن علی علیه السلام و ریحانه رسول خدا صلی الله علیه و آله اجتماع و راهپیمایی می‌نمودند و اجتماع شیعیان در ماه محرم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حرکت‌شان به سوی دروازه شهر دقیقاً روی همین اصل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می‌دانیم این عزاداری‌ها کوچکترین ارتباطی به صحابه ندارد و اگر در این مراسم شعری سروده شود و نوحه‌ای خوانده شود منعکس کننده مظلومیت حسین بن علی علیه السلام و یاران آن حضرت و تنفر از ظلم یزید و دستیاران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کشته شدن شیعه‌های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اتهام سب صحابه یک توطئه از پیش ساخته برای اجرای سیاست حکام آن روز آفریقا بوده که این سیاست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نقاط آفریقا نیز اجرا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گفتار ابن اثیر آن روز در اثر این حادثه گروهی خندان و گروهی گریان بودند؛ یعنی افراد آگاه از سیاست روز و تحریف حقایق گریان و اشک ریزان و گروهی بی اطلاع و زودباور خوشحال و شادمان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سب صحابه واقعیت داشت، حزن و اندوه گروهی مفهومی پیدا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سیاست تحریف را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تونس بلکه در نقاط دیگر و در طول تاریخ می‌توان به وضوح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تعصب</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از کتاب‌ها که دربارۀ ملل و نحل و آراء و عقاید تألیف گردیده از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با این خصوصیت که او شیعه بوده و در عین حال به کفر ارتداد همه صحابه و یاران پیامبر و حتی به کفر امیرمؤمنان علیه السلام معتقد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برای او پیروانی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و معرفی شده که دارای همان عقیده یعنی هم از </w:t>
      </w:r>
      <w:bookmarkStart w:id="680" w:name="pg14553_191995"/>
    </w:p>
    <w:p>
      <w:pPr>
        <w:pStyle w:val="BookText"/>
        <w:rPr/>
      </w:pPr>
      <w:bookmarkEnd w:id="680"/>
      <w:r>
        <w:rPr>
          <w:rFonts w:ascii="IRNazanin" w:hAnsi="IRNazanin" w:eastAsia="IRNazanin"/>
          <w:color w:val="111111"/>
          <w:sz w:val="28"/>
          <w:sz w:val="28"/>
          <w:szCs w:val="28"/>
          <w:rtl w:val="true"/>
          <w:lang w:bidi="fa-IR"/>
        </w:rPr>
        <w:t>شیعیان و هم از معتقدان از شیعیان و معتقدان بر کفر همه صحابه و امیر مؤمنان علیه السلام بوده‌اند و این فرقه در کنار فرقه‌ها و گروه‌های عجیب و غریب مسلمانان و شیعیان قرار گرفته است مانند فرقه‌های عجارده، صلتیه، معلومیه، مجهولیه، معبدیه، اخنسیه، هذلیه و ده‌ها گروه با نام‌های جالب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کامل و پیروان او برای اولین بار در کتاب الفرق بین الفرق تألیف ابومنصور عبدالقادر شافعی بغدادی متوفای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گردیده است و خلاصه معرفی او از کاملیه و مؤسس آن به طوری که اشاره گردید چنین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از پیروان مردی رافضی هستند که ابو کامل نام داشت و معتقد بود که همه صحابه پیامبر حتی علی بن ابی طالب علیه السلام کافر شده و از دین اسلام برگشته‌اند</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الفرق بین الفرق، چاپ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تبریز، صفحه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عین همین جملات را محمد بن عبدالکریم 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 قرن پس از ابو منصور می‌زیسته در کتاب خود، ملل و نحل آورده است</w:t>
      </w:r>
      <w:r>
        <w:rPr>
          <w:rFonts w:eastAsia="IRNazanin" w:cs="IRNazanin"/>
          <w:color w:val="111111"/>
          <w:sz w:val="28"/>
          <w:szCs w:val="28"/>
          <w:rtl w:val="true"/>
          <w:lang w:bidi="fa-IR"/>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بدیهی است انعکاس مطلبی در دو کتاب رایج و قدیمی متعلق به قرن پنجم و ششم موجب انعکاس و سرایت آن به کتاب‌ها و تألیفات دیگر نیز خواهد گردید و لذا می‌بینیم یک قرن پس از شهرستانی ابن ابی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جزء ادبا و نویسندگان دوران خویش بوده همان مطلب را بدون کوچک‌ترین نقد و بررسی نقل نموده است</w:t>
      </w:r>
      <w:r>
        <w:rPr>
          <w:rFonts w:eastAsia="IRNazanin" w:cs="IRNazanin"/>
          <w:color w:val="111111"/>
          <w:sz w:val="28"/>
          <w:szCs w:val="28"/>
          <w:rtl w:val="true"/>
          <w:lang w:bidi="fa-IR"/>
        </w:rPr>
        <w:t xml:space="preserve">.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و چون بررسی می‌کنیم می‌بینیم در اصل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وجود 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متهم ساختن این گروه با عقیده یاد شده تعصب و یکسونگری، بزرگ‌ترین و یا اصلی‌ترین عامل و در نشر و انعکاس آن ناآگاهی و عدم تحقیق مهم‌ترین انگیزه بوده است</w:t>
      </w:r>
      <w:r>
        <w:rPr>
          <w:rFonts w:eastAsia="IRNazanin" w:cs="IRNazanin"/>
          <w:color w:val="111111"/>
          <w:sz w:val="28"/>
          <w:szCs w:val="28"/>
          <w:rtl w:val="true"/>
          <w:lang w:bidi="fa-IR"/>
        </w:rPr>
        <w:t>.</w:t>
      </w:r>
    </w:p>
    <w:p>
      <w:pPr>
        <w:pStyle w:val="Heading3"/>
        <w:numPr>
          <w:ilvl w:val="2"/>
          <w:numId w:val="1"/>
        </w:numPr>
        <w:rPr/>
      </w:pPr>
      <w:bookmarkStart w:id="681" w:name="__RefHeading___Toc652171_1878427129"/>
      <w:bookmarkStart w:id="682" w:name="_Toc260"/>
      <w:bookmarkEnd w:id="681"/>
      <w:r>
        <w:rPr>
          <w:rtl w:val="true"/>
        </w:rPr>
        <w:t>معرفی اجمالی از ابو منصور بغدادی و شهرستانی</w:t>
      </w:r>
      <w:bookmarkEnd w:id="682"/>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حجم محدود این اوراق در معرفی این دو نویسنده که به عنوان مؤلفان در شناخت ادیان و مذاهب شهرت یافته‌اند و در مسئله مورد بحث، ابومنصور سازنده </w:t>
      </w:r>
      <w:bookmarkStart w:id="683" w:name="pg14553_191996"/>
    </w:p>
    <w:p>
      <w:pPr>
        <w:pStyle w:val="BookText"/>
        <w:rPr/>
      </w:pPr>
      <w:bookmarkEnd w:id="683"/>
      <w:r>
        <w:rPr>
          <w:rFonts w:ascii="IRNazanin" w:hAnsi="IRNazanin" w:eastAsia="IRNazanin"/>
          <w:color w:val="111111"/>
          <w:sz w:val="28"/>
          <w:sz w:val="28"/>
          <w:szCs w:val="28"/>
          <w:rtl w:val="true"/>
          <w:lang w:bidi="fa-IR"/>
        </w:rPr>
        <w:t xml:space="preserve">و شهرستانی ناشر آن بوده است مجبورم فقط گوشه‌ای از این واقعیت را در اختیار جنابعالی قرار بدهم و نظریه امام فخر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یک گفتار به هر دو مطلب اشاره نموده است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فخر رازی </w:t>
      </w:r>
      <w:r>
        <w:rPr>
          <w:rStyle w:val="FootnoteAnchor"/>
          <w:rtl w:val="true"/>
        </w:rPr>
        <w:footnoteReference w:id="6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میزان الاعتدال می‌گوید فخر رازی رأس زکاء و زیرکی و سرآمد دانشمندان علوم عقلی و نقلی است تألیفات‌فراوان و تفسیر کبیر او مؤید تبحر وی در علوم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شهر هرات در عید فطر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مناظرات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مسعودی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خدایش بیامرزد در حالی که شاد و مسرور بود بر من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خوشحالی او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نفیس و پرارزشی به دست آورده و خریداری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کتاب‌ها چیست؟ از چند کتاب نام برد تا به کتاب ملل و نحل شهرستانی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به خیال خود عقاید و مذاهب جهان را در این کتاب جمع کرده است، ولی به کتاب وی اعتماد نیست؛ زیرا مذاهب اسلامی را از کتابی به نام بین الفرق که از تصانیف استاد ابو منصور بغدادی است نقل نموده است و ابومنصور کسی است که بر مخالفان خود سخت تعصب داشت و مذاهب و عقاید آنان را چنان‌که هست نقل نکرده است و شهرستانی نیز مذاهب را از آن کتاب گرفته است؛ از این جهت در نقل این مذاهب، مطالب او خالی از نقص و خلل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طوری که ملاحظه می‌فرمایید فخر رازی ابومنصور بغدادی را فردی متعصب و یکسونگر و شهرستانی را فرد مقلد و غیرمحقق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نگاه اجمالی نظریه فخر رازی را در هر دو مورد تأیید می‌نماید</w:t>
      </w:r>
      <w:r>
        <w:rPr>
          <w:rFonts w:eastAsia="IRNazanin" w:cs="IRNazanin"/>
          <w:color w:val="111111"/>
          <w:sz w:val="28"/>
          <w:szCs w:val="28"/>
          <w:rtl w:val="true"/>
          <w:lang w:bidi="fa-IR"/>
        </w:rPr>
        <w:t>:</w:t>
      </w:r>
    </w:p>
    <w:p>
      <w:pPr>
        <w:pStyle w:val="Heading3"/>
        <w:numPr>
          <w:ilvl w:val="2"/>
          <w:numId w:val="1"/>
        </w:numPr>
        <w:rPr/>
      </w:pPr>
      <w:bookmarkStart w:id="684" w:name="__RefHeading___Toc652173_1878427129"/>
      <w:bookmarkStart w:id="685" w:name="_Toc261"/>
      <w:bookmarkEnd w:id="684"/>
      <w:r>
        <w:rPr>
          <w:rtl w:val="true"/>
        </w:rPr>
        <w:t>اما در مورد تعصب ابومنصور</w:t>
      </w:r>
      <w:bookmarkEnd w:id="6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منصور و به تبعیت وی شهرستانی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زعم آنان همه</w:t>
      </w:r>
      <w:bookmarkStart w:id="686" w:name="pg14553_191997"/>
    </w:p>
    <w:p>
      <w:pPr>
        <w:pStyle w:val="BookText"/>
        <w:rPr/>
      </w:pPr>
      <w:bookmarkEnd w:id="686"/>
      <w:r>
        <w:rPr>
          <w:rFonts w:ascii="IRNazanin" w:hAnsi="IRNazanin" w:eastAsia="IRNazanin"/>
          <w:color w:val="111111"/>
          <w:sz w:val="28"/>
          <w:sz w:val="28"/>
          <w:szCs w:val="28"/>
          <w:rtl w:val="true"/>
          <w:lang w:bidi="fa-IR"/>
        </w:rPr>
        <w:t>صحابه حتی امیرمؤمنان علیه السلام را کافر و خارج از اسلام می‌دانستند به عنوان یکی از فرق شیعه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سؤال است که این مطلب متضاد و متناقض چگونه برای ابومنصور مجهول و مستور مانده که ممکن نیست فرد یا گروهی در عین این‌که مسلمان و از پیروان ائمه شیعه است معتقد به کفر همه صحابه حتی معتقد به کفر امیرمؤمنان علیه السلام باشد؟ شیعه‌ای که در امیرمؤمنان علیه السلام به مقام عصمت هم قائل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حقاً تنها تعصب است که می‌تواند هر امر محال را ممکن و هر مطلب غیر معقول را معقول و کفر و عصمت را در یک فرد جمع نماید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تألیفات دانشمندان و علمای دیگری که قبل از ابومنصور دربارۀ ملل و نحل دست به تألیف زده‌اند، از 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به میان نیامده است؛ مانند فرق الشیعه نوبختی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300</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است در صورت وجود چنین گروهی بدین نام و با چنین عقیده از دید شخصیت با اطلاعی مانند نوبختی به دور نمی‌ماند و حداقل در مقام رد و اعتراض اشاره‌ای به این عقیده و مؤسس آن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در کتاب‌های آراء و عقاید بلکه تا آن‌جا که ما بررسی نمودیم از شخصیت ابوکامل و پیروانش و تاریخ و محل زندگی آنان در کتب تاریخ و تراجم کوچک‌ترین اثری به دست نیامد و در این‌جا است که این گروه شکل عنقا را پیدا می‌کند و گویا چنین گروه و مؤسس آن به جز در خیال ابومنصور خلق نگردیده و به جز در وهم او پدید نیامده است</w:t>
      </w:r>
      <w:r>
        <w:rPr>
          <w:rFonts w:eastAsia="IRNazanin" w:cs="IRNazanin"/>
          <w:color w:val="111111"/>
          <w:sz w:val="28"/>
          <w:szCs w:val="28"/>
          <w:rtl w:val="true"/>
          <w:lang w:bidi="fa-IR"/>
        </w:rPr>
        <w:t>.</w:t>
      </w:r>
    </w:p>
    <w:p>
      <w:pPr>
        <w:pStyle w:val="Heading3"/>
        <w:numPr>
          <w:ilvl w:val="2"/>
          <w:numId w:val="1"/>
        </w:numPr>
        <w:rPr/>
      </w:pPr>
      <w:bookmarkStart w:id="687" w:name="__RefHeading___Toc652175_1878427129"/>
      <w:bookmarkStart w:id="688" w:name="_Toc262"/>
      <w:bookmarkEnd w:id="687"/>
      <w:r>
        <w:rPr>
          <w:rtl w:val="true"/>
        </w:rPr>
        <w:t>و اما راجع به شهرستانی</w:t>
      </w:r>
      <w:bookmarkEnd w:id="688"/>
    </w:p>
    <w:p>
      <w:pPr>
        <w:pStyle w:val="BookText"/>
        <w:rPr/>
      </w:pPr>
      <w:r>
        <w:rPr>
          <w:rFonts w:ascii="IRNazanin" w:hAnsi="IRNazanin" w:eastAsia="IRNazanin"/>
          <w:color w:val="111111"/>
          <w:sz w:val="28"/>
          <w:sz w:val="28"/>
          <w:szCs w:val="28"/>
          <w:rtl w:val="true"/>
          <w:lang w:bidi="fa-IR"/>
        </w:rPr>
        <w:t>و این‌که او اهل تحقیق نبوده و در بیان مذاهب اسلامی به قول فخر رازی از ابو منصور تقلید و یا آنچه از افواه عوام و مردم کوچه و بازار شنیده در کتاب خویش نقل نموده است تنها به یک دلیل روشن و قابل درک عموم اکتفا می‌کنیم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معرفی ائمه شیعه می‌گوید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فقالوا الامام بعد موسی ابنه علی الرضا ومشهده بطوس ثم بعده محمد التقی وهو فی مقابر قریش ثم بعده علی بن محمد </w:t>
      </w:r>
    </w:p>
    <w:p>
      <w:pPr>
        <w:pStyle w:val="BookText"/>
        <w:rPr/>
      </w:pPr>
      <w:r>
        <w:rPr>
          <w:rFonts w:ascii="IRNazanin" w:hAnsi="IRNazanin" w:eastAsia="IRNazanin"/>
          <w:color w:val="111111"/>
          <w:sz w:val="28"/>
          <w:sz w:val="28"/>
          <w:szCs w:val="28"/>
          <w:rtl w:val="true"/>
          <w:lang w:bidi="fa-IR"/>
        </w:rPr>
        <w:t>النقی ومشهده بقم</w:t>
      </w:r>
      <w:r>
        <w:rPr>
          <w:rFonts w:eastAsia="IRNazanin" w:cs="IRNazanin"/>
          <w:color w:val="111111"/>
          <w:sz w:val="28"/>
          <w:szCs w:val="28"/>
          <w:rtl w:val="true"/>
          <w:lang w:bidi="fa-IR"/>
        </w:rPr>
        <w:t xml:space="preserve">. . .» . </w:t>
      </w:r>
      <w:r>
        <w:rPr>
          <w:rStyle w:val="FootnoteAnchor"/>
          <w:rtl w:val="true"/>
        </w:rPr>
        <w:footnoteReference w:id="6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ملل و نحل،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مصر،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280</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عقیدۀ شیعه امام بعد از محمد تقی علیه السلام علی بن محمد نقی است و قبر او در شهر قم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معرفی مذاهب و ادیان، کتابی تألیف می‌کند و دربارۀ ائمه بزرگ‌ترین مذاهب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نظریه می‌دهد و مرقد شریف امام هادی علیه السلام را از سامرای عراق به شهر قم و به ایران منتقل می‌کند، نظریه او در مورد آراء و عقاید مختلف و غیر معروف دارای چه اعتبار و ارزش علمی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با جنابعالی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جالب این است که او عذر این اشتباه و اشتباهات دیگرش را خواسته و در ذیل همین نظریه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الاثنا عشریه فی زماننا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شما خوانندۀ عزیز از این جمله چه می‌فهمید؟ مگر شیعه در هر زمان دارای عقیده خاصی بوده است؟</w:t>
      </w:r>
    </w:p>
    <w:p>
      <w:pPr>
        <w:pStyle w:val="BookText"/>
        <w:rPr/>
      </w:pPr>
      <w:r>
        <w:rPr>
          <w:rFonts w:ascii="IRNazanin" w:hAnsi="IRNazanin" w:eastAsia="IRNazanin"/>
          <w:color w:val="111111"/>
          <w:sz w:val="28"/>
          <w:sz w:val="28"/>
          <w:szCs w:val="28"/>
          <w:rtl w:val="true"/>
          <w:lang w:bidi="fa-IR"/>
        </w:rPr>
        <w:t>مفهوم ظاهری این جمله این است که من در حال حاضر که با مردم عادی و افراد کوچه و بازار گفتگو می‌کنم، دربارۀ عقیده شیعه چنین نظریه می‌دهند که مدفن امام دهم آنان در شهر قم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لابد اگر در میان عده دیگر چنین می‌گفتند که امام یازدهم شیعیان در شیراز است شهرستانی هم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الحسن العسکری ومشهده بشیراز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بدبینی شیعه نسبت به همه صحابه نه تنها از نظر دلائل نقلی مردود و بی‌اعتبار است بلکه از نظر عقلی نیز یک موضوع متناقض و غیرقابل قبول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شخصی به نام ابوکامل و گروهی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عقیده مورد بحث باشد وجود نداشته بلکه چنین گروه و چنین عقیده ساخته و پرداخته خیال و اندیشه فردی متعصب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bookmarkStart w:id="689" w:name="pg14553_191999"/>
    </w:p>
    <w:p>
      <w:pPr>
        <w:pStyle w:val="BookText"/>
        <w:rPr/>
      </w:pPr>
      <w:bookmarkEnd w:id="689"/>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چنین فرد و گروهی با چنین عقیده ضد اسلامی چه ارتباطی به عقیده شیعه دارد؟ مگر کتابخانه‌های دنیا مملو از منابع عقیدتی و کتب حدیثی و تاریخی شیعه نیست؟ تا حال در کدام کتاب از کتب شیعه چنین عقیده منعکس گردیده و از زبان کدام عالم و دانشمند و یا فرد عوام و بی سواد شیعه چنین مطلبی شنیده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قُولُوا قَوْلاً سَدِیداً یُصْلِحْ لَکُمْ أَعْمالَکُمْ وَ یَغْفِرْ لَکُمْ ذُنُوبَکُمْ</w:t>
      </w:r>
      <w:r>
        <w:rPr>
          <w:rFonts w:eastAsia="IRNazanin" w:cs="IRNazanin"/>
          <w:color w:val="111111"/>
          <w:sz w:val="28"/>
          <w:szCs w:val="28"/>
          <w:rtl w:val="true"/>
          <w:lang w:bidi="fa-IR"/>
        </w:rPr>
        <w:t xml:space="preserve">» . </w:t>
      </w:r>
      <w:r>
        <w:rPr>
          <w:rFonts w:eastAsia="IRNazanin" w:cs="IRNazanin"/>
          <w:color w:val="111111"/>
          <w:sz w:val="28"/>
          <w:szCs w:val="28"/>
          <w:lang w:bidi="fa-IR"/>
        </w:rPr>
        <w:t>1</w:t>
      </w:r>
    </w:p>
    <w:p>
      <w:pPr>
        <w:pStyle w:val="Heading3"/>
        <w:numPr>
          <w:ilvl w:val="2"/>
          <w:numId w:val="1"/>
        </w:numPr>
        <w:rPr/>
      </w:pPr>
      <w:bookmarkStart w:id="690" w:name="__RefHeading___Toc652177_1878427129"/>
      <w:bookmarkStart w:id="691" w:name="_Toc263"/>
      <w:bookmarkEnd w:id="690"/>
      <w:r>
        <w:rPr>
          <w:rtl w:val="true"/>
        </w:rPr>
        <w:t>شیعه یا اهل سنت واقعی</w:t>
      </w:r>
      <w:bookmarkEnd w:id="691"/>
    </w:p>
    <w:p>
      <w:pPr>
        <w:pStyle w:val="BookText"/>
        <w:rPr/>
      </w:pPr>
      <w:r>
        <w:rPr>
          <w:rFonts w:ascii="IRNazanin" w:hAnsi="IRNazanin" w:eastAsia="IRNazanin"/>
          <w:color w:val="111111"/>
          <w:sz w:val="28"/>
          <w:sz w:val="28"/>
          <w:szCs w:val="28"/>
          <w:rtl w:val="true"/>
          <w:lang w:bidi="fa-IR"/>
        </w:rPr>
        <w:t>پس از بیان این نکته که اساس و پایه عقیده شیعه در مورد صحابه قرآن و سنت و آیات و احادیث است، تذکر این نکته را لازم می‌دانیم که باید تسنن واقعی را در تشیع به دست آورد و پیروی نمودن از سنت اصیل پیامبر صلی الله علیه و آله نمی‌تواند بدون تشیع تحقق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در این مورد با تسمیه و نامگذاری کاری نداریم و فعلاً کیفیت تسمیه تشیع و تسنن و زمان و عامل به وجود آمدن این دو اسم را مطرح نمی‌سازیم و از این بحث صرف نظر می‌کنیم که کلمه شیعه به وسیلۀ شخص رسول اکرم صلی الله علیه و آله به پیروان امیرمؤمنان علیه السلام اطلاق گردیده </w:t>
      </w:r>
      <w:r>
        <w:rPr>
          <w:rStyle w:val="FootnoteAnchor"/>
          <w:rtl w:val="true"/>
        </w:rPr>
        <w:footnoteReference w:id="664"/>
      </w:r>
      <w:r>
        <w:rPr>
          <w:rFonts w:ascii="IRNazanin" w:hAnsi="IRNazanin" w:eastAsia="IRNazanin"/>
          <w:color w:val="111111"/>
          <w:sz w:val="28"/>
          <w:sz w:val="28"/>
          <w:szCs w:val="28"/>
          <w:rtl w:val="true"/>
          <w:lang w:bidi="fa-IR"/>
        </w:rPr>
        <w:t xml:space="preserve">و پیدایش کلمه اهل سنت و جماعت از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زمانی است که آتش بس بین امام حسن مجتبی علیه السلام و معاویه به وجود آمده و با مرور زمان گسترش یافته است</w:t>
      </w:r>
      <w:r>
        <w:rPr>
          <w:rFonts w:eastAsia="IRNazanin" w:cs="IRNazanin"/>
          <w:color w:val="111111"/>
          <w:sz w:val="28"/>
          <w:szCs w:val="28"/>
          <w:rtl w:val="true"/>
          <w:lang w:bidi="fa-IR"/>
        </w:rPr>
        <w:t xml:space="preserve">. </w:t>
      </w:r>
      <w:r>
        <w:rPr>
          <w:rStyle w:val="FootnoteAnchor"/>
          <w:rtl w:val="true"/>
        </w:rPr>
        <w:footnoteReference w:id="665"/>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ما فعلاً این بحث را مطرح نمی‌کنیم، ولی همان‌گونه که در مورد صحابه، دیدگاه شیعه را ملاحظه فرمودید که براساس قرآن و سنت بوده و در این مسیر اعوجاج و انحرافی از سنت نبوده می‌توانید از همان یک نمونه به تمام آراء و عقاید و </w:t>
      </w:r>
    </w:p>
    <w:p>
      <w:pPr>
        <w:pStyle w:val="BookText"/>
        <w:rPr/>
      </w:pPr>
      <w:r>
        <w:rPr>
          <w:rFonts w:ascii="IRNazanin" w:hAnsi="IRNazanin" w:eastAsia="IRNazanin"/>
          <w:color w:val="111111"/>
          <w:sz w:val="28"/>
          <w:sz w:val="28"/>
          <w:szCs w:val="28"/>
          <w:rtl w:val="true"/>
          <w:lang w:bidi="fa-IR"/>
        </w:rPr>
        <w:t>اعمال و عبادات شیعه پی ببرید و دریابید که شیعه در تمام نظراتشان از اصول عقاید گرفته تا جزئیات فروع و احکام پیرو قرآن و سنت می‌باشد و اصل تشیع و پیروی از امیرمؤمنان علیه السلام و اهل بیت نیز در چهارچوبه دستور قرآن و در محدودۀ فرمان رسول خدا بوده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 اللهم وال من والاه وعاد من عاداه</w:t>
      </w:r>
      <w:r>
        <w:rPr>
          <w:rFonts w:eastAsia="IRNazanin" w:cs="IRNazanin"/>
          <w:color w:val="111111"/>
          <w:sz w:val="28"/>
          <w:szCs w:val="28"/>
          <w:rtl w:val="true"/>
          <w:lang w:bidi="fa-IR"/>
        </w:rPr>
        <w:t>) . .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است که می‌گوییم تسنن و سنت گرایی حقیقی را باید در تشیع جستجو کرد و این تشیع است که اهل سنت واقعی و پیرو سنت اصیل و صحیح رسول خدا می‌باشد</w:t>
      </w:r>
      <w:r>
        <w:rPr>
          <w:rFonts w:eastAsia="IRNazanin" w:cs="IRNazanin"/>
          <w:color w:val="111111"/>
          <w:sz w:val="28"/>
          <w:szCs w:val="28"/>
          <w:rtl w:val="true"/>
          <w:lang w:bidi="fa-IR"/>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2" w:name="pg14553_192002"/>
      <w:bookmarkStart w:id="693" w:name="pg14553_192002"/>
      <w:bookmarkEnd w:id="693"/>
    </w:p>
    <w:p>
      <w:pPr>
        <w:pStyle w:val="BookText"/>
        <w:rPr/>
      </w:pPr>
      <w:bookmarkStart w:id="694" w:name="pg14553_192002"/>
      <w:bookmarkEnd w:id="694"/>
      <w:r>
        <w:rPr>
          <w:rFonts w:ascii="IRNazanin" w:hAnsi="IRNazanin" w:eastAsia="IRNazanin"/>
          <w:color w:val="111111"/>
          <w:sz w:val="28"/>
          <w:sz w:val="28"/>
          <w:szCs w:val="28"/>
          <w:rtl w:val="true"/>
          <w:lang w:bidi="fa-IR"/>
        </w:rPr>
        <w:t>الشواهد الشعریّة ومناسباتها فی الکتب الأربعة الحدیثیة</w:t>
      </w:r>
    </w:p>
    <w:p>
      <w:pPr>
        <w:pStyle w:val="Heading2"/>
        <w:numPr>
          <w:ilvl w:val="1"/>
          <w:numId w:val="1"/>
        </w:numPr>
        <w:rPr/>
      </w:pPr>
      <w:bookmarkStart w:id="695" w:name="__RefHeading___Toc652179_1878427129"/>
      <w:bookmarkStart w:id="696" w:name="_Toc264"/>
      <w:bookmarkEnd w:id="695"/>
      <w:r>
        <w:rPr>
          <w:rtl w:val="true"/>
        </w:rPr>
        <w:t>الشواهد الشعریّة ومناسباتها فی الکتب الأربعة الحدیثیة</w:t>
      </w:r>
      <w:bookmarkEnd w:id="696"/>
    </w:p>
    <w:p>
      <w:pPr>
        <w:pStyle w:val="Heading3"/>
        <w:numPr>
          <w:ilvl w:val="2"/>
          <w:numId w:val="1"/>
        </w:numPr>
        <w:rPr/>
      </w:pPr>
      <w:bookmarkStart w:id="697" w:name="__RefHeading___Toc652181_1878427129"/>
      <w:bookmarkStart w:id="698" w:name="_Toc265"/>
      <w:bookmarkEnd w:id="697"/>
      <w:r>
        <w:rPr>
          <w:rtl w:val="true"/>
        </w:rPr>
        <w:t>اشارة</w:t>
      </w:r>
      <w:bookmarkEnd w:id="698"/>
    </w:p>
    <w:p>
      <w:pPr>
        <w:pStyle w:val="BookText"/>
        <w:rPr/>
      </w:pPr>
      <w:r>
        <w:rPr>
          <w:rFonts w:ascii="IRNazanin" w:hAnsi="IRNazanin" w:eastAsia="IRNazanin"/>
          <w:color w:val="111111"/>
          <w:sz w:val="28"/>
          <w:sz w:val="28"/>
          <w:szCs w:val="28"/>
          <w:rtl w:val="true"/>
          <w:lang w:bidi="fa-IR"/>
        </w:rPr>
        <w:t xml:space="preserve">الشواهد الشعریّة ومناسباتها فی الکتب الأربعة الحدیثیة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علی موسی الکعبی</w:t>
      </w:r>
    </w:p>
    <w:p>
      <w:pPr>
        <w:pStyle w:val="Heading3"/>
        <w:numPr>
          <w:ilvl w:val="2"/>
          <w:numId w:val="1"/>
        </w:numPr>
        <w:rPr/>
      </w:pPr>
      <w:bookmarkStart w:id="699" w:name="__RefHeading___Toc652183_1878427129"/>
      <w:bookmarkStart w:id="700" w:name="_Toc266"/>
      <w:bookmarkEnd w:id="699"/>
      <w:r>
        <w:rPr>
          <w:rtl w:val="true"/>
        </w:rPr>
        <w:t>چکیده</w:t>
      </w:r>
      <w:bookmarkEnd w:id="700"/>
    </w:p>
    <w:p>
      <w:pPr>
        <w:pStyle w:val="BookText"/>
        <w:rPr/>
      </w:pPr>
      <w:r>
        <w:rPr>
          <w:rFonts w:ascii="IRNazanin" w:hAnsi="IRNazanin" w:eastAsia="IRNazanin"/>
          <w:color w:val="111111"/>
          <w:sz w:val="28"/>
          <w:sz w:val="28"/>
          <w:szCs w:val="28"/>
          <w:rtl w:val="true"/>
          <w:lang w:bidi="fa-IR"/>
        </w:rPr>
        <w:t>بحث در این مقاله شامل تمامی اشعار وارد شده در احادیث کتب اربعه است و شواهد شعری را بر حسب حروف قافیه به صورت الفبایی سامان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هر شعر یک شماره انتخاب نموده و پس از بیان شعر و توضیح لغات آن، محل شاهد در شعر و محل استشهاد در کتب اربعه را بیان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للّه‌ربّ العالمین، وأفضل الصلاة وأتمّ التسلیم علی الحبیب المصطفی وآله الهداة المیامین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أنّ الشعر العربی یحتلُّ موقع الصدارة فی الدراسات الأدبیة من بین سائر فنون الأدب، لا لأنّه مادّة للتسلیة والمتعة وحسب، بل لموقعه المتمیّز فی أغلب فروع العلم والمعرفة، ولأنّ بعضه یُعدّ مستودعاً للحکمة والفصاحة، وقد عبّر عنه الرسول الأکرم صلی الله علیه و آله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البیان لسحراً، وإنّ من الشعر 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لحُکماً</w:t>
      </w:r>
      <w:r>
        <w:rPr>
          <w:rFonts w:eastAsia="IRNazanin" w:cs="IRNazanin"/>
          <w:color w:val="111111"/>
          <w:sz w:val="28"/>
          <w:szCs w:val="28"/>
          <w:rtl w:val="true"/>
          <w:lang w:bidi="fa-IR"/>
        </w:rPr>
        <w:t xml:space="preserve">» . </w:t>
      </w:r>
      <w:r>
        <w:rPr>
          <w:rStyle w:val="FootnoteAnchor"/>
          <w:rtl w:val="true"/>
        </w:rPr>
        <w:footnoteReference w:id="667"/>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والشعر من المصادر المهمّة فی دراسة التاریخ والعادات الاجتماعیة، فهو دیوان العرب لأنّه دوّن مآثرهم وأیّامهم، واحتفظ لنا بسجلٍّ لأهمّ الأحداث التاریخیّة التی ألمّت بهم، والتقالید الاجتماعیة السائدة بینهم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وفی صدر الإسلام أصبح الشعر إحدی أهمّ أدوات الإعلام الفعّالة التی تقف إلی جانب السیف للذود عن الدعوة الإلهیة الحقّة ورفع رایة التوحید وبسطها علی وجه المعمورة، حتی أنّ رسول اللّه صلی الله علیه و آله قال فی شعراء الصدر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النفر أشدّ علی قریش من نضح النبل</w:t>
      </w:r>
      <w:r>
        <w:rPr>
          <w:rFonts w:eastAsia="IRNazanin" w:cs="IRNazanin"/>
          <w:color w:val="111111"/>
          <w:sz w:val="28"/>
          <w:szCs w:val="28"/>
          <w:rtl w:val="true"/>
          <w:lang w:bidi="fa-IR"/>
        </w:rPr>
        <w:t xml:space="preserve">» </w:t>
      </w:r>
      <w:r>
        <w:rPr>
          <w:rStyle w:val="FootnoteAnchor"/>
          <w:rtl w:val="true"/>
        </w:rPr>
        <w:footnoteReference w:id="6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ابن رشیق،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نفسی بیده، لکأنّما ینضحونهم بالنبل</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وترک الرعیل الأوّل من الشعراء الإسلامیین دیواناً شعریاً حافلاً بذکر الوقائع والفتوحات والأحداث المهمّة والخطیرة التی مرّت بها الدعوة الإسلامیة فی عصرها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فی طلیعة اُولئک الشعراء شیخ البطحاء وعمّ سید الأنبیاء أبو طالب رضی الله عنه الذی‌انبری للدفاع عن رسالة التوحید وإعلاء مبادئها، وعبّر عن عمق نصرته ومحبّته وولائه للرسول صلی الله علیه و آله ورسالته فی أیّامها الأولی وإرهاصاتها المبکّرة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توسّع الفتوح الإسلامیة واختلاط العرب بغیرهم من الأقوام المجاورة، شاع اللحن علی الألسن وفشا فی أوساط الناس، فوضع أبو الأسود الدؤلی قواعد النحو العربی ونقّط المصحف نقاط الإعراب، لیقوّم ما فسد من اللسان ویحافظ علی لغة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فعل أبو الأسود ذلک بتلقین من أمیر المؤمنین علی علیه السلام، وهو أوّل من سنّ العربیة ووضع قواعد نحوها، وألقی أُصوله وجوامعه إلی أبی الأسود الدؤلی، باتّفاق أغلب علماء اللغة ومؤرّخیها</w:t>
      </w:r>
      <w:r>
        <w:rPr>
          <w:rFonts w:eastAsia="IRNazanin" w:cs="IRNazanin"/>
          <w:color w:val="111111"/>
          <w:sz w:val="28"/>
          <w:szCs w:val="28"/>
          <w:rtl w:val="true"/>
          <w:lang w:bidi="fa-IR"/>
        </w:rPr>
        <w:t xml:space="preserve">.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وقد سُئل أبو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لک هذا العلم؟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لقّنت حدوده من علی بن أبی طالب علیه السلام</w:t>
      </w:r>
      <w:r>
        <w:rPr>
          <w:rFonts w:eastAsia="IRNazanin" w:cs="IRNazanin"/>
          <w:color w:val="111111"/>
          <w:sz w:val="28"/>
          <w:szCs w:val="28"/>
          <w:rtl w:val="true"/>
          <w:lang w:bidi="fa-IR"/>
        </w:rPr>
        <w:t xml:space="preserve">. </w:t>
      </w:r>
      <w:r>
        <w:rPr>
          <w:rStyle w:val="FootnoteAnchor"/>
          <w:rtl w:val="true"/>
        </w:rPr>
        <w:footnoteReference w:id="670"/>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وأخذ الدارسون عن أبی الأسود أُصول قواعد العربیة، فکانت الأساس الأوّل الذی أُقیم علیه صرح الدراسات اللغویة والأدبیة، حیث دوّنت اُصول اللغة والنحو والصرف </w:t>
      </w:r>
      <w:bookmarkStart w:id="701" w:name="pg14553_192004"/>
    </w:p>
    <w:p>
      <w:pPr>
        <w:pStyle w:val="BookText"/>
        <w:rPr/>
      </w:pPr>
      <w:bookmarkEnd w:id="701"/>
      <w:r>
        <w:rPr>
          <w:rFonts w:ascii="IRNazanin" w:hAnsi="IRNazanin" w:eastAsia="IRNazanin"/>
          <w:color w:val="111111"/>
          <w:sz w:val="28"/>
          <w:sz w:val="28"/>
          <w:szCs w:val="28"/>
          <w:rtl w:val="true"/>
          <w:lang w:bidi="fa-IR"/>
        </w:rPr>
        <w:t>بعد استقراء کلام العرب ودراسة مختلف أسالیبه، فکان للشعر النصیب الأوفر فی تلک الدراسات، لأنّه أقلّ الفنون الأدبیة تعرّضاً للتصحیف والتحریف، ذلک لکون الملکة الإنسانیّة أقدر علی حفظ الشعر من غیره باستثناء الکتاب الکریم لما یختزن فیه من الوزن والقافیة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أصبحت الحاجة ماسّة إلی الشاهد الشعری لأغراض الاحتجاج اللغوی، فتوجّهت عنایة علماء العربیة إلی دراسة النصوص الشعریة وحفظها وشرحها ونقدها، ومن ثمّ الاستدلال بها علی صحّة قواعد اللغة والنحو والصرف ومعرفة شواذّها، کما عنوا بمعرفة اسم الشاعر وحدّدوا عصره، وناقشوا فی مدی صحّة نسبة الشعر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اعتنی به سائر المفسّرین والمحدّثین، لغرضٍ أجلّ وأسمی، إذ سخّروا کما هو معلوم طاقات اللغة العربیة وآدابها، ویأتی الشعر فی طلیعتها، لخدمة النصّ الشرعی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اشتهر عن ابن عباس رضی الله عنه کثرة استشهاده بشعر العرب فی تفسیره، فإذا سئل عن شی ءٍ من القرآن أنشد فیه شعراً،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قرأتم شیئاً من کتاب اللّه فلم تعرفوه، فاطلبوه فی أشعار العرب، فإنّ الشعر دیوان العرب </w:t>
      </w:r>
      <w:r>
        <w:rPr>
          <w:rStyle w:val="FootnoteAnchor"/>
          <w:rtl w:val="true"/>
        </w:rPr>
        <w:footnoteReference w:id="6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ابن رشیق،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702" w:name="__RefHeading___Toc652185_1878427129"/>
      <w:bookmarkStart w:id="703" w:name="_Toc267"/>
      <w:bookmarkEnd w:id="702"/>
      <w:r>
        <w:rPr>
          <w:rtl w:val="true"/>
        </w:rPr>
        <w:t>الشاهد فی اللغة</w:t>
      </w:r>
      <w:bookmarkEnd w:id="703"/>
    </w:p>
    <w:p>
      <w:pPr>
        <w:pStyle w:val="BookText"/>
        <w:rPr/>
      </w:pPr>
      <w:r>
        <w:rPr>
          <w:rFonts w:ascii="IRNazanin" w:hAnsi="IRNazanin" w:eastAsia="IRNazanin"/>
          <w:color w:val="111111"/>
          <w:sz w:val="28"/>
          <w:sz w:val="28"/>
          <w:szCs w:val="28"/>
          <w:rtl w:val="true"/>
          <w:lang w:bidi="fa-IR"/>
        </w:rPr>
        <w:t>المراد بالشاهد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عربی شعر أو نثر، قیل فی عصر الاحتجاج وحدّدوه بالعصر الجاهلی إلی منتصف القرن الثانی الهجری</w:t>
      </w:r>
      <w:r>
        <w:rPr>
          <w:rFonts w:eastAsia="IRNazanin" w:cs="IRNazanin"/>
          <w:color w:val="111111"/>
          <w:sz w:val="28"/>
          <w:szCs w:val="28"/>
          <w:rtl w:val="true"/>
          <w:lang w:bidi="fa-IR"/>
        </w:rPr>
        <w:t xml:space="preserve">. </w:t>
      </w:r>
      <w:r>
        <w:rPr>
          <w:rStyle w:val="FootnoteAnchor"/>
          <w:rtl w:val="true"/>
        </w:rPr>
        <w:footnoteReference w:id="672"/>
      </w:r>
    </w:p>
    <w:p>
      <w:pPr>
        <w:pStyle w:val="Heading3"/>
        <w:numPr>
          <w:ilvl w:val="2"/>
          <w:numId w:val="1"/>
        </w:numPr>
        <w:rPr/>
      </w:pPr>
      <w:bookmarkStart w:id="704" w:name="__RefHeading___Toc652187_1878427129"/>
      <w:bookmarkStart w:id="705" w:name="_Toc268"/>
      <w:bookmarkEnd w:id="704"/>
      <w:r>
        <w:rPr>
          <w:rtl w:val="true"/>
        </w:rPr>
        <w:t>أغراض الاحتجاج</w:t>
      </w:r>
      <w:bookmarkEnd w:id="705"/>
    </w:p>
    <w:p>
      <w:pPr>
        <w:pStyle w:val="BookText"/>
        <w:rPr/>
      </w:pPr>
      <w:r>
        <w:rPr>
          <w:rFonts w:ascii="IRNazanin" w:hAnsi="IRNazanin" w:eastAsia="IRNazanin"/>
          <w:color w:val="111111"/>
          <w:sz w:val="28"/>
          <w:sz w:val="28"/>
          <w:szCs w:val="28"/>
          <w:rtl w:val="true"/>
          <w:lang w:bidi="fa-IR"/>
        </w:rPr>
        <w:t>للاحتجاج اللغوی غرضان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وذلک لإثبات صحّة استعمال لفظة أو ترکیب وما یتبع ذلک من قواعد فی علم اللغة والنحو والصرف</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ویتعلّق بإثبات معنی کلمة ما، وما یتبع ذلک من قواعد بلاغیّة فی علم المعانی والبیان والبدیع</w:t>
      </w:r>
      <w:r>
        <w:rPr>
          <w:rFonts w:eastAsia="IRNazanin" w:cs="IRNazanin"/>
          <w:color w:val="111111"/>
          <w:sz w:val="28"/>
          <w:szCs w:val="28"/>
          <w:rtl w:val="true"/>
          <w:lang w:bidi="fa-IR"/>
        </w:rPr>
        <w:t xml:space="preserve">. </w:t>
      </w:r>
      <w:bookmarkStart w:id="706" w:name="pg14553_192005"/>
    </w:p>
    <w:p>
      <w:pPr>
        <w:pStyle w:val="BookText"/>
        <w:rPr/>
      </w:pPr>
      <w:bookmarkEnd w:id="706"/>
      <w:r>
        <w:rPr>
          <w:rFonts w:ascii="IRNazanin" w:hAnsi="IRNazanin" w:eastAsia="IRNazanin"/>
          <w:color w:val="111111"/>
          <w:sz w:val="28"/>
          <w:sz w:val="28"/>
          <w:szCs w:val="28"/>
          <w:rtl w:val="true"/>
          <w:lang w:bidi="fa-IR"/>
        </w:rPr>
        <w:t>وقد شدّد علماء اللغة والنحو فی شروط قبول الشاهد اللغوی للغرض الأوّل من الاحتجاج، فلم یجوّزوا الاستشهاد علی اللغة والصرف والنحو إلا بکلام من یوثق بفصاحته من العرب، وحدّدوا ذلک ضمن عصر معیّن وقبائل معیّنة تقع ضمن دائرة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الغرض الثانی من الاحتجاج اللغوی، فقد جوّزوا الاستشهاد علیه بکلام المولدین وسواهم من المتأخّرین عن عصر الاحتجاج </w:t>
      </w:r>
      <w:r>
        <w:rPr>
          <w:rStyle w:val="FootnoteAnchor"/>
          <w:rtl w:val="true"/>
        </w:rPr>
        <w:footnoteReference w:id="67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البغدادی،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احتجّ المبرد بشعر أبی تمام ت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ق، واحتجّ ابن جنی بشعر المتنبّی ت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المعانی یتناهبها المولدون کما یتناهبها المتقدّمون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واستشهد الزمخشری بشعر المتنبّی والبحتری ت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ق، وأبی نؤاس ت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ق، وأبی العلاء المعری ت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واستشهد السید المرتضی بشعر ابن الرومی ت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وتابعه الشیخ الطوسی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الفقاع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07" w:name="__RefHeading___Toc652189_1878427129"/>
      <w:bookmarkStart w:id="708" w:name="_Toc269"/>
      <w:bookmarkEnd w:id="707"/>
      <w:r>
        <w:rPr>
          <w:rtl w:val="true"/>
        </w:rPr>
        <w:t>دائرة الاحتجاج اللغوی</w:t>
      </w:r>
      <w:bookmarkEnd w:id="708"/>
    </w:p>
    <w:p>
      <w:pPr>
        <w:pStyle w:val="BookText"/>
        <w:rPr/>
      </w:pPr>
      <w:r>
        <w:rPr>
          <w:rFonts w:ascii="IRNazanin" w:hAnsi="IRNazanin" w:eastAsia="IRNazanin"/>
          <w:color w:val="111111"/>
          <w:sz w:val="28"/>
          <w:sz w:val="28"/>
          <w:szCs w:val="28"/>
          <w:rtl w:val="true"/>
          <w:lang w:bidi="fa-IR"/>
        </w:rPr>
        <w:t>جعل علماء اللغة حدوداً زمانیة ومکانیة لقبول الشاهد اللغوی متوخّین بذلک السلامة فی لغة المحتجّ به وعدم تطرّق الفساد إلیها، کی تتاح لهم فرصة التمییز بین الدخیل والأصیل، والمشهور والشاذ، والمستعمل والمهمل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حیث الدائرة الزمانیة، لم یقبلوا من الشواهد الشعریة والنثریة إلا ما کان واقعاً بین العصر الجاهلی إلی منتصف القرن الثانی الهجری، وعلی ضوء ذلک قسّموا الشعراء إلی طبقات أربع تخضع للترتیب الزمانی،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الشعراء الجاهلیین، کامرئ القیس والأعشی وغیرهما ممّن ماتوا قبل ظهور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المخضرمین، وهم الذین أدرکوا الجاهلیة والإسلام، کلبید وحسّان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 الإسلامیین المتقدّمین، وهم الذین کانوا فی صدر الإسلام کجریر والفرزدق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طبقة المولدین أو المحدثین، وهم الذین جاء وا بعد الطبقة الثالثة کبشّار ابن برد وأبی نؤاس </w:t>
      </w:r>
      <w:r>
        <w:rPr>
          <w:rStyle w:val="FootnoteAnchor"/>
          <w:rtl w:val="true"/>
        </w:rPr>
        <w:footnoteReference w:id="6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العمدة ابن رشیق،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خزانة الأدب البغدادی،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فأجمعوا علی صحّة الاستشهاد بطبقة الجاهلیین والمخضرمین، واختلفوا فی رطبقة الإسلامیین، فالأغلب علی صحّة الاستشهاد بشعرهم حتی منتصف القرن الثانی الهجری، وجعلوا إبراهیم بن هَرْمة وهو إبراهیم بن علی بن سلمة بن عامر بن هَرْمة الفهری، أبو إسحاق، من مخضرمی الدولتین الأمویة والعبّاسیة، توفّی نحو سنة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الشعر بإبراهیم بن هَرْمة، وهو آخر الحجج، </w:t>
      </w:r>
      <w:r>
        <w:rPr>
          <w:rStyle w:val="FootnoteAnchor"/>
          <w:rtl w:val="true"/>
        </w:rPr>
        <w:footnoteReference w:id="675"/>
      </w:r>
      <w:r>
        <w:rPr>
          <w:rFonts w:ascii="IRNazanin" w:hAnsi="IRNazanin" w:eastAsia="IRNazanin"/>
          <w:color w:val="111111"/>
          <w:sz w:val="28"/>
          <w:sz w:val="28"/>
          <w:szCs w:val="28"/>
          <w:rtl w:val="true"/>
          <w:lang w:bidi="fa-IR"/>
        </w:rPr>
        <w:t xml:space="preserve">ت بعد سنة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ق آخر شعراء الإسلامیین المحتجّ بشعرهم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واقتصر بعض العلماء کأبی عمرو بن العلاء علی الأخذ من الجاهلیین والمخضرمین دون غیرهم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أمّا الطبقة الرابعة من الشعراء فلا یُحتجّ بکلامهم للغرض اللفظی مطلقاً، وجعلوا بشّار بن برد ت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ق رأس المحدّثین غیر المحتجّ بکلامهم، وعلّلوا استشهاد سیبویه ببعض شعر بشّار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بالتقرّب إلیه واتّقاء شرّ لسانه، لأنّه کان قد هجاه لترکه الاحتجاج بشعره</w:t>
      </w:r>
      <w:r>
        <w:rPr>
          <w:rFonts w:eastAsia="IRNazanin" w:cs="IRNazanin"/>
          <w:color w:val="111111"/>
          <w:sz w:val="28"/>
          <w:szCs w:val="28"/>
          <w:rtl w:val="true"/>
          <w:lang w:bidi="fa-IR"/>
        </w:rPr>
        <w:t xml:space="preserve">. </w:t>
      </w:r>
      <w:r>
        <w:rPr>
          <w:rStyle w:val="FootnoteAnchor"/>
          <w:rtl w:val="true"/>
        </w:rPr>
        <w:footnoteReference w:id="677"/>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حیث الدائرة المکانیة، أو القبائل التی أخذوا عنها، فقد اختلفت درجاتها فی الاحتجاج بحسب قربها أو بعدها من الاختلاط بالأمم المجاورة، فاعتمدوا کلام القبائل الواقعة فی قلب جزیرة العرب، وردّوا کلام القبائل التی علی السواحل، أو فی الحواضر، أو فی جوار غیر العرب من الأمم الأخری، وقد صنّف ذلک أبو نصر الفارابی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أنّ أجود العرب انتقاءً للأفصح هم قریش، ویلیهم </w:t>
      </w:r>
    </w:p>
    <w:p>
      <w:pPr>
        <w:pStyle w:val="BookText"/>
        <w:rPr/>
      </w:pPr>
      <w:r>
        <w:rPr>
          <w:rFonts w:ascii="IRNazanin" w:hAnsi="IRNazanin" w:eastAsia="IRNazanin"/>
          <w:color w:val="111111"/>
          <w:sz w:val="28"/>
          <w:sz w:val="28"/>
          <w:szCs w:val="28"/>
          <w:rtl w:val="true"/>
          <w:lang w:bidi="fa-IR"/>
        </w:rPr>
        <w:t>قیس، وتمیم، وأسد، وهذیل، وبعض کنانة، وبعض الطائیین، ولم یؤخذ من غیرهم من سائر القبائل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استثنوا القبائل القاطنة بجوار الیونان کتغلب والنمر، والقبائل المجاورة لأهل مصر والقبط کلخم وجذام، والقبائل المجاورة لأهل الشام کقضاعة وغسّان وإیاد، والقبائل المجاورة للنبط والفرس والهند والحبشة کبکر وعبدالقیس وأزد عُمان وأهل الیمن، والقبائل المخالطة لتجّار الأمم المقیمین عندهم کبنی حنیفة وسکّان الیمامة وثقیف وسکان الطائف وحاضرة الحجاز</w:t>
      </w:r>
      <w:r>
        <w:rPr>
          <w:rFonts w:eastAsia="IRNazanin" w:cs="IRNazanin"/>
          <w:color w:val="111111"/>
          <w:sz w:val="28"/>
          <w:szCs w:val="28"/>
          <w:rtl w:val="true"/>
          <w:lang w:bidi="fa-IR"/>
        </w:rPr>
        <w:t xml:space="preserve">. </w:t>
      </w:r>
      <w:r>
        <w:rPr>
          <w:rStyle w:val="FootnoteAnchor"/>
          <w:rtl w:val="true"/>
        </w:rPr>
        <w:footnoteReference w:id="6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تاریخ النحو سعید الأفغانی، ص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دائرة الاستشهاد تتّسع وتضیق بحسب مدارس اللغة والنحو التی نشأت فی الحواضر الإسلامیة، فالمدرسة البصریة شدّدت أشدّ التشدّد فی روایة الأشعار والأمثال والخطب ضمن الدائرة المشار إلیها، واشترطوا فی الشواهد المعتمدة لوضع القواعد أن تکون جاریة علی ألسنة العرب وکثیرة الاستعمال فی کلامهم بحیث تمثّل اللغة الفصحی خیر تمثیل، وحینما یواجهون بعض النصوص التی تخالف قواعدهم، کانوا یرمونها بالشذوذ أو یتأوّلونها حتی تنطبق علیها قواعدهم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أقطاب المدرسة الکوفیة فقد اتّسعوا فی الروایة عن جمیع العرب بدواً وحضراً، واعتدّوا بأقوال وأشعار المتحضّرین من العرب ممّن سکنوا حواضر العراق، واعتمدوا الأشعار والأقوال الشاذّة التی سمعوها من الفصحاء العرب والتی وصفها البصریون بالشذوذ</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وتوسّع بعض أعلام المدرسة البغدادیّة فی الأخذ والاستشهاد بأشعار الطبقة الرابعة، فقد استشهد الزمخشری بشعر أبی تمام ت</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وإن کان محدثاً لا یستشهد بشعره فی اللغة، فهو من علماء العربیة، فأجعل ما یقوله بمنزلة ما یرویه </w:t>
      </w:r>
      <w:r>
        <w:rPr>
          <w:rStyle w:val="FootnoteAnchor"/>
          <w:rtl w:val="true"/>
        </w:rPr>
        <w:footnoteReference w:id="679"/>
      </w:r>
      <w:r>
        <w:rPr>
          <w:rFonts w:ascii="IRNazanin" w:hAnsi="IRNazanin" w:eastAsia="IRNazanin"/>
          <w:color w:val="111111"/>
          <w:sz w:val="28"/>
          <w:sz w:val="28"/>
          <w:szCs w:val="28"/>
          <w:rtl w:val="true"/>
          <w:lang w:bidi="fa-IR"/>
        </w:rPr>
        <w:t xml:space="preserve">واستشهد الرضی الأسترآبادی شارح أبیات کافیة ابن الحاجب بشعر أبی تمام أیضاً فی عدّة مواضع من شرحه </w:t>
      </w:r>
      <w:r>
        <w:rPr>
          <w:rStyle w:val="FootnoteAnchor"/>
          <w:rtl w:val="true"/>
        </w:rPr>
        <w:footnoteReference w:id="680"/>
      </w:r>
      <w:bookmarkStart w:id="709" w:name="pg14553_192008"/>
    </w:p>
    <w:p>
      <w:pPr>
        <w:pStyle w:val="Heading3"/>
        <w:numPr>
          <w:ilvl w:val="2"/>
          <w:numId w:val="1"/>
        </w:numPr>
        <w:rPr/>
      </w:pPr>
      <w:bookmarkStart w:id="710" w:name="__RefHeading___Toc652191_1878427129"/>
      <w:bookmarkStart w:id="711" w:name="_Toc270"/>
      <w:bookmarkEnd w:id="709"/>
      <w:bookmarkEnd w:id="710"/>
      <w:r>
        <w:rPr>
          <w:rtl w:val="true"/>
        </w:rPr>
        <w:t>الاستشهاد بالقرآن والحدیث</w:t>
      </w:r>
      <w:bookmarkEnd w:id="711"/>
    </w:p>
    <w:p>
      <w:pPr>
        <w:pStyle w:val="Heading4"/>
        <w:numPr>
          <w:ilvl w:val="3"/>
          <w:numId w:val="1"/>
        </w:numPr>
        <w:rPr/>
      </w:pPr>
      <w:bookmarkStart w:id="712" w:name="__RefHeading___Toc652193_1878427129"/>
      <w:bookmarkStart w:id="713" w:name="_Toc271"/>
      <w:bookmarkEnd w:id="712"/>
      <w:r>
        <w:rPr>
          <w:rtl w:val="true"/>
        </w:rPr>
        <w:t>اشارة</w:t>
      </w:r>
      <w:bookmarkEnd w:id="713"/>
    </w:p>
    <w:p>
      <w:pPr>
        <w:pStyle w:val="BookText"/>
        <w:rPr/>
      </w:pPr>
      <w:r>
        <w:rPr>
          <w:rFonts w:ascii="IRNazanin" w:hAnsi="IRNazanin" w:eastAsia="IRNazanin"/>
          <w:color w:val="111111"/>
          <w:sz w:val="28"/>
          <w:sz w:val="28"/>
          <w:szCs w:val="28"/>
          <w:rtl w:val="true"/>
          <w:lang w:bidi="fa-IR"/>
        </w:rPr>
        <w:t xml:space="preserve">أجمع علماء اللغة والنحو علی اتّخاذ القرآن الکریم علی رأس مراجع الاحتجاج فی جمیع علوم اللغة، لإثبات صحّة لفظ أو ترکیب أو معنیً من المعانی </w:t>
      </w:r>
      <w:r>
        <w:rPr>
          <w:rStyle w:val="FootnoteAnchor"/>
          <w:rtl w:val="true"/>
        </w:rPr>
        <w:footnoteReference w:id="6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المفصلّ، میشال عاصی وإمیل بدیع،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باعتباره قمّة البلاغة والفصاحة فی اللغة العربیة، وأعلی مراحل البیان العربی الذی أعجز العرب عن أن یأتوا بمثله، فقد سفّه أحلامهم، وسخر منهم، وتحدّاهم فی عقر دارهم وهم أهل الفصاحة والبیان حین وصفهم بالعجز عن الإتیان بسورةٍ واحدة من مثله، ووصف الإنس والجنّ بالعجز عن الإتیان بمثله ولو کان بعضهم لبعضٍ ظهیراً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الحدیث النبوی الشریف، فمن المسلّم به أنّ رسول اللّه صلی الله علیه و آله کان أفصح من نطق بالضاد، فهو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من قریش، بید أنّی أفصح العرب</w:t>
      </w:r>
      <w:r>
        <w:rPr>
          <w:rFonts w:eastAsia="IRNazanin" w:cs="IRNazanin"/>
          <w:color w:val="111111"/>
          <w:sz w:val="28"/>
          <w:szCs w:val="28"/>
          <w:rtl w:val="true"/>
          <w:lang w:bidi="fa-IR"/>
        </w:rPr>
        <w:t xml:space="preserve">. . .» </w:t>
      </w:r>
      <w:r>
        <w:rPr>
          <w:rStyle w:val="FootnoteAnchor"/>
          <w:rtl w:val="true"/>
        </w:rPr>
        <w:footnoteReference w:id="682"/>
      </w:r>
      <w:r>
        <w:rPr>
          <w:rFonts w:ascii="IRNazanin" w:hAnsi="IRNazanin" w:eastAsia="IRNazanin"/>
          <w:color w:val="111111"/>
          <w:sz w:val="28"/>
          <w:sz w:val="28"/>
          <w:szCs w:val="28"/>
          <w:rtl w:val="true"/>
          <w:lang w:bidi="fa-IR"/>
        </w:rPr>
        <w:t>ولم یکن صلی الله علیه و آله یتکلّم إلا بأفصح اللغات وأحسن التراکیب وأشهرها وأجزلها، وعلی ذلک إجماع المسلمین منذ فجر الرسالة إلی یومنا هذا، ورغم ذلک فقد وقع الاختلاف بین اللغویین والنحویین فی صحّة الاحتجاج بالحدیث، فاللغویون لا یوجد بینهم من منع الاستشهاد بالحدیث لأجل الاستدلال علی معانی اللغة، ومصادر فقه اللغة والمعاجم اللغویة زاخرة بالأحادیث والأخبار، أمّا النحاة فقد اختلفوا فی ذلک بین مانعٍ ومجوّزٍ وآخر متوسّط بینهما</w:t>
      </w:r>
      <w:r>
        <w:rPr>
          <w:rFonts w:eastAsia="IRNazanin" w:cs="IRNazanin"/>
          <w:color w:val="111111"/>
          <w:sz w:val="28"/>
          <w:szCs w:val="28"/>
          <w:rtl w:val="true"/>
          <w:lang w:bidi="fa-IR"/>
        </w:rPr>
        <w:t>.</w:t>
      </w:r>
    </w:p>
    <w:p>
      <w:pPr>
        <w:pStyle w:val="Heading4"/>
        <w:numPr>
          <w:ilvl w:val="3"/>
          <w:numId w:val="1"/>
        </w:numPr>
        <w:rPr/>
      </w:pPr>
      <w:bookmarkStart w:id="714" w:name="__RefHeading___Toc652195_1878427129"/>
      <w:bookmarkStart w:id="715" w:name="_Toc272"/>
      <w:bookmarkEnd w:id="714"/>
      <w:r>
        <w:rPr/>
        <w:t>1</w:t>
      </w:r>
      <w:r>
        <w:rPr>
          <w:rtl w:val="true"/>
        </w:rPr>
        <w:t xml:space="preserve">. </w:t>
      </w:r>
      <w:r>
        <w:rPr>
          <w:rtl w:val="true"/>
        </w:rPr>
        <w:t>المانعون من الاستشهاد بالحدیث</w:t>
      </w:r>
      <w:bookmarkEnd w:id="71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أبو حیّان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الواضعین الأولین لعلم النحو، المستقرئین للأحکام من لسان العرب کأبی عمرو بن العلاء وعیسی بن عمر والخلیل وسیبویه من أئمّة البصریین، والکسائی والفرّاء وعلی بن المبارک الأحمر وهشام الضریر من أئمّة الکوفین، لم یستدلّوا بما وقع فی الأحادیث علی إثبات القواعد الکلیّة فی لسان </w:t>
      </w:r>
      <w:bookmarkStart w:id="716" w:name="pg14553_192009"/>
    </w:p>
    <w:p>
      <w:pPr>
        <w:pStyle w:val="BookText"/>
        <w:rPr/>
      </w:pPr>
      <w:bookmarkEnd w:id="716"/>
      <w:r>
        <w:rPr>
          <w:rFonts w:ascii="IRNazanin" w:hAnsi="IRNazanin" w:eastAsia="IRNazanin"/>
          <w:color w:val="111111"/>
          <w:sz w:val="28"/>
          <w:sz w:val="28"/>
          <w:szCs w:val="28"/>
          <w:rtl w:val="true"/>
          <w:lang w:bidi="fa-IR"/>
        </w:rPr>
        <w:t>العرب، وکذا غیرهم من نحاة الأقالیم کنحاة بغداد وأهل الأندلس</w:t>
      </w:r>
      <w:r>
        <w:rPr>
          <w:rFonts w:eastAsia="IRNazanin" w:cs="IRNazanin"/>
          <w:color w:val="111111"/>
          <w:sz w:val="28"/>
          <w:szCs w:val="28"/>
          <w:rtl w:val="true"/>
          <w:lang w:bidi="fa-IR"/>
        </w:rPr>
        <w:t xml:space="preserve">. </w:t>
      </w:r>
      <w:r>
        <w:rPr>
          <w:rStyle w:val="FootnoteAnchor"/>
          <w:rtl w:val="true"/>
        </w:rPr>
        <w:footnoteReference w:id="6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البغدادی،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أنّه لم یرد تصریح من النحاة المذکورین فی هذا الأمر، لکن بعض المتشدّدین من متأخّری النحاة ومنهم أبو الحسن ابن الضائع ت </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ق، وأبو حیّان ت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ق، وهما من أشدّ المانعین من الاحتجاج بالحدیث للأغراض النحویة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 الأسباب التی منعت هؤلاء من الاحتجاج بالحدیث تتلخّص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الأحادیث لم تُنقل کما سُمِعت من النبی صلی الله علیه و آله لجواز روایة الحدیث بالمعنی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کثیراً من رواة الحدیث کانوا غیر عربٍ بالطبع، فوقع اللحن وغیر الفصیح فی کلامهم وهم لا یعلمون</w:t>
      </w:r>
      <w:r>
        <w:rPr>
          <w:rFonts w:eastAsia="IRNazanin" w:cs="IRNazanin"/>
          <w:color w:val="111111"/>
          <w:sz w:val="28"/>
          <w:szCs w:val="28"/>
          <w:rtl w:val="true"/>
          <w:lang w:bidi="fa-IR"/>
        </w:rPr>
        <w:t xml:space="preserve">. </w:t>
      </w:r>
      <w:r>
        <w:rPr>
          <w:rStyle w:val="FootnoteAnchor"/>
          <w:rtl w:val="true"/>
        </w:rPr>
        <w:footnoteReference w:id="684"/>
      </w:r>
    </w:p>
    <w:p>
      <w:pPr>
        <w:pStyle w:val="Heading4"/>
        <w:numPr>
          <w:ilvl w:val="3"/>
          <w:numId w:val="1"/>
        </w:numPr>
        <w:rPr/>
      </w:pPr>
      <w:bookmarkStart w:id="717" w:name="__RefHeading___Toc652197_1878427129"/>
      <w:bookmarkStart w:id="718" w:name="_Toc273"/>
      <w:bookmarkEnd w:id="717"/>
      <w:r>
        <w:rPr/>
        <w:t>2</w:t>
      </w:r>
      <w:r>
        <w:rPr>
          <w:rtl w:val="true"/>
        </w:rPr>
        <w:t xml:space="preserve">. </w:t>
      </w:r>
      <w:r>
        <w:rPr>
          <w:rtl w:val="true"/>
        </w:rPr>
        <w:t>المجوّزون</w:t>
      </w:r>
      <w:bookmarkEnd w:id="718"/>
    </w:p>
    <w:p>
      <w:pPr>
        <w:pStyle w:val="BookText"/>
        <w:rPr/>
      </w:pPr>
      <w:r>
        <w:rPr>
          <w:rFonts w:ascii="IRNazanin" w:hAnsi="IRNazanin" w:eastAsia="IRNazanin"/>
          <w:color w:val="111111"/>
          <w:sz w:val="28"/>
          <w:sz w:val="28"/>
          <w:szCs w:val="28"/>
          <w:rtl w:val="true"/>
          <w:lang w:bidi="fa-IR"/>
        </w:rPr>
        <w:t xml:space="preserve">ومقابل هؤلاء وقف فریق من أئمّة النحو إلی جانب الحدیث، فاستشهدوا به فی ألفاظ اللغة وتراکیبها، منهم السهیلی ت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أمالیه، وأبو الحسن الحضرمی المعروف بابن خروف ت </w:t>
      </w:r>
      <w:r>
        <w:rPr>
          <w:rFonts w:eastAsia="IRNazanin" w:cs="IRNazanin"/>
          <w:color w:val="111111"/>
          <w:sz w:val="28"/>
          <w:szCs w:val="28"/>
          <w:lang w:bidi="fa-IR"/>
        </w:rPr>
        <w:t>609</w:t>
      </w:r>
      <w:r>
        <w:rPr>
          <w:rFonts w:ascii="IRNazanin" w:hAnsi="IRNazanin" w:eastAsia="IRNazanin"/>
          <w:color w:val="111111"/>
          <w:sz w:val="28"/>
          <w:sz w:val="28"/>
          <w:szCs w:val="28"/>
          <w:rtl w:val="true"/>
          <w:lang w:bidi="fa-IR"/>
        </w:rPr>
        <w:t xml:space="preserve">ق، شارح کتاب سیبویه، وابن مالک ت </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 xml:space="preserve">ق والذی أکثر الاستشهاد بالحدیث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التوضیح والتصحیح لمشکلات 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والرضی الأسترآبادی ت </w:t>
      </w:r>
      <w:r>
        <w:rPr>
          <w:rFonts w:eastAsia="IRNazanin" w:cs="IRNazanin"/>
          <w:color w:val="111111"/>
          <w:sz w:val="28"/>
          <w:szCs w:val="28"/>
          <w:lang w:bidi="fa-IR"/>
        </w:rPr>
        <w:t>686</w:t>
      </w:r>
      <w:r>
        <w:rPr>
          <w:rFonts w:ascii="IRNazanin" w:hAnsi="IRNazanin" w:eastAsia="IRNazanin"/>
          <w:color w:val="111111"/>
          <w:sz w:val="28"/>
          <w:sz w:val="28"/>
          <w:szCs w:val="28"/>
          <w:rtl w:val="true"/>
          <w:lang w:bidi="fa-IR"/>
        </w:rPr>
        <w:t xml:space="preserve">ق، شارح أبیات کافیة ابن الحاجب، والذی زاد الاحتجاج بحدیث أهل البیت علیهم السلام، وابن هشام ت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 وغیرهم کثیر</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وقال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الاحتجاج بالحدیث للنحوی فی ضبط ألفاظه، ویلحق به ماروی عن الصحابة وأهل البیت کما صنع الشارح المحقّق الرضی</w:t>
      </w:r>
      <w:r>
        <w:rPr>
          <w:rFonts w:eastAsia="IRNazanin" w:cs="IRNazanin"/>
          <w:color w:val="111111"/>
          <w:sz w:val="28"/>
          <w:szCs w:val="28"/>
          <w:rtl w:val="true"/>
          <w:lang w:bidi="fa-IR"/>
        </w:rPr>
        <w:t xml:space="preserve">. </w:t>
      </w:r>
      <w:r>
        <w:rPr>
          <w:rStyle w:val="FootnoteAnchor"/>
          <w:rtl w:val="true"/>
        </w:rPr>
        <w:footnoteReference w:id="686"/>
      </w:r>
    </w:p>
    <w:p>
      <w:pPr>
        <w:pStyle w:val="Heading4"/>
        <w:numPr>
          <w:ilvl w:val="3"/>
          <w:numId w:val="1"/>
        </w:numPr>
        <w:rPr/>
      </w:pPr>
      <w:bookmarkStart w:id="719" w:name="__RefHeading___Toc652199_1878427129"/>
      <w:bookmarkStart w:id="720" w:name="_Toc274"/>
      <w:bookmarkEnd w:id="719"/>
      <w:r>
        <w:rPr/>
        <w:t>3</w:t>
      </w:r>
      <w:r>
        <w:rPr>
          <w:rtl w:val="true"/>
        </w:rPr>
        <w:t xml:space="preserve">. </w:t>
      </w:r>
      <w:r>
        <w:rPr>
          <w:rtl w:val="true"/>
        </w:rPr>
        <w:t>المتوسّطون</w:t>
      </w:r>
      <w:bookmarkEnd w:id="72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توسّط بعض العلماء بین الفریقین، فجوّزوا الاحتجاج بالحدیث المنقول بلفظه دون غیره المنقول بالمعنی، ومن أبرز ممثّلی هذا الاتّجاه أبو إسحاق الشاطبی ت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 xml:space="preserve">ق الذی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الألفیة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 الحدیث فعلی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یعتنی ناقله بمعناه دون لفظه، فهذا لم یقع به استشهاد أهل اللسان، وقسم عُرِف اعتناء ناقله بلفظه لمقصود </w:t>
      </w:r>
    </w:p>
    <w:p>
      <w:pPr>
        <w:pStyle w:val="BookText"/>
        <w:rPr/>
      </w:pPr>
      <w:r>
        <w:rPr>
          <w:rFonts w:ascii="IRNazanin" w:hAnsi="IRNazanin" w:eastAsia="IRNazanin"/>
          <w:color w:val="111111"/>
          <w:sz w:val="28"/>
          <w:sz w:val="28"/>
          <w:szCs w:val="28"/>
          <w:rtl w:val="true"/>
          <w:lang w:bidi="fa-IR"/>
        </w:rPr>
        <w:t>خاص، کالأحادیث التی قُصد بها بیان فصاحته صلی الله علیه و آله ککتابه لهَمْدان، وکتابه لوائل بن حُجر، والأمثال النبویة، فهذا یصحّ الاستشهاد به فی العربیة</w:t>
      </w:r>
      <w:r>
        <w:rPr>
          <w:rFonts w:eastAsia="IRNazanin" w:cs="IRNazanin"/>
          <w:color w:val="111111"/>
          <w:sz w:val="28"/>
          <w:szCs w:val="28"/>
          <w:rtl w:val="true"/>
          <w:lang w:bidi="fa-IR"/>
        </w:rPr>
        <w:t xml:space="preserve">. </w:t>
      </w:r>
      <w:r>
        <w:rPr>
          <w:rStyle w:val="FootnoteAnchor"/>
          <w:rtl w:val="true"/>
        </w:rPr>
        <w:footnoteReference w:id="6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البغدادی،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موقف المانعین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الدوافع والآثار</w:t>
      </w:r>
    </w:p>
    <w:p>
      <w:pPr>
        <w:pStyle w:val="BookText"/>
        <w:rPr/>
      </w:pPr>
      <w:r>
        <w:rPr>
          <w:rFonts w:ascii="IRNazanin" w:hAnsi="IRNazanin" w:eastAsia="IRNazanin"/>
          <w:color w:val="111111"/>
          <w:sz w:val="28"/>
          <w:sz w:val="28"/>
          <w:szCs w:val="28"/>
          <w:rtl w:val="true"/>
          <w:lang w:bidi="fa-IR"/>
        </w:rPr>
        <w:t xml:space="preserve">ذکرنا أنّ أهمّ ما تذرّع به المانعون من النحاة لسلب حجیّة الحدیث النبوی الشریف فی إثبات القواعد العربیة، هو جواز روایة الحدیث بالمعنی، ولا یخفی أنّ الروایة بالمعنی هی إحدی الإفرازات السلبیة التی تمخّضت عن إقدام سلطة الخلافة بعد رحیل الرسول صلی الله علیه و آله إلی رضوان ربّه علی منع تدوین الحدیث أو الإفتاء به، ودعت إلی ترک الروایة عن رسول اللّه صلی الله علیه و آله ولاحقت المخالفین لهذا الأمر من الصحابة الذین خرقوا الحظر علی التدوین والروایة بالحبس والتهدید بالنفی والإبعاد </w:t>
      </w:r>
      <w:r>
        <w:rPr>
          <w:rStyle w:val="FootnoteAnchor"/>
          <w:rtl w:val="true"/>
        </w:rPr>
        <w:footnoteReference w:id="688"/>
      </w:r>
      <w:r>
        <w:rPr>
          <w:rFonts w:ascii="IRNazanin" w:hAnsi="IRNazanin" w:eastAsia="IRNazanin"/>
          <w:color w:val="111111"/>
          <w:sz w:val="28"/>
          <w:sz w:val="28"/>
          <w:szCs w:val="28"/>
          <w:rtl w:val="true"/>
          <w:lang w:bidi="fa-IR"/>
        </w:rPr>
        <w:t>مع تحریق أو إتلاف مدوّناتهم الحدیثیّة</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هذا مع أنّ تدوین الحدیث کان علی أصل الإباحة فی زمان الرسول الأکرم صلی الله علیه و آله کما تدلّ علیه سیرته القولیة والعملیة، وکان أمراً مألوفاً یزاوله بعض القادرین علیه من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أنّ منع تدوین الحدیث کان من أخطر المعاول الهدّامة فی صرح التراث الثقافی للأمّة، ذلک لأنّه یوجّه إلی ثانی أعمدة التشریع الإسلامی بعد القرآن الکریم، ولأنّه تسبّب فی بعض الآثار السیّئة التی ترکت بصماتها علی رحاب الحدیث الشریف إلی الیوم، ومنها ضیاع بعض سنّة الرسول صلی الله علیه و آله وتراثه الفکری الوضّاء، وتهیئة الفرصة والأجواء المناسبة للوضع والاختلاق والتشکیک بالحدیث</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والوقوف علی أسباب هذا الإجراء الخطیر یستدعی دراسة تاریخ الحدیث النبوی الشریف من حیث تدوینه وطرق تحمّله ودرایته وسائر العلوم المتّصلة به، وهو أمر یخرج بنا عن أصل البحث، ویتعذّر فی مثل هذه الوقفة الموجزة، وقد توفّرت مزید من </w:t>
      </w:r>
    </w:p>
    <w:p>
      <w:pPr>
        <w:pStyle w:val="BookText"/>
        <w:rPr/>
      </w:pPr>
      <w:r>
        <w:rPr>
          <w:rFonts w:ascii="IRNazanin" w:hAnsi="IRNazanin" w:eastAsia="IRNazanin"/>
          <w:color w:val="111111"/>
          <w:sz w:val="28"/>
          <w:sz w:val="28"/>
          <w:szCs w:val="28"/>
          <w:rtl w:val="true"/>
          <w:lang w:bidi="fa-IR"/>
        </w:rPr>
        <w:t>الدراسات علی بحثه فی ضوء المنهج العلمی القویم ومیزان النقد النزیه</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السنّة الشریفة السید محمد رضا الحسینی الجلالی، ص </w:t>
      </w:r>
      <w:r>
        <w:rPr>
          <w:rFonts w:eastAsia="IRNazanin" w:cs="IRNazanin"/>
          <w:color w:val="111111"/>
          <w:sz w:val="28"/>
          <w:szCs w:val="28"/>
          <w:lang w:bidi="fa-IR"/>
        </w:rPr>
        <w:t>410</w:t>
      </w:r>
      <w:r>
        <w:rPr>
          <w:rFonts w:eastAsia="IRNazanin" w:cs="IRNazanin"/>
          <w:color w:val="111111"/>
          <w:sz w:val="28"/>
          <w:szCs w:val="28"/>
          <w:rtl w:val="true"/>
          <w:lang w:bidi="fa-IR"/>
        </w:rPr>
        <w:t>-</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تاریخ الإسلام الثقافی والسیاسی صائب عبدالحمید، </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واستمرّ واقع الحال علی المنع إلی رأس المائة الهجریة الأولی حیث رفع الحظر عن تدوین الحدیث وروایته فی زمان عمر بن عبدالعزیز ت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ق، واقترن ذلک بالکفّ عن سبّ أمیر المؤمنین وسیّد الوصیین علی علیه السلام من علی منابر بنی أُمّیة، اقتراناً یمیط اللثام عن الأهداف السیاسیة الکامنة وراء المنع من التدوین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فإنّ الروایه بالمعنی تقع علی عاتق المانعین من تدوین الحدیث بالدرجة الأولی، إذ الفترة غیر الیسیرة بین صدور الروایة وعصر تدوینها، یجعل منها عرضة لاختلاف اللفظ بسبب وهم الرواة أو نسیانهم، ولهذا أجاز علماء الحدیث روایته بالمعنی ضمن شروط خاصّة، فکان ذلک مبرّراً للتشکیک فی حجیّة الحدیث الشریف لإثبات قواعد النحو العربی، دفع النحاة المتقدّمین إلی الإنصراف للروایة عن الأعراب ولما یزوَّدهم به رواة الأشعار، إنصرافاً استغرق کلّ جهودهم ولم یبق منهم لروایة الحدیث ودراسته أدنی 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هیّأت سلطة الخلافة بعد الرسول صلی الله علیه و آله الأرضیة لذلک الإنصراف، فبعد منعها تدوین الحدیث وروایته، دعت إلی تعلّم الشعر وجمعه والاهتمام به، فقد کتب عمر بن الخطّاب رسالة إلی أبی موسی الأشعری عامله علی البصرة طلب فیها أن یأمر مَن قبله مِن الناس بروایة الشعر لأنّه یدلّ علی معالی الأخلاق</w:t>
      </w:r>
      <w:r>
        <w:rPr>
          <w:rFonts w:eastAsia="IRNazanin" w:cs="IRNazanin"/>
          <w:color w:val="111111"/>
          <w:sz w:val="28"/>
          <w:szCs w:val="28"/>
          <w:rtl w:val="true"/>
          <w:lang w:bidi="fa-IR"/>
        </w:rPr>
        <w:t xml:space="preserve">. </w:t>
      </w:r>
      <w:r>
        <w:rPr>
          <w:rStyle w:val="FootnoteAnchor"/>
          <w:rtl w:val="true"/>
        </w:rPr>
        <w:footnoteReference w:id="691"/>
      </w:r>
      <w:r>
        <w:rPr>
          <w:rFonts w:ascii="IRNazanin" w:hAnsi="IRNazanin" w:eastAsia="IRNazanin"/>
          <w:color w:val="111111"/>
          <w:sz w:val="28"/>
          <w:sz w:val="28"/>
          <w:szCs w:val="28"/>
          <w:rtl w:val="true"/>
          <w:lang w:bidi="fa-IR"/>
        </w:rPr>
        <w:t>وکتب اُخری إلی المغیرة بن شعبة عامله علی الکوفة وطلب فیها أن یدعو مَن قبله مِن الشعراء ویستنشدهم ما قالوا من الشعر فی الجاهلیة والإسلام</w:t>
      </w:r>
      <w:r>
        <w:rPr>
          <w:rFonts w:eastAsia="IRNazanin" w:cs="IRNazanin"/>
          <w:color w:val="111111"/>
          <w:sz w:val="28"/>
          <w:szCs w:val="28"/>
          <w:rtl w:val="true"/>
          <w:lang w:bidi="fa-IR"/>
        </w:rPr>
        <w:t xml:space="preserve">. </w:t>
      </w:r>
      <w:r>
        <w:rPr>
          <w:rStyle w:val="FootnoteAnchor"/>
          <w:rtl w:val="true"/>
        </w:rPr>
        <w:footnoteReference w:id="692"/>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تقدّم تبیّن أنّه لو استمرّ تدوین الحدیث وروایته علی ما کان علیه فی عهد رسول اللّه صلی الله علیه و آله لکان الباب أضیق بکثیر علی جواز الروایة بالمعنی، ولمّا تمسّک النحاة بتلک الذریعة الواهیة التی تسبّبت فی إبعاد حدیث أفصح من نطق بالضاد عن </w:t>
      </w:r>
      <w:bookmarkStart w:id="721" w:name="pg14553_192012"/>
    </w:p>
    <w:p>
      <w:pPr>
        <w:pStyle w:val="BookText"/>
        <w:rPr/>
      </w:pPr>
      <w:bookmarkEnd w:id="721"/>
      <w:r>
        <w:rPr>
          <w:rFonts w:ascii="IRNazanin" w:hAnsi="IRNazanin" w:eastAsia="IRNazanin"/>
          <w:color w:val="111111"/>
          <w:sz w:val="28"/>
          <w:sz w:val="28"/>
          <w:szCs w:val="28"/>
          <w:rtl w:val="true"/>
          <w:lang w:bidi="fa-IR"/>
        </w:rPr>
        <w:t>الدراسات النحویة والصرفیة المتقّدمة، والتفریط بثروة لغویة کبیرة من الکلام النبوی البلیغ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عبّر بعض أعلام الأمّة، وبدافع الحرص علی تراثها الثقافی، عن لوعتهم ونقدهم لهذه الظاهرة المُدانَة، وکان علی رأسهم شیخ الطائفة الطوسی 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ق، حیث قال فی مقدّمة تفسیره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طرائف الأمور أنّ المخالف إذا ورد علیه شعر مَن ذکرناه أی الشعراء الذین تقدّموا فی کلامه کالنابغة الجعدی وکعب بن زهیر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دونهم، سکنت نفسه واطمأنّ قلبه، وهو لا یرضی بقول محمّد بن عبداللّه بن عبدالمطّلب صلی الله علیه و آله، ومهما شکّ الناس فی نبوّته فلا مِریة فی نسبه وفصاحته، فإنّه نشأ بین قومه الذین هم الغایة القُصوی فی الفصاحة، ویرجع إلیهم فی معرفة اللغة، ولو کان المشرکون من قریش وغیرهم وجدوا متعلّقاً علیه فی اللحن والغلط والمناقضة لتعلّقوا به وجعلوه حجّة وذریعة إلی إطفاء نوره وإبطال أمره واستغنوا بذلک عن تکلّف ما تکلّفوه من المشاقّ فی بذل النفوس والأموال، ولو فعلوا ذلک لظهر واشتهر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علمنا أنّه لیس بأدون من الجماعة فی الفصاحة، وکیف یجوز أن یحتجّ بشعر الشعراء علیه، ولا یجوز أن یحتجّ بقوله علیهم؟ وهل هذا إلا عناداً محضاً وعصبیة صرفة، وإنّما یحتجّ علماء الموحّدین بشعر الشعراء وکلام البلغاء اتّساعاً فی العلم وقطعاً للشغب وإزاحةً للعلّة، وإلا فکان یجب أن لا یلتفت إلی جمیع ما یطعن علیه، لأنّهم لیسوا بأن یجعلوا عیاراً علیه بأولی من أن یجعل هو علیه السلام عیاراً علیهم</w:t>
      </w:r>
      <w:r>
        <w:rPr>
          <w:rFonts w:eastAsia="IRNazanin" w:cs="IRNazanin"/>
          <w:color w:val="111111"/>
          <w:sz w:val="28"/>
          <w:szCs w:val="28"/>
          <w:rtl w:val="true"/>
          <w:lang w:bidi="fa-IR"/>
        </w:rPr>
        <w:t xml:space="preserve">. </w:t>
      </w:r>
      <w:r>
        <w:rPr>
          <w:rStyle w:val="FootnoteAnchor"/>
          <w:rtl w:val="true"/>
        </w:rPr>
        <w:footnoteReference w:id="69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الطوسی،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722" w:name="__RefHeading___Toc652201_1878427129"/>
      <w:bookmarkStart w:id="723" w:name="_Toc275"/>
      <w:bookmarkEnd w:id="722"/>
      <w:r>
        <w:rPr>
          <w:rtl w:val="true"/>
        </w:rPr>
        <w:t>حُجّتهم داحضة</w:t>
      </w:r>
      <w:bookmarkEnd w:id="723"/>
    </w:p>
    <w:p>
      <w:pPr>
        <w:pStyle w:val="BookText"/>
        <w:rPr/>
      </w:pPr>
      <w:r>
        <w:rPr>
          <w:rFonts w:ascii="IRNazanin" w:hAnsi="IRNazanin" w:eastAsia="IRNazanin"/>
          <w:color w:val="111111"/>
          <w:sz w:val="28"/>
          <w:sz w:val="28"/>
          <w:szCs w:val="28"/>
          <w:rtl w:val="true"/>
          <w:lang w:bidi="fa-IR"/>
        </w:rPr>
        <w:t>إنّ الحجج التی تذرّع بها النحاة لإخراج الحدیث النبوی الشریف عن دائرة الاحتجاج اللغوی لا تصمد أمام النقد العلمی القویم، ولا تنسجم مع واقع الحال بأیّ شکلٍ من الأشکال، وسنعرض بعض ما یرد علیها من ردودٍ وملاحظات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روایة الحدیث بالمعنی، ویرد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الروایة بالمعنی موجودة فی غیر الحدیث ممّا صحّح النحاة الاحتجاج به من</w:t>
      </w:r>
    </w:p>
    <w:p>
      <w:pPr>
        <w:pStyle w:val="BookText"/>
        <w:rPr/>
      </w:pPr>
      <w:r>
        <w:rPr>
          <w:rFonts w:ascii="IRNazanin" w:hAnsi="IRNazanin" w:eastAsia="IRNazanin"/>
          <w:color w:val="111111"/>
          <w:sz w:val="28"/>
          <w:sz w:val="28"/>
          <w:szCs w:val="28"/>
          <w:rtl w:val="true"/>
          <w:lang w:bidi="fa-IR"/>
        </w:rPr>
        <w:t>المنثور والمنظور من کلام عرب الجاهلیة، واعتمدوه لإثبات قواعدهم النحویة والصرفیّة، وقلّما یخلو کتاب فی قواعد العربیة من اختلاف آراء النحاة والمدارس النحویة بسبب اختلاف النقل والروایة فی الحرکات أو الکلمات أو العبارات اختلافاً یغیرّ المعنی والحکم الإعرابی، ومع ذلک الاختلاف فقد أدخلوا تلک النصوص فی منظومة الاحتجاج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العلماء شروطاً مشدّدة لتجویز الروایة بالمعنی، ویأتی علی رأسها إصابة المعنی وضبطه، والتی تتطلّب أن یکون الراوی عالماً عارفاً بالألفاظ ومدلولاتها ومقاصدها، خبیراً بما یحیل معانیها، بصیراً بمقادیر التفاوت بینها، وإلا فلا یجوز له الروایة بالمعنی، بل یتعیّن علیه أن یؤدّی نفس اللفظ الذی سمعه، لا یخرم منه شیئاً، ولا یبدّل لفظاً بلفظ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ولذلک قصروا جواز الروایة بالمعنی علی فترة وجیزة لا تتعدّی رجال الصدر الأوّل دون غیرهم، حیث کانت اللغة سلیمة والسلائق علی سجیّتها لم یصبها فساد أو لحن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وعلیه فالرواة بالمعنی علی فرض تبدیلهم الألفاظ إنّما کانوا ممّن یسوغ الاحتجاج بکلامهم، وفق دائرة الاستشهاد اللغوی الزمانیة، لأنّهم رووا ذلک قبل تغییر الألسنة وابتعاد الناس عن مصادر اللغة الأصلیة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یمکن تعمیم ظاهرة الروایة بالمعنی علی کلّ مساحة الحدیث النبوی الشریف، فقد وصل إلینا کثیر من الأحادیث بمحکم ألفاظها ولم یطرأ علیها أدنی تغییر أو تبدیل فی کلماتها، ولا أی لحن أو تحریف فی حرکاتها وحروفها، کألفاظ القنوت والتحیّات والأذکار والأدعیة فی الأماکن والحالات الخاصّة وغیرها ممّا وقع التعبّد بخصوص ألفاظها وأمر الشارع بتلاوتها بعینها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وکذلک ما أرید به لفظه الخاص من متون الأحادیث التی یقصد بها الاستدلال علی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تدریب الراوی السیوطی،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المحدّث الفاصل الرامهرمزی، ص </w:t>
      </w:r>
      <w:r>
        <w:rPr>
          <w:rFonts w:eastAsia="IRNazanin" w:cs="IRNazanin"/>
          <w:color w:val="111111"/>
          <w:sz w:val="28"/>
          <w:szCs w:val="28"/>
          <w:lang w:bidi="fa-IR"/>
        </w:rPr>
        <w:t>530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السنّة الشریفة السید الجلالی، ص </w:t>
      </w:r>
      <w:r>
        <w:rPr>
          <w:rFonts w:eastAsia="IRNazanin" w:cs="IRNazanin"/>
          <w:color w:val="111111"/>
          <w:sz w:val="28"/>
          <w:szCs w:val="28"/>
          <w:lang w:bidi="fa-IR"/>
        </w:rPr>
        <w:t>508</w:t>
      </w:r>
      <w:r>
        <w:rPr>
          <w:rFonts w:eastAsia="IRNazanin" w:cs="IRNazanin"/>
          <w:color w:val="111111"/>
          <w:sz w:val="28"/>
          <w:szCs w:val="28"/>
          <w:rtl w:val="true"/>
          <w:lang w:bidi="fa-IR"/>
        </w:rPr>
        <w:t>-</w:t>
      </w:r>
      <w:r>
        <w:rPr>
          <w:rFonts w:eastAsia="IRNazanin" w:cs="IRNazanin"/>
          <w:color w:val="111111"/>
          <w:sz w:val="28"/>
          <w:szCs w:val="28"/>
          <w:lang w:bidi="fa-IR"/>
        </w:rPr>
        <w:t>509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أدب الدعاء فی الإسلام السید الجلالی،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مجلّة تراثنا، العدد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فصاحته صلی الله علیه و آله ومحاسن بیانه، کالخطب التی تُلقی فی مناسبات خاصّة، والأمثال النبویّة، التی‌تتضمّن أسالیب إنشائیة وبلاغیة راقیة، والکلمات القصار المشتملة علی محاسن البیان، والتی تتضمّن جوامع الحکم والنصائح والمواعظ البلیغة التی تنتهی بسجع مطبوع یکشف عن مدی العنایة بخصوص ألفاظها</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نفسه،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الحدیث ما دُوِّن فی زمان النبی صلی الله علیه و آله أو بعده بقلیل رغم شروط المنع، ومن ذلک کتبه إلی العمّال والأمراء والملوک، وبعض کتب وصحف الصحابة المدوّنة من حدیثه صلی الله علیه و آله، فقد کان لأمیر المؤمنین علی علیه السلام صحیفة من حدیث الرسول صلی الله علیه و آله</w:t>
      </w:r>
      <w:r>
        <w:rPr>
          <w:rFonts w:eastAsia="IRNazanin" w:cs="IRNazanin"/>
          <w:color w:val="111111"/>
          <w:sz w:val="28"/>
          <w:szCs w:val="28"/>
          <w:rtl w:val="true"/>
          <w:lang w:bidi="fa-IR"/>
        </w:rPr>
        <w:t xml:space="preserve">. </w:t>
      </w:r>
      <w:r>
        <w:rPr>
          <w:rStyle w:val="FootnoteAnchor"/>
          <w:rtl w:val="true"/>
        </w:rPr>
        <w:footnoteReference w:id="695"/>
      </w:r>
      <w:r>
        <w:rPr>
          <w:rFonts w:ascii="IRNazanin" w:hAnsi="IRNazanin" w:eastAsia="IRNazanin"/>
          <w:color w:val="111111"/>
          <w:sz w:val="28"/>
          <w:sz w:val="28"/>
          <w:szCs w:val="28"/>
          <w:rtl w:val="true"/>
          <w:lang w:bidi="fa-IR"/>
        </w:rPr>
        <w:t xml:space="preserve">وله کتاب بخطّه وإملاء الرسول صلی الله علیه و آله لا یفارق قائم سیفه، أو قراب سیفه </w:t>
      </w:r>
      <w:r>
        <w:rPr>
          <w:rStyle w:val="FootnoteAnchor"/>
          <w:rtl w:val="true"/>
        </w:rPr>
        <w:footnoteReference w:id="696"/>
      </w:r>
      <w:r>
        <w:rPr>
          <w:rFonts w:ascii="IRNazanin" w:hAnsi="IRNazanin" w:eastAsia="IRNazanin"/>
          <w:color w:val="111111"/>
          <w:sz w:val="28"/>
          <w:sz w:val="28"/>
          <w:szCs w:val="28"/>
          <w:rtl w:val="true"/>
          <w:lang w:bidi="fa-IR"/>
        </w:rPr>
        <w:t>وکان عبداللّه بن عمرو یکثر من کتابة الحدیث، وله صحیفة تُسمی الصحیفة الصادقة</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وکان أنس بن مالک یکتب الحدیث بین یدی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698"/>
      </w:r>
      <w:r>
        <w:rPr>
          <w:rFonts w:ascii="IRNazanin" w:hAnsi="IRNazanin" w:eastAsia="IRNazanin"/>
          <w:color w:val="111111"/>
          <w:sz w:val="28"/>
          <w:sz w:val="28"/>
          <w:szCs w:val="28"/>
          <w:rtl w:val="true"/>
          <w:lang w:bidi="fa-IR"/>
        </w:rPr>
        <w:t xml:space="preserve">ولجابر بن عبداللّه الأنصاری صحیفة مشهورة من حدیثه صلی الله علیه و آله </w:t>
      </w:r>
      <w:r>
        <w:rPr>
          <w:rStyle w:val="FootnoteAnchor"/>
          <w:rtl w:val="true"/>
        </w:rPr>
        <w:footnoteReference w:id="699"/>
      </w:r>
      <w:r>
        <w:rPr>
          <w:rFonts w:ascii="IRNazanin" w:hAnsi="IRNazanin" w:eastAsia="IRNazanin"/>
          <w:color w:val="111111"/>
          <w:sz w:val="28"/>
          <w:sz w:val="28"/>
          <w:szCs w:val="28"/>
          <w:rtl w:val="true"/>
          <w:lang w:bidi="fa-IR"/>
        </w:rPr>
        <w:t>ولمعاذ بن جبل کتاب یحتوی علی عدّة أحادیث</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وغیرهم کثیر، کما أنّ من الحدیث ما روی بطرق متعدّدة تصل إلی حدّ التواتر اللفظی، وقد تسالم فیه جمیع الرواة علی لفظٍ واحدٍ دون تبدیلٍ أو تغییر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هذه الموارد ممّا لا تصدق علیه الروایة بالمعنی، ومنها یتبین أنّ تعمیم حکم إخراج الحدیث عن دائرة الاحتجاج لعلّة روایته بالمعنی کما ادّعی لا یمکن قبوله، ولا التصدیق بنسبته إلی النحاة المتقدّمین، إذ من البعید جدّاً عدم التفاتهم إلی فساد تلک العلّة، وعلیه فلابدّ أن تکون الأسباب الحقیقیّة هی غیر التحدیث بالمعنی، وسوف نتوفّر علیها لاحقاً إن شاء اللّه تعالی</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الرواة غیر عربٍ بالطبع، فأوقعهم باللحن من حیث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 علیه أنّ </w:t>
      </w:r>
    </w:p>
    <w:p>
      <w:pPr>
        <w:pStyle w:val="BookText"/>
        <w:rPr/>
      </w:pPr>
      <w:r>
        <w:rPr>
          <w:rFonts w:ascii="IRNazanin" w:hAnsi="IRNazanin" w:eastAsia="IRNazanin"/>
          <w:color w:val="111111"/>
          <w:sz w:val="28"/>
          <w:sz w:val="28"/>
          <w:szCs w:val="28"/>
          <w:rtl w:val="true"/>
          <w:lang w:bidi="fa-IR"/>
        </w:rPr>
        <w:t xml:space="preserve">ذلک یُقال فی رواة الشعر والنثر ممّن أکثر النحاة من الاحتجاج بمرویّاتهم، ومنهم حمّاد بن هرمز الدیلمی ت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ق، والمعروف بحماد الراویة، فقد کان أصله من الدیلم</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المزهر السیوطی،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أعلام الزرکلی،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وخلف بن حیّان الأحمر ت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ق، وهو من موالی فرغانة،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من خراسان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أمّا ادّعاء اللحن فی الحدیث فهو باطل، لأنّه إذا أرید به اللحن الذی هو من قبیل الخطأ فی الإعراب بحیث لا یُمکن تخریجه علی وجه من الوجوه أو علی بعض لغات العرب، فهذا ما لا یوجد فی الحدیث، وإن أُرید أنّ أصل اللحن من الرواة، فإنّه إذا جاز إسقاط الحدیث من دائرة الاحتجاج لأنّ الرواة یلحنون به، جاز إسقاط غیره لأنّ البعض یلحنُ به، وذلک أمر خطیر لأنّه ینسحب إلی جمیع مفردات الثقافة الإسلامیة فیسقطها من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التشدید علی دقّة اللفظ والمعنی وتواصل الإسناد ومعرفة الرجال، وغیرها من الضوابط المعروفة فی علم الحدیث، هی أقلّ مراعاة فی روایة الشعر وغیره من الفنون الأدبیة، ومن هنا کان الشعر أکثر تعرّضاً للحن والانتحال والتغییر من الحدیث الشریف، فإذا کان اللحن عاملاً لإخراج الحدیث عن دائرة الاحتجاج اللغوی، فالأولی إخراج غیره لشیوع اللحن فیه ولانعدام الضوابط التی تُعنی بالدقّة فی النقل والتوثیق والدرایة ومعرفة الصحیح من السقیم</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بعض رواة الشعر معروفاً بکثرة اللحن والانتحال، ومع ذلک فقد أکثر النحاة من الاحتجاج بمرویّاتهم، ولم یکن اللحن وازعاً یحدّ من ذلک الاحتجاج، ومن هؤلاء حماد الراویة الذی کان یلحن</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 xml:space="preserve">ویکسر الشعر ویصحّفه </w:t>
      </w:r>
      <w:r>
        <w:rPr>
          <w:rStyle w:val="FootnoteAnchor"/>
          <w:rtl w:val="true"/>
        </w:rPr>
        <w:footnoteReference w:id="703"/>
      </w:r>
      <w:r>
        <w:rPr>
          <w:rFonts w:ascii="IRNazanin" w:hAnsi="IRNazanin" w:eastAsia="IRNazanin"/>
          <w:color w:val="111111"/>
          <w:sz w:val="28"/>
          <w:sz w:val="28"/>
          <w:szCs w:val="28"/>
          <w:rtl w:val="true"/>
          <w:lang w:bidi="fa-IR"/>
        </w:rPr>
        <w:t>وکان هو وخلف الأحمر معروفین بانتحال الشعر، فقد کانا یضعان الشعر ویدسّانه فی أشعار المتقدّمین، ومع ذلک فقد أخذ عنهما نحاة البصرة والکوفة</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ومن ثمّ فإنّ وجود الرواة العرب الأقحاح من الرعیل الأوّل دون غیرهم فی کمٍ هائل من الأسانید الموصلة إلی مَعین الحدیث وأصله الشریف، یؤکّد وضوح فساد تلک العلّة، فمن غیر المعقول أن لا یعلم النحاة بکلّ هذا فی الوقت الذی أقتبسوا فیه المنهج السندی وللمحدّثین فی دراساتهم اللغویة والنحویة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یمکن القول بأنّ الذرائع التی نسبها متأخّرو النحاة لمتقدّمیهم بشأن عدم احتجاجهم بالحدیث الشریف، واهیة لا تصمد أمام النقد العلمی، ولا یمکن أن نعتمدها فی بیان سرّ إعراضهم عن الحدیث الشریف فی مجال استشهاداتهم اللغویة والنحویة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الذی نراه وراء حصر احتجاجاتهم بشعر العرب ونثرهم، إنّما هو یصبّ فی خدمة الشریعة الغرّاء قرآناً کانت أو سنّةً، ویمکن توضیحه من خلال معرفة الغرض الحقیقی الکامن خلف سعی النحاة واللغویین الدؤوب فی تتبّع ما یصحّ الاستدلال به من شعر العرب ونثرهم، إذ لا یمکن أن یکون عبثاً أو لهواً، وعلیه لابدّ أن یکون الغرض عظیماً یفوق الجهود المضنیة المبذولة فی تتبّع ما قاله العرب الأقحاح شعراً ونثراً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یمکن أن یقال إنّ الغرض هو صیانة اللغة العربیة من الضیاع بعد أن شابها ما شابها من مزیج مختلط، ذلک لوجود الحارس الأمین الخالد علی تلک اللغة وهو القرآن الکریم بسوره وآیاته وألفاظه وحروفه التی لا ولن یعتریها تبدیل أو تغییر أو نقص أو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لا ینکر ما تضمّنه القرآن الکریم من لغات العرب الفصحی وإن نزل بلغة قریش، کما لا ینکر ما فیه من مفردات لغویة تتّسع لأکثر من معنی، وتراکیب إعرابیة تحتمل أکثر من تأویل، ولهذا اختلف الصحابة أنفسهم فی الکشف عن معانی بعض الآیات القرآنیة، وکان اختلاف التابعین بعدهم أکثر، ونظرة واحدة إلی تفسیر الطبری تکشف عن هذا الاختلاف بکلّ وضوح</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عن الحدیث الشریف، فإنّ کثیراً منه قد صدر بلفظه عمّن هو أفصح من نطق </w:t>
      </w:r>
    </w:p>
    <w:p>
      <w:pPr>
        <w:pStyle w:val="BookText"/>
        <w:rPr/>
      </w:pPr>
      <w:r>
        <w:rPr>
          <w:rFonts w:ascii="IRNazanin" w:hAnsi="IRNazanin" w:eastAsia="IRNazanin"/>
          <w:color w:val="111111"/>
          <w:sz w:val="28"/>
          <w:sz w:val="28"/>
          <w:szCs w:val="28"/>
          <w:rtl w:val="true"/>
          <w:lang w:bidi="fa-IR"/>
        </w:rPr>
        <w:t>بالضاد رسول اللّه صلی الله علیه و آله، وقد تضمّن من المفردات الفصیحة التی صارت فیما بعد محلاً للنزاع علی مستوی العقیدة والأحکام، لانطباقها علی أکثر من معنی، ومن هنا برز النحاة لیضعوا ما استطاعوا حدّاً فاصلاً لتلک الاجتهادات التفسیریة، لکی تحرس الشریعة ویسهل فهمها علی الآخرین خصوصاً وأنّ الغرض الأساس الذی اندفع نحوه رائد النحو الأوّل أمیر المؤمنین علیه السلام وبعده تلمیذه الدؤلی کان لخدمة القرآن الکریم وتسهیل نطقه کما أُنزل وفهمه کما أُرید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صحّ هذا الغرض کما نراه، تبیّن السرّ فی لجوئهم إلی نثر العرب وشعرهم دون نصوص الشریعة الغرّاء التی بذلوا الجهد فی حراستها عن طریق أفصح لغاتها، بمعنی أنّهم أرادوا الدفاع عن نصوص الشریعة وحراسة وتسهیل فهمها من طرق اُخری هی محلّ اتّفاق الناطقین بالضاد، والدفاع عن الشی ء لا یکون بالشیء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اللائق بمقام الصفوة من النحاة المؤمنین الأوائل، ولا یمکن القول إنّ عدم استدلالهم بالحدیث یعنی أنّهم لا یجیزون ذلک، أو أنّهم یفضّلون غیره علیه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لا یمنع من وجود فئةٍ من النحاة المتقدّمین من الذین لم یتعاطوا علم الحدیث ولم یمارسوه، فاستسهلوا الشعر واستصعبوا الحدیث، لما یتطلّبه من إحاطة بروایته ومعرفة بدرایته، فآثروا روایة الشعر والأمثال والخطب علی الخوض فی غمار الحدیث وتجشّم مشقّة روایته، خصوصاً وأنّ معظمهم من فرسان الأدب وقادته، وجلّهم من حفظة الشعر وروایته، فضلاً عن نظمه والتسامر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نجد أنّ بعض متأخّری النحاة ممّن کانوا علی اطّلاع بالحدیث وطرق تحمّله و ضوابط معرفة الصحیح من السقیم، قد أجازوا الاستشهاد بالحدیث مصرّحین بذلک فی مصنّفاتهم، مستشهدین بنصوص کثیرة منه سیما بعد تحقّق الغرض الذی لأجله نهض النحاة المتقدّمون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وبحمد اللّه سبحانه أنّ الدراسات اللغویة والنحویة المعاصرة تمیل الیوم إلی الاحتجاج بالحدیث، وقد خطت خطوات متقدّمة علی صعید البحث والدراسة، أغنت </w:t>
      </w:r>
    </w:p>
    <w:p>
      <w:pPr>
        <w:pStyle w:val="BookText"/>
        <w:rPr/>
      </w:pPr>
      <w:r>
        <w:rPr>
          <w:rFonts w:ascii="IRNazanin" w:hAnsi="IRNazanin" w:eastAsia="IRNazanin"/>
          <w:color w:val="111111"/>
          <w:sz w:val="28"/>
          <w:sz w:val="28"/>
          <w:szCs w:val="28"/>
          <w:rtl w:val="true"/>
          <w:lang w:bidi="fa-IR"/>
        </w:rPr>
        <w:t>بها المکتبة الإسلامیة والعربیة، ومع ذلک ما زال أکثر الحدیث أرضاً خصبةً بکراً، وکنزاً لغویاً حافلاً بالمفردات الفصیحة والتراکیب البلیغة، فهو بحاجةٍ إلی مزید من الدراسات اللغویة سیّما ما یخصّ نحو الحدیث وصرفه وبلاغته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موقف النحاة من حدیث أهل البیت علیهم السلام</w:t>
      </w:r>
    </w:p>
    <w:p>
      <w:pPr>
        <w:pStyle w:val="BookText"/>
        <w:rPr/>
      </w:pPr>
      <w:r>
        <w:rPr>
          <w:rFonts w:ascii="IRNazanin" w:hAnsi="IRNazanin" w:eastAsia="IRNazanin"/>
          <w:color w:val="111111"/>
          <w:sz w:val="28"/>
          <w:sz w:val="28"/>
          <w:szCs w:val="28"/>
          <w:rtl w:val="true"/>
          <w:lang w:bidi="fa-IR"/>
        </w:rPr>
        <w:t>حدیث أهل بیت النبی صلی الله علیه و آله عترته المیامین هو فی الواقع قبسٌ من نور الکلام الإلهی، وجذوة تضی ء بفصاحة المنطق النبوی الشریف، وهم معدن النبوّة وأعلام الهدی وأهل البلاغة والفصاحة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یییی قال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لأمراء الکلام، وفینا تنشّبت عروقه، وعلینا تهدّلت غصونه</w:t>
      </w:r>
      <w:r>
        <w:rPr>
          <w:rFonts w:eastAsia="IRNazanin" w:cs="IRNazanin"/>
          <w:color w:val="111111"/>
          <w:sz w:val="28"/>
          <w:szCs w:val="28"/>
          <w:rtl w:val="true"/>
          <w:lang w:bidi="fa-IR"/>
        </w:rPr>
        <w:t xml:space="preserve">» </w:t>
      </w:r>
      <w:r>
        <w:rPr>
          <w:rStyle w:val="FootnoteAnchor"/>
          <w:rtl w:val="true"/>
        </w:rPr>
        <w:footnoteReference w:id="7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اعربوا حدیثنا، فإنّا قومٌ فصحاء</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إنّ دراسة موقف النحاة الأوائل من حدیث أهل البیت علیهم السلام تکشف هی الأخری عن فساد الأسباب التی نسبت إلی طلائعهم فی الابتعاد عن الحدیث النبوی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وربّما یری البعض للوهلة الأولی أنّ النحاة قد فرّطوا بتلک الثروة اللغویة الزاخرة التی‌اکتنزها کلامهم علیهم السلام، ویعذرهم بنحو ما ذکروه من أسباب تحاشیهم للاستدلال بالحدیث النبوی الشریف، من الروایة بالمعنی أو عجمة الناقلین</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لا یمکن قبوله مطلقاً، لأنّ الشبهة التی علقت بالحدیث النبوی من خلال الملابسات التاریخیة وموقف السلطة من تدوینه، لا أثر لها فی حدیث أهل البیت علیهم السلام حتی یُقال بأنّ حدیثهم روی بالمعنی، أو کانت ثمّة فترة بین صدوره وروایته أوجبت فی البین اختلاط الألسن بنقله، ذلک لأنّ تدوین الحدیث لم یتوقّف فی مدرسة أهل البیت علیهم السلام منذ فجر الإسلام حتی آخر عهد صدور الحدیث عنهم علیهم السلام أی فی آخر الغیبة الصغری للإمام المهدی علیه السلام وذلک سنة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ق ومدوّنات أصحابهم شاهدة علی ذلک، وقد بقی بعضها إلی یومنا هذا لاحظ تفصیل هذا الأمر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السنّة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محمّدرضا الحسینی الجلالی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وکانوا علیهم السلام یحثّون أصحابهم علی مباشرة الکتابة وتدوین العلم والحفاظ علی أصولهم الحدیثیة، فقد روی الشیخ الکلینی بالإسناد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اکتبوا، فإنّکم لا تحفظون حتی تکتبوا</w:t>
      </w:r>
      <w:r>
        <w:rPr>
          <w:rFonts w:eastAsia="IRNazanin" w:cs="IRNazanin"/>
          <w:color w:val="111111"/>
          <w:sz w:val="28"/>
          <w:szCs w:val="28"/>
          <w:rtl w:val="true"/>
          <w:lang w:bidi="fa-IR"/>
        </w:rPr>
        <w:t xml:space="preserve">» . </w:t>
      </w:r>
      <w:r>
        <w:rPr>
          <w:rStyle w:val="FootnoteAnchor"/>
          <w:rtl w:val="true"/>
        </w:rPr>
        <w:footnoteReference w:id="70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روایة الکتب والحدیث وفضل الکتابة والتمسّک بالکتب کتاب فضل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احتفظوا بکتبکم، فإنّکم سوف تحتاجون إلیها</w:t>
      </w:r>
      <w:r>
        <w:rPr>
          <w:rFonts w:eastAsia="IRNazanin" w:cs="IRNazanin"/>
          <w:color w:val="111111"/>
          <w:sz w:val="28"/>
          <w:szCs w:val="28"/>
          <w:rtl w:val="true"/>
          <w:lang w:bidi="fa-IR"/>
        </w:rPr>
        <w:t xml:space="preserve">» .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وطلائع التدوین فی مدرسة أهل البیت علیهم السلام بدأت منذ القرن الأوّل، حیث کان أصحاب أمیر المؤمنین علیه السلام یدوّنون کلامه فور إلقائه، فقد روی بالإسناد عن أبی إسحاق السبیعی، عن الحارث الأعور،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أمیر المؤمنین علیه السلام خطبة بعد صلاة العصر، فعجب الناس من حسن صفته، وما ذکره من تعظیم اللّه جلّ جلاله، قال 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أوما حفظتها؟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کتبتها، فأملاها علینا من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للّه‌الذی لا یموت، ولا تنقضی عجائبه</w:t>
      </w:r>
      <w:r>
        <w:rPr>
          <w:rFonts w:eastAsia="IRNazanin" w:cs="IRNazanin"/>
          <w:color w:val="111111"/>
          <w:sz w:val="28"/>
          <w:szCs w:val="28"/>
          <w:rtl w:val="true"/>
          <w:lang w:bidi="fa-IR"/>
        </w:rPr>
        <w:t xml:space="preserve">. . .» .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وعلی هذا السیاق دوَّن بعض أصحابه کتباً وصحفاً ونسخاً من حدیثه وخطبه ومواعظه، فضلاً عن الکتب المتداولة عند أهل البیت علیهم السلام بخطّ أمیرالمؤمنین علیه السلام، فقد کان عند الإمام أبی‌جعفر الباقر علیه السلام کتابٌ عظیم فیه مسائل بخطّ علی علیه السلام وإملاء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وکان لعلی بن أبی رافع کتاب من إملاء أمیر المؤمنین علیه السلام فی فنون من فقه الوضوء والصلاة وسائر الأبواب</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وکان لحجر بن عدی الکندی الشهید سنة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ق صحیفة فیها حدیث أمیر المؤمنین علیه السلام </w:t>
      </w:r>
      <w:r>
        <w:rPr>
          <w:rStyle w:val="FootnoteAnchor"/>
          <w:rtl w:val="true"/>
        </w:rPr>
        <w:footnoteReference w:id="711"/>
      </w:r>
      <w:r>
        <w:rPr>
          <w:rFonts w:ascii="IRNazanin" w:hAnsi="IRNazanin" w:eastAsia="IRNazanin"/>
          <w:color w:val="111111"/>
          <w:sz w:val="28"/>
          <w:sz w:val="28"/>
          <w:szCs w:val="28"/>
          <w:rtl w:val="true"/>
          <w:lang w:bidi="fa-IR"/>
        </w:rPr>
        <w:t xml:space="preserve">وکتب أمیر المؤمنین علیه السلام صحفاً للحارث الأعور ت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ق فیها علم کثیر</w:t>
      </w:r>
      <w:r>
        <w:rPr>
          <w:rFonts w:eastAsia="IRNazanin" w:cs="IRNazanin"/>
          <w:color w:val="111111"/>
          <w:sz w:val="28"/>
          <w:szCs w:val="28"/>
          <w:rtl w:val="true"/>
          <w:lang w:bidi="fa-IR"/>
        </w:rPr>
        <w:t xml:space="preserve">. </w:t>
      </w:r>
      <w:r>
        <w:rPr>
          <w:rStyle w:val="FootnoteAnchor"/>
          <w:rtl w:val="true"/>
        </w:rPr>
        <w:footnoteReference w:id="712"/>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زید بن وهب الجهنی ت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ق قد جمع خطب أمیر المؤمنین علیه السلام علی المنابر </w:t>
      </w:r>
    </w:p>
    <w:p>
      <w:pPr>
        <w:pStyle w:val="BookText"/>
        <w:rPr/>
      </w:pPr>
      <w:r>
        <w:rPr>
          <w:rFonts w:ascii="IRNazanin" w:hAnsi="IRNazanin" w:eastAsia="IRNazanin"/>
          <w:color w:val="111111"/>
          <w:sz w:val="28"/>
          <w:sz w:val="28"/>
          <w:szCs w:val="28"/>
          <w:rtl w:val="true"/>
          <w:lang w:bidi="fa-IR"/>
        </w:rPr>
        <w:t xml:space="preserve">فی الجمع والأعیاد وغیرها </w:t>
      </w:r>
      <w:r>
        <w:rPr>
          <w:rStyle w:val="FootnoteAnchor"/>
          <w:rtl w:val="true"/>
        </w:rPr>
        <w:footnoteReference w:id="7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الفهرست الطوسی،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291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ولعبیداللّه بن الحرّ الجعفی ت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ق نسخة یرویها عنه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وغیر هؤلاء کثیر، تمّ استمرار التدوین لکلامه علیه السلام فی حلقات متواصلة علی امتداد التاریخ، تتوارثه الأجیال عصراً بعد عصر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وحسبک أنّه لم یدوّن لأحدٍ من فصحاء الصحابة العُشر ولا نصف العُشر ممّا دوّن له علیه السلام</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وقال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حفِظ عنه من خطبه فی سائر مقاماته أربعمائة خطبة ونیف وثمانین خطبة، یوردها علی البدیهة، تداول عنه الناس ذلک قولاً وعملاً</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والیوم یعدّ کتاب نهج البلاغة وهو الذی اختاره السید الرضی من کلام أمیر المؤمنین علیه السلام ثالث أعمدة الثقافة الإسلامیة بعد کتاب اللّه سبحانه وسنّة الرسول المصطفی صلی الله علیه و آله، وقد جمع فیه السید الشریف الرضی عجائب البلاغة وغرائب الفصاحة وجواهر العربیة وثواقب الکلم الدینیة والدنیویّة ما لا یوجد مجتمعاً فی کلام ولا مجموع الأطراف فی کتاب</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ولا ریب بکون النحاة علی یقین تامّ من فصاحة إمام الفصحاء وسید البلغاء بعد النبی صلی الله علیه و آله حتی قیل فی وصف کلامه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دون کلام الخالق وفوق کلام المخلوقین </w:t>
      </w:r>
      <w:r>
        <w:rPr>
          <w:rStyle w:val="FootnoteAnchor"/>
          <w:rtl w:val="true"/>
        </w:rPr>
        <w:footnoteReference w:id="717"/>
      </w:r>
      <w:r>
        <w:rPr>
          <w:rFonts w:ascii="IRNazanin" w:hAnsi="IRNazanin" w:eastAsia="IRNazanin"/>
          <w:color w:val="111111"/>
          <w:sz w:val="28"/>
          <w:sz w:val="28"/>
          <w:szCs w:val="28"/>
          <w:rtl w:val="true"/>
          <w:lang w:bidi="fa-IR"/>
        </w:rPr>
        <w:t xml:space="preserve">فلِمَ لم یحتجّ به النحاة إذن مع علمهم الأکید بأنّ الاحتجاج بکلامه علیه السلام للأغراض اللغویة والبلاغیة والصرفیة، یعنی الاحتجاج بالذروة القصوی من فصاحة العرب وبلاغتهم؟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الحال مع کلمات الزهراء علیها السلام التی رُبّیت فی حجر النبی صلی الله علیه و آله ثمّ فی بیت الوصی علیه السلام، ولها خطبتان مشهورتان فی غایة الفصاحة والبلاغة والمتانة والشهرة، وهما حریّتان بالبحث والدراسة لما فیهما من سبک لغوی متین ومضامین بلاغیة تؤهّلهما لجیمع أغراض الاستشهاد والاستدلال</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الأربلی واصفاً الخطبة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من محاسن الخطب وبدائعها، علیها مسحة </w:t>
      </w:r>
    </w:p>
    <w:p>
      <w:pPr>
        <w:pStyle w:val="BookText"/>
        <w:rPr/>
      </w:pPr>
      <w:r>
        <w:rPr>
          <w:rFonts w:ascii="IRNazanin" w:hAnsi="IRNazanin" w:eastAsia="IRNazanin"/>
          <w:color w:val="111111"/>
          <w:sz w:val="28"/>
          <w:sz w:val="28"/>
          <w:szCs w:val="28"/>
          <w:rtl w:val="true"/>
          <w:lang w:bidi="fa-IR"/>
        </w:rPr>
        <w:t>من نور النبوّة، وفیها عبقة من أرج الرسالة</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حیث تدوینهما فقد تناقلهما المؤرّخون والرواة والمحدثون خلفاً عن سلف</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وروی الخطبة الثانیة ابن طیفور فی بلاغات النساء،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والشیخ الصدوق فی معانی الأخبار، ص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والشیخ الطوسی فی أمالیه،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xml:space="preserve">؛ والطبری فی الدلائل،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الإربلی فی کشف الغمة،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والطبرسیّ فی 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وابن أبی الحدید فی شرح النهج،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ناهیک عن أنّ أهل البیت علیهم السلام وعموم آل أبی طالب کانوا یتناقلون کلامها علیها السلام ویعلّمونه أولادهم</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ولبقیة أهل البیت علیهم السلام مؤلّفات مأثورة عنهم لا زال بعضها إلی الیوم، ولعلّ علی رأسها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علی بن الحسین السجاد علیهما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الإمام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علی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أخیه الإمام موسی بن جعفر الکاظم علیهما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 الذهبیة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الطب وغیرها کثیر</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وکان من دأب أصحاب الأئمّة علیهم السلام أنّهم إذا سمعوا حدیثاً عن أحد الأئمّة علیهم السلام بادورا إلی إثباته فی أُصولهم لئلا یعرض لهم النسیان بتمادی الأیّام، فصنّف قدماء الشیعة الاثنی عشریة المعاصرین للأئمّة علیهم السلام فی الأحادیث المرویة من طریق أهل البیت علیهم السلام المستمدّة من مدینة العلم النبوی ما یزید علی ستة آلاف وستمائة کتاب، علی ما ضبطه الشیخ محمّد بن الحسن الحرّ العاملی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تراجم أصحاب المؤلّفات وما ذکره الرجالیون، وقد ذکر ذلک فی آخر الفائدة الرابعة من خاتمة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 </w:t>
      </w:r>
      <w:r>
        <w:rPr>
          <w:rStyle w:val="FootnoteAnchor"/>
          <w:rtl w:val="true"/>
        </w:rPr>
        <w:footnoteReference w:id="722"/>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وامتاز من بین تلک الکتب أربعمائة کتاب، عرفت عند الشیعة بالاُصول </w:t>
      </w:r>
    </w:p>
    <w:p>
      <w:pPr>
        <w:pStyle w:val="BookText"/>
        <w:rPr/>
      </w:pPr>
      <w:r>
        <w:rPr>
          <w:rFonts w:ascii="Amiri" w:hAnsi="Amiri" w:eastAsia="Amiri" w:cs="Amiri"/>
          <w:color w:val="111111"/>
          <w:sz w:val="28"/>
          <w:sz w:val="28"/>
          <w:szCs w:val="28"/>
          <w:rtl w:val="true"/>
          <w:lang w:bidi="ar-SA"/>
        </w:rPr>
        <w:t>الأربعمائة</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الإسلامیة حسن الأمین،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أعیان الشیعة،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الذریعة آقا بزرگ،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استقرّ الأمر علی اعتبارها والتعویل علیها والاحتفاظ بها حتی بقی بعضها إلی یومنا هذا متداولاً بین أیدی الناس، وکانت تشکّل المراجع الأوّلیة لمجامیع الحدیث، فقد دوّنت مضامینها فی الکتب الأربعة المجموعة منذ أوائل المائة الرابعة إلی أواسط المائة الخامسة،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والفقیه ، و التهذیب ، و الاستبصار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تعدّ خلاصة آثار أهل البیت المعصومین علیهم السلام وعیبة سننهم القائمة، وحجّة المتفقّهین عصوراً طویلة، ولا تزال موصولة الإسناد والروایة مع تغیّر الزمان وتبدّل الدهور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کلّ ما تقدّم یُعلم أنّ ما اعتذر به عن النحویین فی ترکهم الحدیث النبوی، لا یمکن الاعتذار به عنهم فی ترکهم حدیث صنوه وأخیه وحدیث بضعته، وحدیث ذرّیته صلوات اللّه علیهم أجمعین، إذن لابدّ من وجود أسباب اُخری حالت دون استفادتهم من ذلک الکنز الثمین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حدود تتبّعی لمعظم الدراسات النحویة اللغویة قدیماً وحدیثاً، لم أجد من تناول هذا الموضوع الخطیر، ولعلّهم تحاشوا الخوض فیه، وآثروا ترکه خوفاً من نتائجه التی قد تکون بتقدیرهم صفعة قویة بوجه نحاتنا الأقدمین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أنّ التأمّل فی هذا الموضوع یکشف عن براءة النحاة الأوائل من کلّ إدانه، ذلک لأنّهم عاشوا التحوّلات السیاسیّة والاجتماعیّة بکلّ مضامینها، وهم کبشر لا یستطیعون السباحة ضدّ التیّار الجارف الذی لم یبقِ شیئاً لأهل البیت علیهم السلام ولم یذر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بنو أمیة فقد أمروا الناس بسبّ أمیر المؤمنین علیه السلام والبراءة منه، وخطبوا بذلک علی منابر المسلمین، حتی صار سنّة فی أیّامهم، إلی أن قام عمر بن عبدالعزیز فأزاله</w:t>
      </w:r>
      <w:r>
        <w:rPr>
          <w:rFonts w:eastAsia="IRNazanin" w:cs="IRNazanin"/>
          <w:color w:val="111111"/>
          <w:sz w:val="28"/>
          <w:szCs w:val="28"/>
          <w:rtl w:val="true"/>
          <w:lang w:bidi="fa-IR"/>
        </w:rPr>
        <w:t xml:space="preserve">.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ومنعوا من إظهار فضائله علیه السلام وعاقبوا علی ذلک الرواة لها حتی إنّ الرجل إذا روی عنه حدیثاً لا یتعلّق بفضله بل بشرائع الدین لا یتجاسر علی ذکر اسمه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زینب</w:t>
      </w:r>
      <w:r>
        <w:rPr>
          <w:rFonts w:eastAsia="IRNazanin" w:cs="IRNazanin"/>
          <w:color w:val="111111"/>
          <w:sz w:val="28"/>
          <w:szCs w:val="28"/>
          <w:rtl w:val="true"/>
          <w:lang w:bidi="fa-IR"/>
        </w:rPr>
        <w:t xml:space="preserve">. </w:t>
      </w:r>
      <w:r>
        <w:rPr>
          <w:rStyle w:val="FootnoteAnchor"/>
          <w:rtl w:val="true"/>
        </w:rPr>
        <w:footnoteReference w:id="725"/>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 زمان بنی العباس فقد کان الأمر أشدّ وأقسی، ویکفی الباحث أن ینظر إلی </w:t>
      </w:r>
      <w:bookmarkStart w:id="724" w:name="pg14553_192023"/>
    </w:p>
    <w:p>
      <w:pPr>
        <w:pStyle w:val="BookText"/>
        <w:rPr/>
      </w:pPr>
      <w:bookmarkEnd w:id="7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 </w:t>
      </w:r>
      <w:r>
        <w:rPr>
          <w:rStyle w:val="FootnoteAnchor"/>
          <w:rtl w:val="true"/>
        </w:rPr>
        <w:footnoteReference w:id="7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الطالبیین أبو الفرج، ص </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لیری القسوة والاضطهاد والمراقبة والقتل والسجن والتشرید الذی لاقاه أهل بیت المصطفی صلی الله علیه و آله وذراریهم علی أیدی رؤوس السلطة وأعوانهم، ویکفی أن تسمع أبیات عبداللّه الطوری وقد مرّ علی قبر الإمام الحسین علیه السلام بعد أن أمر المتوکّل العباسی بحرث بقعته وإجراء الماء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تاللّه إن کانت أمیّة قد أتت‌قتل ابن بنت نبیها مظلوما</w:t>
      </w:r>
    </w:p>
    <w:p>
      <w:pPr>
        <w:pStyle w:val="BookText"/>
        <w:rPr/>
      </w:pPr>
      <w:r>
        <w:rPr>
          <w:rFonts w:ascii="IRNazanin" w:hAnsi="IRNazanin" w:eastAsia="IRNazanin"/>
          <w:color w:val="111111"/>
          <w:sz w:val="28"/>
          <w:sz w:val="28"/>
          <w:szCs w:val="28"/>
          <w:rtl w:val="true"/>
          <w:lang w:bidi="fa-IR"/>
        </w:rPr>
        <w:t>فلقد أتاک بنو أبیه بمثلهاهذا لعمرک قبره مهدوما</w:t>
      </w:r>
    </w:p>
    <w:p>
      <w:pPr>
        <w:pStyle w:val="BookText"/>
        <w:rPr/>
      </w:pPr>
      <w:r>
        <w:rPr>
          <w:rFonts w:ascii="IRNazanin" w:hAnsi="IRNazanin" w:eastAsia="IRNazanin"/>
          <w:color w:val="111111"/>
          <w:sz w:val="28"/>
          <w:sz w:val="28"/>
          <w:szCs w:val="28"/>
          <w:rtl w:val="true"/>
          <w:lang w:bidi="fa-IR"/>
        </w:rPr>
        <w:t>أسفوا علی أن لا یکونوا شایعوافی قتله فتتبّعوه رمیما</w:t>
      </w:r>
      <w:r>
        <w:rPr>
          <w:rFonts w:eastAsia="IRNazanin" w:cs="IRNazanin"/>
          <w:color w:val="111111"/>
          <w:sz w:val="28"/>
          <w:szCs w:val="28"/>
          <w:rtl w:val="true"/>
          <w:lang w:bidi="fa-IR"/>
        </w:rPr>
        <w:t xml:space="preserve">. </w:t>
      </w:r>
      <w:r>
        <w:rPr>
          <w:rStyle w:val="FootnoteAnchor"/>
          <w:rtl w:val="true"/>
        </w:rPr>
        <w:footnoteReference w:id="727"/>
      </w:r>
    </w:p>
    <w:p>
      <w:pPr>
        <w:pStyle w:val="BookText"/>
        <w:rPr/>
      </w:pPr>
      <w:r>
        <w:rPr>
          <w:rFonts w:ascii="IRNazanin" w:hAnsi="IRNazanin" w:eastAsia="IRNazanin"/>
          <w:color w:val="111111"/>
          <w:sz w:val="28"/>
          <w:sz w:val="28"/>
          <w:szCs w:val="28"/>
          <w:rtl w:val="true"/>
          <w:lang w:bidi="fa-IR"/>
        </w:rPr>
        <w:t>ولا یخفی أنّ فی مثل تلک الظروف لا یمکن للنحوی أو اللغوی أن یجرؤ علی الروایة لحدیث أهل البیت علیهم السلام أو الاستشهاد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فلابدّ لنا ونحن نعیش فی عصر الانفتاح وانتشار شبکات الاتّصال السریع وثورة المعلومات، أن نطّلع علی تراث أهل البیت علیهم السلام الغنیّ وموروثهم الثقافی الفذّ الذی أغفلته الدراسات اللغویة لأسباب مختلفة وأعذار کثیرة، لا یوجد بحمد اللّه شی ء منها فی وقتنا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مطلوب من الباحثین والدارسین أن یوجّهوا عنایتهم إلی تراث أهل البیت علیهم السلام وعلی الأقلّ فی الکتب الأربعة لاستخراج کنوزها، وتسلیط الضوء علیها، وإدخالها فی دائرة البحث والدراسة</w:t>
      </w:r>
      <w:r>
        <w:rPr>
          <w:rFonts w:eastAsia="IRNazanin" w:cs="IRNazanin"/>
          <w:color w:val="111111"/>
          <w:sz w:val="28"/>
          <w:szCs w:val="28"/>
          <w:rtl w:val="true"/>
          <w:lang w:bidi="fa-IR"/>
        </w:rPr>
        <w:t>.</w:t>
      </w:r>
    </w:p>
    <w:p>
      <w:pPr>
        <w:pStyle w:val="Heading3"/>
        <w:numPr>
          <w:ilvl w:val="2"/>
          <w:numId w:val="1"/>
        </w:numPr>
        <w:rPr/>
      </w:pPr>
      <w:bookmarkStart w:id="725" w:name="__RefHeading___Toc652203_1878427129"/>
      <w:bookmarkStart w:id="726" w:name="_Toc276"/>
      <w:bookmarkEnd w:id="725"/>
      <w:r>
        <w:rPr>
          <w:rtl w:val="true"/>
        </w:rPr>
        <w:t>النصوص الشعریة فی الکتب الأربعة</w:t>
      </w:r>
      <w:bookmarkEnd w:id="726"/>
    </w:p>
    <w:p>
      <w:pPr>
        <w:pStyle w:val="Heading4"/>
        <w:numPr>
          <w:ilvl w:val="3"/>
          <w:numId w:val="1"/>
        </w:numPr>
        <w:rPr/>
      </w:pPr>
      <w:bookmarkStart w:id="727" w:name="__RefHeading___Toc652205_1878427129"/>
      <w:bookmarkStart w:id="728" w:name="_Toc277"/>
      <w:bookmarkEnd w:id="727"/>
      <w:r>
        <w:rPr>
          <w:rtl w:val="true"/>
        </w:rPr>
        <w:t>اشارة</w:t>
      </w:r>
      <w:bookmarkEnd w:id="728"/>
    </w:p>
    <w:p>
      <w:pPr>
        <w:pStyle w:val="BookText"/>
        <w:rPr/>
      </w:pPr>
      <w:r>
        <w:rPr>
          <w:rFonts w:ascii="IRNazanin" w:hAnsi="IRNazanin" w:eastAsia="IRNazanin"/>
          <w:color w:val="111111"/>
          <w:sz w:val="28"/>
          <w:sz w:val="28"/>
          <w:szCs w:val="28"/>
          <w:rtl w:val="true"/>
          <w:lang w:bidi="fa-IR"/>
        </w:rPr>
        <w:t>الکتب الأربعة التی أشرنا إلیها آنفاً هی من أشهر کتب الحدیث عند الإمامیة، وقد اتّفقوا علی تفضیلها والأخذ بأخبارها، وأجمعوا علی ارتفاع درجتها، وعلوّ قدرها، وعلیها مدار الفقه الشیعی والأحکام الشرعیة، وهی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 لثقة الإسلام أبی جعفر محمّد بن یعقوب الکلینی ت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 یحضره الفقیه ، لأبی جعفر محمّد بن علی بن بابویه القمّی، المعروف بالشیخ الصدوق 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29" w:name="pg14553_192024"/>
    </w:p>
    <w:p>
      <w:pPr>
        <w:pStyle w:val="BookText"/>
        <w:rPr/>
      </w:pPr>
      <w:bookmarkEnd w:id="72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 و کلاهما لشیخ الطائفة أبی جعفر محمّد بن الحسن الطوسی 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تعدّدت جوانب البحث فی هذه الکتب روایةً ونسخاً وترتیباً وشرحاً وترجمةً واختصاراً وتحقیقاً وضبطاً، فضلاً عن تعدیل الرواة الواقعة فی إسنادها، وتحقیق تواریخ وطبقات الرجال، ومتابعة أسانیدها، وما إلی ذلک من دراسات مختلفة وحقول معرفیة متنوعة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تحظ الکتب الأربعة بما تستحقّه من دراسة الجوانب الأدبیة واللغویة والبلاغیة والنحویة الوفیرة فیها، ولو توجّهت عنایة العلماء والمختصین بهذه الحقول المعرفیة إلی ذلک، لوجدوا مجالاً خصباً لمثل هذه الدراسات، ممّا یسلّط الضوء علی کثیر من المعالم الخفیة فی هذا التراث العریق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والشعر باعتباره أحد عناصر الروایة فی حدیث أهل البیت علیهم السلام، وبالنظر لأهیمّة الشاهد الشعری فی التفسیر والحدیث ومدخلیّته فی مختلف فروع العلم، فدراسته فی الکتب الأربعة تشکّل خطوة مهمّة تفتح الطریق أمام آفاق الدراسات اللغویة المعمّقة، وتکشف عن طریقة أئمتنا علیهم السلام وأصحابهم وعلمائنا المتقدّمین فی التعامل مع النصّ الشعری وطریقة الاستفادة منه، ومنهجهم فی الاستشهاد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فضلاً عن أنّ دراسة النصوص الشعریة فی الکتب الأربعة تشکّل مادّة أساسیة یستعین بها الباحث والمحقّق فی ضبط الأشعار وتحقیق نسبتها وشرحها وتخریجها، ممّا یعود بالخیر الوفیر علی دراسة أحادیث أهل البیت علیهم السلام المشتملة علی تلک النصوص الشعریة، وذلک من خلال الوقوف علی الأغراض العلمیة والمناسبات المختلفة التی استدعت وجود مثل هذا النمط من الأحادیث الشریفة فی کتبنا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والنصوص الشعریة فی الکتب الأربعة یبلغ مجموعها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 شعریّاً، علی ما أحصیناه، وهی علی نحوین</w:t>
      </w:r>
      <w:r>
        <w:rPr>
          <w:rFonts w:eastAsia="IRNazanin" w:cs="IRNazanin"/>
          <w:color w:val="111111"/>
          <w:sz w:val="28"/>
          <w:szCs w:val="28"/>
          <w:rtl w:val="true"/>
          <w:lang w:bidi="fa-IR"/>
        </w:rPr>
        <w:t>:</w:t>
      </w:r>
    </w:p>
    <w:p>
      <w:pPr>
        <w:pStyle w:val="Heading4"/>
        <w:numPr>
          <w:ilvl w:val="3"/>
          <w:numId w:val="1"/>
        </w:numPr>
        <w:rPr/>
      </w:pPr>
      <w:bookmarkStart w:id="730" w:name="__RefHeading___Toc652207_1878427129"/>
      <w:bookmarkStart w:id="731" w:name="_Toc278"/>
      <w:bookmarkEnd w:id="730"/>
      <w:r>
        <w:rPr>
          <w:rtl w:val="true"/>
        </w:rPr>
        <w:t>الأوّل</w:t>
      </w:r>
      <w:r>
        <w:rPr>
          <w:rtl w:val="true"/>
        </w:rPr>
        <w:t xml:space="preserve">: </w:t>
      </w:r>
      <w:r>
        <w:rPr>
          <w:rtl w:val="true"/>
        </w:rPr>
        <w:t>الشواهد الشعریة</w:t>
      </w:r>
      <w:r>
        <w:rPr>
          <w:rtl w:val="true"/>
        </w:rPr>
        <w:t>:</w:t>
      </w:r>
      <w:bookmarkEnd w:id="731"/>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ومجموعها فی الکتب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وعشرون شاهداً، وقد استخدمت فی شتی </w:t>
      </w:r>
    </w:p>
    <w:p>
      <w:pPr>
        <w:pStyle w:val="BookText"/>
        <w:rPr/>
      </w:pPr>
      <w:r>
        <w:rPr>
          <w:rFonts w:ascii="IRNazanin" w:hAnsi="IRNazanin" w:eastAsia="IRNazanin"/>
          <w:color w:val="111111"/>
          <w:sz w:val="28"/>
          <w:sz w:val="28"/>
          <w:szCs w:val="28"/>
          <w:rtl w:val="true"/>
          <w:lang w:bidi="fa-IR"/>
        </w:rPr>
        <w:t xml:space="preserve">الأغراض اللفظیة والمعنویة المختلفة وجرت علی وفق منهج اللغویین الذی ذکرناه أوّلاً، فشواهد الشیخ الطوسی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لا تخرج عن دائرة الاستشهاد اللغوی التی حدّها النحاة واللغویون، وقد شدّد الشیخ فی مقدّمة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یکون الشاهد الشعری معلوماً وشائعاً بین أهل اللغة سیّما فی مجال التفسیر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کان التأویل یحتاج إلی شاهدٍ من اللغة، فلا یقبل من الشاهد إلا ما کان معلوماً بین أهل اللغة شائعاً بینهم، وأمّا طریقة الآحاد من الروایات الشاردة والألفاظ النادرة، فإنّه لا یقطع بذلک، ولا یجعل شاهداً علی کتاب اللّه</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هنا فقد احتجّ الشیخ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بشعراء الطبقات الثلاث التی اتّفق النحاة علی الاحتجاج بشعرهم، وبعض شواهده هی عین شواهد سیبویه والمشهورین من النحاة، فاستشهد بشعر طفیل الغنوی </w:t>
      </w:r>
      <w:r>
        <w:rPr>
          <w:rStyle w:val="FootnoteAnchor"/>
          <w:rtl w:val="true"/>
        </w:rPr>
        <w:footnoteReference w:id="729"/>
      </w:r>
      <w:r>
        <w:rPr>
          <w:rFonts w:ascii="IRNazanin" w:hAnsi="IRNazanin" w:eastAsia="IRNazanin"/>
          <w:color w:val="111111"/>
          <w:sz w:val="28"/>
          <w:sz w:val="28"/>
          <w:szCs w:val="28"/>
          <w:rtl w:val="true"/>
          <w:lang w:bidi="fa-IR"/>
        </w:rPr>
        <w:t xml:space="preserve">والنابغة الجعدی </w:t>
      </w:r>
      <w:r>
        <w:rPr>
          <w:rStyle w:val="FootnoteAnchor"/>
          <w:rtl w:val="true"/>
        </w:rPr>
        <w:footnoteReference w:id="730"/>
      </w:r>
      <w:r>
        <w:rPr>
          <w:rFonts w:ascii="IRNazanin" w:hAnsi="IRNazanin" w:eastAsia="IRNazanin"/>
          <w:color w:val="111111"/>
          <w:sz w:val="28"/>
          <w:sz w:val="28"/>
          <w:szCs w:val="28"/>
          <w:rtl w:val="true"/>
          <w:lang w:bidi="fa-IR"/>
        </w:rPr>
        <w:t xml:space="preserve">وامرئ القیس </w:t>
      </w:r>
      <w:r>
        <w:rPr>
          <w:rStyle w:val="FootnoteAnchor"/>
          <w:rtl w:val="true"/>
        </w:rPr>
        <w:footnoteReference w:id="731"/>
      </w:r>
      <w:r>
        <w:rPr>
          <w:rFonts w:ascii="IRNazanin" w:hAnsi="IRNazanin" w:eastAsia="IRNazanin"/>
          <w:color w:val="111111"/>
          <w:sz w:val="28"/>
          <w:sz w:val="28"/>
          <w:szCs w:val="28"/>
          <w:rtl w:val="true"/>
          <w:lang w:bidi="fa-IR"/>
        </w:rPr>
        <w:t xml:space="preserve">وعقیبة بن هبیرة الأسدی </w:t>
      </w:r>
      <w:r>
        <w:rPr>
          <w:rStyle w:val="FootnoteAnchor"/>
          <w:rtl w:val="true"/>
        </w:rPr>
        <w:footnoteReference w:id="732"/>
      </w:r>
      <w:r>
        <w:rPr>
          <w:rFonts w:ascii="IRNazanin" w:hAnsi="IRNazanin" w:eastAsia="IRNazanin"/>
          <w:color w:val="111111"/>
          <w:sz w:val="28"/>
          <w:sz w:val="28"/>
          <w:szCs w:val="28"/>
          <w:rtl w:val="true"/>
          <w:lang w:bidi="fa-IR"/>
        </w:rPr>
        <w:t xml:space="preserve">وجریر </w:t>
      </w:r>
      <w:r>
        <w:rPr>
          <w:rStyle w:val="FootnoteAnchor"/>
          <w:rtl w:val="true"/>
        </w:rPr>
        <w:footnoteReference w:id="733"/>
      </w:r>
      <w:r>
        <w:rPr>
          <w:rFonts w:ascii="IRNazanin" w:hAnsi="IRNazanin" w:eastAsia="IRNazanin"/>
          <w:color w:val="111111"/>
          <w:sz w:val="28"/>
          <w:sz w:val="28"/>
          <w:szCs w:val="28"/>
          <w:rtl w:val="true"/>
          <w:lang w:bidi="fa-IR"/>
        </w:rPr>
        <w:t xml:space="preserve">وساعدة بن جؤیة الهذلی </w:t>
      </w:r>
      <w:r>
        <w:rPr>
          <w:rStyle w:val="FootnoteAnchor"/>
          <w:rtl w:val="true"/>
        </w:rPr>
        <w:footnoteReference w:id="734"/>
      </w:r>
      <w:r>
        <w:rPr>
          <w:rFonts w:ascii="IRNazanin" w:hAnsi="IRNazanin" w:eastAsia="IRNazanin"/>
          <w:color w:val="111111"/>
          <w:sz w:val="28"/>
          <w:sz w:val="28"/>
          <w:szCs w:val="28"/>
          <w:rtl w:val="true"/>
          <w:lang w:bidi="fa-IR"/>
        </w:rPr>
        <w:t xml:space="preserve">والأعشی </w:t>
      </w:r>
      <w:r>
        <w:rPr>
          <w:rStyle w:val="FootnoteAnchor"/>
          <w:rtl w:val="true"/>
        </w:rPr>
        <w:footnoteReference w:id="735"/>
      </w:r>
      <w:r>
        <w:rPr>
          <w:rFonts w:ascii="Amiri" w:hAnsi="Amiri" w:eastAsia="Amiri" w:cs="Amiri"/>
          <w:color w:val="111111"/>
          <w:sz w:val="28"/>
          <w:sz w:val="28"/>
          <w:szCs w:val="28"/>
          <w:rtl w:val="true"/>
          <w:lang w:bidi="ar-SA"/>
        </w:rPr>
        <w:t xml:space="preserve">وکثیر عزّة </w:t>
      </w:r>
      <w:r>
        <w:rPr>
          <w:rStyle w:val="FootnoteAnchor"/>
          <w:rtl w:val="true"/>
        </w:rPr>
        <w:footnoteReference w:id="736"/>
      </w:r>
      <w:r>
        <w:rPr>
          <w:rFonts w:ascii="IRNazanin" w:hAnsi="IRNazanin" w:eastAsia="IRNazanin"/>
          <w:color w:val="111111"/>
          <w:sz w:val="28"/>
          <w:sz w:val="28"/>
          <w:szCs w:val="28"/>
          <w:rtl w:val="true"/>
          <w:lang w:bidi="fa-IR"/>
        </w:rPr>
        <w:t>والفرزدق</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وقد التزم مصنفو الکتب الأربعة وبعض أصحاب الأئمّة علیهم السلام هذا الأسلوب حتی فی موارد الاستشهاد للأغراض المعنویة التی یجوز فیها الاحتجاج بشعر المتأخّرین عن الطبقات الثلاث التی ذکرناها فی أوّل البحث، فاستشهد الشیخ الکلینی للغرض المعنوی بشعر أبی طالب رضی الله عنه </w:t>
      </w:r>
      <w:r>
        <w:rPr>
          <w:rStyle w:val="FootnoteAnchor"/>
          <w:rtl w:val="true"/>
        </w:rPr>
        <w:footnoteReference w:id="738"/>
      </w:r>
      <w:r>
        <w:rPr>
          <w:rFonts w:ascii="IRNazanin" w:hAnsi="IRNazanin" w:eastAsia="IRNazanin"/>
          <w:color w:val="111111"/>
          <w:sz w:val="28"/>
          <w:sz w:val="28"/>
          <w:szCs w:val="28"/>
          <w:rtl w:val="true"/>
          <w:lang w:bidi="fa-IR"/>
        </w:rPr>
        <w:t>وشعر الزبرقان بن بدر</w:t>
      </w:r>
      <w:r>
        <w:rPr>
          <w:rFonts w:eastAsia="IRNazanin" w:cs="IRNazanin"/>
          <w:color w:val="111111"/>
          <w:sz w:val="28"/>
          <w:szCs w:val="28"/>
          <w:rtl w:val="true"/>
          <w:lang w:bidi="fa-IR"/>
        </w:rPr>
        <w:t xml:space="preserve">. </w:t>
      </w:r>
      <w:r>
        <w:rPr>
          <w:rStyle w:val="FootnoteAnchor"/>
          <w:rtl w:val="true"/>
        </w:rPr>
        <w:footnoteReference w:id="739"/>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وشدّاد بن معاویة </w:t>
      </w:r>
      <w:r>
        <w:rPr>
          <w:rStyle w:val="FootnoteAnchor"/>
          <w:rtl w:val="true"/>
        </w:rPr>
        <w:footnoteReference w:id="740"/>
      </w:r>
      <w:r>
        <w:rPr>
          <w:rFonts w:ascii="IRNazanin" w:hAnsi="IRNazanin" w:eastAsia="IRNazanin"/>
          <w:color w:val="111111"/>
          <w:sz w:val="28"/>
          <w:sz w:val="28"/>
          <w:szCs w:val="28"/>
          <w:rtl w:val="true"/>
          <w:lang w:bidi="fa-IR"/>
        </w:rPr>
        <w:t xml:space="preserve">واستشهد الشیخ الصدوق بشعر ذی الرمّة </w:t>
      </w:r>
      <w:r>
        <w:rPr>
          <w:rStyle w:val="FootnoteAnchor"/>
          <w:rtl w:val="true"/>
        </w:rPr>
        <w:footnoteReference w:id="741"/>
      </w:r>
      <w:r>
        <w:rPr>
          <w:rFonts w:ascii="IRNazanin" w:hAnsi="IRNazanin" w:eastAsia="IRNazanin"/>
          <w:color w:val="111111"/>
          <w:sz w:val="28"/>
          <w:sz w:val="28"/>
          <w:szCs w:val="28"/>
          <w:rtl w:val="true"/>
          <w:lang w:bidi="fa-IR"/>
        </w:rPr>
        <w:t xml:space="preserve">وشعر النابغة الذبیانی </w:t>
      </w:r>
      <w:r>
        <w:rPr>
          <w:rStyle w:val="FootnoteAnchor"/>
          <w:rtl w:val="true"/>
        </w:rPr>
        <w:footnoteReference w:id="742"/>
      </w:r>
      <w:r>
        <w:rPr>
          <w:rFonts w:ascii="IRNazanin" w:hAnsi="IRNazanin" w:eastAsia="IRNazanin"/>
          <w:color w:val="111111"/>
          <w:sz w:val="28"/>
          <w:sz w:val="28"/>
          <w:szCs w:val="28"/>
          <w:rtl w:val="true"/>
          <w:lang w:bidi="fa-IR"/>
        </w:rPr>
        <w:t xml:space="preserve">واستشهد الشیخ الطوسی بشعر لقیط بن یعمر الإیادی </w:t>
      </w:r>
      <w:r>
        <w:rPr>
          <w:rStyle w:val="FootnoteAnchor"/>
          <w:rtl w:val="true"/>
        </w:rPr>
        <w:footnoteReference w:id="743"/>
      </w:r>
      <w:r>
        <w:rPr>
          <w:rFonts w:ascii="IRNazanin" w:hAnsi="IRNazanin" w:eastAsia="IRNazanin"/>
          <w:color w:val="111111"/>
          <w:sz w:val="28"/>
          <w:sz w:val="28"/>
          <w:szCs w:val="28"/>
          <w:rtl w:val="true"/>
          <w:lang w:bidi="fa-IR"/>
        </w:rPr>
        <w:t xml:space="preserve">وأبی جندب </w:t>
      </w:r>
      <w:bookmarkStart w:id="732" w:name="pg14553_192026"/>
    </w:p>
    <w:p>
      <w:pPr>
        <w:pStyle w:val="BookText"/>
        <w:rPr/>
      </w:pPr>
      <w:bookmarkEnd w:id="732"/>
      <w:r>
        <w:rPr>
          <w:rFonts w:ascii="IRNazanin" w:hAnsi="IRNazanin" w:eastAsia="IRNazanin"/>
          <w:color w:val="111111"/>
          <w:sz w:val="28"/>
          <w:sz w:val="28"/>
          <w:szCs w:val="28"/>
          <w:rtl w:val="true"/>
          <w:lang w:bidi="fa-IR"/>
        </w:rPr>
        <w:t xml:space="preserve">الهذلی </w:t>
      </w:r>
      <w:r>
        <w:rPr>
          <w:rStyle w:val="FootnoteAnchor"/>
          <w:rtl w:val="true"/>
        </w:rPr>
        <w:footnoteReference w:id="7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واستشهد علی بن الریّان بشعر تأبّط شراً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33" w:name="__RefHeading___Toc652209_1878427129"/>
      <w:bookmarkStart w:id="734" w:name="_Toc279"/>
      <w:bookmarkEnd w:id="733"/>
      <w:r>
        <w:rPr>
          <w:rtl w:val="true"/>
        </w:rPr>
        <w:t>الثانی</w:t>
      </w:r>
      <w:r>
        <w:rPr>
          <w:rtl w:val="true"/>
        </w:rPr>
        <w:t xml:space="preserve">: </w:t>
      </w:r>
      <w:r>
        <w:rPr>
          <w:rtl w:val="true"/>
        </w:rPr>
        <w:t>المناسبات الشعریة وتصنیفها</w:t>
      </w:r>
      <w:r>
        <w:rPr>
          <w:rtl w:val="true"/>
        </w:rPr>
        <w:t>:</w:t>
      </w:r>
      <w:bookmarkEnd w:id="734"/>
    </w:p>
    <w:p>
      <w:pPr>
        <w:pStyle w:val="BookText"/>
        <w:rPr/>
      </w:pPr>
      <w:r>
        <w:rPr>
          <w:rFonts w:ascii="IRNazanin" w:hAnsi="IRNazanin" w:eastAsia="IRNazanin"/>
          <w:color w:val="111111"/>
          <w:sz w:val="28"/>
          <w:sz w:val="28"/>
          <w:szCs w:val="28"/>
          <w:rtl w:val="true"/>
          <w:lang w:bidi="fa-IR"/>
        </w:rPr>
        <w:t>ویُرادبها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الأغراض التی من أجلها استخدم الشعر فی أحادیث الکتب الأربعة؛ لإثبات شی ء أو نفیه، تاریخیّاً کان أو عقائدیاً، أو فکریّاً، أو فقهیاً، ونحو هذا من الأمورالأخری التی‌استخدمت لأجلها المتون الشعریة، بعیداًعن مجالات الاستدلال اللفظی أو المعنوی المستخدمة عادة فی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 الشعری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المناسبات الشعریة الواردة فی أحادیث الکتب الأربعة، إنّما هی مناسبات مقیّدة بزمان صدور الحدیث المشتمل علی المتن الشعری فقط، وهذا یعنی، عدم وحدة المناسبة فی الغالب بین استخدام المتن الشعری فی الحدیث، وبین إنشائه فی الأصل من لدن الشاعر، ویترتّب علی هذا صلاحیّته بأن یکون شاهداً شعریاً فی مجالات اللغة والصرف والبلاغة، وإن لم یستخدم کذلک فی أحادیث الکتب الأربعة؛ لوضوح أنّ استخدامه فی مناسبة اقتضت مجیئه فیها لا یعنی حکره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عن عدد المتون الشعریة المستخدمة فی تلک المناسبات؛ فهی سبعة وعشرون متناً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خلال استقرائها ودراستها وجدناها علی أصناف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یجری مجری الحکم والأمثال، وقد تمثّل بها الأئمّة علیهم السلام لمطابقتها لمقتضی الحال </w:t>
      </w:r>
      <w:r>
        <w:rPr>
          <w:rStyle w:val="FootnoteAnchor"/>
          <w:rtl w:val="true"/>
        </w:rPr>
        <w:footnoteReference w:id="745"/>
      </w:r>
      <w:r>
        <w:rPr>
          <w:rFonts w:ascii="IRNazanin" w:hAnsi="IRNazanin" w:eastAsia="IRNazanin"/>
          <w:color w:val="111111"/>
          <w:sz w:val="28"/>
          <w:sz w:val="28"/>
          <w:szCs w:val="28"/>
          <w:rtl w:val="true"/>
          <w:lang w:bidi="fa-IR"/>
        </w:rPr>
        <w:t xml:space="preserve">أو للدلالة علی أنّ تلک الأحوال الواردة فی الحکم والمواعظ ممّا یستقّل العقل بمعرفتها ویحکم بحسنها أو قبحها قبل أن یکون لها دلیل من الشرع، ذلک لأنّ بعضها مروی عن شعراء لم یدرکوا الإسلام کحاتم الطائی‌وقعنب بن أمّ صاحب الفزاری </w:t>
      </w:r>
      <w:r>
        <w:rPr>
          <w:rStyle w:val="FootnoteAnchor"/>
          <w:rtl w:val="true"/>
        </w:rPr>
        <w:footnoteReference w:id="746"/>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استدلّ به الأئمّة علیهم السلام علی صریح إیمان أبی طالب باللّه سبحانه واعتقاده </w:t>
      </w:r>
      <w:bookmarkStart w:id="735" w:name="pg14553_192027"/>
    </w:p>
    <w:p>
      <w:pPr>
        <w:pStyle w:val="BookText"/>
        <w:rPr/>
      </w:pPr>
      <w:bookmarkEnd w:id="735"/>
      <w:r>
        <w:rPr>
          <w:rFonts w:ascii="IRNazanin" w:hAnsi="IRNazanin" w:eastAsia="IRNazanin"/>
          <w:color w:val="111111"/>
          <w:sz w:val="28"/>
          <w:sz w:val="28"/>
          <w:szCs w:val="28"/>
          <w:rtl w:val="true"/>
          <w:lang w:bidi="fa-IR"/>
        </w:rPr>
        <w:t>بنبوّة النبی الخاتم محمّد المصطفی صلی الله علیه و آله</w:t>
      </w:r>
      <w:r>
        <w:rPr>
          <w:rFonts w:eastAsia="IRNazanin" w:cs="IRNazanin"/>
          <w:color w:val="111111"/>
          <w:sz w:val="28"/>
          <w:szCs w:val="28"/>
          <w:rtl w:val="true"/>
          <w:lang w:bidi="fa-IR"/>
        </w:rPr>
        <w:t xml:space="preserve">. </w:t>
      </w:r>
      <w:r>
        <w:rPr>
          <w:rStyle w:val="FootnoteAnchor"/>
          <w:rtl w:val="true"/>
        </w:rPr>
        <w:footnoteReference w:id="74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الشاهد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فی مدح أهل البیت علیهم السلام أو رثائهم وبیان فضائلهم ومناقبهم، أو فی مدح بنی هاشم وتعداد مآثرهم </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المتون الشعریة ذات الصلة ببعض الجوانب التاریخیّة کالتی تحکی قصّة زواج أُمّ المؤمنین خدیجة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الرسول الأکرم صلی الله علیه و آله، والتی تبیّن حال الزهراء علیها السلام بعد موت أبیها المصطفی صلی الله علیه و آله وغیرها </w:t>
      </w:r>
      <w:r>
        <w:rPr>
          <w:rStyle w:val="FootnoteAnchor"/>
          <w:rtl w:val="true"/>
        </w:rPr>
        <w:footnoteReference w:id="749"/>
      </w:r>
      <w:r>
        <w:rPr>
          <w:rFonts w:ascii="IRNazanin" w:hAnsi="IRNazanin" w:eastAsia="IRNazanin"/>
          <w:color w:val="111111"/>
          <w:sz w:val="28"/>
          <w:sz w:val="28"/>
          <w:szCs w:val="28"/>
          <w:rtl w:val="true"/>
          <w:lang w:bidi="fa-IR"/>
        </w:rPr>
        <w:t>ویدخل فی ذلک الأرجاز الحربیة التی قیلت فی بدر وأحد</w:t>
      </w:r>
      <w:r>
        <w:rPr>
          <w:rFonts w:eastAsia="IRNazanin" w:cs="IRNazanin"/>
          <w:color w:val="111111"/>
          <w:sz w:val="28"/>
          <w:szCs w:val="28"/>
          <w:rtl w:val="true"/>
          <w:lang w:bidi="fa-IR"/>
        </w:rPr>
        <w:t xml:space="preserve">. </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الشعریة ذات العلاقة ببعض الأحکام الشرعیة</w:t>
      </w:r>
      <w:r>
        <w:rPr>
          <w:rFonts w:eastAsia="IRNazanin" w:cs="IRNazanin"/>
          <w:color w:val="111111"/>
          <w:sz w:val="28"/>
          <w:szCs w:val="28"/>
          <w:rtl w:val="true"/>
          <w:lang w:bidi="fa-IR"/>
        </w:rPr>
        <w:t xml:space="preserve">. </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یتعلّق بفتن آخر الزمان </w:t>
      </w:r>
      <w:r>
        <w:rPr>
          <w:rStyle w:val="FootnoteAnchor"/>
          <w:rtl w:val="true"/>
        </w:rPr>
        <w:footnoteReference w:id="752"/>
      </w:r>
      <w:r>
        <w:rPr>
          <w:rFonts w:ascii="IRNazanin" w:hAnsi="IRNazanin" w:eastAsia="IRNazanin"/>
          <w:color w:val="111111"/>
          <w:sz w:val="28"/>
          <w:sz w:val="28"/>
          <w:szCs w:val="28"/>
          <w:rtl w:val="true"/>
          <w:lang w:bidi="fa-IR"/>
        </w:rPr>
        <w:t>ونحو هذا ممّا سیراه القارئ فی مظانّه</w:t>
      </w:r>
      <w:r>
        <w:rPr>
          <w:rFonts w:eastAsia="IRNazanin" w:cs="IRNazanin"/>
          <w:color w:val="111111"/>
          <w:sz w:val="28"/>
          <w:szCs w:val="28"/>
          <w:rtl w:val="true"/>
          <w:lang w:bidi="fa-IR"/>
        </w:rPr>
        <w:t>.</w:t>
      </w:r>
    </w:p>
    <w:p>
      <w:pPr>
        <w:pStyle w:val="Heading3"/>
        <w:numPr>
          <w:ilvl w:val="2"/>
          <w:numId w:val="1"/>
        </w:numPr>
        <w:rPr/>
      </w:pPr>
      <w:bookmarkStart w:id="736" w:name="__RefHeading___Toc652211_1878427129"/>
      <w:bookmarkStart w:id="737" w:name="_Toc280"/>
      <w:bookmarkEnd w:id="736"/>
      <w:r>
        <w:rPr>
          <w:rtl w:val="true"/>
        </w:rPr>
        <w:t>منهجنا فی البحث</w:t>
      </w:r>
      <w:bookmarkEnd w:id="737"/>
    </w:p>
    <w:p>
      <w:pPr>
        <w:pStyle w:val="Heading4"/>
        <w:numPr>
          <w:ilvl w:val="3"/>
          <w:numId w:val="1"/>
        </w:numPr>
        <w:rPr/>
      </w:pPr>
      <w:bookmarkStart w:id="738" w:name="__RefHeading___Toc652213_1878427129"/>
      <w:bookmarkStart w:id="739" w:name="_Toc281"/>
      <w:bookmarkEnd w:id="738"/>
      <w:r>
        <w:rPr>
          <w:rtl w:val="true"/>
        </w:rPr>
        <w:t>اشارة</w:t>
      </w:r>
      <w:bookmarkEnd w:id="739"/>
    </w:p>
    <w:p>
      <w:pPr>
        <w:pStyle w:val="BookText"/>
        <w:rPr/>
      </w:pPr>
      <w:r>
        <w:rPr>
          <w:rFonts w:ascii="IRNazanin" w:hAnsi="IRNazanin" w:eastAsia="IRNazanin"/>
          <w:color w:val="111111"/>
          <w:sz w:val="28"/>
          <w:sz w:val="28"/>
          <w:szCs w:val="28"/>
          <w:rtl w:val="true"/>
          <w:lang w:bidi="fa-IR"/>
        </w:rPr>
        <w:t>إنّ بحثنا هذا هو ثبت شامل لجمیع النصوص الشعریة الواردة فی أحادیث الکتب الأربعة، مع دراستها دراسة علمیة، وترتیبها وفق منهج واضح اشتمل علی مفردات البحث العلمی فی کلّ نص، وبحسب الخطوات التالیة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رتبت الأشعار والأرجاز معاً وفقاً لترتیب القوافی مبتدأً بقافیة الهمزة ومنتهیاً بقافیة النون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رتّبت الأشعار ذات القافیة الواحدة بحسب حرکة حرف الروی فیها، فقدّمت القوافی الساکنة، وتعقبها القوافی المفتوحة، ثمّ المضمومة، و أخیراً المکسورة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رتّبت القوافی المتّحدة فی حرکة حرف الروی بحسب ترتیب أوزانها، فابتدأت بالطویل، ثمّ المدید، ثمّ البسیط، ثمّ الوافر، والکامل، وهکذا حسب الترتیب المألوف لأوزان الشعر العربی</w:t>
      </w:r>
      <w:r>
        <w:rPr>
          <w:rFonts w:eastAsia="IRNazanin" w:cs="IRNazanin"/>
          <w:color w:val="111111"/>
          <w:sz w:val="28"/>
          <w:szCs w:val="28"/>
          <w:rtl w:val="true"/>
          <w:lang w:bidi="fa-IR"/>
        </w:rPr>
        <w:t xml:space="preserve">. </w:t>
      </w:r>
      <w:bookmarkStart w:id="740" w:name="pg14553_192028"/>
    </w:p>
    <w:p>
      <w:pPr>
        <w:pStyle w:val="BookText"/>
        <w:rPr/>
      </w:pPr>
      <w:bookmarkEnd w:id="74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رتبت القوافی المتّحدة فی حرکة حرف الروی والوزن الشعری بحسب الترتیب الأبجدیّ لأسماء الشعراء مؤخّراً المجهول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وضعت رقماً لکلّ نصّ شعری ورد فی هذا البحث لتسهیل الإحالة إلیه عند الضرورة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جعلت البحث فی کلّ نصّ شعری علی 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البیت بالحرکات بالقدر الذی یزیل اللبس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وزنه الشعری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إیراد ترجمة موجزة لقائله، وقد تکون الترجمة مطوّلة لکون القائل من الأعلام المجهولة فی کتب الرجال والتراجم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تخریج البیت من الکتب الأربعة وغیرها، وقد جعلت المصادر التی أخذت منها النصوص الشعریة وهی الکتب الأربعة فی المتن، أمّا عدا الکتب الأربعة من المصادر التی وردت فیها الأبیات فقد جعلتها فی الهوامش، وأشرت إلی الاختلاف فی روایة الأبیات عند 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الغریب والکلمات الغامضة الواردة فی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محلّ الشاهد فی الشعر، و موضع الاستشهاد فی الکتب الأربعة، أو المناسبة التی ورد فیها الشعر بذکر الحدیث من الکتب الأربعة أو الإشارة إلیه</w:t>
      </w:r>
      <w:r>
        <w:rPr>
          <w:rFonts w:eastAsia="IRNazanin" w:cs="IRNazanin"/>
          <w:color w:val="111111"/>
          <w:sz w:val="28"/>
          <w:szCs w:val="28"/>
          <w:rtl w:val="true"/>
          <w:lang w:bidi="fa-IR"/>
        </w:rPr>
        <w:t>.</w:t>
      </w:r>
    </w:p>
    <w:p>
      <w:pPr>
        <w:pStyle w:val="Heading4"/>
        <w:numPr>
          <w:ilvl w:val="3"/>
          <w:numId w:val="1"/>
        </w:numPr>
        <w:rPr/>
      </w:pPr>
      <w:bookmarkStart w:id="741" w:name="__RefHeading___Toc652215_1878427129"/>
      <w:bookmarkStart w:id="742" w:name="_Toc282"/>
      <w:bookmarkEnd w:id="741"/>
      <w:r>
        <w:rPr>
          <w:rtl w:val="true"/>
        </w:rPr>
        <w:t>قافیة الهمزة</w:t>
      </w:r>
      <w:bookmarkEnd w:id="742"/>
    </w:p>
    <w:p>
      <w:pPr>
        <w:pStyle w:val="Heading5"/>
        <w:numPr>
          <w:ilvl w:val="4"/>
          <w:numId w:val="1"/>
        </w:numPr>
        <w:rPr/>
      </w:pPr>
      <w:bookmarkStart w:id="743" w:name="__RefHeading___Toc652217_1878427129"/>
      <w:bookmarkStart w:id="744" w:name="_Toc283"/>
      <w:bookmarkEnd w:id="743"/>
      <w:r>
        <w:rPr/>
        <w:t>8</w:t>
      </w:r>
      <w:r>
        <w:rPr>
          <w:rtl w:val="true"/>
        </w:rPr>
        <w:t>الوافر</w:t>
      </w:r>
      <w:bookmarkEnd w:id="744"/>
    </w:p>
    <w:p>
      <w:pPr>
        <w:pStyle w:val="BookText"/>
        <w:rPr/>
      </w:pPr>
      <w:r>
        <w:rPr>
          <w:rFonts w:ascii="Amiri" w:hAnsi="Amiri" w:eastAsia="Amiri" w:cs="Amiri"/>
          <w:color w:val="111111"/>
          <w:sz w:val="28"/>
          <w:sz w:val="28"/>
          <w:szCs w:val="28"/>
          <w:rtl w:val="true"/>
          <w:lang w:bidi="ar-SA"/>
        </w:rPr>
        <w:t>مَسَامِیحُ الفِعالِ ذَوُو أناةٍ مَراجِیحٌ وأوْجُهُهُم وِضاءُ</w:t>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الأحداث الموجبة للطهارة، وأورده السید المرتضی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 </w:t>
      </w:r>
      <w:r>
        <w:rPr>
          <w:rStyle w:val="FootnoteAnchor"/>
          <w:rtl w:val="true"/>
        </w:rPr>
        <w:footnoteReference w:id="75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المرتضی،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سَمح، وهو الجواد، والأناة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والوَقَار، ومراجیح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مِرجاح، وهو الحلیم الحکیم، ووِضاء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وضی ء،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وضیء، أی حَسَن جمیل</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الشاهد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استدلّ به الشیخ الطوسی علی أنّ الوضوء فی اللغة مأخودٌ من الوضاءة التی هی الحُسن، وذلک خلال تأویله بعض الأحادیث التی ورد </w:t>
      </w:r>
      <w:bookmarkStart w:id="745" w:name="pg14553_192029"/>
    </w:p>
    <w:p>
      <w:pPr>
        <w:pStyle w:val="BookText"/>
        <w:rPr/>
      </w:pPr>
      <w:bookmarkEnd w:id="745"/>
      <w:r>
        <w:rPr>
          <w:rFonts w:ascii="IRNazanin" w:hAnsi="IRNazanin" w:eastAsia="IRNazanin"/>
          <w:color w:val="111111"/>
          <w:sz w:val="28"/>
          <w:sz w:val="28"/>
          <w:szCs w:val="28"/>
          <w:rtl w:val="true"/>
          <w:lang w:bidi="fa-IR"/>
        </w:rPr>
        <w:t>فیها لفظ الوُضُوء بمعنی غَسل الموضع، لا الوضوء بالمعنی الفقهی المعروف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به السید المرتضی لنفس الغرض</w:t>
      </w:r>
      <w:r>
        <w:rPr>
          <w:rFonts w:eastAsia="IRNazanin" w:cs="IRNazanin"/>
          <w:color w:val="111111"/>
          <w:sz w:val="28"/>
          <w:szCs w:val="28"/>
          <w:rtl w:val="true"/>
          <w:lang w:bidi="fa-IR"/>
        </w:rPr>
        <w:t>.</w:t>
      </w:r>
    </w:p>
    <w:p>
      <w:pPr>
        <w:pStyle w:val="Heading5"/>
        <w:numPr>
          <w:ilvl w:val="4"/>
          <w:numId w:val="1"/>
        </w:numPr>
        <w:rPr/>
      </w:pPr>
      <w:bookmarkStart w:id="746" w:name="__RefHeading___Toc652219_1878427129"/>
      <w:bookmarkStart w:id="747" w:name="_Toc284"/>
      <w:bookmarkEnd w:id="746"/>
      <w:r>
        <w:rPr/>
        <w:t>9</w:t>
      </w:r>
      <w:r>
        <w:rPr>
          <w:rtl w:val="true"/>
        </w:rPr>
        <w:t>الطویل</w:t>
      </w:r>
      <w:bookmarkEnd w:id="747"/>
    </w:p>
    <w:p>
      <w:pPr>
        <w:pStyle w:val="BookText"/>
        <w:rPr/>
      </w:pPr>
      <w:r>
        <w:rPr>
          <w:rFonts w:ascii="Amiri" w:hAnsi="Amiri" w:eastAsia="Amiri" w:cs="Amiri"/>
          <w:color w:val="111111"/>
          <w:sz w:val="28"/>
          <w:sz w:val="28"/>
          <w:szCs w:val="28"/>
          <w:rtl w:val="true"/>
          <w:lang w:bidi="ar-SA"/>
        </w:rPr>
        <w:t>مَتَی آتِهِ یَوماً لأطلُبَ حاجةً رَجَعْتُ إلی أهْلی وَوَجْهی بمائِهِ</w:t>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باب من أعطی بعد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ابن شهر آشوب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Style w:val="FootnoteAnchor"/>
          <w:rtl w:val="true"/>
        </w:rPr>
        <w:footnoteReference w:id="75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والحرّ العاملی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والعلامة المجلسی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والبحرانی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والسید هاشم البحرانی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الأبرار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نضارته ورونقه،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قصدت إلی الجواد أو الممدوح بحاجةٍ أو مسالةٍ، رجعت منه بعطاء، فهو لا یردّ سائلاً، ولا یخیّب آملاً، ومن هنا فإنّ السائل لا یبذل ماء وجهه لردّ طلبته، بل یحافظ علی رونقه وبهائه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هذا البیت فی حدیث الإمام الرضا علیه السلام عن استحباب الستر علی السائل والمحافظة علی کرامته وعزّته عند قضاء حاجته، فقد أعطی علیه السلام سائلاً مائتی دینار، وستر وجهه عن السائل حین العطیّة، فسُئِل عن علّة ذلک،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مخافة أن أری ذُلّ السؤال فی وجهه لقضائی حاجته، أما سمعت حدیث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المستتر بالحسنة یعدل سبعین حجّة، والمذیع بالسیئة مخذول، والمستتر بها مغفورٌ له؟ أما سمعت قول الأوّل؟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وأنشد علیه السلام البیت</w:t>
      </w:r>
      <w:r>
        <w:rPr>
          <w:rFonts w:eastAsia="IRNazanin" w:cs="IRNazanin"/>
          <w:color w:val="111111"/>
          <w:sz w:val="28"/>
          <w:szCs w:val="28"/>
          <w:rtl w:val="true"/>
          <w:lang w:bidi="fa-IR"/>
        </w:rPr>
        <w:t>.</w:t>
      </w:r>
    </w:p>
    <w:p>
      <w:pPr>
        <w:pStyle w:val="Heading4"/>
        <w:numPr>
          <w:ilvl w:val="3"/>
          <w:numId w:val="1"/>
        </w:numPr>
        <w:rPr/>
      </w:pPr>
      <w:bookmarkStart w:id="748" w:name="__RefHeading___Toc652221_1878427129"/>
      <w:bookmarkStart w:id="749" w:name="_Toc285"/>
      <w:bookmarkEnd w:id="748"/>
      <w:r>
        <w:rPr>
          <w:rtl w:val="true"/>
        </w:rPr>
        <w:t>قافیة الباء</w:t>
      </w:r>
      <w:bookmarkEnd w:id="749"/>
    </w:p>
    <w:p>
      <w:pPr>
        <w:pStyle w:val="Heading5"/>
        <w:numPr>
          <w:ilvl w:val="4"/>
          <w:numId w:val="1"/>
        </w:numPr>
        <w:rPr/>
      </w:pPr>
      <w:bookmarkStart w:id="750" w:name="__RefHeading___Toc652223_1878427129"/>
      <w:bookmarkStart w:id="751" w:name="_Toc286"/>
      <w:bookmarkEnd w:id="750"/>
      <w:r>
        <w:rPr/>
        <w:t>10</w:t>
      </w:r>
      <w:r>
        <w:rPr>
          <w:rtl w:val="true"/>
        </w:rPr>
        <w:t>الرجز</w:t>
      </w:r>
      <w:bookmarkEnd w:id="751"/>
    </w:p>
    <w:p>
      <w:pPr>
        <w:pStyle w:val="BookText"/>
        <w:rPr/>
      </w:pPr>
      <w:r>
        <w:rPr>
          <w:rFonts w:ascii="Amiri" w:hAnsi="Amiri" w:eastAsia="Amiri" w:cs="Amiri"/>
          <w:color w:val="111111"/>
          <w:sz w:val="28"/>
          <w:sz w:val="28"/>
          <w:szCs w:val="28"/>
          <w:rtl w:val="true"/>
          <w:lang w:bidi="ar-SA"/>
        </w:rPr>
        <w:t>یا ربّ إمّا یَغْزُونْ بطالِبْ</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وَجَعْلِهِ المَغْلُوبَ غَیرَ الغَالِبْ </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بن أبی طالب</w:t>
      </w:r>
    </w:p>
    <w:p>
      <w:pPr>
        <w:pStyle w:val="BookText"/>
        <w:rPr/>
      </w:pPr>
      <w:r>
        <w:rPr>
          <w:rFonts w:ascii="IRNazanin" w:hAnsi="IRNazanin" w:eastAsia="IRNazanin"/>
          <w:color w:val="111111"/>
          <w:sz w:val="28"/>
          <w:sz w:val="28"/>
          <w:szCs w:val="28"/>
          <w:rtl w:val="true"/>
          <w:lang w:bidi="fa-IR"/>
        </w:rPr>
        <w:t xml:space="preserve">وهو أکبر أولاد أبی طالب رضی الله عنه وبه کان یکنّی، وأمّه فاطمة بنت أسد بن هاشم بن عبد مناف </w:t>
      </w:r>
      <w:r>
        <w:rPr>
          <w:rStyle w:val="FootnoteAnchor"/>
          <w:rtl w:val="true"/>
        </w:rPr>
        <w:footnoteReference w:id="7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المحبّر ابن حبیب، ص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المعارف ابن قتیبة، ص </w:t>
      </w:r>
      <w:r>
        <w:rPr>
          <w:rFonts w:eastAsia="IRNazanin" w:cs="IRNazanin"/>
          <w:color w:val="111111"/>
          <w:sz w:val="28"/>
          <w:szCs w:val="28"/>
          <w:lang w:bidi="fa-IR"/>
        </w:rPr>
        <w:t>120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شاعراً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ولم یعقّب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وکان طالب ربیباً لعمّه العباس بن عبدالمطّلب رضی الله عنه، فقد روی البلاذری وعلی ابن الحسین الأصفهانی أنّ قریشاً أصابتها أزمة وقحط، فقال رسول اللّه صلی الله علیه و آله لعمّیه حمزة والعباس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نحمل ثقل أبی طالب فی هذا المحل؟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وا إلیه وسألوه أن یدفع إلیهم ولده لیکفوا أمرهم،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لی عقیلاً وخذوا من شئتم، فأخذ العباس طالباً، وأخذ حمزة جعفراً، وأخذ محمّد صلی الله علیه و آله علیاً علیه السلام</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وکان طالب مع بقیة إخوته وأهله فی شِعب أبی طالب أیّام حصار قریش لنبی هاشم</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وتظاهرت الأخبار أنّ قریشاً قد ألزمت طالباً النهضة معها فی بدر الکبری، فخرج مکرهاً، ثمّ فُقِد فلم یُعلَم له خبر، ومن ذلک ما رواه الطبری عن ابن الکلبی،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طالب بن أبی‌طالب إلی بدر مع المشرکین، وأُخرج کرهاً، فلم یوجد فی الأسری، ولا فی القتلی، ولم یرجع إلی أهله</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ویستفاد من بعض المؤّرخین أنّه قد أغرق نفسه، أو أنّه عاد إلی مکّة، فقد قال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وألزمته قریش النهضة معها فی بدر، فحمل نفسه علی الغرق، وله شعر معروف فی کراهیة لقاء النبی صلی الله علیه و آله وغاب خبر طالب</w:t>
      </w:r>
      <w:r>
        <w:rPr>
          <w:rFonts w:eastAsia="IRNazanin" w:cs="IRNazanin"/>
          <w:color w:val="111111"/>
          <w:sz w:val="28"/>
          <w:szCs w:val="28"/>
          <w:rtl w:val="true"/>
          <w:lang w:bidi="fa-IR"/>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وقال السید علی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أقحم فرسه فی البحر حتی غرق</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وقال الشیخ عباس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ویظهر من رؤیا أُمّه فاطمة بنت أسد وتعبیرها أنّ طالباً غرق</w:t>
      </w:r>
      <w:r>
        <w:rPr>
          <w:rFonts w:eastAsia="IRNazanin" w:cs="IRNazanin"/>
          <w:color w:val="111111"/>
          <w:sz w:val="28"/>
          <w:szCs w:val="28"/>
          <w:rtl w:val="true"/>
          <w:lang w:bidi="fa-IR"/>
        </w:rPr>
        <w:t xml:space="preserve">. </w:t>
      </w:r>
      <w:r>
        <w:rPr>
          <w:rStyle w:val="FootnoteAnchor"/>
          <w:rtl w:val="true"/>
        </w:rPr>
        <w:footnoteReference w:id="761"/>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سبب عودته من الحرب، فیبدو من روایة الشیخ الکلینی أنّ قریشاً هم الذین </w:t>
      </w:r>
    </w:p>
    <w:p>
      <w:pPr>
        <w:pStyle w:val="BookText"/>
        <w:rPr/>
      </w:pPr>
      <w:r>
        <w:rPr>
          <w:rFonts w:ascii="IRNazanin" w:hAnsi="IRNazanin" w:eastAsia="IRNazanin"/>
          <w:color w:val="111111"/>
          <w:sz w:val="28"/>
          <w:sz w:val="28"/>
          <w:szCs w:val="28"/>
          <w:rtl w:val="true"/>
          <w:lang w:bidi="fa-IR"/>
        </w:rPr>
        <w:t>ردّوه لمخالفته إیّاهم ستأتی الروایة فی بیان مناسبة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سبب رجوعه من الحرب هو محاورة جرت بینه وبین بعض قریش، فقد ذکر ابن إسحاق وابن هشام والطبری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بین طالب بن أبی طالب وبین بعض قریش محاورة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عرفناکم یا بنی هاشم وإن خرجتم معنا أنّ هواکم لمع محمّد، فرجع طالب إلی مکّة مع من رجع</w:t>
      </w:r>
      <w:r>
        <w:rPr>
          <w:rFonts w:eastAsia="IRNazanin" w:cs="IRNazanin"/>
          <w:color w:val="111111"/>
          <w:sz w:val="28"/>
          <w:szCs w:val="28"/>
          <w:rtl w:val="true"/>
          <w:lang w:bidi="fa-IR"/>
        </w:rPr>
        <w:t xml:space="preserve">. </w:t>
      </w:r>
      <w:r>
        <w:rPr>
          <w:rStyle w:val="FootnoteAnchor"/>
          <w:rtl w:val="true"/>
        </w:rPr>
        <w:footnoteReference w:id="76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ابن هشام،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و النهایة ابن کثیر،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إسلامه فقد روی جابر بن عبداللّه الأنصاری رضی الله عنه عن رسول اللّه صلی الله علیه و آله فی حدیث طویل مفاده أنّ طالباً کان یکتم إیمانه ویظهر الکفر، مثله فی ذلک مثل أبیه رضی الله عنه</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وروی الکلینی مرسلاً عن أبی عبداللّه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أسلم</w:t>
      </w:r>
      <w:r>
        <w:rPr>
          <w:rFonts w:eastAsia="IRNazanin" w:cs="IRNazanin"/>
          <w:color w:val="111111"/>
          <w:sz w:val="28"/>
          <w:szCs w:val="28"/>
          <w:rtl w:val="true"/>
          <w:lang w:bidi="fa-IR"/>
        </w:rPr>
        <w:t xml:space="preserve">» .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 xml:space="preserve">وصرّح ابن شهر آشوب بإسلامه کما جاء فی ترجمة أخیه أمیر المؤمنین علیه السلام من أنّ إخوته طالب وعقیل 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وعلی علیه السلام أصغرهم، وکلّ واحدٍ منهم أکبر من أخیه بعشر سنین بهذا الترتیب، وأسلموا کلّهم وأعقبوا إلا طالباً، فإنّه أسلم ولم یعقب</w:t>
      </w:r>
      <w:r>
        <w:rPr>
          <w:rFonts w:eastAsia="IRNazanin" w:cs="IRNazanin"/>
          <w:color w:val="111111"/>
          <w:sz w:val="28"/>
          <w:szCs w:val="28"/>
          <w:rtl w:val="true"/>
          <w:lang w:bidi="fa-IR"/>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ولا یخفی أنّ رجزه الذی قدّمناه یدلّ علی کراهته لقاء النبی صلی الله علیه و آله والمسلمین فی حرب بدر، فقد دعا فیه علی نفسه بأن یکون المغلوب غیر الغالب والمسلوب غیر السالب، وذلک یستبطن إرادته النصرة والظفر للمسلمین، ولا یکون ذلک إلا بدافع إقراره بالنبوّة وإیمانه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هذا الرجز بألفاظ أوضح دلالة وأکثر صراحة فی الدعاء علی نفسه بالغلبة، فقد روی العلامة المجلسی الشطرین الأخیرین منه عن نسخة قدیمة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فاجعله المسلوب غیر السالب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واجعله المغلوب غیر الغالب</w:t>
      </w:r>
      <w:r>
        <w:rPr>
          <w:rFonts w:eastAsia="IRNazanin" w:cs="IRNazanin"/>
          <w:color w:val="111111"/>
          <w:sz w:val="28"/>
          <w:szCs w:val="28"/>
          <w:rtl w:val="true"/>
          <w:lang w:bidi="fa-IR"/>
        </w:rPr>
        <w:t xml:space="preserve">. </w:t>
      </w:r>
      <w:r>
        <w:rPr>
          <w:rStyle w:val="FootnoteAnchor"/>
          <w:rtl w:val="true"/>
        </w:rPr>
        <w:footnoteReference w:id="766"/>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رواهما ابن قدامة الحنبلی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التبیین</w:t>
      </w:r>
      <w:r>
        <w:rPr>
          <w:rFonts w:eastAsia="IRNazanin" w:cs="IRNazanin"/>
          <w:color w:val="111111"/>
          <w:sz w:val="28"/>
          <w:szCs w:val="28"/>
          <w:rtl w:val="true"/>
          <w:lang w:bidi="fa-IR"/>
        </w:rPr>
        <w:t xml:space="preserve">) </w:t>
      </w:r>
      <w:r>
        <w:rPr>
          <w:rStyle w:val="FootnoteAnchor"/>
          <w:rtl w:val="true"/>
        </w:rPr>
        <w:footnoteReference w:id="767"/>
      </w:r>
      <w:r>
        <w:rPr>
          <w:rFonts w:ascii="Amiri" w:hAnsi="Amiri" w:eastAsia="Amiri" w:cs="Amiri"/>
          <w:color w:val="111111"/>
          <w:sz w:val="28"/>
          <w:sz w:val="28"/>
          <w:szCs w:val="28"/>
          <w:rtl w:val="true"/>
          <w:lang w:bidi="ar-SA"/>
        </w:rPr>
        <w:t>سوی أنّه قدّم وأخّر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ورویا فی کتب التاریخ والسیرة بصورةٍ تدلّ علی ما ذکرنا، ففی روایة الطبری وابن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فلیکن المسلوب غیر السالب ولیکن المغلوب غیر الغالب </w:t>
      </w:r>
      <w:r>
        <w:rPr>
          <w:rStyle w:val="FootnoteAnchor"/>
          <w:rtl w:val="true"/>
        </w:rPr>
        <w:footnoteReference w:id="7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وراجع السیرة النبویّة ابن هشام،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له شعر آخر یدلّ علی إسلامه وإقراره بالنبوّة، 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حلّ مجد بنی هاشم</w:t>
      </w:r>
    </w:p>
    <w:p>
      <w:pPr>
        <w:pStyle w:val="BookText"/>
        <w:rPr/>
      </w:pPr>
      <w:r>
        <w:rPr>
          <w:rFonts w:ascii="IRNazanin" w:hAnsi="IRNazanin" w:eastAsia="IRNazanin"/>
          <w:color w:val="111111"/>
          <w:sz w:val="28"/>
          <w:sz w:val="28"/>
          <w:szCs w:val="28"/>
          <w:rtl w:val="true"/>
          <w:lang w:bidi="fa-IR"/>
        </w:rPr>
        <w:t xml:space="preserve">وممّا تقدّم یعلم بأنّ ما قاله ابن قدامة الحنبلی من أنّه لم یسلم </w:t>
      </w:r>
      <w:r>
        <w:rPr>
          <w:rStyle w:val="FootnoteAnchor"/>
          <w:rtl w:val="true"/>
        </w:rPr>
        <w:footnoteReference w:id="769"/>
      </w:r>
      <w:r>
        <w:rPr>
          <w:rFonts w:ascii="IRNazanin" w:hAnsi="IRNazanin" w:eastAsia="IRNazanin"/>
          <w:color w:val="111111"/>
          <w:sz w:val="28"/>
          <w:sz w:val="28"/>
          <w:szCs w:val="28"/>
          <w:rtl w:val="true"/>
          <w:lang w:bidi="fa-IR"/>
        </w:rPr>
        <w:t>هو مجرّد ادّعاء لا دلیل علیه فی خبرٍ ولا أثر، بل قام الدلیل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الشعر الذی نسبه ابن هشام فی السیرة إلی طالب بن أبی طالب </w:t>
      </w:r>
      <w:r>
        <w:rPr>
          <w:rStyle w:val="FootnoteAnchor"/>
          <w:rtl w:val="true"/>
        </w:rPr>
        <w:footnoteReference w:id="770"/>
      </w:r>
      <w:r>
        <w:rPr>
          <w:rFonts w:ascii="IRNazanin" w:hAnsi="IRNazanin" w:eastAsia="IRNazanin"/>
          <w:color w:val="111111"/>
          <w:sz w:val="28"/>
          <w:sz w:val="28"/>
          <w:szCs w:val="28"/>
          <w:rtl w:val="true"/>
          <w:lang w:bidi="fa-IR"/>
        </w:rPr>
        <w:t>فی رثاء أصحاب القلیب من قریش بعد أحداث معرکة بدر، فالمعروف أنّ طالباً کان مفقوداً فی بدر ولم یعرف له أیّ خبر بعدها فکیف روی عنه هذا الشعر؟ فهو إمّا منحول علیه، أو أنّه غیر صحیح النسبة، وإذا سلّمنا بصحّة النسبة فإنّه یُستفاد من الشعر مدحه للرسول صلی الله علیه و آله وإقراره بکونه خیر البشر، وتذکیر قریش بآلاء اللّه سبحانه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تعلموا ما کان فی حرب داحسٍ</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آخر القصیدة، فلعلّه خلط بین قصیدتین، ونسبهما إلی طالب، أحدهما لطالب وهی‌تجری علی هذا النَفَس، والأخری علی نَفْس الوزن والقافیة فی رثاء قتلی قریش، </w:t>
      </w:r>
      <w:bookmarkStart w:id="752" w:name="pg14553_192033"/>
    </w:p>
    <w:p>
      <w:pPr>
        <w:pStyle w:val="BookText"/>
        <w:rPr/>
      </w:pPr>
      <w:bookmarkEnd w:id="752"/>
      <w:r>
        <w:rPr>
          <w:rFonts w:ascii="IRNazanin" w:hAnsi="IRNazanin" w:eastAsia="IRNazanin"/>
          <w:color w:val="111111"/>
          <w:sz w:val="28"/>
          <w:sz w:val="28"/>
          <w:szCs w:val="28"/>
          <w:rtl w:val="true"/>
          <w:lang w:bidi="fa-IR"/>
        </w:rPr>
        <w:t>وإلا فکیف یمکن التوفیق بین مضامینها المتعارضة؟</w:t>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ورواه کثیر من المؤرّخین وکتّاب السیرة، منهم ابن هشام، والطبری، وابن الأثیر، وابن قدّامة، وابن کثیر، والمسعودی </w:t>
      </w:r>
      <w:r>
        <w:rPr>
          <w:rStyle w:val="FootnoteAnchor"/>
          <w:rtl w:val="true"/>
        </w:rPr>
        <w:footnoteReference w:id="7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ابن هشام،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تاریخ الطبری،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التبیین فی أنساب القرشیین ابن قدامة، ص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البدایة والنهایة، ابن کثیر،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مروج الذهب المسعودی،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الخیل والفرسان تجتمع للغارة، وجمعها مقانِب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ثقة الإسلام الکلینی بالإسناد عن ذریح المحاربی، عن أبی عبداللّه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خرجت قریش إلی بدر، وأخرجوا بنی عبدالمطّلب معهم، خرج طالب بن أبی‌طالب، فنزل رُجّازهم </w:t>
      </w:r>
      <w:r>
        <w:rPr>
          <w:rStyle w:val="FootnoteAnchor"/>
          <w:rtl w:val="true"/>
        </w:rPr>
        <w:footnoteReference w:id="772"/>
      </w:r>
      <w:r>
        <w:rPr>
          <w:rFonts w:ascii="IRNazanin" w:hAnsi="IRNazanin" w:eastAsia="IRNazanin"/>
          <w:color w:val="111111"/>
          <w:sz w:val="28"/>
          <w:sz w:val="28"/>
          <w:szCs w:val="28"/>
          <w:rtl w:val="true"/>
          <w:lang w:bidi="fa-IR"/>
        </w:rPr>
        <w:t xml:space="preserve">وهم یرتجزون، ونزل طالب بن أبی طالب یرتجز 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الرجز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لیغلبنا </w:t>
      </w:r>
      <w:r>
        <w:rPr>
          <w:rStyle w:val="FootnoteAnchor"/>
          <w:rtl w:val="true"/>
        </w:rPr>
        <w:footnoteReference w:id="773"/>
      </w:r>
      <w:r>
        <w:rPr>
          <w:rFonts w:ascii="Amiri" w:hAnsi="Amiri" w:eastAsia="Amiri" w:cs="Amiri"/>
          <w:color w:val="111111"/>
          <w:sz w:val="28"/>
          <w:sz w:val="28"/>
          <w:szCs w:val="28"/>
          <w:rtl w:val="true"/>
          <w:lang w:bidi="ar-SA"/>
        </w:rPr>
        <w:t>فردّوه</w:t>
      </w:r>
      <w:r>
        <w:rPr>
          <w:rFonts w:eastAsia="Amiri" w:cs="Amiri" w:ascii="Amiri" w:hAnsi="Amiri"/>
          <w:color w:val="111111"/>
          <w:sz w:val="28"/>
          <w:szCs w:val="28"/>
          <w:rtl w:val="true"/>
          <w:lang w:bidi="ar-SA"/>
        </w:rPr>
        <w:t>» .</w:t>
      </w:r>
    </w:p>
    <w:p>
      <w:pPr>
        <w:pStyle w:val="Heading5"/>
        <w:numPr>
          <w:ilvl w:val="4"/>
          <w:numId w:val="1"/>
        </w:numPr>
        <w:rPr/>
      </w:pPr>
      <w:bookmarkStart w:id="753" w:name="__RefHeading___Toc652225_1878427129"/>
      <w:bookmarkStart w:id="754" w:name="_Toc287"/>
      <w:bookmarkEnd w:id="753"/>
      <w:r>
        <w:rPr/>
        <w:t>11</w:t>
      </w:r>
      <w:r>
        <w:rPr>
          <w:rtl w:val="true"/>
        </w:rPr>
        <w:t>الرجز</w:t>
      </w:r>
      <w:bookmarkEnd w:id="754"/>
    </w:p>
    <w:p>
      <w:pPr>
        <w:pStyle w:val="BookText"/>
        <w:rPr/>
      </w:pPr>
      <w:r>
        <w:rPr>
          <w:rFonts w:ascii="Amiri" w:hAnsi="Amiri" w:eastAsia="Amiri" w:cs="Amiri"/>
          <w:color w:val="111111"/>
          <w:sz w:val="28"/>
          <w:sz w:val="28"/>
          <w:szCs w:val="28"/>
          <w:rtl w:val="true"/>
          <w:lang w:bidi="ar-SA"/>
        </w:rPr>
        <w:t>أنا ابنُ ذِی الحَوْضَینِ عَبدِ المُطّلبْ وهَاشِمِ المُطْعِم فی العامِ السَّغِبْ</w:t>
      </w:r>
    </w:p>
    <w:p>
      <w:pPr>
        <w:pStyle w:val="BookText"/>
        <w:rPr/>
      </w:pPr>
      <w:r>
        <w:rPr>
          <w:rFonts w:ascii="Amiri" w:hAnsi="Amiri" w:eastAsia="Amiri" w:cs="Amiri"/>
          <w:color w:val="111111"/>
          <w:sz w:val="28"/>
          <w:sz w:val="28"/>
          <w:szCs w:val="28"/>
          <w:rtl w:val="true"/>
          <w:lang w:bidi="ar-SA"/>
        </w:rPr>
        <w:t>أُوْفی بمیعادی وأحْمِی عَن حَسَبْ</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 بن أبی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الروضة، وأورده ابن شهر آشوب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والعلامة المجلسی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المرآة </w:t>
      </w:r>
      <w:r>
        <w:rPr>
          <w:rFonts w:eastAsia="IRNazanin" w:cs="IRNazanin"/>
          <w:color w:val="111111"/>
          <w:sz w:val="28"/>
          <w:szCs w:val="28"/>
          <w:rtl w:val="true"/>
          <w:lang w:bidi="fa-IR"/>
        </w:rPr>
        <w:t xml:space="preserve">) .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ابن ذی الحوضین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اللذین جعلهما عبدالمطّلب عند زمزم لسقایة الحاجّ،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العامل السَّغِب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عام القحط والمجاعة،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اُوفی بمیعادی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 الرسول صلی الله علیه و آله فی نصره والدفاع عنه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علیه السلام حینما خرج لقتال طلحة بن أبی طلحة یوم أُحد، فقد روی الشیخ الکلینی بالإسناد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طلحة بن أبی طلحة وهو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یبارز؟ فلم یخرج إلیه أحد،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تزعمون أنّکم تُجهِّزونا بأسیافکم إلی النار، ونحن نجهّزکم </w:t>
      </w:r>
      <w:bookmarkStart w:id="755" w:name="pg14553_192034"/>
    </w:p>
    <w:p>
      <w:pPr>
        <w:pStyle w:val="BookText"/>
        <w:rPr/>
      </w:pPr>
      <w:bookmarkEnd w:id="755"/>
      <w:r>
        <w:rPr>
          <w:rFonts w:ascii="IRNazanin" w:hAnsi="IRNazanin" w:eastAsia="IRNazanin"/>
          <w:color w:val="111111"/>
          <w:sz w:val="28"/>
          <w:sz w:val="28"/>
          <w:szCs w:val="28"/>
          <w:rtl w:val="true"/>
          <w:lang w:bidi="fa-IR"/>
        </w:rPr>
        <w:t>بأسیافنا إلی الجنّة، فلیبرزنّ إلیّ رجل یجهّزنی بسیفه إلی النار، أو أجهّزه بسیفی إلی الجنّة، فخرج إلیه علی بن أبی طالب علیه السلام وهو یقول هذا الرجز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السید ابن طاوس أنّ أمیر المؤمنین علیه السلام ارتجز بهذه الأبیات فی بدر حینما قَتَل الولید بن عُتبة مبارزةً فی أوّل الحرب</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السعود ابن طاوس،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5"/>
        <w:numPr>
          <w:ilvl w:val="4"/>
          <w:numId w:val="1"/>
        </w:numPr>
        <w:rPr/>
      </w:pPr>
      <w:bookmarkStart w:id="756" w:name="__RefHeading___Toc652227_1878427129"/>
      <w:bookmarkStart w:id="757" w:name="_Toc288"/>
      <w:bookmarkEnd w:id="756"/>
      <w:r>
        <w:rPr/>
        <w:t>12</w:t>
      </w:r>
      <w:r>
        <w:rPr>
          <w:rtl w:val="true"/>
        </w:rPr>
        <w:t>البسیط</w:t>
      </w:r>
      <w:bookmarkEnd w:id="757"/>
    </w:p>
    <w:p>
      <w:pPr>
        <w:pStyle w:val="BookText"/>
        <w:rPr/>
      </w:pPr>
      <w:r>
        <w:rPr>
          <w:rFonts w:ascii="Amiri" w:hAnsi="Amiri" w:eastAsia="Amiri" w:cs="Amiri"/>
          <w:color w:val="111111"/>
          <w:sz w:val="28"/>
          <w:sz w:val="28"/>
          <w:szCs w:val="28"/>
          <w:rtl w:val="true"/>
          <w:lang w:bidi="ar-SA"/>
        </w:rPr>
        <w:t>تَنَصّبتْ حَولَه یوماً تُراقِبُهُ صُحْرٌ سَماحیِجٌ فی أحشائها قَبَبُ</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الرُّمّة، وهو غیلان بن عُقبة العدوی، من مضر، أبو الحارث، المعروف بذی الرُّمّة، عدّه الجمحی من فحول الطبقة الثانیة من شعراء الإسلام فی عصره، وقال أبو عمرو بن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الشعر بامرئ القیس، وخُتِم بذی الرُّمّة، وکان مقیماً فی البادیة، ویحضر إلی الیمامة والبصرة کثیراً، وله دیوان شعر مطبوع فی مجلّد ضخم وتوفّی سنة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ق،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ق فی أصفهان،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البادیة</w:t>
      </w:r>
      <w:r>
        <w:rPr>
          <w:rFonts w:eastAsia="IRNazanin" w:cs="IRNazanin"/>
          <w:color w:val="111111"/>
          <w:sz w:val="28"/>
          <w:szCs w:val="28"/>
          <w:rtl w:val="true"/>
          <w:lang w:bidi="fa-IR"/>
        </w:rPr>
        <w:t xml:space="preserve">. </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النوادر، والبیت هو السادس والأربعون من أوّل قصیدة فی الدیوان وهی تقع فی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ومطلعها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عینک منها الماء ینسکبُ کأنّه من کُلی مفریّة سَرِبُ </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یصف فی هذا البیت الحمر الوحشیة،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صارت قیاماً حول الفحل، تراقبه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تنتظر إیراده إیّاهنّ الماء، وصحرٌ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أصحر، وهو الذی یضرب لونه إلی الحمرة، وهذا اللون یکون فی الحمار الوحشی،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بیاض فی صفرة، وسماحیج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سَمْحَج، وهو الطویل الظهر، والقَبَبُ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دقّة الخصر وضمور البطن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الشاهد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أورده الشیخ الصدوق فی بیانه لإحدی وصایا الرسول الأعظم صلی الله علیه و آله لأمیر المؤمنین علی بن أبی طالب علیه السلام والتی یقول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العیش فی </w:t>
      </w:r>
      <w:bookmarkStart w:id="758" w:name="pg14553_192035"/>
    </w:p>
    <w:p>
      <w:pPr>
        <w:pStyle w:val="BookText"/>
        <w:rPr/>
      </w:pPr>
      <w:bookmarkEnd w:id="758"/>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قوراء، </w:t>
      </w:r>
      <w:r>
        <w:rPr>
          <w:rStyle w:val="FootnoteAnchor"/>
          <w:rtl w:val="true"/>
        </w:rPr>
        <w:footnoteReference w:id="7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وجاریة حسناء، وفرس قبّاء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رجلاً من أهل المعرفة باللغة بالکوفة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 القبّاء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الضامرة البطن،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أقبّ وقبّاء، لأنّ الفرس یذکّر ویؤنّث، ویقال للأنثی قباء لا غیر، ثمّ أورد الشاهد</w:t>
      </w:r>
      <w:r>
        <w:rPr>
          <w:rFonts w:eastAsia="IRNazanin" w:cs="IRNazanin"/>
          <w:color w:val="111111"/>
          <w:sz w:val="28"/>
          <w:szCs w:val="28"/>
          <w:rtl w:val="true"/>
          <w:lang w:bidi="fa-IR"/>
        </w:rPr>
        <w:t>.</w:t>
      </w:r>
    </w:p>
    <w:p>
      <w:pPr>
        <w:pStyle w:val="Heading5"/>
        <w:numPr>
          <w:ilvl w:val="4"/>
          <w:numId w:val="1"/>
        </w:numPr>
        <w:rPr/>
      </w:pPr>
      <w:bookmarkStart w:id="759" w:name="__RefHeading___Toc652229_1878427129"/>
      <w:bookmarkStart w:id="760" w:name="_Toc289"/>
      <w:bookmarkEnd w:id="759"/>
      <w:r>
        <w:rPr/>
        <w:t>13</w:t>
      </w:r>
      <w:r>
        <w:rPr>
          <w:rtl w:val="true"/>
        </w:rPr>
        <w:t>البسیط</w:t>
      </w:r>
      <w:bookmarkEnd w:id="760"/>
    </w:p>
    <w:p>
      <w:pPr>
        <w:pStyle w:val="BookText"/>
        <w:rPr/>
      </w:pPr>
      <w:r>
        <w:rPr>
          <w:rFonts w:ascii="Amiri" w:hAnsi="Amiri" w:eastAsia="Amiri" w:cs="Amiri"/>
          <w:color w:val="111111"/>
          <w:sz w:val="28"/>
          <w:sz w:val="28"/>
          <w:szCs w:val="28"/>
          <w:rtl w:val="true"/>
          <w:lang w:bidi="ar-SA"/>
        </w:rPr>
        <w:t>قَدْ کَانَ بَعْدَکَ أنْبَاءٌ وهَنْبَثَةٌ</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 علیها السلام بضعة الرسول الأمین صلی الله علیه و آله وسیّدة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والبیتان من قصیدةٍ فی رثاء النبی الأکرم صلی الله علیه و آله نُسبت فی 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و شرح ابن أبی الحدید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و السقیفة وفدک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و کشف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الأربلی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ascii="IRNazanin" w:hAnsi="IRNazanin" w:eastAsia="IRNazanin"/>
          <w:color w:val="111111"/>
          <w:sz w:val="28"/>
          <w:sz w:val="28"/>
          <w:szCs w:val="28"/>
          <w:rtl w:val="true"/>
          <w:lang w:bidi="fa-IR"/>
        </w:rPr>
        <w:t xml:space="preserve">، إلی هند بنت أُثاثة بن عباد بن المطّلب، وفی دلائل الإمامه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إلی صفیة بنت عبدالمطّلب، وعلی کلا القولین أنّ الزهراء علیها السلام قد تمثّلت بها، أمّا سائر المصادر التی سنذکرها فی التخریج فقد نسبت القصیدة إلی الزهراء علیها السلام دون الإشارة إلی أنّها تمثّلت بها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ورواها کثیر من المحدّثین والمؤرّخین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طیفور، وابن قتیبة، والشیخ المفید، والطبرسی، وابن شهر آشوب، والمقدسی، و الجزری، وابن طاوس، وسبط ابن الجوزی وغیرهم</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الهنبثة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الداهیة والأمر الشدید، والاختلاف فی القول، والخَطْب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الشدید یکثر فیه التخاطب، والخُطَب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خُطبة، والوابل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 الشدید الضخم القطر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الکلینی بالإسناد عن محمد بن المفضّل، عن الإمام أبی عبداللّه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ت فاطمة علیها السلام إلی ساریةٍ فی المسجد، وهی تقول وتخاطب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أنشد البیتین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کانت ندبتها لأبیها صلی الله علیه و آله حینما تظاهر القوم علی منعها حقّها فی إرث أبیها المصطفی، وإجماعهم علی غصب الخلافة والوصایة الإلهیة من عترة النبی الأکرم صلی الله علیه و آله، فقد روی الشیخ المفید بالإسناد عن زینب بنت علی بن أبی طالب علیه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اجتمع رأی أبی بکر علی منع فاطمة علیها السلام فدکاً والعوالی، وآیست من إجابته لها، عدلت إلی قبر أبیها رسول اللّه صلی الله علیه و آله فألقت نفسها علیه، وشکت إلیه ما فعله القوم بها، وبکت حتی بلّت تربته بدموعها وندبته، ثمّ قالت فی آخر ندبتها، وانشدت ثمانیة أبیات من القصیدة منها البیتان المتقدّمان</w:t>
      </w:r>
      <w:r>
        <w:rPr>
          <w:rFonts w:eastAsia="IRNazanin" w:cs="IRNazanin"/>
          <w:color w:val="111111"/>
          <w:sz w:val="28"/>
          <w:szCs w:val="28"/>
          <w:rtl w:val="true"/>
          <w:lang w:bidi="fa-IR"/>
        </w:rPr>
        <w:t xml:space="preserve">. </w:t>
      </w:r>
      <w:r>
        <w:rPr>
          <w:rStyle w:val="FootnoteAnchor"/>
          <w:rtl w:val="true"/>
        </w:rPr>
        <w:footnoteReference w:id="7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المفید،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القصیدة جاء ت فی أغلب المصادر التی ذکرناها بعد خطبة الزهراء علیها السلام التی بیّنت فیها فضل أهل البیت علیهم السلام وحقّهم، ونازعت فیها القوم وناظرتهم وأقامت الدلیل القاطع والحجّة الظاهرة علی حقّها فی إرث أبیها صلی الله علیه و آله، ولکنّهم أبوا سماع نداء الحقّ، وأصرّوا علی اغتصاب حقّها، وکأنّهم لم یسمعوا وصیّة المصطفی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یؤذینی ما یؤذیها</w:t>
      </w:r>
      <w:r>
        <w:rPr>
          <w:rFonts w:eastAsia="IRNazanin" w:cs="IRNazanin"/>
          <w:color w:val="111111"/>
          <w:sz w:val="28"/>
          <w:szCs w:val="28"/>
          <w:rtl w:val="true"/>
          <w:lang w:bidi="fa-IR"/>
        </w:rPr>
        <w:t xml:space="preserve">» . </w:t>
      </w:r>
      <w:r>
        <w:rPr>
          <w:rStyle w:val="FootnoteAnchor"/>
          <w:rtl w:val="true"/>
        </w:rPr>
        <w:footnoteReference w:id="781"/>
      </w:r>
      <w:r>
        <w:rPr>
          <w:rFonts w:ascii="IRNazanin" w:hAnsi="IRNazanin" w:eastAsia="IRNazanin"/>
          <w:color w:val="111111"/>
          <w:sz w:val="28"/>
          <w:sz w:val="28"/>
          <w:szCs w:val="28"/>
          <w:rtl w:val="true"/>
          <w:lang w:bidi="fa-IR"/>
        </w:rPr>
        <w:t xml:space="preserve">فودّعت الحیاة وهی غضبی علیهم، فأوصت أن لا یحضروا جنازتها ولا الصلاة علیها، وسیلاقون إثم ما قدّمت أیدیهم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یغضب لغضب فاطمة، ویرضی لرضاها</w:t>
      </w:r>
      <w:r>
        <w:rPr>
          <w:rFonts w:eastAsia="IRNazanin" w:cs="IRNazanin"/>
          <w:color w:val="111111"/>
          <w:sz w:val="28"/>
          <w:szCs w:val="28"/>
          <w:rtl w:val="true"/>
          <w:lang w:bidi="fa-IR"/>
        </w:rPr>
        <w:t xml:space="preserve">» . </w:t>
      </w:r>
      <w:r>
        <w:rPr>
          <w:rStyle w:val="FootnoteAnchor"/>
          <w:rtl w:val="true"/>
        </w:rPr>
        <w:footnoteReference w:id="782"/>
      </w:r>
      <w:bookmarkStart w:id="761" w:name="pg14553_192037"/>
    </w:p>
    <w:p>
      <w:pPr>
        <w:pStyle w:val="Heading5"/>
        <w:numPr>
          <w:ilvl w:val="4"/>
          <w:numId w:val="1"/>
        </w:numPr>
        <w:rPr/>
      </w:pPr>
      <w:bookmarkStart w:id="762" w:name="__RefHeading___Toc652231_1878427129"/>
      <w:bookmarkStart w:id="763" w:name="_Toc290"/>
      <w:bookmarkEnd w:id="761"/>
      <w:bookmarkEnd w:id="762"/>
      <w:r>
        <w:rPr/>
        <w:t>14</w:t>
      </w:r>
      <w:r>
        <w:rPr>
          <w:rtl w:val="true"/>
        </w:rPr>
        <w:t>الطویل</w:t>
      </w:r>
      <w:bookmarkEnd w:id="763"/>
    </w:p>
    <w:p>
      <w:pPr>
        <w:pStyle w:val="BookText"/>
        <w:rPr/>
      </w:pPr>
      <w:r>
        <w:rPr>
          <w:rFonts w:ascii="Amiri" w:hAnsi="Amiri" w:eastAsia="Amiri" w:cs="Amiri"/>
          <w:color w:val="111111"/>
          <w:sz w:val="28"/>
          <w:sz w:val="28"/>
          <w:szCs w:val="28"/>
          <w:rtl w:val="true"/>
          <w:lang w:bidi="ar-SA"/>
        </w:rPr>
        <w:t>لهُ کَفَلٌ کالدَّعْصِ لَبّدَهُ النَّدی إلی حارکٍ مثلِ الرتّاج المضَبّب</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امرؤ القیس بن حُجر بن الحارث الکندی، أشهر شعراء العرب علی الإطلاق، أصله من الیمن، ومولده بنجد،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بالیمن، ویعدّ من الطبقة الأولی، ومن أوّل أصحاب المعلّقات السبع، واختلف المؤرّخون فی اسمه،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حُندج،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ملیکة،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عَدیّ، وکان أبوه ملک أسد وغطفان، وأمّه أخت المهلهل الشاعر، وهو الذی لقّنه مبادئ الشعر منذ أن کان غلاماً، وتوفی امرؤ القیس قبل الهجرة بنحو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أبو الفرج،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تهذیب تاریخ دمشق،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شرح شواهد المغنی السیوطی،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الشعر والشعراء ابن قتیبة،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دائرة المعارف الإسلامیة،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الأعلام الزرکلی،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صفة الوضوء، ورواه الشیخ فی تفسیره أیضاً، والبیت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امرئ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الغَبیط المُدأّب</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فی وصف الفرس، والکَفَل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العجز للإنسان والدابّة، والدَّعص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الکثیب الصغیر من الرمل، ولبّده الندی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لصق بعض ترابه ببعض حتی صار کاللّبد، والحارک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الکاهل، والمراد هنا الصدر، والرِّتاج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والمضبّب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 السدّ،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ضبّب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فیه الضبّة، وهی حدیدة عریضة یُضبّب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الشاهد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حارک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أراد الشاعر مع حارک، فأجری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به الشیخ الطوسی علی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 أَیْدِیَکُمْ إِلَی اَلْمَرافِقِ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المراد بها انتهاء الغایة بل یُراد بها المعیّة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تکون بمعنی الغایة، وقد تکون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 تصرّف کثیر، واستعمالها ذلک ظاهر عند أهل اللغة قال به سیبویه وغیره، </w:t>
      </w:r>
      <w:r>
        <w:rPr>
          <w:rStyle w:val="FootnoteAnchor"/>
          <w:rtl w:val="true"/>
        </w:rPr>
        <w:footnoteReference w:id="785"/>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تَأْکُلُوا أَمْوالَهُمْ إِلی أَمْوالِکُمْ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مع أموالکم وقال تعالی حاکیاً عن عیسی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bookmarkStart w:id="764" w:name="pg14553_192038"/>
    </w:p>
    <w:p>
      <w:pPr>
        <w:pStyle w:val="BookText"/>
        <w:rPr/>
      </w:pPr>
      <w:bookmarkEnd w:id="764"/>
      <w:r>
        <w:rPr>
          <w:rFonts w:ascii="IRNazanin" w:hAnsi="IRNazanin" w:eastAsia="IRNazanin"/>
          <w:color w:val="111111"/>
          <w:sz w:val="28"/>
          <w:sz w:val="28"/>
          <w:szCs w:val="28"/>
          <w:rtl w:val="true"/>
          <w:lang w:bidi="fa-IR"/>
        </w:rPr>
        <w:t>أَنْصارِی إِلَی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مع اللّه،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ولی الکوفة إلی البصرة، ولا یراد الغایة، بل المعنی فیه مع البصرة،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فعل کذا، وأقدم علی کذا، هذا إلی ما فعله من کذا، أی مع ما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استشهد بالبیت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أکثر من أن یحتاج إلی الإطناب فیه، وإذا ثبت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علی وجوب غسل المرافق أیضاً</w:t>
      </w:r>
      <w:r>
        <w:rPr>
          <w:rFonts w:eastAsia="IRNazanin" w:cs="IRNazanin"/>
          <w:color w:val="111111"/>
          <w:sz w:val="28"/>
          <w:szCs w:val="28"/>
          <w:rtl w:val="true"/>
          <w:lang w:bidi="fa-IR"/>
        </w:rPr>
        <w:t>.</w:t>
      </w:r>
    </w:p>
    <w:p>
      <w:pPr>
        <w:pStyle w:val="Heading5"/>
        <w:numPr>
          <w:ilvl w:val="4"/>
          <w:numId w:val="1"/>
        </w:numPr>
        <w:rPr/>
      </w:pPr>
      <w:bookmarkStart w:id="765" w:name="__RefHeading___Toc652233_1878427129"/>
      <w:bookmarkStart w:id="766" w:name="_Toc291"/>
      <w:bookmarkEnd w:id="765"/>
      <w:r>
        <w:rPr/>
        <w:t>15</w:t>
      </w:r>
      <w:r>
        <w:rPr>
          <w:rtl w:val="true"/>
        </w:rPr>
        <w:t>الطویل</w:t>
      </w:r>
      <w:bookmarkEnd w:id="766"/>
    </w:p>
    <w:p>
      <w:pPr>
        <w:pStyle w:val="BookText"/>
        <w:rPr/>
      </w:pPr>
      <w:r>
        <w:rPr>
          <w:rFonts w:ascii="Amiri" w:hAnsi="Amiri" w:eastAsia="Amiri" w:cs="Amiri"/>
          <w:color w:val="111111"/>
          <w:sz w:val="28"/>
          <w:sz w:val="28"/>
          <w:szCs w:val="28"/>
          <w:rtl w:val="true"/>
          <w:lang w:bidi="ar-SA"/>
        </w:rPr>
        <w:t>ألم تعلموا أنا وجدنا محمداً نبیاً کموسی خُطَّ فی أوّل الکتب</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رضی الله عنه، وهو عبدمناف بن عبدالمطّلب بن هاشم، عمّ الرسول المصطفی صلی الله علیه و آله، وأبو أمیر المؤمنین علیه السلام، من سادات قریش ورؤسائها وأبطالها المعدودین، ومن أبرز خطبائها العقلاء، وحکمائها الأُباة، وشعرائها المبدعین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کفل رسول اللّه صلی الله علیه و آله بعد وفاة عبدالمطّلب، وأحبّه حبّاً شدیداً، وقدّمه علی ولده جمیعاً، فکان لا ینام إلا إلی جنبه، ویخرج فیخرج معه، ولمّا ابتدأت دعوة الإسلام کان أبو طالب هو الحامی‌للرسول صلی الله علیه و آله والمدافع عنه وعن أصحابه من المؤمنین، وکان یحرّض بنی هاشم جمیعاً وأحلافهم من بنی المطّلب علی نصرة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أبا طالب دعا بنی‌عبدالمطّلب،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تزالوا بخیرٍ ما سمعتم من محمّد وما اتّبعتم أمره، فاتّبعوه وأعینوه ترشدوا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وتحمّل مع النبی صلی الله علیه و آله ورهطه الهاشمیین الحصار العسیر فی شعب أبی طالب، وبعد ثلاث سنوات من الحصار لبّی أبوطالب نداء ربّه فی السنة العاشرة للبعثة النبویة المبارکة، وقال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مانالت قریش منّی شیئاً أکرهه حتی مات أبو طالب</w:t>
      </w:r>
      <w:r>
        <w:rPr>
          <w:rFonts w:eastAsia="IRNazanin" w:cs="IRNazanin"/>
          <w:color w:val="111111"/>
          <w:sz w:val="28"/>
          <w:szCs w:val="28"/>
          <w:rtl w:val="true"/>
          <w:lang w:bidi="fa-IR"/>
        </w:rPr>
        <w:t>»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وتولّی غسله وتکفینه وتحنیطه ابنه علی أمیر المؤمنین علیه السلام بأمر رسول اللّه صلی الله علیه و آله، وقال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لأشفعنّ لعمّی شفاعةً یعجب منها أهل الثقلین</w:t>
      </w:r>
      <w:r>
        <w:rPr>
          <w:rFonts w:eastAsia="IRNazanin" w:cs="IRNazanin"/>
          <w:color w:val="111111"/>
          <w:sz w:val="28"/>
          <w:szCs w:val="28"/>
          <w:rtl w:val="true"/>
          <w:lang w:bidi="fa-IR"/>
        </w:rPr>
        <w:t xml:space="preserve">» .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أمّا إیمان أبی طالب رضی الله عنه فهو أمر مفروغ منه، وغایة الأمر أنّه کان یکتم إیمانه لمصالح خاصّة تطلَّبتها الدعوة الإسلامیة فی مراحلها المبکّرة، یدلّ علی ذلک سیرته العملیة فی التعامل مع الرسول صلی الله علیه و آله ورسالته، ومن تصفّح دیوان شعره یجد صریح إقراره بالتوحید، واعترافه بالنبوّة، وتصدیقه بالرسول صلی الله علیه و آله، ولا یجحد ذلک إلا مکابر أو معاند للحقّ، وقد کتب جماعة من کبار علماء الإسلام فی سیرة أبی طالب رضی الله عنه وما یثبت إسلامه وحسن إیمانه</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فی مقدّمة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 أبی طالب للشیخ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وثلاثین کتاباً مصنّفاً فی إیمان أبی طالب رضی الله عنه، والرسالة من تحقیق قسم الدراسات الإسلامیّة مؤسسة البعثة، وراجع مجلّة تراثنا العددان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الصفحات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ما ألّف عن أبی طالب علیه السلام بقلم عبداللّه صالح المنتفکی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الحجّة أبواب التواریخ باب مولد النبی صلی الله علیه و آله ووفاته، وأورده أبوهفّان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هشام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إسحاق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والسهیلی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 الأُنف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أبی الحدید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النهج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کثیر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والبغدادی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والشیخ المفید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إیمان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المختارة </w:t>
      </w:r>
      <w:r>
        <w:rPr>
          <w:rFonts w:eastAsia="IRNazanin" w:cs="IRNazanin"/>
          <w:color w:val="111111"/>
          <w:sz w:val="28"/>
          <w:szCs w:val="28"/>
          <w:rtl w:val="true"/>
          <w:lang w:bidi="fa-IR"/>
        </w:rPr>
        <w:t xml:space="preserve">) .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البیت من قصیده قالها أبو طالب رضی الله عنه حین تظاهرت قریش علی رسول اللّه صلی الله علیه و آله، واستدلّ به الإمام الصادق علیه السلام علی إیمان أبی طالب رضی الله عنه، فقد قیل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یزعمون أنّ أبا طالب کان کافراً؟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 کیف یکون کافراً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وأنشد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به الشیخ المفید لنفس الغرض، فقد قال بعد إیراده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الشعر محض الإقرار برسول اللّه صلی الله علیه و آله وبالنبوّة وصریحه بلا ارتیاب</w:t>
      </w:r>
      <w:r>
        <w:rPr>
          <w:rFonts w:eastAsia="IRNazanin" w:cs="IRNazanin"/>
          <w:color w:val="111111"/>
          <w:sz w:val="28"/>
          <w:szCs w:val="28"/>
          <w:rtl w:val="true"/>
          <w:lang w:bidi="fa-IR"/>
        </w:rPr>
        <w:t xml:space="preserve">. </w:t>
      </w:r>
      <w:r>
        <w:rPr>
          <w:rStyle w:val="FootnoteAnchor"/>
          <w:rtl w:val="true"/>
        </w:rPr>
        <w:footnoteReference w:id="789"/>
      </w:r>
      <w:bookmarkStart w:id="767" w:name="pg14553_192040"/>
    </w:p>
    <w:p>
      <w:pPr>
        <w:pStyle w:val="Heading5"/>
        <w:numPr>
          <w:ilvl w:val="4"/>
          <w:numId w:val="1"/>
        </w:numPr>
        <w:rPr/>
      </w:pPr>
      <w:bookmarkStart w:id="768" w:name="__RefHeading___Toc652235_1878427129"/>
      <w:bookmarkStart w:id="769" w:name="_Toc292"/>
      <w:bookmarkEnd w:id="767"/>
      <w:bookmarkEnd w:id="768"/>
      <w:r>
        <w:rPr/>
        <w:t>16</w:t>
      </w:r>
      <w:r>
        <w:rPr>
          <w:rtl w:val="true"/>
        </w:rPr>
        <w:t>الطویل</w:t>
      </w:r>
      <w:bookmarkEnd w:id="769"/>
    </w:p>
    <w:p>
      <w:pPr>
        <w:pStyle w:val="BookText"/>
        <w:rPr/>
      </w:pPr>
      <w:r>
        <w:rPr>
          <w:rFonts w:ascii="Amiri" w:hAnsi="Amiri" w:eastAsia="Amiri" w:cs="Amiri"/>
          <w:color w:val="111111"/>
          <w:sz w:val="28"/>
          <w:sz w:val="28"/>
          <w:szCs w:val="28"/>
          <w:rtl w:val="true"/>
          <w:lang w:bidi="ar-SA"/>
        </w:rPr>
        <w:t>وکُمْتَاً مُدَمّاةً کأنّ مُتُونها جَری فَوقَها فاسْتَشْعَرَتْ لَونَ مُذْهَبِ</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طُفیل بن عَوف الغَنوی، من قیس عیلان، شاعر جاهلی فحل، من الشجعان، اشتهر بوصف الخیل، وربّما سمی طفیل الخیل لکثرة وصفه لها، ویسمّی أیضاً الُمحبّر لتحسینه شعره،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لحسن وصفه للخیل، وقد عاصر النابغة الجعدی وزهیر بن أبی سلمی، ومات بعد مقتل هرم بن سنان، وذلک فی نحو السنة الثالثة عشرة قبل الهجرة، وله دیوان مطبوع</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البغدادی،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والشعراء ابن قتیبة، ص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شرح شواهد المغنی السیوطی،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الأعلام الزرکلی،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صفة الوضوء، والبیت من قصیدة طویلة فی دیوان الشاعر یصف فیها الخیل والخباء، مطلعها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وبیت تهبّ الریح فی حجراته بأرض فضاءٍ بابه لم یحجبِ</w:t>
      </w:r>
    </w:p>
    <w:p>
      <w:pPr>
        <w:pStyle w:val="BookText"/>
        <w:rPr/>
      </w:pPr>
      <w:r>
        <w:rPr>
          <w:rFonts w:ascii="IRNazanin" w:hAnsi="IRNazanin" w:eastAsia="IRNazanin"/>
          <w:color w:val="111111"/>
          <w:sz w:val="28"/>
          <w:sz w:val="28"/>
          <w:szCs w:val="28"/>
          <w:rtl w:val="true"/>
          <w:lang w:bidi="fa-IR"/>
        </w:rPr>
        <w:t xml:space="preserve">والبیت من شواهد سیبویه، وأورده الشنتمری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والمبرد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والأنباری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کُمیت، وهو من الخیل ما کان لونه بین الحمرة والسواد، والکُمیت مصغّر أکمت تصغیر ترخیم، لأنّ أکمت غیر مستعمل فی اللغة، والمدمّاة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غلبت علیها الحمرة فکأنّها طُلیت بالدم، والمتون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متن، وهو الظهر، وجری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واستشعر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لبسه شعاراً، والشعار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 الجسد من الثیاب، والمُذهَب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المموّه بالذهب،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مُذهَب، أی تعلو حُمرته صُفرة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الشاهد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لون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استشهد به الشیخ الطوسی علی أنّ الکلام إذا حصل فیه عاملان أحدهما قریب والآخر بعید، فإعمال الأقرب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العامل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من إعمال الأبعد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والبیت یدخل فی باب التنازع، فقد تقدّم عاملان،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استشعرت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وتأخّر عنهما معمول واحد،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واحد من هذین العاملین یطلب هذا المعمول، فالعامل الأوّل یطلبه فاعلاً، والعامل الثانی یطلبه مفعولاً، وقد أعمل الشاعر الثانی منهما، فنصب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باستشعرت، وأضمر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فاعلاً دلّ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ولو أعمل الأوّل لرفع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وأظهر ضمیر المفعول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استشعرت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فاستشعرته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أورده الشیخ الطوسی هذا الشاهد فی معرض حدیثه عن آیة الوضوء،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إِلَی اَلصَّلاةِ فَاغْسِلُوا وُجُوهَکُمْ وَ أَیْدِیَکُمْ إِلَی اَلْمَرافِقِ وَ اِمْسَحُوا بِرُؤُسِکُمْ وَ أَرْجُلَکُمْ إِلَی اَلْکَعْبَیْنِ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ففی حال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وأرجلکم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فأیّهما 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علی الوجوه، أم العطف علی محلّ الرؤوس؟</w:t>
      </w:r>
    </w:p>
    <w:p>
      <w:pPr>
        <w:pStyle w:val="BookText"/>
        <w:rPr/>
      </w:pPr>
      <w:r>
        <w:rPr>
          <w:rFonts w:ascii="IRNazanin" w:hAnsi="IRNazanin" w:eastAsia="IRNazanin"/>
          <w:color w:val="111111"/>
          <w:sz w:val="28"/>
          <w:sz w:val="28"/>
          <w:szCs w:val="28"/>
          <w:rtl w:val="true"/>
          <w:lang w:bidi="fa-IR"/>
        </w:rPr>
        <w:t>یجیب الشیخ الطوسی رحمه الله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مع القراءة بالنصب، لأنّ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إلا علی أحد الوجهین؛ إمّا بأن یعطف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الغسل، أو یعطف علی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فینصب، ویکون حکمها المسح، وعطفها علی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وذلک أنّ الکلام إذا حصل فیه عاملان أحدهما قریب والآخر بعید، فإعمال الأقرب أولی من إعمال الأبعد، وقد نصّ أهل العربیة علی هذا، </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الفعل الثانی أقرب إلی المعمول من الأوّل، ولیس فی إعماله دون الأوّل نقص معنیً، فکان إعماله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علی إعمال الأوّل منهما الفصل بین العامل وهو المتقدّم ومعموله وهو الاسم الظاهر بأجنبی من العامل، وهو ذلک العامل الثانی، وهذا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یلزم علی إعمال الأوّل فی لفظ المعمول أن تعطف علی الجملة الأولی وهی جملة العامل الأوّل مع معموله قبل تمامها، والعطف قبل تمام المعطوف علیه خلاف الأصل أیضاً، والمسألة خلافیة بین نحاة الکوفة والبصرة،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فی مسائل الخلاف الأنباری،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شرح الألفیة ابن عقیل،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أکرمنی وأکرمت عبداللّه، وأکرمت وأکرمنی عبداللّه، فحمل المذکور بعد الفعلین علی الفعل الثانی أولی من حمله علی الأوّل؛ لأنّ الثانی أقرب إلیه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القرآن وأکثر الشعر بإعمال الثانی،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أَنَّهُمْ ظَنُّوا کَما ظَنَنْتُمْ أَنْ </w:t>
      </w:r>
      <w:bookmarkStart w:id="770" w:name="pg14553_192042"/>
    </w:p>
    <w:p>
      <w:pPr>
        <w:pStyle w:val="BookText"/>
        <w:rPr/>
      </w:pPr>
      <w:bookmarkEnd w:id="770"/>
      <w:r>
        <w:rPr>
          <w:rFonts w:ascii="Amiri" w:hAnsi="Amiri" w:eastAsia="Amiri" w:cs="Amiri"/>
          <w:color w:val="111111"/>
          <w:sz w:val="28"/>
          <w:sz w:val="28"/>
          <w:szCs w:val="28"/>
          <w:rtl w:val="true"/>
          <w:lang w:bidi="ar-SA"/>
        </w:rPr>
        <w:t>لَنْ یَبْعَثَ اَللّهُ أَحَداً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أعمل الأوّل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ظننتموه،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آتُونِی أُفْرِغْ عَلَیْهِ قِطْراً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أعمل الأوّل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اُفرغه،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هاؤُمُ اِقْرَؤُا کِتابِیَهْ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أعمل الأوّل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هاؤم اقرء وه کتابیه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أعمل فیه الثانی 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وأورد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أعمل الأوّل 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الروایة منصوب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والبیت من شواهد سیبویه، وقد استشهد به لنفس الغرض الذی ذکره الشیخ</w:t>
      </w:r>
      <w:r>
        <w:rPr>
          <w:rFonts w:eastAsia="IRNazanin" w:cs="IRNazanin"/>
          <w:color w:val="111111"/>
          <w:sz w:val="28"/>
          <w:szCs w:val="28"/>
          <w:rtl w:val="true"/>
          <w:lang w:bidi="fa-IR"/>
        </w:rPr>
        <w:t xml:space="preserve">. </w:t>
      </w:r>
      <w:r>
        <w:rPr>
          <w:rStyle w:val="FootnoteAnchor"/>
          <w:rtl w:val="true"/>
        </w:rPr>
        <w:footnoteReference w:id="793"/>
      </w:r>
    </w:p>
    <w:p>
      <w:pPr>
        <w:pStyle w:val="Heading5"/>
        <w:numPr>
          <w:ilvl w:val="4"/>
          <w:numId w:val="1"/>
        </w:numPr>
        <w:rPr/>
      </w:pPr>
      <w:bookmarkStart w:id="771" w:name="__RefHeading___Toc652237_1878427129"/>
      <w:bookmarkStart w:id="772" w:name="_Toc293"/>
      <w:bookmarkEnd w:id="771"/>
      <w:r>
        <w:rPr/>
        <w:t>17</w:t>
      </w:r>
      <w:r>
        <w:rPr>
          <w:rtl w:val="true"/>
        </w:rPr>
        <w:t>الطویل</w:t>
      </w:r>
      <w:bookmarkEnd w:id="772"/>
    </w:p>
    <w:p>
      <w:pPr>
        <w:pStyle w:val="BookText"/>
        <w:rPr/>
      </w:pPr>
      <w:r>
        <w:rPr>
          <w:rFonts w:ascii="Amiri" w:hAnsi="Amiri" w:eastAsia="Amiri" w:cs="Amiri"/>
          <w:color w:val="111111"/>
          <w:sz w:val="28"/>
          <w:sz w:val="28"/>
          <w:szCs w:val="28"/>
          <w:rtl w:val="true"/>
          <w:lang w:bidi="ar-SA"/>
        </w:rPr>
        <w:t xml:space="preserve">یَطِیرُ فُضاضاً بینها کُلُّ قَونَسٍ وَیَتْبَعُها منهم </w:t>
      </w:r>
      <w:r>
        <w:rPr>
          <w:rStyle w:val="FootnoteAnchor"/>
          <w:rtl w:val="true"/>
        </w:rPr>
        <w:footnoteReference w:id="794"/>
      </w:r>
      <w:r>
        <w:rPr>
          <w:rFonts w:ascii="Amiri" w:hAnsi="Amiri" w:eastAsia="Amiri" w:cs="Amiri"/>
          <w:color w:val="111111"/>
          <w:sz w:val="28"/>
          <w:sz w:val="28"/>
          <w:szCs w:val="28"/>
          <w:rtl w:val="true"/>
          <w:lang w:bidi="ar-SA"/>
        </w:rPr>
        <w:t>فَراشُ الحَواجِبِ</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النابغة الذُّبیانی، وهو زیاد بن معاویة بن ضَباب الذُّبیانی الغَطفانی، أبوأُمامة، شاعر جاهلی، من الطبقة الأولی، من أهل الحجاز، کان یُعرَض علیه الشعر، ویحتکم إلیه الشعراء، وعاش عمراً طویلاً، وتوفّی نحو سنة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الهجرة</w:t>
      </w:r>
      <w:r>
        <w:rPr>
          <w:rFonts w:eastAsia="IRNazanin" w:cs="IRNazanin"/>
          <w:color w:val="111111"/>
          <w:sz w:val="28"/>
          <w:szCs w:val="28"/>
          <w:rtl w:val="true"/>
          <w:lang w:bidi="fa-IR"/>
        </w:rPr>
        <w:t xml:space="preserve">. </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الشجاج وأسمائها،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دیّات الشجاج وکسر العظام والجنایات فی الوجوه والرؤوس والأعضاء، والبیت فی دیوان الشاعر من قصیدة تقع فی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قالها فی مدح عمرو بن الحارث الغسّانی، والاعتذار إلیه، وذلک حینما هرب الشاعر إلی الشام خوفاً من بطش النعمان بن المنذر، وأورد ابن المنظور هذا البیت فی موضعین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اللسان </w:t>
      </w:r>
      <w:r>
        <w:rPr>
          <w:rFonts w:eastAsia="IRNazanin" w:cs="IRNazanin"/>
          <w:color w:val="111111"/>
          <w:sz w:val="28"/>
          <w:szCs w:val="28"/>
          <w:rtl w:val="true"/>
          <w:lang w:bidi="fa-IR"/>
        </w:rPr>
        <w:t xml:space="preserve">) . </w:t>
      </w:r>
      <w:r>
        <w:rPr>
          <w:rStyle w:val="FootnoteAnchor"/>
          <w:rtl w:val="true"/>
        </w:rPr>
        <w:footnoteReference w:id="796"/>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الغریب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تکسّر من الشی ء وتفرّق،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فَضَضْتُ الشی ء أفضُّهُ فضّاً، فهو فضیض ومفضوض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کسرته وفرّقته، والقَوْنَس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أعلی الرأس، أو أعلی البیضة من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القشرة التی تکون علی العظم دون اللحم، وتُطلَق علی العظام </w:t>
      </w:r>
      <w:bookmarkStart w:id="773" w:name="pg14553_192043"/>
    </w:p>
    <w:p>
      <w:pPr>
        <w:pStyle w:val="BookText"/>
        <w:rPr/>
      </w:pPr>
      <w:bookmarkEnd w:id="773"/>
      <w:r>
        <w:rPr>
          <w:rFonts w:ascii="IRNazanin" w:hAnsi="IRNazanin" w:eastAsia="IRNazanin"/>
          <w:color w:val="111111"/>
          <w:sz w:val="28"/>
          <w:sz w:val="28"/>
          <w:szCs w:val="28"/>
          <w:rtl w:val="true"/>
          <w:lang w:bidi="fa-IR"/>
        </w:rPr>
        <w:t>الرقاق التی تلی القحف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 الحواجب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أورده الشیخ الصدوق والطوسی عن کلام الأصمعی فی بیان معانی الشجاج وکسر العظام، والذی قال فیه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ثمّ المُنَقّلة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التی یخرج منها فراش العظام، وفراش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قشرة تکون علی العظم دون اللحم، ومنه قول النابغة،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وأنشد عجز البیت</w:t>
      </w:r>
      <w:r>
        <w:rPr>
          <w:rFonts w:eastAsia="IRNazanin" w:cs="IRNazanin"/>
          <w:color w:val="111111"/>
          <w:sz w:val="28"/>
          <w:szCs w:val="28"/>
          <w:rtl w:val="true"/>
          <w:lang w:bidi="fa-IR"/>
        </w:rPr>
        <w:t>) .</w:t>
      </w:r>
    </w:p>
    <w:p>
      <w:pPr>
        <w:pStyle w:val="Heading5"/>
        <w:numPr>
          <w:ilvl w:val="4"/>
          <w:numId w:val="1"/>
        </w:numPr>
        <w:rPr/>
      </w:pPr>
      <w:bookmarkStart w:id="774" w:name="__RefHeading___Toc652239_1878427129"/>
      <w:bookmarkStart w:id="775" w:name="_Toc294"/>
      <w:bookmarkEnd w:id="774"/>
      <w:r>
        <w:rPr/>
        <w:t>18</w:t>
      </w:r>
      <w:r>
        <w:rPr>
          <w:rtl w:val="true"/>
        </w:rPr>
        <w:t>الطویل</w:t>
      </w:r>
      <w:bookmarkEnd w:id="775"/>
    </w:p>
    <w:p>
      <w:pPr>
        <w:pStyle w:val="BookText"/>
        <w:rPr/>
      </w:pPr>
      <w:r>
        <w:rPr>
          <w:rFonts w:ascii="Amiri" w:hAnsi="Amiri" w:eastAsia="Amiri" w:cs="Amiri"/>
          <w:color w:val="111111"/>
          <w:sz w:val="28"/>
          <w:sz w:val="28"/>
          <w:szCs w:val="28"/>
          <w:rtl w:val="true"/>
          <w:lang w:bidi="ar-SA"/>
        </w:rPr>
        <w:t xml:space="preserve">فَهَل أنتَ إنْ ماتَتْ أتانُکَ راحِلٌ </w:t>
      </w:r>
      <w:r>
        <w:rPr>
          <w:rStyle w:val="FootnoteAnchor"/>
          <w:rtl w:val="true"/>
        </w:rPr>
        <w:footnoteReference w:id="7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أحکام القرآن للجصّاص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راکب، بدل راحل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آل بِسْطامِ بن قَیسٍ فَخَاطِبِ</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بنسبته إلی جریر، ولم تثبت لنا صحّة ذلک، ولم نجده فی دیوانه، ولا فی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صفة الوضوء، وأورده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والجصّاص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والمجلسی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 </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الحمارة، وبِسطام بن قیس بن مسعود الشیبانی، هو أبو الصهباء سید شیبان فی الجاهلیة، یضرب المثل بفروسیّته، وقتله عاصم الضبی یوم الشقیقة بعد البعثة النبویة، فی نحو السنة العاشرة قبل الهجرة</w:t>
      </w:r>
      <w:r>
        <w:rPr>
          <w:rFonts w:eastAsia="IRNazanin" w:cs="IRNazanin"/>
          <w:color w:val="111111"/>
          <w:sz w:val="28"/>
          <w:szCs w:val="28"/>
          <w:rtl w:val="true"/>
          <w:lang w:bidi="fa-IR"/>
        </w:rPr>
        <w:t xml:space="preserve">. </w:t>
      </w:r>
      <w:r>
        <w:rPr>
          <w:rStyle w:val="FootnoteAnchor"/>
          <w:rtl w:val="true"/>
        </w:rPr>
        <w:footnoteReference w:id="799"/>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زُعِم أنّه مجرور بالمجاورة مع کونه معطوفاً علی مرفوع،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أورده الشیخ الطوسی فی معرض ردّه علی هذا الزعم، وعلی ما قیل من أنّ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بِرُؤُسِکُمْ وَ أَرْجُلَکُمْ إِلَی اَلْکَعْبَیْنِ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قراءة الجرّ، یکون بمجاورة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یعنی اشتراک الرأس والرجل فی الحرکة الإعرابیة لا فی الحکم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ردّ الشیخ علی هذا القول من عدّة وجوه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خلاف بین أهل العربیة فی أنّ الإعراب بالمجاورة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فی مواضع مسموعة عن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یتعدّی إلی غیرها، وما هذه منزلته فی الشذوذ والخروج عن الاُصول لا یجوز أن یُحمل کلام اللّه تعالی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موضع أُعرب بالمجاورة مفقود منه حرف العطف الذی تضمّنته الآیة، وعلیه اعتمدنا فی تساوی حکم الأرجل والرؤوس، فلو کان ما ورد من حکم المجاورة یسوغ القیاس علیه، لکانت الآیة خارجة عنه، لتضمّنها من دلیل العطف ما فقدناه فی المواضع المعربة بالمجاورة، ولا شبهة علی أحدٍ ممّن یفهم العربیة فی أنّ المجاورة لا حکم لها مع العطف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الإعراب بالجوار إنّما استحسن بحیث ترتفع الشبهة فی المعنی، ألا تری أنّ الشبهة زائلة فی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للضب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جحرُ ضبٍّ خربٍ والمعرفة حاصلة بأنّه من صفات الجحر، ولیس هکذا الآیة؛ لأنّ الأرجل یصحّ أن یکون فرضها المسح کما یصحّ أن یکون الغسل، والشکّ حاصل فی ذلک واقع غیر ممتنع، فلا یجوز إعمال المجاورة فیها لحصول اللبس والشبهة</w:t>
      </w:r>
      <w:r>
        <w:rPr>
          <w:rFonts w:eastAsia="IRNazanin" w:cs="IRNazanin"/>
          <w:color w:val="111111"/>
          <w:sz w:val="28"/>
          <w:szCs w:val="28"/>
          <w:rtl w:val="true"/>
          <w:lang w:bidi="fa-IR"/>
        </w:rPr>
        <w:t xml:space="preserve">. </w:t>
      </w:r>
      <w:r>
        <w:rPr>
          <w:rStyle w:val="FootnoteAnchor"/>
          <w:rtl w:val="true"/>
        </w:rPr>
        <w:footnoteReference w:id="80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أوردت السیدة هدی جاسم محمّد أبو طبرة عدّة وجوه محکمة فی ردّ الإعراب بالمجاورة، خلال تحقیقها 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الإقدام فی وجوب المسح علی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للشهید الثالث،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تراثنا العدد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411</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ادّعیتم أنّ المجاورة لا حکم لها مع واو العطف مع قول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وأنشد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قول الشاعر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أنت إن ماتت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البیت، فیمکن أن یکون الوجه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الرفع، وإنّما جرّ الراوی وهماً، ویکون عطفاً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راحل</w:t>
      </w:r>
      <w:r>
        <w:rPr>
          <w:rFonts w:eastAsia="IRNazanin" w:cs="IRNazanin"/>
          <w:color w:val="111111"/>
          <w:sz w:val="28"/>
          <w:szCs w:val="28"/>
          <w:rtl w:val="true"/>
          <w:lang w:bidi="fa-IR"/>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 xml:space="preserve">راجع دیوان النابغة،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ولعلّ البیت الذی ذکرناه لا یخرج عن هذا الإطار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یکون المراد بخاطب الأمر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جرّ لإطلاق الشعر</w:t>
      </w:r>
      <w:r>
        <w:rPr>
          <w:rFonts w:eastAsia="Amiri" w:cs="Amiri" w:ascii="Amiri" w:hAnsi="Amiri"/>
          <w:color w:val="111111"/>
          <w:sz w:val="28"/>
          <w:szCs w:val="28"/>
          <w:rtl w:val="true"/>
          <w:lang w:bidi="ar-SA"/>
        </w:rPr>
        <w:t>.</w:t>
      </w:r>
      <w:bookmarkStart w:id="776" w:name="pg14553_192045"/>
    </w:p>
    <w:p>
      <w:pPr>
        <w:pStyle w:val="Heading5"/>
        <w:numPr>
          <w:ilvl w:val="4"/>
          <w:numId w:val="1"/>
        </w:numPr>
        <w:rPr/>
      </w:pPr>
      <w:bookmarkStart w:id="777" w:name="__RefHeading___Toc652241_1878427129"/>
      <w:bookmarkStart w:id="778" w:name="_Toc295"/>
      <w:bookmarkEnd w:id="776"/>
      <w:bookmarkEnd w:id="777"/>
      <w:r>
        <w:rPr/>
        <w:t>19</w:t>
      </w:r>
      <w:r>
        <w:rPr>
          <w:rtl w:val="true"/>
        </w:rPr>
        <w:t>الخفیف</w:t>
      </w:r>
      <w:bookmarkEnd w:id="778"/>
    </w:p>
    <w:p>
      <w:pPr>
        <w:pStyle w:val="BookText"/>
        <w:rPr/>
      </w:pPr>
      <w:r>
        <w:rPr>
          <w:rFonts w:ascii="Amiri" w:hAnsi="Amiri" w:eastAsia="Amiri" w:cs="Amiri"/>
          <w:color w:val="111111"/>
          <w:sz w:val="28"/>
          <w:sz w:val="28"/>
          <w:szCs w:val="28"/>
          <w:rtl w:val="true"/>
          <w:lang w:bidi="ar-SA"/>
        </w:rPr>
        <w:t xml:space="preserve">فَرْوَ جُودی بدَمْعِکِ المَسْکوبِ </w:t>
      </w:r>
      <w:r>
        <w:rPr>
          <w:rFonts w:eastAsia="Amiri" w:cs="Amiri" w:ascii="Amiri" w:hAnsi="Amiri"/>
          <w:color w:val="111111"/>
          <w:sz w:val="28"/>
          <w:szCs w:val="28"/>
          <w:rtl w:val="true"/>
          <w:lang w:bidi="ar-SA"/>
        </w:rPr>
        <w:t>. . . . . . . . . . . . . . . .</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مُصعب العبدی، شاعر کوفی من أصحاب الإمام الصادق علیه السلام، وهو من شعراء أهل البیت المتقدّمین، وقد وردت عدّة روایات فی استنشاد الإمام الصادق علیه السلام إیّاه، وأمر شیعته بتعلیم شعره لأولادهم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الشیعة، علّموا أولادکم شعر العبدی، فإنّه علی 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یدلّ علی صدق لهجته واستقامة طریقته فی شعره، وکان العبدی معاصراً للسید الحمیری ت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ق، وأدرک أباداود المسترق ت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8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الأمینی،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یا أُمّ فروة، فحذف أوّله ضرورة، وحذف آخر الکلمة ترخیماً، ویجوز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النصب علی لغة من ینتظر الحرف المحذوف، والرفع علی لغة من لا ینتظر الحرف المحذوف، والمُراد بأمّ فروة ابنة الإمام الصادق علیه السلام، عدّها الشیخ المفید والزبیری فی أولاده علیه السلام </w:t>
      </w:r>
      <w:r>
        <w:rPr>
          <w:rStyle w:val="FootnoteAnchor"/>
          <w:rtl w:val="true"/>
        </w:rPr>
        <w:footnoteReference w:id="803"/>
      </w:r>
      <w:r>
        <w:rPr>
          <w:rFonts w:ascii="IRNazanin" w:hAnsi="IRNazanin" w:eastAsia="IRNazanin"/>
          <w:color w:val="111111"/>
          <w:sz w:val="28"/>
          <w:sz w:val="28"/>
          <w:szCs w:val="28"/>
          <w:rtl w:val="true"/>
          <w:lang w:bidi="fa-IR"/>
        </w:rPr>
        <w:t>وأُمّها فاطمة بنت الحسین بن الحسن بن علی بن أبی طالب علیهم السلام</w:t>
      </w:r>
      <w:r>
        <w:rPr>
          <w:rFonts w:eastAsia="IRNazanin" w:cs="IRNazanin"/>
          <w:color w:val="111111"/>
          <w:sz w:val="28"/>
          <w:szCs w:val="28"/>
          <w:rtl w:val="true"/>
          <w:lang w:bidi="fa-IR"/>
        </w:rPr>
        <w:t xml:space="preserve">. </w:t>
      </w:r>
      <w:r>
        <w:rPr>
          <w:rStyle w:val="FootnoteAnchor"/>
          <w:rtl w:val="true"/>
        </w:rPr>
        <w:footnoteReference w:id="804"/>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الکلینی عن سفیان بن مصعب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لأمّ فروة تجی ء فتسمع ما صُنع بجدّها</w:t>
      </w:r>
      <w:r>
        <w:rPr>
          <w:rFonts w:eastAsia="IRNazanin" w:cs="IRNazanin"/>
          <w:color w:val="111111"/>
          <w:sz w:val="28"/>
          <w:szCs w:val="28"/>
          <w:rtl w:val="true"/>
          <w:lang w:bidi="fa-IR"/>
        </w:rPr>
        <w:t xml:space="preserve">» </w:t>
      </w:r>
      <w:r>
        <w:rPr>
          <w:rStyle w:val="FootnoteAnchor"/>
          <w:rtl w:val="true"/>
        </w:rPr>
        <w:footnoteReference w:id="8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فقعدت خلف الستر،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أنشدنا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وصحن النساء، فقال أبو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فاجتمع أهل المدینة علی الباب،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إلیهم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 لنا غشی علیه فصحن النساء</w:t>
      </w:r>
      <w:r>
        <w:rPr>
          <w:rFonts w:eastAsia="IRNazanin" w:cs="IRNazanin"/>
          <w:color w:val="111111"/>
          <w:sz w:val="28"/>
          <w:szCs w:val="28"/>
          <w:rtl w:val="true"/>
          <w:lang w:bidi="fa-IR"/>
        </w:rPr>
        <w:t xml:space="preserve">» . </w:t>
      </w:r>
      <w:r>
        <w:rPr>
          <w:rStyle w:val="FootnoteAnchor"/>
          <w:rtl w:val="true"/>
        </w:rPr>
        <w:footnoteReference w:id="806"/>
      </w:r>
      <w:bookmarkStart w:id="779" w:name="pg14553_192046"/>
    </w:p>
    <w:p>
      <w:pPr>
        <w:pStyle w:val="Heading5"/>
        <w:numPr>
          <w:ilvl w:val="4"/>
          <w:numId w:val="1"/>
        </w:numPr>
        <w:rPr/>
      </w:pPr>
      <w:bookmarkStart w:id="780" w:name="__RefHeading___Toc652243_1878427129"/>
      <w:bookmarkStart w:id="781" w:name="_Toc296"/>
      <w:bookmarkEnd w:id="779"/>
      <w:bookmarkEnd w:id="780"/>
      <w:r>
        <w:rPr/>
        <w:t>20</w:t>
      </w:r>
      <w:r>
        <w:rPr>
          <w:rtl w:val="true"/>
        </w:rPr>
        <w:t>المتقارب</w:t>
      </w:r>
      <w:bookmarkEnd w:id="781"/>
    </w:p>
    <w:p>
      <w:pPr>
        <w:pStyle w:val="BookText"/>
        <w:rPr/>
      </w:pPr>
      <w:r>
        <w:rPr>
          <w:rFonts w:ascii="Amiri" w:hAnsi="Amiri" w:eastAsia="Amiri" w:cs="Amiri"/>
          <w:color w:val="111111"/>
          <w:sz w:val="28"/>
          <w:sz w:val="28"/>
          <w:szCs w:val="28"/>
          <w:rtl w:val="true"/>
          <w:lang w:bidi="ar-SA"/>
        </w:rPr>
        <w:t xml:space="preserve">ولوْحُ ذِراعینِ فی مَنْکِبٍ </w:t>
      </w:r>
      <w:r>
        <w:rPr>
          <w:rStyle w:val="FootnoteAnchor"/>
          <w:rtl w:val="true"/>
        </w:rPr>
        <w:footnoteReference w:id="80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التهذیب، وفی المصادر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جُؤجؤٍ رَهِلِ المَنْکِبِ</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النابغة الجعدی، وهو قیس بن عبداللّه بن عُدَس الجعدی العامری، أبو لیلی، وسمّی النابغة لأنّه أقام مدّة لا یقول الشعر ثمّ نبغ فقاله، وهو شاعر مخضرم، وکان ممن تفکّر فی الجاهلیة، فأنکر الخمر والسکر، و هجر الأوثان والأزلام، وکان یذکر دین إبراهیم علیه السلام ویصوم ویستغفر، وأدرک النبی صلی الله علیه و آله ووفد علیه، وأنشده ودعا له، وکان من المعمّرین، فقد شهد صفّین مع أمیر المؤمنین علیه السلام ثمّ سکن الکوفة، فسیّره معاویة إلی أصبهان مع أحد ولاتها، فمات فیها مکفوفاً بعد أن جاوز المائة من عمره،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مائتین وعشرین، وکانت وفاته سنة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ق، وله دیوان مطبوع</w:t>
      </w:r>
      <w:r>
        <w:rPr>
          <w:rFonts w:eastAsia="IRNazanin" w:cs="IRNazanin"/>
          <w:color w:val="111111"/>
          <w:sz w:val="28"/>
          <w:szCs w:val="28"/>
          <w:rtl w:val="true"/>
          <w:lang w:bidi="fa-IR"/>
        </w:rPr>
        <w:t xml:space="preserve">.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صفة الوضوء، وأورده الشیخ الطوسی فی تفسیره، والمبرد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قتیبة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السید البطلیموسی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الاقتضاب </w:t>
      </w:r>
      <w:r>
        <w:rPr>
          <w:rFonts w:eastAsia="IRNazanin" w:cs="IRNazanin"/>
          <w:color w:val="111111"/>
          <w:sz w:val="28"/>
          <w:szCs w:val="28"/>
          <w:rtl w:val="true"/>
          <w:lang w:bidi="fa-IR"/>
        </w:rPr>
        <w:t xml:space="preserve">) .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من قصیدة للشاعر فی وصف الفرس، واللَّوح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 العریض، ولوح الذراعین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عظمهما، والمنکب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رأس الکتف والعضد، وفی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برکة، والبِرکة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الصدر، بکسر الباء إن أردت التأنیث، وفتحها إن أردت التذکیر،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البَرْک، والجؤجؤ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رؤوس عظام الصدر، والَّرهِل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المسترخی، ویرید أنّ جلد منکبه یموج ویتقلّب لسعته، وذلک مستحبّ فی الفرس</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جؤجؤٍ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أراد الشاعر مع جؤجؤٍ،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به الشیخ الطوسی فی معرض حدیثه عن صفة الوضوء، مستدلاً به علی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 أَیْدِیَکُمْ إِلَی اَلْمَرافِقِ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المراد بها انتهاء </w:t>
      </w:r>
      <w:bookmarkStart w:id="782" w:name="pg14553_192047"/>
    </w:p>
    <w:p>
      <w:pPr>
        <w:pStyle w:val="BookText"/>
        <w:rPr/>
      </w:pPr>
      <w:bookmarkEnd w:id="782"/>
      <w:r>
        <w:rPr>
          <w:rFonts w:ascii="IRNazanin" w:hAnsi="IRNazanin" w:eastAsia="IRNazanin"/>
          <w:color w:val="111111"/>
          <w:sz w:val="28"/>
          <w:sz w:val="28"/>
          <w:szCs w:val="28"/>
          <w:rtl w:val="true"/>
          <w:lang w:bidi="fa-IR"/>
        </w:rPr>
        <w:t>الغایة بل المعیّة، ممّا یدلّ علی وجوب غسل المرافق، وهو المروی عن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کلام الشیخ الطوسی فی الشاهد رقم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Heading4"/>
        <w:numPr>
          <w:ilvl w:val="3"/>
          <w:numId w:val="1"/>
        </w:numPr>
        <w:rPr/>
      </w:pPr>
      <w:bookmarkStart w:id="783" w:name="__RefHeading___Toc652245_1878427129"/>
      <w:bookmarkStart w:id="784" w:name="_Toc297"/>
      <w:bookmarkEnd w:id="783"/>
      <w:r>
        <w:rPr>
          <w:rtl w:val="true"/>
        </w:rPr>
        <w:t>قافیة الدال</w:t>
      </w:r>
      <w:bookmarkEnd w:id="784"/>
    </w:p>
    <w:p>
      <w:pPr>
        <w:pStyle w:val="Heading5"/>
        <w:numPr>
          <w:ilvl w:val="4"/>
          <w:numId w:val="1"/>
        </w:numPr>
        <w:rPr/>
      </w:pPr>
      <w:bookmarkStart w:id="785" w:name="__RefHeading___Toc652247_1878427129"/>
      <w:bookmarkStart w:id="786" w:name="_Toc298"/>
      <w:bookmarkEnd w:id="785"/>
      <w:r>
        <w:rPr/>
        <w:t>21</w:t>
      </w:r>
      <w:r>
        <w:rPr>
          <w:rtl w:val="true"/>
        </w:rPr>
        <w:t>الوافر</w:t>
      </w:r>
      <w:bookmarkEnd w:id="786"/>
    </w:p>
    <w:p>
      <w:pPr>
        <w:pStyle w:val="BookText"/>
        <w:rPr/>
      </w:pPr>
      <w:r>
        <w:rPr>
          <w:rFonts w:ascii="Amiri" w:hAnsi="Amiri" w:eastAsia="Amiri" w:cs="Amiri"/>
          <w:color w:val="111111"/>
          <w:sz w:val="28"/>
          <w:sz w:val="28"/>
          <w:szCs w:val="28"/>
          <w:rtl w:val="true"/>
          <w:lang w:bidi="ar-SA"/>
        </w:rPr>
        <w:t>مُعاویَ إنّنا بَشَرٌ فأسْجِح فلَسنا بالجِبالِ وَلا الحَدِیدا</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عُقیبة بن هُبیرة الأسدی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الحارث الأسدی وهو من الشعراء المخضرمین، وفد علی معاویة، وشکا إلیه جور عمّاله، وتوفّی نحو سنة</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8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البغدادی،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الأعلام الزرکلی،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صفة الوضوء، وهو من شواهد سیبویه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وأورده الشنتمریّ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والمبرد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والفراء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والقالی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هشام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والسیوطی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شواهده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والبغدادی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خزانة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والأنباری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والشیخ الطوسی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 xml:space="preserve">. </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 منادی مرخّم، ویُراد به معاویة بن أبی سفیان، وأسجِح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أرفق وأحسن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الحدیدا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نصبها عطفاً علی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مجرورة لفظاً بالباء، ومنصوبة محلاً علی أنّها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وقد استشهد به الشیخ الطوسی لهذا الغرض، وذلک خلال حدیثه عن فرض الأرجل فی الوضوء علی ضوء الآیة المبارکة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بِرُؤُسِکُمْ وَ أَرْجُلَکُمْ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القراءة بالجرّ مساویة للقراءة بالنصب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لکانت أیضاً </w:t>
      </w:r>
    </w:p>
    <w:p>
      <w:pPr>
        <w:pStyle w:val="BookText"/>
        <w:rPr/>
      </w:pPr>
      <w:r>
        <w:rPr>
          <w:rFonts w:ascii="IRNazanin" w:hAnsi="IRNazanin" w:eastAsia="IRNazanin"/>
          <w:color w:val="111111"/>
          <w:sz w:val="28"/>
          <w:sz w:val="28"/>
          <w:szCs w:val="28"/>
          <w:rtl w:val="true"/>
          <w:lang w:bidi="fa-IR"/>
        </w:rPr>
        <w:t>مقتضیة للمسح، لأنّ موضع الرؤوس موضع نصب بوقوع الفعل الذی هو المسح علیه، وإنّما جُرّ الرؤوس بالباء، وعلی هذا لا ینکر أن تُعطف الأرجل علی موضع الرؤوس لا لفظها فتنصب، وإن کان الفرض فیها المسح، کما کان فی الرؤوس کذلک، والعطف علی الموضع جائزمشهور فی لغة العرب</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وأورد الشاهد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ولابدّ من الإشارة إلی أنّ هذا البیت رُوی بخفض حرف الروی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وبعده أبیات مجرورة،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أکلتم أرضنا فجرزتموها </w:t>
      </w:r>
      <w:r>
        <w:rPr>
          <w:rStyle w:val="FootnoteAnchor"/>
          <w:rtl w:val="true"/>
        </w:rPr>
        <w:footnoteReference w:id="8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جرز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واستأصله، 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فجردتموها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من قائم أو من حَصیدِ فَهَبنا أُمّةً ذهبت ضَیاعاًیزیدُ أمیرها وأبو یزیدِ</w:t>
      </w:r>
    </w:p>
    <w:p>
      <w:pPr>
        <w:pStyle w:val="BookText"/>
        <w:rPr/>
      </w:pPr>
      <w:r>
        <w:rPr>
          <w:rFonts w:ascii="Amiri" w:hAnsi="Amiri" w:eastAsia="Amiri" w:cs="Amiri"/>
          <w:color w:val="111111"/>
          <w:sz w:val="28"/>
          <w:sz w:val="28"/>
          <w:szCs w:val="28"/>
          <w:rtl w:val="true"/>
          <w:lang w:bidi="ar-SA"/>
        </w:rPr>
        <w:t>أَتَطْمَعُ فی الخلود إذا هلکنا ولیسَ لنا ولا لک من خُلُودِ</w:t>
      </w:r>
    </w:p>
    <w:p>
      <w:pPr>
        <w:pStyle w:val="BookText"/>
        <w:rPr/>
      </w:pPr>
      <w:r>
        <w:rPr>
          <w:rFonts w:ascii="IRNazanin" w:hAnsi="IRNazanin" w:eastAsia="IRNazanin"/>
          <w:color w:val="111111"/>
          <w:sz w:val="28"/>
          <w:sz w:val="28"/>
          <w:szCs w:val="28"/>
          <w:rtl w:val="true"/>
          <w:lang w:bidi="fa-IR"/>
        </w:rPr>
        <w:t>ذروا خونَ الخلافةِ واستقیموا وتأمیرَ الأراذل والعبیدِ</w:t>
      </w:r>
    </w:p>
    <w:p>
      <w:pPr>
        <w:pStyle w:val="BookText"/>
        <w:rPr/>
      </w:pPr>
      <w:r>
        <w:rPr>
          <w:rFonts w:ascii="Amiri" w:hAnsi="Amiri" w:eastAsia="Amiri" w:cs="Amiri"/>
          <w:color w:val="111111"/>
          <w:sz w:val="28"/>
          <w:sz w:val="28"/>
          <w:szCs w:val="28"/>
          <w:rtl w:val="true"/>
          <w:lang w:bidi="ar-SA"/>
        </w:rPr>
        <w:t>وأعطونا السَّویةَ لا تَزُرْکُم جُنودٌ مُردفاتٌ بالجنودِ</w:t>
      </w:r>
    </w:p>
    <w:p>
      <w:pPr>
        <w:pStyle w:val="BookText"/>
        <w:rPr/>
      </w:pPr>
      <w:r>
        <w:rPr>
          <w:rFonts w:ascii="IRNazanin" w:hAnsi="IRNazanin" w:eastAsia="IRNazanin"/>
          <w:color w:val="111111"/>
          <w:sz w:val="28"/>
          <w:sz w:val="28"/>
          <w:szCs w:val="28"/>
          <w:rtl w:val="true"/>
          <w:lang w:bidi="fa-IR"/>
        </w:rPr>
        <w:t xml:space="preserve">ولا یخفی أنّه لا شاهد فی هذا البیت علی هذه الروایة، وذلک مردودٌ بکونه من شواهد سیبویه والزجّاج وابن هشام والرضی الأسترآبادی وغیرهم، وقد رووه منصوباً، واستدلّوا به علی جواز حمل المعطوف علی موضع الباء وما عملت فیه، وهو نفس الغرض الذی ذکرناه أوّلاً، وروایة الخفض تبطل الاستدلال والغرض، وذکر الأنباری أنّ من زعم أنّ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بالخفض فقد أخطأ، لأنّ البیت الذی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أدیروها بنی حربٍ علیکم ولا ترمُوا بها الغَرَضَ البعیدا</w:t>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سیبویه قد سمع من العرب مَن یُنشد هذا البیت بالنصب، فکان إنشاده حجّة</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ووافق بعض العلماء بین الروایتین، باعتبار البیت من قصیدتین مختلفتین؛ واحدة مخفوضة الرویّ، واُخری منصوبة، وقال إنّ ذلک أمرٌ لا یُنکر لأنّ الشعراء قد یستعیر بعضهم من کلام بعض، فمن روی البیت بالنصب روی معه الأبیات المنصوبة، ومن رواه بالجرّ روی معه الأبیات المجرورة</w:t>
      </w:r>
      <w:r>
        <w:rPr>
          <w:rFonts w:eastAsia="IRNazanin" w:cs="IRNazanin"/>
          <w:color w:val="111111"/>
          <w:sz w:val="28"/>
          <w:szCs w:val="28"/>
          <w:rtl w:val="true"/>
          <w:lang w:bidi="fa-IR"/>
        </w:rPr>
        <w:t xml:space="preserve">. </w:t>
      </w:r>
      <w:bookmarkStart w:id="787" w:name="pg14553_192049"/>
    </w:p>
    <w:p>
      <w:pPr>
        <w:pStyle w:val="Heading5"/>
        <w:numPr>
          <w:ilvl w:val="4"/>
          <w:numId w:val="1"/>
        </w:numPr>
        <w:rPr/>
      </w:pPr>
      <w:bookmarkStart w:id="788" w:name="__RefHeading___Toc652249_1878427129"/>
      <w:bookmarkStart w:id="789" w:name="_Toc299"/>
      <w:bookmarkEnd w:id="787"/>
      <w:bookmarkEnd w:id="788"/>
      <w:r>
        <w:rPr/>
        <w:t>22</w:t>
      </w:r>
      <w:r>
        <w:rPr>
          <w:rtl w:val="true"/>
        </w:rPr>
        <w:t>البسیط</w:t>
      </w:r>
      <w:bookmarkEnd w:id="789"/>
    </w:p>
    <w:p>
      <w:pPr>
        <w:pStyle w:val="BookText"/>
        <w:rPr/>
      </w:pPr>
      <w:r>
        <w:rPr>
          <w:rFonts w:ascii="Amiri" w:hAnsi="Amiri" w:eastAsia="Amiri" w:cs="Amiri"/>
          <w:color w:val="111111"/>
          <w:sz w:val="28"/>
          <w:sz w:val="28"/>
          <w:szCs w:val="28"/>
          <w:rtl w:val="true"/>
          <w:lang w:bidi="ar-SA"/>
        </w:rPr>
        <w:t xml:space="preserve">سِیرُوا جَمیعاً بِنِصْفِ اللَّیلِ وَاعتمدوا </w:t>
      </w:r>
      <w:r>
        <w:rPr>
          <w:rStyle w:val="FootnoteAnchor"/>
          <w:rtl w:val="true"/>
        </w:rPr>
        <w:footnoteReference w:id="8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أثبتنا صدر البیت من روایة القالی والقرطبی، وفی معجم البلدان وشعراء النصرانیة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ساروا إلینا بنصف اللیل فاحتملوا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یرد صدره فی الکافی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رَهِنیة إلا سیّدٌ صَمَدُ</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الزِّبْرقان بن بَدر بن امرئ القیس التمیمی السعدی، واسمه حصین بن بدر، ولُقّب الزِّبرقان لجماله، لأنّ الزِّبرقان فی اللغة یعنی البدر لیلة تمامه،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الزِّبرقان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الخفیف اللحیة، وقد کان هو کذلک،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کذلک لأنّه لبس عمامة مزبرقة بالزعفران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زبرق الثوب، صبغه بصفرة أو حمرة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والزبرقان صحابی، وکان ینزل مع قومه فی بادیة البصرة، فوفد علی النبیّ صلی الله علیه و آله هو وقومه، وکان هو أحد ساداتهم، فأسلموا سنة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 فجعله النبی صلی الله علیه و آله علی صدقات قومه، وکفّ بصره فی آخر عمره، فتوفّی نحو سنة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ق وکان فصیحاً شاعراً</w:t>
      </w:r>
      <w:r>
        <w:rPr>
          <w:rFonts w:eastAsia="IRNazanin" w:cs="IRNazanin"/>
          <w:color w:val="111111"/>
          <w:sz w:val="28"/>
          <w:szCs w:val="28"/>
          <w:rtl w:val="true"/>
          <w:lang w:bidi="fa-IR"/>
        </w:rPr>
        <w:t xml:space="preserve">. </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 xml:space="preserve">والذی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نُسب البیت إلی ابن الزبرقان، لکن الصحیح ما أثبتناه اعتماداً علی المصادر التی سنذکرها فی التخریج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التوحید باب تأویل الصمد، وأورده أبو عبیدة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والقالی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والطبری والطوسی والطبرسی والقرطبی فی تفاسیرهم، ویاقوت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 xml:space="preserve">. </w:t>
      </w:r>
      <w:r>
        <w:rPr>
          <w:rStyle w:val="FootnoteAnchor"/>
          <w:rtl w:val="true"/>
        </w:rPr>
        <w:footnoteReference w:id="815"/>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من قصیدة قالها الشاعر حینما حمل صدقات قومه إلی أبی بکر، وقد روی بعض أبیاتها یاقوت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رجل، والذی فی </w:t>
      </w:r>
      <w:bookmarkStart w:id="790" w:name="pg14553_192050"/>
    </w:p>
    <w:p>
      <w:pPr>
        <w:pStyle w:val="BookText"/>
        <w:rPr/>
      </w:pPr>
      <w:bookmarkEnd w:id="79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رهیبة، ولم أجده فی أعلام العرب رجالهم، فأثبتّه وفقاً لما اتّفقت علیه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المصمود إلیه فی الحوائج،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الذی لا عیب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المصمود إلیه، أو المقصود فی الحوائج، وقد استشهد به الشیخ الکلینی فی باب تأویل الصمد بعد حدیث داود بن القاسم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لأبی‌جعفر الثانی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وما الصمد؟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المصمود إلیه فی القلیل والکثیر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وحدیث جابر بن یزید الجعفی، عن أبی جعفر الباقر علیه السلام فی حدیث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واحد صمد قُدّوس، یعبده کلّ شی ء، ویصمد إلیه کلّ شی ء، ووسع کلّ شی ء علماً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الشیخ الکلینی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المعنی الصحیح فی تأویل الصمد، لا ما ذهب إلیه المشبّهة أنّ تأویل الصمد المصمت الذی لا جوف له، لأنّ ذلک لا یکون إلا من صفة الجسم، واللّه جلّ ذکره متعالٍ عن ذلک، وهو أعظم وأجلّ من أن تقع الأوهام علی صفته، أو تدرک کنه عظمته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کان تأویل الصمد فی صفة اللّه عزّ وجلّ المصمت، لکان مخالفاً 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ذلک من صفة الأجسام المصمتة التی لا أجواف لها، مثل الحجر والحدید وسائر الأشیاء المصمتة التی لا أجواف لها، تعالی اللّه عن ذلک علوّاً 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الذی قال علیه السلام أنّ الصمد هو السید المصمود إلیه، هو معنی صحیح موافق لقوله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والمصمود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المقصود،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أورد عدّة شواهد شعریة منها عجز هذا الشاهد،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 کثیر، واللّه عزّوجلّ هو السیّد الصمد الذی جمیع الخلق من الجنّ والإنس إلیه یصمدون فی الحوائج، وإلیه یلجأون عند الشدائد، ومنه یرجون الرخاء ودوام النعماء، لیدفع عنهم الشدائد</w:t>
      </w:r>
      <w:r>
        <w:rPr>
          <w:rFonts w:eastAsia="IRNazanin" w:cs="IRNazanin"/>
          <w:color w:val="111111"/>
          <w:sz w:val="28"/>
          <w:szCs w:val="28"/>
          <w:rtl w:val="true"/>
          <w:lang w:bidi="fa-IR"/>
        </w:rPr>
        <w:t>.</w:t>
      </w:r>
    </w:p>
    <w:p>
      <w:pPr>
        <w:pStyle w:val="Heading5"/>
        <w:numPr>
          <w:ilvl w:val="4"/>
          <w:numId w:val="1"/>
        </w:numPr>
        <w:rPr/>
      </w:pPr>
      <w:bookmarkStart w:id="791" w:name="__RefHeading___Toc652251_1878427129"/>
      <w:bookmarkStart w:id="792" w:name="_Toc300"/>
      <w:bookmarkEnd w:id="791"/>
      <w:r>
        <w:rPr/>
        <w:t>23</w:t>
      </w:r>
      <w:r>
        <w:rPr>
          <w:rtl w:val="true"/>
        </w:rPr>
        <w:t>البسیط</w:t>
      </w:r>
      <w:bookmarkEnd w:id="792"/>
    </w:p>
    <w:p>
      <w:pPr>
        <w:pStyle w:val="BookText"/>
        <w:rPr/>
      </w:pPr>
      <w:r>
        <w:rPr>
          <w:rFonts w:ascii="Amiri" w:hAnsi="Amiri" w:eastAsia="Amiri" w:cs="Amiri"/>
          <w:color w:val="111111"/>
          <w:sz w:val="28"/>
          <w:sz w:val="28"/>
          <w:szCs w:val="28"/>
          <w:rtl w:val="true"/>
          <w:lang w:bidi="ar-SA"/>
        </w:rPr>
        <w:t>عَلَوتُهُ بحُسامٍ ثمُّ قلتُ لَهُ خُذْها حُذیفُ فأنتَ السیِّدُ الصَّمدُ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شدّاد بن معاویة فی حُذیفة بن بدر، وشدّاد بن معاویة هو </w:t>
      </w:r>
    </w:p>
    <w:p>
      <w:pPr>
        <w:pStyle w:val="BookText"/>
        <w:rPr/>
      </w:pPr>
      <w:r>
        <w:rPr>
          <w:rFonts w:ascii="IRNazanin" w:hAnsi="IRNazanin" w:eastAsia="IRNazanin"/>
          <w:color w:val="111111"/>
          <w:sz w:val="28"/>
          <w:sz w:val="28"/>
          <w:szCs w:val="28"/>
          <w:rtl w:val="true"/>
          <w:lang w:bidi="fa-IR"/>
        </w:rPr>
        <w:t>أبو عنترة الشاعر الجاهلی المشهور بشجاعته، وشدّاد أحد قادة بنی عبس الفرسان فی حرب داحس والغبراء التی کانت بین عبس وذبیان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الذی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قاتل حُذیفة بن بدر الوارد اسمه فی البیت، هو عمرو بن الأسلع العبسی والحارث بن زهیر، فقال عمرو بن الأسلع مفتخراً علی بنی ذبیان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السماء وإنّ الأرض شاهدةٌ</w:t>
      </w:r>
    </w:p>
    <w:p>
      <w:pPr>
        <w:pStyle w:val="BookText"/>
        <w:rPr/>
      </w:pPr>
      <w:r>
        <w:rPr>
          <w:rFonts w:ascii="Amiri" w:hAnsi="Amiri" w:eastAsia="Amiri" w:cs="Amiri"/>
          <w:color w:val="111111"/>
          <w:sz w:val="28"/>
          <w:sz w:val="28"/>
          <w:szCs w:val="28"/>
          <w:rtl w:val="true"/>
          <w:lang w:bidi="ar-SA"/>
        </w:rPr>
        <w:t xml:space="preserve">علوتهُ بحسامٍ ثمّ قلت له خُذها حذیف فأنت السیدُ الصمدُ </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 xml:space="preserve">فالبیت منسوب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عمرو بن الأسلع، وکذلک نسبه الفیروزآبادی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والأستاذ أحمد عبدالغفور العطّار محقّق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أمّا باقی المصادر التی سنذکرها فی التخریج فلم تنسب البیت إلی أحد، وذلک ممّا یقلّل احتمال الجزم بنسبة البیت إلی أحد الرجلین، فضلاً عن أنّ شدّاد بن معاویة کان أحد فرسان یوم الهباءة، فلعلّه هو الذی ضرب حذیفة ابن بدر الفزاری، ونسب ابن الأثیر الضرب إلی قرواش بن عمرو بن الأسلع </w:t>
      </w:r>
      <w:r>
        <w:rPr>
          <w:rStyle w:val="FootnoteAnchor"/>
          <w:rtl w:val="true"/>
        </w:rPr>
        <w:footnoteReference w:id="817"/>
      </w:r>
      <w:r>
        <w:rPr>
          <w:rFonts w:ascii="IRNazanin" w:hAnsi="IRNazanin" w:eastAsia="IRNazanin"/>
          <w:color w:val="111111"/>
          <w:sz w:val="28"/>
          <w:sz w:val="28"/>
          <w:szCs w:val="28"/>
          <w:rtl w:val="true"/>
          <w:lang w:bidi="fa-IR"/>
        </w:rPr>
        <w:t>دون أن یذکر الشعر، فنسبة الضرب غیر ثابتة فی المصادر التاریخیة، وتتبعها نسبة البیت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التوحید باب تأویل الصمد، وأورده القالی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فارس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مقاییسها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والجوهری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منظور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والفیروزآبادی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والقرطبی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عبد ربه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Style w:val="FootnoteAnchor"/>
          <w:rtl w:val="true"/>
        </w:rPr>
        <w:footnoteReference w:id="818"/>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 xml:space="preserve">. </w:t>
      </w:r>
      <w:bookmarkStart w:id="793" w:name="pg14553_192052"/>
    </w:p>
    <w:p>
      <w:pPr>
        <w:pStyle w:val="BookText"/>
        <w:rPr/>
      </w:pPr>
      <w:bookmarkEnd w:id="793"/>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علاه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والحسام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السیف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مرخّم، وهو حذیفة بن بدر الفزاری، الذی قاد بنی فزارة ومرّة یوم النسار ویوم الجفار، وفی حرب داحس والغبراء، حتی قُتِل فیها یوم الهباءة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المقصود فی الحوائج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المصمود إلیه، أو المقصود فی الحوائج، وقد أورده الشیخ الکلینی شاهداً علی هذا المعنی المتحقّق فی اللغة، والذی دلّت علیه أحادیث المعصومین علیهم السلام فی تفسیر معنی الصمد</w:t>
      </w:r>
      <w:r>
        <w:rPr>
          <w:rFonts w:eastAsia="IRNazanin" w:cs="IRNazanin"/>
          <w:color w:val="111111"/>
          <w:sz w:val="28"/>
          <w:szCs w:val="28"/>
          <w:rtl w:val="true"/>
          <w:lang w:bidi="fa-IR"/>
        </w:rPr>
        <w:t>.</w:t>
      </w:r>
    </w:p>
    <w:p>
      <w:pPr>
        <w:pStyle w:val="Heading5"/>
        <w:numPr>
          <w:ilvl w:val="4"/>
          <w:numId w:val="1"/>
        </w:numPr>
        <w:rPr/>
      </w:pPr>
      <w:bookmarkStart w:id="794" w:name="__RefHeading___Toc652253_1878427129"/>
      <w:bookmarkStart w:id="795" w:name="_Toc301"/>
      <w:bookmarkEnd w:id="794"/>
      <w:r>
        <w:rPr/>
        <w:t>24</w:t>
      </w:r>
      <w:r>
        <w:rPr>
          <w:rtl w:val="true"/>
        </w:rPr>
        <w:t>الکامل</w:t>
      </w:r>
      <w:bookmarkEnd w:id="795"/>
    </w:p>
    <w:p>
      <w:pPr>
        <w:pStyle w:val="BookText"/>
        <w:rPr/>
      </w:pPr>
      <w:r>
        <w:rPr>
          <w:rFonts w:ascii="Amiri" w:hAnsi="Amiri" w:eastAsia="Amiri" w:cs="Amiri"/>
          <w:color w:val="111111"/>
          <w:sz w:val="28"/>
          <w:sz w:val="28"/>
          <w:szCs w:val="28"/>
          <w:rtl w:val="true"/>
          <w:lang w:bidi="ar-SA"/>
        </w:rPr>
        <w:t>ما کُنتُ أحْسَبُ أنّ بیتاً ظاهِراً للّهِ فی أکْنَافِ مَکّة یُصْمَدُ</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الشیخ الکلینی إلی بعض شعراء الجاهلیة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التوحید باب تأویل الصمد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کَنَف، وکنف الشی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جانبه أو ناحیته، ویُصمد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استشهد به الشیخ الکلینی علی أنّ المراد بالصمد هو السید المصمود إلیه، أی المقصود لقضاء الحاجات، وهو المعنی المتحقّق فی اللغة، ودلّت علیه أحادیث المعصومین علیهم السلام</w:t>
      </w:r>
      <w:r>
        <w:rPr>
          <w:rFonts w:eastAsia="IRNazanin" w:cs="IRNazanin"/>
          <w:color w:val="111111"/>
          <w:sz w:val="28"/>
          <w:szCs w:val="28"/>
          <w:rtl w:val="true"/>
          <w:lang w:bidi="fa-IR"/>
        </w:rPr>
        <w:t>.</w:t>
      </w:r>
    </w:p>
    <w:p>
      <w:pPr>
        <w:pStyle w:val="Heading5"/>
        <w:numPr>
          <w:ilvl w:val="4"/>
          <w:numId w:val="1"/>
        </w:numPr>
        <w:rPr/>
      </w:pPr>
      <w:bookmarkStart w:id="796" w:name="__RefHeading___Toc652255_1878427129"/>
      <w:bookmarkStart w:id="797" w:name="_Toc302"/>
      <w:bookmarkEnd w:id="796"/>
      <w:r>
        <w:rPr/>
        <w:t>25</w:t>
      </w:r>
      <w:r>
        <w:rPr>
          <w:rtl w:val="true"/>
        </w:rPr>
        <w:t>الطویل</w:t>
      </w:r>
      <w:bookmarkEnd w:id="797"/>
    </w:p>
    <w:p>
      <w:pPr>
        <w:pStyle w:val="BookText"/>
        <w:rPr/>
      </w:pPr>
      <w:r>
        <w:rPr>
          <w:rFonts w:ascii="Amiri" w:hAnsi="Amiri" w:eastAsia="Amiri" w:cs="Amiri"/>
          <w:color w:val="111111"/>
          <w:sz w:val="28"/>
          <w:sz w:val="28"/>
          <w:szCs w:val="28"/>
          <w:rtl w:val="true"/>
          <w:lang w:bidi="ar-SA"/>
        </w:rPr>
        <w:t>هَنیئاً مَریئاً یا خَدیجةُ قد جَرَت</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غَنْم، وجاء وصفه فی حدیث الکافی بکونه رجلاً من قریش، ولم أجد تفاصیل ترجمته، وقال النمازی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یذکروه، وأشار إلی أشعاره فی تزویجه خدیجة ومدح الرسول صلی الله علیه و آله</w:t>
      </w:r>
      <w:r>
        <w:rPr>
          <w:rFonts w:eastAsia="IRNazanin" w:cs="IRNazanin"/>
          <w:color w:val="111111"/>
          <w:sz w:val="28"/>
          <w:szCs w:val="28"/>
          <w:rtl w:val="true"/>
          <w:lang w:bidi="fa-IR"/>
        </w:rPr>
        <w:t xml:space="preserve">. </w:t>
      </w:r>
      <w:r>
        <w:rPr>
          <w:rStyle w:val="FootnoteAnchor"/>
          <w:rtl w:val="true"/>
        </w:rPr>
        <w:footnoteReference w:id="819"/>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مستدرکات علم الرجال النمازی،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غنم وفی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غَنم، </w:t>
      </w:r>
      <w:r>
        <w:rPr>
          <w:rStyle w:val="FootnoteAnchor"/>
          <w:rtl w:val="true"/>
        </w:rPr>
        <w:footnoteReference w:id="8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الشیخ،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فی أصحاب أمیر المؤمنین علیه السلام، وفی أغلب المصادر التی نقلت عن رجال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زعیم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غنیم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أمّا عبدالرحمن بن غَنم، فهو متعیّن فی کتب الرجال، ذکره ابن سعد فی الطبقة الأولی من تابعی أهل الشام،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صحبة، وتوفی سنة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ق، وقیل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ق، </w:t>
      </w:r>
      <w:r>
        <w:rPr>
          <w:rStyle w:val="FootnoteAnchor"/>
          <w:rtl w:val="true"/>
        </w:rPr>
        <w:footnoteReference w:id="821"/>
      </w:r>
      <w:r>
        <w:rPr>
          <w:rFonts w:ascii="IRNazanin" w:hAnsi="IRNazanin" w:eastAsia="IRNazanin"/>
          <w:color w:val="111111"/>
          <w:sz w:val="28"/>
          <w:sz w:val="28"/>
          <w:szCs w:val="28"/>
          <w:rtl w:val="true"/>
          <w:lang w:bidi="fa-IR"/>
        </w:rPr>
        <w:t xml:space="preserve">ومن هنا اعتبر الشیخ التستری عبداللّه بن غَنمْ عنواناً ساقطاً بعد تعیّن عبدالرحمن ابن غنم اسماً ونسباً، </w:t>
      </w:r>
      <w:r>
        <w:rPr>
          <w:rStyle w:val="FootnoteAnchor"/>
          <w:rtl w:val="true"/>
        </w:rPr>
        <w:footnoteReference w:id="822"/>
      </w:r>
      <w:r>
        <w:rPr>
          <w:rFonts w:ascii="IRNazanin" w:hAnsi="IRNazanin" w:eastAsia="IRNazanin"/>
          <w:color w:val="111111"/>
          <w:sz w:val="28"/>
          <w:sz w:val="28"/>
          <w:szCs w:val="28"/>
          <w:rtl w:val="true"/>
          <w:lang w:bidi="fa-IR"/>
        </w:rPr>
        <w:t>واعتبر قول الشیخ فی تبدیل عبدالرحمن بن غنم بعبداللّه بن غنم وهماً</w:t>
      </w:r>
      <w:r>
        <w:rPr>
          <w:rFonts w:eastAsia="IRNazanin" w:cs="IRNazanin"/>
          <w:color w:val="111111"/>
          <w:sz w:val="28"/>
          <w:szCs w:val="28"/>
          <w:rtl w:val="true"/>
          <w:lang w:bidi="fa-IR"/>
        </w:rPr>
        <w:t xml:space="preserve">.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 xml:space="preserve">هذا کلّ ما ورد فی عبداللّه بن غنم فی کتب الرجال، ولیس ثمّة دلیل علی نسبة هذه القصیدة إلی عبداللّه أو عبدالرحمن المعدود فی کتب الرجال من أصحاب أمیر المؤمنین علیه السلام، فلم یُؤثَر عن عبداللّه ولا عن عبدالرحمن شی ء من الشعر، ولم یصفهما أحد بکونهما شاعرین، ثمّ إنّ فی القصیدة ما یدلّ علی أنّ الشاعر کان معاصراً لحادث الخطبة، فهی تبدأ بخطاب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ویفهم من مضمونها بأنّه ردّ علی أحد الحاضرین المعترضین علی الخطبة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وعلیه فإنّ عبداللّه بن غنم إمّا شاعر إسلامی متقدّم، لکنّه کان من المغمورین فلم یُترجم ولم یُعرف حاله، أو أنّه مصحف عبداللّه بن عَنَمة، وهو شاعر صحابی من المخضرمین، عاش فی الجاهلیة ورثی فیها بسطام بن قیس، وشهد القادسیة، وتوفّی بعد سنة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ق، وهو من شعراء المفضلیات، </w:t>
      </w:r>
      <w:r>
        <w:rPr>
          <w:rStyle w:val="FootnoteAnchor"/>
          <w:rtl w:val="true"/>
        </w:rPr>
        <w:footnoteReference w:id="824"/>
      </w:r>
      <w:r>
        <w:rPr>
          <w:rFonts w:ascii="IRNazanin" w:hAnsi="IRNazanin" w:eastAsia="IRNazanin"/>
          <w:color w:val="111111"/>
          <w:sz w:val="28"/>
          <w:sz w:val="28"/>
          <w:szCs w:val="28"/>
          <w:rtl w:val="true"/>
          <w:lang w:bidi="fa-IR"/>
        </w:rPr>
        <w:t>ولم أجد هذه القصیدة فیها</w:t>
      </w:r>
      <w:r>
        <w:rPr>
          <w:rFonts w:eastAsia="IRNazanin" w:cs="IRNazanin"/>
          <w:color w:val="111111"/>
          <w:sz w:val="28"/>
          <w:szCs w:val="28"/>
          <w:rtl w:val="true"/>
          <w:lang w:bidi="fa-IR"/>
        </w:rPr>
        <w:t xml:space="preserve">. </w:t>
      </w:r>
      <w:bookmarkStart w:id="798" w:name="pg14553_192054"/>
    </w:p>
    <w:p>
      <w:pPr>
        <w:pStyle w:val="BookText"/>
        <w:rPr/>
      </w:pPr>
      <w:bookmarkEnd w:id="798"/>
      <w:r>
        <w:rPr>
          <w:rFonts w:ascii="IRNazanin" w:hAnsi="IRNazanin" w:eastAsia="IRNazanin"/>
          <w:color w:val="111111"/>
          <w:sz w:val="28"/>
          <w:sz w:val="28"/>
          <w:szCs w:val="28"/>
          <w:rtl w:val="true"/>
          <w:lang w:bidi="fa-IR"/>
        </w:rPr>
        <w:t>وإذا لم نقل بمعاصرة الشاعر لحادث الخطبة، فیحتمل تصحیفه بعبداللّه بن أبی عَقْب وهو شاعر، له کتاب وشعر فی الملاحم،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رضیع الإمام الحسین علیه السلام، وقد تمثّل الإمام الصادق علیه السلام بشعره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وستأتی ترجمته فی الشاهد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کتاب النکاح باب خطب النکاح، وأخرجه عنه ابن شهر آشوب والعلامة المجلسی</w:t>
      </w:r>
      <w:r>
        <w:rPr>
          <w:rFonts w:eastAsia="IRNazanin" w:cs="IRNazanin"/>
          <w:color w:val="111111"/>
          <w:sz w:val="28"/>
          <w:szCs w:val="28"/>
          <w:rtl w:val="true"/>
          <w:lang w:bidi="fa-IR"/>
        </w:rPr>
        <w:t xml:space="preserve">. </w:t>
      </w:r>
      <w:r>
        <w:rPr>
          <w:rStyle w:val="FootnoteAnchor"/>
          <w:rtl w:val="true"/>
        </w:rPr>
        <w:footnoteReference w:id="82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ابن شهر آشوب،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المجلسی،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المجلسی،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للحظّ من الخیر والشرّ طائر، وتقول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لفلان الطائر بکذا من الخیر والشرّ، علی طریقة التفؤّل والطیرة، وأصله أنّهم کانوا یتفأّلون بالسوانح من الطیور، وهی‌التی تأتی من الیَمین، ویتطیّرون بالبوارح، وهی التی تأتی من جانب الیسار، والأسْعُد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سَعْد، وهو الُیمن، نقیض النحس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القصیدة فی آخر حدیث الإمام الصادق علیه السلام الذی یتضمّن خطبة أبی طالب رضی الله عنه خدیجة بنت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 اللّه صلی الله علیه و آله بمحضر أهل بیته ونفر من قریش، وجاء فی آخر الحدیث أن أبا طالب نحر ناقة ودخل رسول اللّه صلی الله علیه و آله بأهله، فقال الشاعر هذه الأبیات</w:t>
      </w:r>
      <w:r>
        <w:rPr>
          <w:rFonts w:eastAsia="IRNazanin" w:cs="IRNazanin"/>
          <w:color w:val="111111"/>
          <w:sz w:val="28"/>
          <w:szCs w:val="28"/>
          <w:rtl w:val="true"/>
          <w:lang w:bidi="fa-IR"/>
        </w:rPr>
        <w:t>.</w:t>
      </w:r>
    </w:p>
    <w:p>
      <w:pPr>
        <w:pStyle w:val="Heading5"/>
        <w:numPr>
          <w:ilvl w:val="4"/>
          <w:numId w:val="1"/>
        </w:numPr>
        <w:rPr/>
      </w:pPr>
      <w:bookmarkStart w:id="799" w:name="__RefHeading___Toc652257_1878427129"/>
      <w:bookmarkStart w:id="800" w:name="_Toc303"/>
      <w:bookmarkEnd w:id="799"/>
      <w:r>
        <w:rPr/>
        <w:t>26</w:t>
      </w:r>
      <w:bookmarkEnd w:id="800"/>
    </w:p>
    <w:p>
      <w:pPr>
        <w:pStyle w:val="BookText"/>
        <w:rPr/>
      </w:pPr>
      <w:r>
        <w:rPr>
          <w:rStyle w:val="FootnoteAnchor"/>
          <w:rtl w:val="true"/>
        </w:rPr>
        <w:footnoteReference w:id="826"/>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 . . . . . . . . . . </w:t>
      </w:r>
      <w:r>
        <w:rPr>
          <w:rFonts w:ascii="Amiri" w:hAnsi="Amiri" w:eastAsia="Amiri" w:cs="Amiri"/>
          <w:color w:val="111111"/>
          <w:sz w:val="28"/>
          <w:sz w:val="28"/>
          <w:szCs w:val="28"/>
          <w:rtl w:val="true"/>
          <w:lang w:bidi="ar-SA"/>
        </w:rPr>
        <w:t>وَ لا تَرَی قَمِیصی إلا واسعَ الجَیبِ و الیَدِ</w:t>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الزی والتجمّل باب النوادر، وأخرجه عنه العلامة المجلسی والحرّ العاملی</w:t>
      </w:r>
      <w:r>
        <w:rPr>
          <w:rFonts w:eastAsia="IRNazanin" w:cs="IRNazanin"/>
          <w:color w:val="111111"/>
          <w:sz w:val="28"/>
          <w:szCs w:val="28"/>
          <w:rtl w:val="true"/>
          <w:lang w:bidi="fa-IR"/>
        </w:rPr>
        <w:t xml:space="preserve">. </w:t>
      </w:r>
      <w:r>
        <w:rPr>
          <w:rStyle w:val="FootnoteAnchor"/>
          <w:rtl w:val="true"/>
        </w:rPr>
        <w:footnoteReference w:id="827"/>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البیت فی حدیث الإمام الصادق علیه السلام عن فضل سعة القمیص، فقد روی الشیخ الکلینی بالإسناد عن علی القمّی،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سعة الجُربّان </w:t>
      </w:r>
      <w:r>
        <w:rPr>
          <w:rStyle w:val="FootnoteAnchor"/>
          <w:rtl w:val="true"/>
        </w:rPr>
        <w:footnoteReference w:id="828"/>
      </w:r>
      <w:r>
        <w:rPr>
          <w:rFonts w:ascii="IRNazanin" w:hAnsi="IRNazanin" w:eastAsia="IRNazanin"/>
          <w:color w:val="111111"/>
          <w:sz w:val="28"/>
          <w:sz w:val="28"/>
          <w:szCs w:val="28"/>
          <w:rtl w:val="true"/>
          <w:lang w:bidi="fa-IR"/>
        </w:rPr>
        <w:t>ونبات الشعر فی الأنف، أمان من الجُذام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سمعت قول الشاعر</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وأنشد البیت</w:t>
      </w:r>
      <w:r>
        <w:rPr>
          <w:rFonts w:eastAsia="IRNazanin" w:cs="IRNazanin"/>
          <w:color w:val="111111"/>
          <w:sz w:val="28"/>
          <w:szCs w:val="28"/>
          <w:rtl w:val="true"/>
          <w:lang w:bidi="fa-IR"/>
        </w:rPr>
        <w:t xml:space="preserve">. </w:t>
      </w:r>
      <w:bookmarkStart w:id="801" w:name="pg14553_192055"/>
    </w:p>
    <w:p>
      <w:pPr>
        <w:pStyle w:val="Heading4"/>
        <w:numPr>
          <w:ilvl w:val="3"/>
          <w:numId w:val="1"/>
        </w:numPr>
        <w:rPr/>
      </w:pPr>
      <w:bookmarkStart w:id="802" w:name="__RefHeading___Toc652259_1878427129"/>
      <w:bookmarkStart w:id="803" w:name="_Toc304"/>
      <w:bookmarkEnd w:id="801"/>
      <w:bookmarkEnd w:id="802"/>
      <w:r>
        <w:rPr>
          <w:rtl w:val="true"/>
        </w:rPr>
        <w:t>قافیة الراء</w:t>
      </w:r>
      <w:bookmarkEnd w:id="803"/>
    </w:p>
    <w:p>
      <w:pPr>
        <w:pStyle w:val="Heading5"/>
        <w:numPr>
          <w:ilvl w:val="4"/>
          <w:numId w:val="1"/>
        </w:numPr>
        <w:rPr/>
      </w:pPr>
      <w:bookmarkStart w:id="804" w:name="__RefHeading___Toc652261_1878427129"/>
      <w:bookmarkStart w:id="805" w:name="_Toc305"/>
      <w:bookmarkEnd w:id="804"/>
      <w:r>
        <w:rPr/>
        <w:t>27</w:t>
      </w:r>
      <w:r>
        <w:rPr>
          <w:rtl w:val="true"/>
        </w:rPr>
        <w:t>مجزوء الکامل</w:t>
      </w:r>
      <w:bookmarkEnd w:id="805"/>
    </w:p>
    <w:p>
      <w:pPr>
        <w:pStyle w:val="BookText"/>
        <w:rPr/>
      </w:pPr>
      <w:r>
        <w:rPr>
          <w:rFonts w:ascii="Amiri" w:hAnsi="Amiri" w:eastAsia="Amiri" w:cs="Amiri"/>
          <w:color w:val="111111"/>
          <w:sz w:val="28"/>
          <w:sz w:val="28"/>
          <w:szCs w:val="28"/>
          <w:rtl w:val="true"/>
          <w:lang w:bidi="ar-SA"/>
        </w:rPr>
        <w:t>أنْعَی الوَلیدَ بن الوَلی دِ أبا الوَلِیدِ فَتی العَشیرهْ</w:t>
      </w:r>
    </w:p>
    <w:p>
      <w:pPr>
        <w:pStyle w:val="BookText"/>
        <w:rPr/>
      </w:pPr>
      <w:r>
        <w:rPr>
          <w:rFonts w:ascii="Amiri" w:hAnsi="Amiri" w:eastAsia="Amiri" w:cs="Amiri"/>
          <w:color w:val="111111"/>
          <w:sz w:val="28"/>
          <w:sz w:val="28"/>
          <w:szCs w:val="28"/>
          <w:rtl w:val="true"/>
          <w:lang w:bidi="ar-SA"/>
        </w:rPr>
        <w:t>حَامِی الحَقِیقةِ ماجِداً</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سَلَمة، هند بنت أبی اُمیّة بن المغیرة بن عبداللّه القرشیة المخزومیة، من أُمّهات المؤمنین، ومن أکمل النساء عقلاً وخلقاً، هاجرت إلی الحبشة، ثمّ إلی المدینة، وتزوّجها رسول اللّه صلی الله علیه و آله فی السنة الرابعة للهجرة، وتوفّیت نحو سنة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8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الاستیعاب ابن عبد البر،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ابن حجر،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اُسد الغابة ابن الأثیر،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النساء کحالة،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الأعلام الزرکلی،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النبی صلی الله علیه و آله بنت الشاطئ، ص </w:t>
      </w:r>
      <w:r>
        <w:rPr>
          <w:rFonts w:eastAsia="IRNazanin" w:cs="IRNazanin"/>
          <w:color w:val="111111"/>
          <w:sz w:val="28"/>
          <w:szCs w:val="28"/>
          <w:lang w:bidi="fa-IR"/>
        </w:rPr>
        <w:t>138</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المعیشة باب کسب النائحة، التهذیب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148/359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المکاسب باب المکاسب، وأورده ابن عبدالبرّ، والزبیری، وابن الأثیر، وابن حجر، </w:t>
      </w:r>
      <w:r>
        <w:rPr>
          <w:rStyle w:val="FootnoteAnchor"/>
          <w:rtl w:val="true"/>
        </w:rPr>
        <w:footnoteReference w:id="830"/>
      </w:r>
      <w:r>
        <w:rPr>
          <w:rFonts w:ascii="IRNazanin" w:hAnsi="IRNazanin" w:eastAsia="IRNazanin"/>
          <w:color w:val="111111"/>
          <w:sz w:val="28"/>
          <w:sz w:val="28"/>
          <w:szCs w:val="28"/>
          <w:rtl w:val="true"/>
          <w:lang w:bidi="fa-IR"/>
        </w:rPr>
        <w:t>مع اختلاف یسیر فی بعض ألفاظه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الولید بن الولید بن المغیرة بن عبداللّه بن عمرو بن مخزوم القرشی‌المخزومی، أبو الولید، ابن عمّ اُمّ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کان من أشراف قریش فی الجاهلیة، أسره المسلمون فی بدر، ففداه أخواه هشام وخالد بمالٍ وفیر، ثمّ أسلم ولحق بالنبی صلی الله علیه و آله، وشهد عمرة القضاء، ومات بالمدینة سنة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831"/>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وفتی العشیرة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شابها السخیّ وذو نجدتها، وحامی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الذمار، أی یحمی ما لزمه الدفاع عنه من أهل بیته، والحقیقة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یجب علی الرجل أن یحمیه، والماجد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الخیّر، والکریم الحسن الخلق، والوتیرة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الذَّحْل، وهو الثأر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سنة، ویُراد بها الجدب والقحط، والجعفر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النهر الصغیر، ویطلق علی </w:t>
      </w:r>
      <w:bookmarkStart w:id="806" w:name="pg14553_192056"/>
    </w:p>
    <w:p>
      <w:pPr>
        <w:pStyle w:val="BookText"/>
        <w:rPr/>
      </w:pPr>
      <w:bookmarkEnd w:id="806"/>
      <w:r>
        <w:rPr>
          <w:rFonts w:ascii="IRNazanin" w:hAnsi="IRNazanin" w:eastAsia="IRNazanin"/>
          <w:color w:val="111111"/>
          <w:sz w:val="28"/>
          <w:sz w:val="28"/>
          <w:szCs w:val="28"/>
          <w:rtl w:val="true"/>
          <w:lang w:bidi="fa-IR"/>
        </w:rPr>
        <w:t>الکبیر الملآن أیضاً، وهو من الأضداد، والغَدِق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والمیرة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الذی یمتاره الإنسان لأهله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حمزة،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الولید بن المغیرة، فقالت أمّ سلمة للنبی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آل المغیرة قد أقاموا مناحة، فأذهب إلیهم؟ فأذن لها، فلبست ثیابها وتهیّأت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فندبت ابن عمّها بین یدی رسول اللّه صلی الله علیه و آله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وأنشد الأبیات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عاب ذلک علیها النبی صلی الله علیه و آله ولا قال شیئاً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استدّل به بعض الفقهاء علی جواز النوحة، وقید فی المشهور بما إذا کانت بحقّ، أی لا تصف المیّت بما لیس فیه، وبأن لا تُسمع صوتَها الأجانب</w:t>
      </w:r>
      <w:r>
        <w:rPr>
          <w:rFonts w:eastAsia="IRNazanin" w:cs="IRNazanin"/>
          <w:color w:val="111111"/>
          <w:sz w:val="28"/>
          <w:szCs w:val="28"/>
          <w:rtl w:val="true"/>
          <w:lang w:bidi="fa-IR"/>
        </w:rPr>
        <w:t xml:space="preserve">. </w:t>
      </w:r>
      <w:r>
        <w:rPr>
          <w:rStyle w:val="FootnoteAnchor"/>
          <w:rtl w:val="true"/>
        </w:rPr>
        <w:footnoteReference w:id="8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المجلسی،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807" w:name="__RefHeading___Toc652263_1878427129"/>
      <w:bookmarkStart w:id="808" w:name="_Toc306"/>
      <w:bookmarkEnd w:id="807"/>
      <w:r>
        <w:rPr/>
        <w:t>28</w:t>
      </w:r>
      <w:r>
        <w:rPr>
          <w:rtl w:val="true"/>
        </w:rPr>
        <w:t>السریع</w:t>
      </w:r>
      <w:bookmarkEnd w:id="808"/>
    </w:p>
    <w:p>
      <w:pPr>
        <w:pStyle w:val="BookText"/>
        <w:rPr/>
      </w:pPr>
      <w:r>
        <w:rPr>
          <w:rFonts w:ascii="Amiri" w:hAnsi="Amiri" w:eastAsia="Amiri" w:cs="Amiri"/>
          <w:color w:val="111111"/>
          <w:sz w:val="28"/>
          <w:sz w:val="28"/>
          <w:szCs w:val="28"/>
          <w:rtl w:val="true"/>
          <w:lang w:bidi="ar-SA"/>
        </w:rPr>
        <w:t>إنْ عَادَتِ العَقْرَبُ عُدْنا لَها وَکَانَتِ النَّعْلُ لها حاضِرهْ</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العباس بن عُتبة بن أبی لهب، من شعراء بنی هاشم وفصحائهم المشهود لهم، عاصر الفرزدق، والأحوص، والحزین الکنانی، وعمر بن أبی ربیعة، وله معهم مساجلات شعریة مشهورة، مدح عبدالملک بن مروان، وهو أوّل هاشمی یمدح أُمویاً، ویسمّی الفضل اللهبی نسبةً إلی أبی لهب، تُوفّی نحو سنة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وأورده المدائنی، والزمخشری، والعسکری، وابن منظور، وأبو الفرج الأصفهانی</w:t>
      </w:r>
      <w:r>
        <w:rPr>
          <w:rFonts w:eastAsia="IRNazanin" w:cs="IRNazanin"/>
          <w:color w:val="111111"/>
          <w:sz w:val="28"/>
          <w:szCs w:val="28"/>
          <w:rtl w:val="true"/>
          <w:lang w:bidi="fa-IR"/>
        </w:rPr>
        <w:t xml:space="preserve">. </w:t>
      </w:r>
      <w:r>
        <w:rPr>
          <w:rStyle w:val="FootnoteAnchor"/>
          <w:rtl w:val="true"/>
        </w:rPr>
        <w:footnoteReference w:id="834"/>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رجل کان من أکثر تجّار المدینة مالاً وأنفقهم تجارةً، وأشدّهم تسویفاً ومطلاً، حتی قیل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أمطل من عقرب، وقد عامل الفضل بن العباس، فرکبه من الفضل دین، وکان الفضل من ألزم الناس وأشدّهم اقتضاءً، فلمّا حلّ أجل الدین مطله عقرب، فلزم الفضل بیت عقرب زماناً یقرأ القرآن، وأقام عقرب علی </w:t>
      </w:r>
      <w:bookmarkStart w:id="809" w:name="pg14553_192057"/>
    </w:p>
    <w:p>
      <w:pPr>
        <w:pStyle w:val="BookText"/>
        <w:rPr/>
      </w:pPr>
      <w:bookmarkEnd w:id="809"/>
      <w:r>
        <w:rPr>
          <w:rFonts w:ascii="IRNazanin" w:hAnsi="IRNazanin" w:eastAsia="IRNazanin"/>
          <w:color w:val="111111"/>
          <w:sz w:val="28"/>
          <w:sz w:val="28"/>
          <w:szCs w:val="28"/>
          <w:rtl w:val="true"/>
          <w:lang w:bidi="fa-IR"/>
        </w:rPr>
        <w:t>مطله، فقال الفضلُ قصیدةً فی هجائه منها هذا البیت، ومنها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تجرت فی سوقنا عقربٌ</w:t>
      </w:r>
    </w:p>
    <w:p>
      <w:pPr>
        <w:pStyle w:val="BookText"/>
        <w:rPr/>
      </w:pPr>
      <w:r>
        <w:rPr>
          <w:rFonts w:ascii="IRNazanin" w:hAnsi="IRNazanin" w:eastAsia="IRNazanin"/>
          <w:color w:val="111111"/>
          <w:sz w:val="28"/>
          <w:sz w:val="28"/>
          <w:szCs w:val="28"/>
          <w:rtl w:val="true"/>
          <w:lang w:bidi="fa-IR"/>
        </w:rPr>
        <w:t>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أنشده الإمام الصادق علیه السلام فی احتجاجه علی داود بن علی العباسی، الذی خاصم الإمام علیه السلام مع بنی العباس فی ولاء مولی لرسول اللّه صلی الله علیه و آله توفّی ولیس له وارث، فأفحمهم الإمام علیه السلام فی الاحتجاج، وحکم له هشام بن عبدالملک بالولاء، وکان قد حجّ فی تلک السنة، فخرج الإمام علیه السلام وهو یقول هذا البیت، لأنّ داود کان قد أغلظ فی الکلام وتعسّف فی المقال</w:t>
      </w:r>
      <w:r>
        <w:rPr>
          <w:rFonts w:eastAsia="IRNazanin" w:cs="IRNazanin"/>
          <w:color w:val="111111"/>
          <w:sz w:val="28"/>
          <w:szCs w:val="28"/>
          <w:rtl w:val="true"/>
          <w:lang w:bidi="fa-IR"/>
        </w:rPr>
        <w:t>.</w:t>
      </w:r>
    </w:p>
    <w:p>
      <w:pPr>
        <w:pStyle w:val="Heading5"/>
        <w:numPr>
          <w:ilvl w:val="4"/>
          <w:numId w:val="1"/>
        </w:numPr>
        <w:rPr/>
      </w:pPr>
      <w:bookmarkStart w:id="810" w:name="__RefHeading___Toc652265_1878427129"/>
      <w:bookmarkStart w:id="811" w:name="_Toc307"/>
      <w:bookmarkEnd w:id="810"/>
      <w:r>
        <w:rPr/>
        <w:t>29</w:t>
      </w:r>
      <w:r>
        <w:rPr>
          <w:rtl w:val="true"/>
        </w:rPr>
        <w:t>الطویل</w:t>
      </w:r>
      <w:bookmarkEnd w:id="811"/>
    </w:p>
    <w:p>
      <w:pPr>
        <w:pStyle w:val="BookText"/>
        <w:rPr/>
      </w:pPr>
      <w:r>
        <w:rPr>
          <w:rFonts w:ascii="Amiri" w:hAnsi="Amiri" w:eastAsia="Amiri" w:cs="Amiri"/>
          <w:color w:val="111111"/>
          <w:sz w:val="28"/>
          <w:sz w:val="28"/>
          <w:szCs w:val="28"/>
          <w:rtl w:val="true"/>
          <w:lang w:bidi="ar-SA"/>
        </w:rPr>
        <w:t>ومِنّا إمامُ المُتّقینَ مُحمّدٌ</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أبی یشکُر الراثیة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الحجّة باب ما یفصل به بین دعوی المحقّ والمبطل فی أمر الإمامة</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البیتان فی صدر حدیث طویل تضمّن احتجاج الإمام الصادق علیه السلام علی أبناء عمّه بنی الحسن علیه السلام فی أمر الإمامة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بالإسناد عن عبداللّه بن إبراهیم بن محمّد الجعفری،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أتینا خدیجة بنت عمر بن علی بن الحسین بن علی بن أبی طالب نعزّیها بابن بنتها، فوجدنا عندها موسی بن عبداللّه بن الحسن، فإذا هی فی ناحیةٍ قریباً من النساء فعزّیناهم، ثمّ أقبلنا علیه، فإذا هو یقول لابنة أبی‌یشکر الراثیة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فقالت</w:t>
      </w:r>
      <w:r>
        <w:rPr>
          <w:rFonts w:eastAsia="IRNazanin" w:cs="IRNazanin"/>
          <w:color w:val="111111"/>
          <w:sz w:val="28"/>
          <w:szCs w:val="28"/>
          <w:rtl w:val="true"/>
          <w:lang w:bidi="fa-IR"/>
        </w:rPr>
        <w:t xml:space="preserve">: </w:t>
      </w:r>
      <w:bookmarkStart w:id="812" w:name="pg14553_192058"/>
    </w:p>
    <w:p>
      <w:pPr>
        <w:pStyle w:val="BookText"/>
        <w:rPr/>
      </w:pPr>
      <w:bookmarkEnd w:id="812"/>
      <w:r>
        <w:rPr>
          <w:rFonts w:ascii="IRNazanin" w:hAnsi="IRNazanin" w:eastAsia="IRNazanin"/>
          <w:color w:val="111111"/>
          <w:sz w:val="28"/>
          <w:sz w:val="28"/>
          <w:szCs w:val="28"/>
          <w:rtl w:val="true"/>
          <w:lang w:bidi="fa-IR"/>
        </w:rPr>
        <w:t>أعدد رسول اللّه وأعدد بعده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أحسنتِ وأطربتنی، زیدینی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فاندفعت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ومنّا إمام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البیتان</w:t>
      </w:r>
      <w:r>
        <w:rPr>
          <w:rFonts w:eastAsia="IRNazanin" w:cs="IRNazanin"/>
          <w:color w:val="111111"/>
          <w:sz w:val="28"/>
          <w:szCs w:val="28"/>
          <w:rtl w:val="true"/>
          <w:lang w:bidi="fa-IR"/>
        </w:rPr>
        <w:t>) .</w:t>
      </w:r>
    </w:p>
    <w:p>
      <w:pPr>
        <w:pStyle w:val="Heading5"/>
        <w:numPr>
          <w:ilvl w:val="4"/>
          <w:numId w:val="1"/>
        </w:numPr>
        <w:rPr/>
      </w:pPr>
      <w:bookmarkStart w:id="813" w:name="__RefHeading___Toc652267_1878427129"/>
      <w:bookmarkStart w:id="814" w:name="_Toc308"/>
      <w:bookmarkEnd w:id="813"/>
      <w:r>
        <w:rPr/>
        <w:t>30</w:t>
      </w:r>
      <w:r>
        <w:rPr>
          <w:rtl w:val="true"/>
        </w:rPr>
        <w:t>الطویل</w:t>
      </w:r>
      <w:bookmarkEnd w:id="814"/>
    </w:p>
    <w:p>
      <w:pPr>
        <w:pStyle w:val="BookText"/>
        <w:rPr/>
      </w:pPr>
      <w:r>
        <w:rPr>
          <w:rFonts w:ascii="Amiri" w:hAnsi="Amiri" w:eastAsia="Amiri" w:cs="Amiri"/>
          <w:color w:val="111111"/>
          <w:sz w:val="28"/>
          <w:sz w:val="28"/>
          <w:szCs w:val="28"/>
          <w:rtl w:val="true"/>
          <w:lang w:bidi="ar-SA"/>
        </w:rPr>
        <w:t>إذا مَا عَزَمْتَ الیأسَ ألْفَیْتَهُ الغِنی إذا عَرَفَتْهُ النَّفْسُ والطَّمَعَ الفَقْرُ</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الطائی، وهو حاتم بن عبداللّه بن سعد بن الحشرج الطائی القحطانی، أبو عَدیّ، فارس شاعر جواد جاهلی، یضرب المثل بجوده وسخائه، کان من أهل نجد، وزار الشام، فتزوّج ماریة بنت حجر الغسّانیة، ومات فی عوارض، وهو جبل فی بلاد طیّئ، 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وقبر حاتم علیه، وشعر حاتم کثیر، ضاع معظمه، وبقی منه دیوان صغیر مطبوع، وأرّخوا وفاته فی السنة الثامنة بعد مولد النبی صلی الله علیه و آله، أی نحو سنة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الهجرة</w:t>
      </w:r>
      <w:r>
        <w:rPr>
          <w:rFonts w:eastAsia="IRNazanin" w:cs="IRNazanin"/>
          <w:color w:val="111111"/>
          <w:sz w:val="28"/>
          <w:szCs w:val="28"/>
          <w:rtl w:val="true"/>
          <w:lang w:bidi="fa-IR"/>
        </w:rPr>
        <w:t xml:space="preserve">. </w:t>
      </w:r>
      <w:r>
        <w:rPr>
          <w:rStyle w:val="FootnoteAnchor"/>
          <w:rtl w:val="true"/>
        </w:rPr>
        <w:footnoteReference w:id="83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الزرکلی،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الإیمان والکفر باب الاستغناء عن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الزکاة باب کراهیة المسألة، ولم أجده فی دیوانه المطبوع فی دار صادر سنة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ق، وأخرجه المحدّث النوری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والعلامة المجلسی والحرّ العاملی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 عزمت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وعزمت الأمر، أو علی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أردت فعله، وعقدت علیه نیّتک، وفی الجزء الثانی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ما عرفت، وألفیته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والضمیر راجع إلی الیأس، والطمع مرفوع بالابتداء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به الإمام الباقر علیه السلام فی حدیثه عن فضل الیأس ممّا فی أیدی الناس، فقد روی نجم بن حطیم </w:t>
      </w:r>
      <w:r>
        <w:rPr>
          <w:rStyle w:val="FootnoteAnchor"/>
          <w:rtl w:val="true"/>
        </w:rPr>
        <w:footnoteReference w:id="838"/>
      </w:r>
      <w:r>
        <w:rPr>
          <w:rFonts w:ascii="IRNazanin" w:hAnsi="IRNazanin" w:eastAsia="IRNazanin"/>
          <w:color w:val="111111"/>
          <w:sz w:val="28"/>
          <w:sz w:val="28"/>
          <w:szCs w:val="28"/>
          <w:rtl w:val="true"/>
          <w:lang w:bidi="fa-IR"/>
        </w:rPr>
        <w:t>الغنوی، عن أبی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الیأس ممّا فی أیدی الناس عزّ المؤمن فی دینه، أما سمعت قول حاتم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وأنشده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وتمثّل به الإمام الصادق علیه السلام فی حدیثه عن فضل التعفّف والکفّ عن المسألة، فقد </w:t>
      </w:r>
      <w:bookmarkStart w:id="815" w:name="pg14553_192059"/>
    </w:p>
    <w:p>
      <w:pPr>
        <w:pStyle w:val="BookText"/>
        <w:rPr/>
      </w:pPr>
      <w:bookmarkEnd w:id="815"/>
      <w:r>
        <w:rPr>
          <w:rFonts w:ascii="IRNazanin" w:hAnsi="IRNazanin" w:eastAsia="IRNazanin"/>
          <w:color w:val="111111"/>
          <w:sz w:val="28"/>
          <w:sz w:val="28"/>
          <w:szCs w:val="28"/>
          <w:rtl w:val="true"/>
          <w:lang w:bidi="fa-IR"/>
        </w:rPr>
        <w:t>روی الحسین بن أبی العلاء، عن أبی عبداللّه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عفّ وتعفّف، وکفّ عن المسألة، فإنّه یتعجّل الدنیة فی الدنیا، ولا یغنی الناس عنه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تمثّل أبو عبداللّه علیه السلام ببیت حاتم</w:t>
      </w:r>
      <w:r>
        <w:rPr>
          <w:rFonts w:eastAsia="IRNazanin" w:cs="IRNazanin"/>
          <w:color w:val="111111"/>
          <w:sz w:val="28"/>
          <w:szCs w:val="28"/>
          <w:rtl w:val="true"/>
          <w:lang w:bidi="fa-IR"/>
        </w:rPr>
        <w:t>.</w:t>
      </w:r>
    </w:p>
    <w:p>
      <w:pPr>
        <w:pStyle w:val="Heading5"/>
        <w:numPr>
          <w:ilvl w:val="4"/>
          <w:numId w:val="1"/>
        </w:numPr>
        <w:rPr/>
      </w:pPr>
      <w:bookmarkStart w:id="816" w:name="__RefHeading___Toc652269_1878427129"/>
      <w:bookmarkStart w:id="817" w:name="_Toc309"/>
      <w:bookmarkEnd w:id="816"/>
      <w:r>
        <w:rPr/>
        <w:t>31</w:t>
      </w:r>
      <w:r>
        <w:rPr>
          <w:rtl w:val="true"/>
        </w:rPr>
        <w:t>البسیط</w:t>
      </w:r>
      <w:bookmarkEnd w:id="817"/>
    </w:p>
    <w:p>
      <w:pPr>
        <w:pStyle w:val="BookText"/>
        <w:rPr/>
      </w:pPr>
      <w:r>
        <w:rPr>
          <w:rFonts w:ascii="Amiri" w:hAnsi="Amiri" w:eastAsia="Amiri" w:cs="Amiri"/>
          <w:color w:val="111111"/>
          <w:sz w:val="28"/>
          <w:sz w:val="28"/>
          <w:szCs w:val="28"/>
          <w:rtl w:val="true"/>
          <w:lang w:bidi="ar-SA"/>
        </w:rPr>
        <w:t>جِئنی بمِثْلِ بنی بَدْرٍ لقَوْمِهم أو مِثْلَ أُسْرَةِ مَنْظُورِ بن سَیَّار</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بن عطیة بن حذیفة الخَطَفی الکلبی الیربوعی، من تمیم، أشعر أهل عصره، ولد ومات فی الیمامة، وله نقائض مع شعراء عصره کالفرزدق والأخطل، وتوفّی سنة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دیوان شعر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ونقائضه مع الفرزدق مطبوعة بثلاثة أجزاء</w:t>
      </w:r>
      <w:r>
        <w:rPr>
          <w:rFonts w:eastAsia="IRNazanin" w:cs="IRNazanin"/>
          <w:color w:val="111111"/>
          <w:sz w:val="28"/>
          <w:szCs w:val="28"/>
          <w:rtl w:val="true"/>
          <w:lang w:bidi="fa-IR"/>
        </w:rPr>
        <w:t xml:space="preserve">. </w:t>
      </w:r>
      <w:r>
        <w:rPr>
          <w:rStyle w:val="FootnoteAnchor"/>
          <w:rtl w:val="true"/>
        </w:rPr>
        <w:footnoteReference w:id="83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الأعلام الزرکلی،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الوضوء، وهو من شواهد سیبویه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وأورده الأعلم الشنتمری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والمبرد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وإیلیا الحاوی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دیوان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البیت من قصیدة تقع فی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مطلعها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 المقام وحیّوا ساکن الدار ما کدت تعرف إلا بعد إنکار</w:t>
      </w:r>
    </w:p>
    <w:p>
      <w:pPr>
        <w:pStyle w:val="BookText"/>
        <w:rPr/>
      </w:pPr>
      <w:r>
        <w:rPr>
          <w:rFonts w:ascii="IRNazanin" w:hAnsi="IRNazanin" w:eastAsia="IRNazanin"/>
          <w:color w:val="111111"/>
          <w:sz w:val="28"/>
          <w:sz w:val="28"/>
          <w:szCs w:val="28"/>
          <w:rtl w:val="true"/>
          <w:lang w:bidi="fa-IR"/>
        </w:rPr>
        <w:t>وکان یخاطب فیها الفرزدق، ویفتخر علیه بسادات قیس لأنّهم أخوال جریر، فبنو بدر من فزارة، وفیهم شرف قیس عیلان، وبنو سیار من سادات فزارة أیضاً، وفزارة بن ذبیان من قیس، وأسرة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رَهْطهُ الأدنون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بالنصب عطفاً علی موضع الباء وما عملت فیه، وهو ما یقال له العطف علی المعنی، لأنّ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 بمثل بنی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هاتنی، أو أعطنی مثلهم،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مثلَ بنی بدرٍ، أو مثلَ أُسرة منظور</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استشهد به الشیخ خلال حدیثه عن فرض الأرجل فی الوضوء علی ضوء الآیة المبارکة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اِمْسَحُوا بِرُؤُسِکُمْ وَ أَرْجُلَکُمْ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قراءة نصب الأرجل عطفاً علی محلّ </w:t>
      </w:r>
      <w:bookmarkStart w:id="818" w:name="pg14553_192060"/>
    </w:p>
    <w:p>
      <w:pPr>
        <w:pStyle w:val="BookText"/>
        <w:rPr/>
      </w:pPr>
      <w:bookmarkEnd w:id="818"/>
      <w:r>
        <w:rPr>
          <w:rFonts w:ascii="IRNazanin" w:hAnsi="IRNazanin" w:eastAsia="IRNazanin"/>
          <w:color w:val="111111"/>
          <w:sz w:val="28"/>
          <w:sz w:val="28"/>
          <w:szCs w:val="28"/>
          <w:rtl w:val="true"/>
          <w:lang w:bidi="fa-IR"/>
        </w:rPr>
        <w:t>الرؤوس، لأنّها مجرورة لفظاً منصوبة محلاً، وعلیه فالقراءة مقتضیة للمسح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والعطف علی الموضع جائز مشهور فی کلام العرب، ثمّ أورد عدّة شواهد قرآنیة وشعریة،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سوّغوا ما هو أبعد من هذا، لأنّهم عطفوا علی المعنی، وإن کان اللفظ لا یقتضیه، مثل قول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وأنشد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هات مثلهم، أو أعطنی مثلهم،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عطفاً علی المعنی</w:t>
      </w:r>
      <w:r>
        <w:rPr>
          <w:rFonts w:eastAsia="IRNazanin" w:cs="IRNazanin"/>
          <w:color w:val="111111"/>
          <w:sz w:val="28"/>
          <w:szCs w:val="28"/>
          <w:rtl w:val="true"/>
          <w:lang w:bidi="fa-IR"/>
        </w:rPr>
        <w:t>.</w:t>
      </w:r>
    </w:p>
    <w:p>
      <w:pPr>
        <w:pStyle w:val="Heading4"/>
        <w:numPr>
          <w:ilvl w:val="3"/>
          <w:numId w:val="1"/>
        </w:numPr>
        <w:rPr/>
      </w:pPr>
      <w:bookmarkStart w:id="819" w:name="__RefHeading___Toc652271_1878427129"/>
      <w:bookmarkStart w:id="820" w:name="_Toc310"/>
      <w:bookmarkEnd w:id="819"/>
      <w:r>
        <w:rPr>
          <w:rtl w:val="true"/>
        </w:rPr>
        <w:t>قافیة السین</w:t>
      </w:r>
      <w:bookmarkEnd w:id="820"/>
    </w:p>
    <w:p>
      <w:pPr>
        <w:pStyle w:val="Heading5"/>
        <w:numPr>
          <w:ilvl w:val="4"/>
          <w:numId w:val="1"/>
        </w:numPr>
        <w:rPr/>
      </w:pPr>
      <w:bookmarkStart w:id="821" w:name="__RefHeading___Toc652273_1878427129"/>
      <w:bookmarkStart w:id="822" w:name="_Toc311"/>
      <w:bookmarkEnd w:id="821"/>
      <w:r>
        <w:rPr/>
        <w:t>32</w:t>
      </w:r>
      <w:r>
        <w:rPr>
          <w:rtl w:val="true"/>
        </w:rPr>
        <w:t>الکامل</w:t>
      </w:r>
      <w:bookmarkEnd w:id="822"/>
    </w:p>
    <w:p>
      <w:pPr>
        <w:pStyle w:val="BookText"/>
        <w:rPr/>
      </w:pPr>
      <w:r>
        <w:rPr>
          <w:rFonts w:ascii="Amiri" w:hAnsi="Amiri" w:eastAsia="Amiri" w:cs="Amiri"/>
          <w:color w:val="111111"/>
          <w:sz w:val="28"/>
          <w:sz w:val="28"/>
          <w:szCs w:val="28"/>
          <w:rtl w:val="true"/>
          <w:lang w:bidi="ar-SA"/>
        </w:rPr>
        <w:t>أعْدُدْ رسولَ اللهِ وأعْدُدْ بَعدهُ</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أبی یشکُر الرائیة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الحجّة باب ما یفصل به بین دعوی المحقّ والمبطل فی أمر الإمامة</w:t>
      </w:r>
      <w:r>
        <w:rPr>
          <w:rFonts w:eastAsia="IRNazanin" w:cs="IRNazanin"/>
          <w:color w:val="111111"/>
          <w:sz w:val="28"/>
          <w:szCs w:val="28"/>
          <w:rtl w:val="true"/>
          <w:lang w:bidi="fa-IR"/>
        </w:rPr>
        <w:t xml:space="preserve">. </w:t>
      </w:r>
      <w:r>
        <w:rPr>
          <w:rStyle w:val="FootnoteAnchor"/>
          <w:rtl w:val="true"/>
        </w:rPr>
        <w:footnoteReference w:id="8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أبو الفرج الأصفهانی،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والشعراء ابن قتیبة،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معجم ما استعجم البکری،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الأعلام الزرکلی،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عمّ الرسول الأکرم صلی الله علیه و آله، وعلیّ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أمیرالمؤمنین علی بن أبی طالب علیه السلام مصدر الخیرات والفضائل، والرؤّاس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البیتان فی أوّل حدیث طویل تضمّن فصلاً من احتجاجات الإمام الصادق علیه السلام علی أولاد عمّه من بنی الحسن علیه السلام فی أمر الإمامة، وقد ذکرنا مناسبة البیتین فی الشاهد رقم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p>
    <w:p>
      <w:pPr>
        <w:pStyle w:val="Heading4"/>
        <w:numPr>
          <w:ilvl w:val="3"/>
          <w:numId w:val="1"/>
        </w:numPr>
        <w:rPr/>
      </w:pPr>
      <w:bookmarkStart w:id="823" w:name="__RefHeading___Toc652275_1878427129"/>
      <w:bookmarkStart w:id="824" w:name="_Toc312"/>
      <w:bookmarkEnd w:id="823"/>
      <w:r>
        <w:rPr>
          <w:rtl w:val="true"/>
        </w:rPr>
        <w:t>قافیة العین</w:t>
      </w:r>
      <w:bookmarkEnd w:id="824"/>
    </w:p>
    <w:p>
      <w:pPr>
        <w:pStyle w:val="Heading5"/>
        <w:numPr>
          <w:ilvl w:val="4"/>
          <w:numId w:val="1"/>
        </w:numPr>
        <w:rPr/>
      </w:pPr>
      <w:bookmarkStart w:id="825" w:name="__RefHeading___Toc652277_1878427129"/>
      <w:bookmarkStart w:id="826" w:name="_Toc313"/>
      <w:bookmarkEnd w:id="825"/>
      <w:r>
        <w:rPr/>
        <w:t>33</w:t>
      </w:r>
      <w:r>
        <w:rPr>
          <w:rtl w:val="true"/>
        </w:rPr>
        <w:t>البسیط</w:t>
      </w:r>
      <w:bookmarkEnd w:id="826"/>
    </w:p>
    <w:p>
      <w:pPr>
        <w:pStyle w:val="BookText"/>
        <w:rPr/>
      </w:pPr>
      <w:r>
        <w:rPr>
          <w:rFonts w:ascii="Amiri" w:hAnsi="Amiri" w:eastAsia="Amiri" w:cs="Amiri"/>
          <w:color w:val="111111"/>
          <w:sz w:val="28"/>
          <w:sz w:val="28"/>
          <w:szCs w:val="28"/>
          <w:rtl w:val="true"/>
          <w:lang w:bidi="ar-SA"/>
        </w:rPr>
        <w:t xml:space="preserve">فَقد أظَلّکُمُ مِنْ شَطْرِ ثَغْرِکُم هَولٌ لهُ ظُلَمٌ تَغْشَاکُمُ </w:t>
      </w:r>
      <w:r>
        <w:rPr>
          <w:rStyle w:val="FootnoteAnchor"/>
          <w:rtl w:val="true"/>
        </w:rPr>
        <w:footnoteReference w:id="842"/>
      </w:r>
      <w:r>
        <w:rPr>
          <w:rFonts w:ascii="Amiri" w:hAnsi="Amiri" w:eastAsia="Amiri" w:cs="Amiri"/>
          <w:color w:val="111111"/>
          <w:sz w:val="28"/>
          <w:sz w:val="28"/>
          <w:szCs w:val="28"/>
          <w:rtl w:val="true"/>
          <w:lang w:bidi="ar-SA"/>
        </w:rPr>
        <w:t>قِطَعا</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لقیط بن یعمر بن خارجة الإیادی، شاعر جاهلی فحل، من أهل الحیرة، اتّصل بکسری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الأکتاف فقرّبه، ثمّ أنّه نقم علیه فقتله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التخریح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باب القبلة، وأورده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والشیخ المفید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والقرطبی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یصف فیه جیش کسری، وهو من قصیدةٍ بعث بها الشاعر إلی قومه بنی‌إیاد ینذرهم بأنّ کسری وجّه جیشاً لغزوهم، وسقطت القصیدة فی یدٍ أوصلتها إلی کسری، فسخط علیه وقطع لسانه ثمّ قتله، والقصیدة من غرر الشعر العربی الجاهلی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النحو أو الجهة، والثغر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یُخاف هجوم العدو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الفَزَع والأمر الشدید، ویرید به الجیش المعادی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الشاهد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شطر ثغرکم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نحوه، وقد استشهد به الشیخ الطوسی ومن قبله الشیخ المفید علی أنّ المراد بالشطر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وَجْهَکَ شَطْرَ اَلْمَسْجِدِ اَلْحَرامِ</w:t>
      </w:r>
      <w:r>
        <w:rPr>
          <w:rFonts w:eastAsia="Amiri" w:cs="Amiri" w:ascii="Amiri" w:hAnsi="Amiri"/>
          <w:color w:val="111111"/>
          <w:sz w:val="28"/>
          <w:szCs w:val="28"/>
          <w:rtl w:val="true"/>
          <w:lang w:bidi="ar-SA"/>
        </w:rPr>
        <w:t xml:space="preserve">» </w:t>
      </w:r>
      <w:r>
        <w:rPr>
          <w:rStyle w:val="FootnoteAnchor"/>
          <w:rtl w:val="true"/>
        </w:rPr>
        <w:footnoteReference w:id="843"/>
      </w:r>
      <w:r>
        <w:rPr>
          <w:rFonts w:ascii="IRNazanin" w:hAnsi="IRNazanin" w:eastAsia="IRNazanin"/>
          <w:color w:val="111111"/>
          <w:sz w:val="28"/>
          <w:sz w:val="28"/>
          <w:szCs w:val="28"/>
          <w:rtl w:val="true"/>
          <w:lang w:bidi="fa-IR"/>
        </w:rPr>
        <w:t>هو النحو،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فأوجب اللّه تعالی بظاهر اللفظ التوجّه نحو المسجد الحرام لمن نأی عن المسجد الحرام، والمراد بالشطر هاهنا النحو، قال لقیط الإیادی،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وأنشد البیت</w:t>
      </w:r>
      <w:r>
        <w:rPr>
          <w:rFonts w:eastAsia="IRNazanin" w:cs="IRNazanin"/>
          <w:color w:val="111111"/>
          <w:sz w:val="28"/>
          <w:szCs w:val="28"/>
          <w:rtl w:val="true"/>
          <w:lang w:bidi="fa-IR"/>
        </w:rPr>
        <w:t>) .</w:t>
      </w:r>
    </w:p>
    <w:p>
      <w:pPr>
        <w:pStyle w:val="Heading5"/>
        <w:numPr>
          <w:ilvl w:val="4"/>
          <w:numId w:val="1"/>
        </w:numPr>
        <w:rPr/>
      </w:pPr>
      <w:bookmarkStart w:id="827" w:name="__RefHeading___Toc652279_1878427129"/>
      <w:bookmarkStart w:id="828" w:name="_Toc314"/>
      <w:bookmarkEnd w:id="827"/>
      <w:r>
        <w:rPr/>
        <w:t>34</w:t>
      </w:r>
      <w:r>
        <w:rPr>
          <w:rtl w:val="true"/>
        </w:rPr>
        <w:t>الطویل</w:t>
      </w:r>
      <w:bookmarkEnd w:id="828"/>
    </w:p>
    <w:p>
      <w:pPr>
        <w:pStyle w:val="BookText"/>
        <w:rPr/>
      </w:pPr>
      <w:r>
        <w:rPr>
          <w:rFonts w:ascii="Amiri" w:hAnsi="Amiri" w:eastAsia="Amiri" w:cs="Amiri"/>
          <w:color w:val="111111"/>
          <w:sz w:val="28"/>
          <w:sz w:val="28"/>
          <w:szCs w:val="28"/>
          <w:rtl w:val="true"/>
          <w:lang w:bidi="ar-SA"/>
        </w:rPr>
        <w:t>فلا یَعْدُوَنْ سِرّی وسِرُّکِ ثالثاً ألا کلُّ سِرٍّ جاوزَ اثنین شائعُ</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بن عبداللّه بن معمر العذری القُضاعی، أبو عمرو، المعروف بجمیل بُثَیْنَة، وبثینة محبوبته، شاعر من العشّاق، شعره یذوب رقّة، وأکثره فی النسیب والغزل والفخر، قصد مصر فی أواخر حیاته، وافداً علی عبدالعزیز بن مروان، فأکرمه وأمر له بمنزل فأقام به قلیلاً، ومات فیه سنة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844"/>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الإیمان والکفر باب الکتمان، وأورده الرازی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والمبرد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 xml:space="preserve">) .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اتصل بکسری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الأکتاف فقربه، ثم أنه نقم علیه فقتله</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التخریح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کتاب الصلاة باب القبلة، وأورده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والشیخ المفید فی المقنعة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والقرطبی فی التفسیر</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یصف فیه جیش کسری، وهو من قصیدة بعث بها الشاعر إلی قومه بنی إیاد ینذرهم بأن کسری وجه جیشا لغزوهم، وسقطت القصیدة فی ید أوصلتها إلی کسری، فسخط علیه وقطع لسانه ثم قتله، والقصیدة من غرر الشعر العربی الجاهلی، الشطر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النحو أو الجهة، والثغر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یخاف هجوم العدو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والأمر الشدید، ویرید به الجیش المعادی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الشاهد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شطر ثغرکم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نحوه، وقد استشهد به الشیخ الطوسی ومن قبله الشیخ المفید علی أن المراد بالشطر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وَجْهَکَ شَطْرَ الْمَسْجِدِ الْحَرَامِ</w:t>
      </w:r>
      <w:r>
        <w:rPr>
          <w:rFonts w:eastAsia="Amiri" w:cs="Amiri" w:ascii="Amiri" w:hAnsi="Amiri"/>
          <w:color w:val="111111"/>
          <w:sz w:val="28"/>
          <w:szCs w:val="28"/>
          <w:rtl w:val="true"/>
          <w:lang w:bidi="ar-SA"/>
        </w:rPr>
        <w:t>»)</w:t>
      </w:r>
      <w:r>
        <w:rPr>
          <w:rStyle w:val="FootnoteAnchor"/>
          <w:rtl w:val="true"/>
        </w:rPr>
        <w:footnoteReference w:id="848"/>
      </w:r>
      <w:r>
        <w:rPr>
          <w:rFonts w:ascii="IRNazanin" w:hAnsi="IRNazanin" w:eastAsia="IRNazanin"/>
          <w:color w:val="111111"/>
          <w:sz w:val="28"/>
          <w:sz w:val="28"/>
          <w:szCs w:val="28"/>
          <w:rtl w:val="true"/>
          <w:lang w:bidi="fa-IR"/>
        </w:rPr>
        <w:t>هو النحو،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فأوجب الله تعالی بظاهر اللفظ التوجه نحو المسجد الحرام لمن نأی عن المسجد الحرام، والمراد بالشطر هاهنا النحو، قال لقیط الإیادی،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وأنشد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الطویل</w:t>
      </w:r>
    </w:p>
    <w:p>
      <w:pPr>
        <w:pStyle w:val="BookText"/>
        <w:rPr/>
      </w:pPr>
      <w:r>
        <w:rPr>
          <w:rFonts w:ascii="IRNazanin" w:hAnsi="IRNazanin" w:eastAsia="IRNazanin"/>
          <w:color w:val="111111"/>
          <w:sz w:val="28"/>
          <w:sz w:val="28"/>
          <w:szCs w:val="28"/>
          <w:rtl w:val="true"/>
          <w:lang w:bidi="fa-IR"/>
        </w:rPr>
        <w:t>فلا یعدون سری وسیک ثالثا</w:t>
      </w:r>
    </w:p>
    <w:p>
      <w:pPr>
        <w:pStyle w:val="BookText"/>
        <w:rPr/>
      </w:pPr>
      <w:r>
        <w:rPr>
          <w:rFonts w:ascii="IRNazanin" w:hAnsi="IRNazanin" w:eastAsia="IRNazanin"/>
          <w:color w:val="111111"/>
          <w:sz w:val="28"/>
          <w:sz w:val="28"/>
          <w:szCs w:val="28"/>
          <w:rtl w:val="true"/>
          <w:lang w:bidi="fa-IR"/>
        </w:rPr>
        <w:t>اَلا کُل سر جاوز اثنین شائع</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بن عبدالله بن معمر العذری القضاعی، أبو عمرو، المعروف بجمیل بیئة، وبثینة محبوبته، شاعر من العشاق، شعره یذوب رقة، وأکثره فی النسیب والغزل والفخر، قصد مصر فی أواخر حیاته، وافدة علی عبدالعزیز بن مروان، فأکرمه وأمر له بمنزل فأقام به قلیلا، ومات فیه سنة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849"/>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الإیمان والکفر باب الکتمان، وأورده الرازی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والمبرد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w:t>
      </w:r>
      <w:r>
        <w:rPr>
          <w:rStyle w:val="FootnoteAnchor"/>
          <w:rtl w:val="true"/>
        </w:rPr>
        <w:footnoteReference w:id="850"/>
      </w:r>
      <w:bookmarkStart w:id="829" w:name="pg14553_192062"/>
    </w:p>
    <w:p>
      <w:pPr>
        <w:pStyle w:val="BookText"/>
        <w:rPr/>
      </w:pPr>
      <w:bookmarkEnd w:id="829"/>
      <w:r>
        <w:rPr>
          <w:rFonts w:ascii="IRNazanin" w:hAnsi="IRNazanin" w:eastAsia="IRNazanin"/>
          <w:color w:val="111111"/>
          <w:sz w:val="28"/>
          <w:sz w:val="28"/>
          <w:szCs w:val="28"/>
          <w:rtl w:val="true"/>
          <w:lang w:bidi="fa-IR"/>
        </w:rPr>
        <w:t>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أنشده الإمام الصادق علیه السلام خلال حدیثه مع أحد أصحابه والذی یتضمّن استحباب کتمان السرّ، عن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أخبرت بما أخبرتک به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سلیمان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 أما سمعت 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حُمِل علی ظاهره ففیه مدح لسلیمان بن خالد، وإن حُمِل علی التهکّم فلیس کذلک، وهو أوفق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سمعت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لأنّ سلیمان کان ثالثاً</w:t>
      </w:r>
      <w:r>
        <w:rPr>
          <w:rFonts w:eastAsia="IRNazanin" w:cs="IRNazanin"/>
          <w:color w:val="111111"/>
          <w:sz w:val="28"/>
          <w:szCs w:val="28"/>
          <w:rtl w:val="true"/>
          <w:lang w:bidi="fa-IR"/>
        </w:rPr>
        <w:t xml:space="preserve">. </w:t>
      </w:r>
      <w:r>
        <w:rPr>
          <w:rStyle w:val="FootnoteAnchor"/>
          <w:rtl w:val="true"/>
        </w:rPr>
        <w:footnoteReference w:id="8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830" w:name="__RefHeading___Toc652281_1878427129"/>
      <w:bookmarkStart w:id="831" w:name="_Toc315"/>
      <w:bookmarkEnd w:id="830"/>
      <w:r>
        <w:rPr>
          <w:rtl w:val="true"/>
        </w:rPr>
        <w:t>قافیة القاف</w:t>
      </w:r>
      <w:bookmarkEnd w:id="831"/>
    </w:p>
    <w:p>
      <w:pPr>
        <w:pStyle w:val="Heading5"/>
        <w:numPr>
          <w:ilvl w:val="4"/>
          <w:numId w:val="1"/>
        </w:numPr>
        <w:rPr/>
      </w:pPr>
      <w:bookmarkStart w:id="832" w:name="__RefHeading___Toc652283_1878427129"/>
      <w:bookmarkStart w:id="833" w:name="_Toc316"/>
      <w:bookmarkEnd w:id="832"/>
      <w:r>
        <w:rPr/>
        <w:t>35</w:t>
      </w:r>
      <w:r>
        <w:rPr>
          <w:rtl w:val="true"/>
        </w:rPr>
        <w:t>البسیط</w:t>
      </w:r>
      <w:bookmarkEnd w:id="833"/>
    </w:p>
    <w:p>
      <w:pPr>
        <w:pStyle w:val="BookText"/>
        <w:rPr/>
      </w:pPr>
      <w:r>
        <w:rPr>
          <w:rFonts w:ascii="Amiri" w:hAnsi="Amiri" w:eastAsia="Amiri" w:cs="Amiri"/>
          <w:color w:val="111111"/>
          <w:sz w:val="28"/>
          <w:sz w:val="28"/>
          <w:szCs w:val="28"/>
          <w:rtl w:val="true"/>
          <w:lang w:bidi="ar-SA"/>
        </w:rPr>
        <w:t>هَلْ أنتَ باعثُ دینارٍ لحاجتِنا أو عَبْدَ ربٍّ أخا عَون بن مِخْراقِ</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هذا البیت إلی جریر، وإلی تأبّط شرّاً، وإلی جابر بن رألان السنبسی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صفة الوضوء، وهو من شواهد سیبویه فی الکتاب، وأورده أبو علی الفارسی، والفخر الرازی، والسید المرتضی والمبرّد، والزمخشری، والمقداد السیوری، والبغدادی وغیرهم</w:t>
      </w:r>
      <w:r>
        <w:rPr>
          <w:rFonts w:eastAsia="IRNazanin" w:cs="IRNazanin"/>
          <w:color w:val="111111"/>
          <w:sz w:val="28"/>
          <w:szCs w:val="28"/>
          <w:rtl w:val="true"/>
          <w:lang w:bidi="fa-IR"/>
        </w:rPr>
        <w:t xml:space="preserve">. </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استبطائی فیه حثّ علی العمل، قال الزمخشری عند تفسیر الآیة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أنتم مجتمعون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استبطاء لهم فی الاجتماع، والمراد منه استعجالهم واستحثاثهم، کما یقول الرجل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أنت منطلق؟ إذا أراد أن یحرّک منه ویحثّه علی الانطلاق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أنت باعثُ دینارٍ، أی ابعثه سریعاً ولا تبطئ به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وباعث هنا بمعنی مرسل، ویأتی بمعنی موقظ، والأوّل أحسن إذ لا دلیل علی النوم فی البیت، ودینار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أن یکون أراد أحد الدنانیر، أو أن یکون أراد </w:t>
      </w:r>
      <w:bookmarkStart w:id="834" w:name="pg14553_192063"/>
    </w:p>
    <w:p>
      <w:pPr>
        <w:pStyle w:val="BookText"/>
        <w:rPr/>
      </w:pPr>
      <w:bookmarkEnd w:id="834"/>
      <w:r>
        <w:rPr>
          <w:rFonts w:ascii="IRNazanin" w:hAnsi="IRNazanin" w:eastAsia="IRNazanin"/>
          <w:color w:val="111111"/>
          <w:sz w:val="28"/>
          <w:sz w:val="28"/>
          <w:szCs w:val="28"/>
          <w:rtl w:val="true"/>
          <w:lang w:bidi="fa-IR"/>
        </w:rPr>
        <w:t>رجلاً یقال له دینار، وعبد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رجل، وأخا 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نعت له،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ویروی عوف بالفاء، وعون ومخراق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اسمان 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عبدَ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عطفاً علی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دیناراً، وقد استشهد به الشیخ الطوسی لهذا الغرض، وذلک خلال حدیثه عن فرض الأرجل فی الوضوء علی ضوء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 بِرُؤُسِکُمْ وَ أَرْجُلَکُمْ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قراءة نصب الأرجل عطفاً علی محلّ الرؤوس، لأنّها مجرورة لفظاً منصوبة محلاً، وعلیه فالقراءة مقتضیة للمسح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والعطف علی الموضع جائز مشهور فی کلام العرب، ثمّ أورد عدّة شواهد قرآنیة وشعریة، منها هذا البیت،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 حقّ الکلام أن یکون باعث دیناراً، فحمله علی الموضع لا اللفظ</w:t>
      </w:r>
      <w:r>
        <w:rPr>
          <w:rFonts w:eastAsia="IRNazanin" w:cs="IRNazanin"/>
          <w:color w:val="111111"/>
          <w:sz w:val="28"/>
          <w:szCs w:val="28"/>
          <w:rtl w:val="true"/>
          <w:lang w:bidi="fa-IR"/>
        </w:rPr>
        <w:t>.</w:t>
      </w:r>
    </w:p>
    <w:p>
      <w:pPr>
        <w:pStyle w:val="Heading4"/>
        <w:numPr>
          <w:ilvl w:val="3"/>
          <w:numId w:val="1"/>
        </w:numPr>
        <w:rPr/>
      </w:pPr>
      <w:bookmarkStart w:id="835" w:name="__RefHeading___Toc652285_1878427129"/>
      <w:bookmarkStart w:id="836" w:name="_Toc317"/>
      <w:bookmarkEnd w:id="835"/>
      <w:r>
        <w:rPr>
          <w:rtl w:val="true"/>
        </w:rPr>
        <w:t>قافیة اللام</w:t>
      </w:r>
      <w:bookmarkEnd w:id="836"/>
    </w:p>
    <w:p>
      <w:pPr>
        <w:pStyle w:val="Heading5"/>
        <w:numPr>
          <w:ilvl w:val="4"/>
          <w:numId w:val="1"/>
        </w:numPr>
        <w:rPr/>
      </w:pPr>
      <w:bookmarkStart w:id="837" w:name="__RefHeading___Toc652287_1878427129"/>
      <w:bookmarkStart w:id="838" w:name="_Toc318"/>
      <w:bookmarkEnd w:id="837"/>
      <w:r>
        <w:rPr/>
        <w:t>36</w:t>
      </w:r>
      <w:r>
        <w:rPr>
          <w:rtl w:val="true"/>
        </w:rPr>
        <w:t>الرجز</w:t>
      </w:r>
      <w:bookmarkEnd w:id="838"/>
    </w:p>
    <w:p>
      <w:pPr>
        <w:pStyle w:val="BookText"/>
        <w:rPr/>
      </w:pPr>
      <w:r>
        <w:rPr>
          <w:rFonts w:ascii="Amiri" w:hAnsi="Amiri" w:eastAsia="Amiri" w:cs="Amiri"/>
          <w:color w:val="111111"/>
          <w:sz w:val="28"/>
          <w:sz w:val="28"/>
          <w:szCs w:val="28"/>
          <w:rtl w:val="true"/>
          <w:lang w:bidi="ar-SA"/>
        </w:rPr>
        <w:t xml:space="preserve">أوْرَدَها سَعْدٌ وسَعْدٌ مُشْتمِلْ </w:t>
      </w:r>
      <w:r>
        <w:rPr>
          <w:rStyle w:val="FootnoteAnchor"/>
          <w:rtl w:val="true"/>
        </w:rPr>
        <w:footnoteReference w:id="853"/>
      </w:r>
      <w:r>
        <w:rPr>
          <w:rFonts w:ascii="Amiri" w:hAnsi="Amiri" w:eastAsia="Amiri" w:cs="Amiri"/>
          <w:color w:val="111111"/>
          <w:sz w:val="28"/>
          <w:sz w:val="28"/>
          <w:szCs w:val="28"/>
          <w:rtl w:val="true"/>
          <w:lang w:bidi="ar-SA"/>
        </w:rPr>
        <w:t>ما هکذا تُورَدُ یا سَعْدُ الإبلْ</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زید مناة بن تمیم، من عدنان، جدّ جاهلی، بنوه ربیعة الکبری، وهو أخو سعد بن زید مناة، وفیهما یقول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وأورثنی الفرعان سعدٌ ومالکٌ سناءً وعزّاً فی الحیاة مخلّدا</w:t>
      </w:r>
    </w:p>
    <w:p>
      <w:pPr>
        <w:pStyle w:val="BookText"/>
        <w:rPr/>
      </w:pPr>
      <w:r>
        <w:rPr>
          <w:rFonts w:ascii="IRNazanin" w:hAnsi="IRNazanin" w:eastAsia="IRNazanin"/>
          <w:color w:val="111111"/>
          <w:sz w:val="28"/>
          <w:sz w:val="28"/>
          <w:szCs w:val="28"/>
          <w:rtl w:val="true"/>
          <w:lang w:bidi="fa-IR"/>
        </w:rPr>
        <w:t>وکان مالک سید تمیم فی عصره بدیار مضر، وهو معدود فی الحمقی الأشراف</w:t>
      </w:r>
      <w:r>
        <w:rPr>
          <w:rFonts w:eastAsia="IRNazanin" w:cs="IRNazanin"/>
          <w:color w:val="111111"/>
          <w:sz w:val="28"/>
          <w:szCs w:val="28"/>
          <w:rtl w:val="true"/>
          <w:lang w:bidi="fa-IR"/>
        </w:rPr>
        <w:t xml:space="preserve">. </w:t>
      </w:r>
      <w:r>
        <w:rPr>
          <w:rStyle w:val="FootnoteAnchor"/>
          <w:rtl w:val="true"/>
        </w:rPr>
        <w:footnoteReference w:id="854"/>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الدیات باب النوادر، والبیت من الأمثال، أورده أبو هلال العسکری، والزمخشری، وابن منظور، والرازی، وأبو عبید، والمیدانی، وابن شهر آشوب وغیرهم</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أدخلها شریعة الماء، وسعد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زید مناة، أخو قائل البیت، وکان أخوه مالک آبل أهل زمانه، حتی قیل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آبل من مالک، ثمّ إنّه تزوّج وبنی بامرأته، فأورد أخوه سعد الإبل شریعة الماء، ولم یحسن القیام علیها والرفق بها، حیث اشتمل بکسائه ونام وإبله فی الورد، فقال مالک هذا البیت، وذهب مثلاً لمن قصّر فی الأمر إیثاراً للراحة علی المشقّة،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یرید إدارک المراد بلا تعب ولا 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أی متلفّف،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اشتمل الرجل بثوبه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تلفّف به وأداره علی جسده کلّه حتی لا تخرج منه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به أمیر المؤمنین علیه السلام حین رفعت قضیّةٌ إلی شریح القاضی فلم یستقصِ فیها، بل اقتصر علی طلب البیّنة، فقد روی بالإسناد عن الأصبغ بن نباته،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قضی أمیر المؤمنین علیه السلام فاستقبله شاب یبکی وحوله قوم یسکّتونه، فلمّا رأی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شریحاً قضی علیّ قضیة ما أدری 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النفر خرجوا بأبی معهم فی سفر، فرجعوا ولم یرجع، فسألتهم عنه،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فسألتهم عن ماله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 مالاً، فقدّمتهم إلی شریح فاستحلفهم، وقد علمت أنّ أبی خرج ومع مال کثیر، فقال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فرجعوا، وعلی علیه السلام یقول هذا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یغنی قضاؤک یا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لأحکمنّ فیهم بحکم ما حکم به أحد قبلی إلا داود النبی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إلی آخر الحدیث، وفیه أنّه علیه السلام فرّق بین الخصوم، فکان أوّل من فرّق بینهم فی تاریخ الإسلام، ثمّ دعاهم فرادی، حتی أقرّوا بالقتل، فألزمهم المال والدم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الحدیث مختصراً المیدانی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Style w:val="FootnoteAnchor"/>
          <w:rtl w:val="true"/>
        </w:rPr>
        <w:footnoteReference w:id="8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الأمثال المیدانی،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وأبو هلال العسکری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جمهرة الأمثال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أنّه قصّر ولم یستقصِ، کتقصیر صاحب الإبل فی ترکها، واشتماله ونومه</w:t>
      </w:r>
      <w:r>
        <w:rPr>
          <w:rFonts w:eastAsia="IRNazanin" w:cs="IRNazanin"/>
          <w:color w:val="111111"/>
          <w:sz w:val="28"/>
          <w:szCs w:val="28"/>
          <w:rtl w:val="true"/>
          <w:lang w:bidi="fa-IR"/>
        </w:rPr>
        <w:t>.</w:t>
      </w:r>
      <w:bookmarkStart w:id="839" w:name="pg14553_192065"/>
    </w:p>
    <w:p>
      <w:pPr>
        <w:pStyle w:val="BookText"/>
        <w:rPr/>
      </w:pPr>
      <w:bookmarkEnd w:id="839"/>
      <w:r>
        <w:rPr>
          <w:rFonts w:ascii="IRNazanin" w:hAnsi="IRNazanin" w:eastAsia="IRNazanin"/>
          <w:color w:val="111111"/>
          <w:sz w:val="28"/>
          <w:sz w:val="28"/>
          <w:szCs w:val="28"/>
          <w:rtl w:val="true"/>
          <w:lang w:bidi="fa-IR"/>
        </w:rPr>
        <w:t>والحدیث مرویّ عن أبی جعفر الباقر علیه السلام بتفصیل أکثر فی کثیر من مصادر الحدیث</w:t>
      </w:r>
      <w:r>
        <w:rPr>
          <w:rFonts w:eastAsia="IRNazanin" w:cs="IRNazanin"/>
          <w:color w:val="111111"/>
          <w:sz w:val="28"/>
          <w:szCs w:val="28"/>
          <w:rtl w:val="true"/>
          <w:lang w:bidi="fa-IR"/>
        </w:rPr>
        <w:t xml:space="preserve">. </w:t>
      </w:r>
      <w:r>
        <w:rPr>
          <w:rStyle w:val="FootnoteAnchor"/>
          <w:rtl w:val="true"/>
        </w:rPr>
        <w:footnoteReference w:id="85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التهذیب،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 xml:space="preserve">؛ المناقب ابن شهر آشوب،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الإرشاد المفید،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الوسائل الحرّ العاملی، ج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840" w:name="__RefHeading___Toc652289_1878427129"/>
      <w:bookmarkStart w:id="841" w:name="_Toc319"/>
      <w:bookmarkEnd w:id="840"/>
      <w:r>
        <w:rPr/>
        <w:t>37</w:t>
      </w:r>
      <w:r>
        <w:rPr>
          <w:rtl w:val="true"/>
        </w:rPr>
        <w:t>الکامل</w:t>
      </w:r>
      <w:bookmarkEnd w:id="841"/>
    </w:p>
    <w:p>
      <w:pPr>
        <w:pStyle w:val="BookText"/>
        <w:rPr/>
      </w:pPr>
      <w:r>
        <w:rPr>
          <w:rFonts w:ascii="Amiri" w:hAnsi="Amiri" w:eastAsia="Amiri" w:cs="Amiri"/>
          <w:color w:val="111111"/>
          <w:sz w:val="28"/>
          <w:sz w:val="28"/>
          <w:szCs w:val="28"/>
          <w:rtl w:val="true"/>
          <w:lang w:bidi="ar-SA"/>
        </w:rPr>
        <w:t>أنْعِقْ بضَأنِکَ یا جَریرُ فإنّما مَنّتکَ نَفْسُکَ فی الخَلاءِ ضَلالا</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الأخطل، وهو غیاث بن غوث بن الصلت التغلبی النصرانی، والأخطل لقبه، مشتق من الخَطَل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استرخاء الاُذنین،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لقّبه به کعب بن جُعیل الشاعر لبذاء ته وسلاطة لسانه، ونشأ الأخطل فی أطراف الحیرة علی النصرانیة ومات علیها، وکان منقطعاً إلی حکّام بنی أمیّة، مقدّماً عندهم، فقد مدح معاویة وابنه یزید، وهجا الأنصار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بسببه، ونادم عبدالملک بن مروان، وطوّل لسانه حتی جاهر بالطعن علی الدین، والاستخفاف بالمسلمین، وتناول أعراض المؤمنین وقبائل العرب وأشرافهم، وتعرض لجریر والفرزدق بأقبح الهجاء، و توفّی سنه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الحجّة باب ما یُفصَل به بین دعوی المحقّ والمُبطل فی أمر الإمامة، وأورده الزمخشری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والبغدادی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منظور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والبیت من قصیدة للشاعر هجا بها جریراً، وروی عن جریر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غلبنی الأخطل إلا فی هذه القصیدة</w:t>
      </w:r>
      <w:r>
        <w:rPr>
          <w:rFonts w:eastAsia="IRNazanin" w:cs="IRNazanin"/>
          <w:color w:val="111111"/>
          <w:sz w:val="28"/>
          <w:szCs w:val="28"/>
          <w:rtl w:val="true"/>
          <w:lang w:bidi="fa-IR"/>
        </w:rPr>
        <w:t xml:space="preserve">. </w:t>
      </w:r>
      <w:r>
        <w:rPr>
          <w:rStyle w:val="FootnoteAnchor"/>
          <w:rtl w:val="true"/>
        </w:rPr>
        <w:footnoteReference w:id="859"/>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التصویت،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نعق الراعی بالغنم ینعِق نُعاقاً ونعیقاً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 بها أو دعاها،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یا جریر من رعاة الغنم، ولست من الأشراف وأهل المفاخر، وما منّتک به نفسک وسوّلته لک فی الفضاء الخالی من الناس، أنّک من العظماء، إنّما هو ضلال باطل لا حقیقة له، لأنّک لا تقدر علی إظهاره فی الملأ</w:t>
      </w:r>
      <w:r>
        <w:rPr>
          <w:rFonts w:eastAsia="IRNazanin" w:cs="IRNazanin"/>
          <w:color w:val="111111"/>
          <w:sz w:val="28"/>
          <w:szCs w:val="28"/>
          <w:rtl w:val="true"/>
          <w:lang w:bidi="fa-IR"/>
        </w:rPr>
        <w:t xml:space="preserve">. </w:t>
      </w:r>
      <w:bookmarkStart w:id="842" w:name="pg14553_192066"/>
    </w:p>
    <w:p>
      <w:pPr>
        <w:pStyle w:val="BookText"/>
        <w:rPr/>
      </w:pPr>
      <w:bookmarkEnd w:id="842"/>
      <w:r>
        <w:rPr>
          <w:rFonts w:ascii="IRNazanin" w:hAnsi="IRNazanin" w:eastAsia="IRNazanin"/>
          <w:color w:val="111111"/>
          <w:sz w:val="28"/>
          <w:sz w:val="28"/>
          <w:szCs w:val="28"/>
          <w:rtl w:val="true"/>
          <w:lang w:bidi="fa-IR"/>
        </w:rPr>
        <w:t>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عجز البیت فی خبر عبداللّه بن إبراهیم بن محمّد الجعفری، عن موسی بن عبداللّه بن الحسن، الذی أورد فیه احتجاج الإمام الصادق علیه السلام علی عبداللّه بن الحسن بعد خروج ابنه محمّد، وتضمّن دعوة عبداللّه بن الحسن الإمام الصادق علیه السلام لنصرة ولده، وتقدّم الإمام علیه السلام له بالنصیحة وإخباره أنّ الأمر لا یتمّ، ونصحه أن یتّقی اللّه فی نفسه وفی بنی أبیه، ووصف له مقتل ابنه محمّد فی سدّة بنی أشجع وما سیقع علیهم من المشقّة والشدّة والعنت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ممّا أجاب به عبداللّه الإمام الصادق علیه السلام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لیحاربنّ بالیوم یوماً، وبالساعة ساعة، وبالسنة سنة، ولیقومنّ بثأر بنی أبی طالب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 اللّه لک، ما أخوفنی أن یکون هذا البیت یلحق صاحبنا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 عجز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یملک أکثر من حیطان المدینة، ولا یبلغ عمله الطائف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کما قال علیه السلام، فقد جاء ت رسل المنصور، وأخذوا بنی الحسن مصفّدین فی الحدید، وحملوا فی محامل عاریة لا وطاء فیها، ومن ثمّ قُتل محمد بن عبداللّه کما وصف الإمام علیه السلام</w:t>
      </w:r>
      <w:r>
        <w:rPr>
          <w:rFonts w:eastAsia="IRNazanin" w:cs="IRNazanin"/>
          <w:color w:val="111111"/>
          <w:sz w:val="28"/>
          <w:szCs w:val="28"/>
          <w:rtl w:val="true"/>
          <w:lang w:bidi="fa-IR"/>
        </w:rPr>
        <w:t>.</w:t>
      </w:r>
    </w:p>
    <w:p>
      <w:pPr>
        <w:pStyle w:val="Heading5"/>
        <w:numPr>
          <w:ilvl w:val="4"/>
          <w:numId w:val="1"/>
        </w:numPr>
        <w:rPr/>
      </w:pPr>
      <w:bookmarkStart w:id="843" w:name="__RefHeading___Toc652291_1878427129"/>
      <w:bookmarkStart w:id="844" w:name="_Toc320"/>
      <w:bookmarkEnd w:id="843"/>
      <w:r>
        <w:rPr/>
        <w:t>38</w:t>
      </w:r>
      <w:r>
        <w:rPr>
          <w:rtl w:val="true"/>
        </w:rPr>
        <w:t>البسیط</w:t>
      </w:r>
      <w:bookmarkEnd w:id="844"/>
    </w:p>
    <w:p>
      <w:pPr>
        <w:pStyle w:val="BookText"/>
        <w:rPr/>
      </w:pPr>
      <w:r>
        <w:rPr>
          <w:rFonts w:ascii="Amiri" w:hAnsi="Amiri" w:eastAsia="Amiri" w:cs="Amiri"/>
          <w:color w:val="111111"/>
          <w:sz w:val="28"/>
          <w:sz w:val="28"/>
          <w:szCs w:val="28"/>
          <w:rtl w:val="true"/>
          <w:lang w:bidi="ar-SA"/>
        </w:rPr>
        <w:t>لم یَبْقَ إلا أسَیرٌ غَیرُ مُنْفَلِتٍ ومُوثقٍ فی عِقالِ الأسْرِ مَکْبُولُ</w:t>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صفة الوضوء، وأورده الشیخ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والنووی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 </w:t>
      </w:r>
      <w:r>
        <w:rPr>
          <w:rStyle w:val="FootnoteAnchor"/>
          <w:rtl w:val="true"/>
        </w:rPr>
        <w:footnoteReference w:id="8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الطوسی،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شرح المهذّب النووی،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420</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الشاهد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مجرور بالمجاورة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 معطوفاً علی مرفوع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أورده الشیخ الطوسی رادّاً لهذا القول فی معرض حدیثه عن فرض الأرجل فی الوضوء علی ضوء الآیة القرآنیة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اِمْسَحُوا بِرُؤُسِکُمْ وَ أَرْجُلَکُمْ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وردّه لما زعم أنّ الأرجل مجرورة بالمجاورة للرؤوس وأنّهما یشترکان فی الحرکة الإعرابیة لا فی الحکم، وقد تضمّن ردّ الشیخ ثلاثة وجوه ذکرناها فی الشاهد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منها أنّ المجاورة لا حکم مع واو العطف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ادّعیتم أنّ المجاورة لا حکم لها مع واو العطف کیف مع قول الشاعر، وأنشد </w:t>
      </w:r>
      <w:bookmarkStart w:id="845" w:name="pg14553_192067"/>
    </w:p>
    <w:p>
      <w:pPr>
        <w:pStyle w:val="BookText"/>
        <w:rPr/>
      </w:pPr>
      <w:bookmarkEnd w:id="845"/>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فخفض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بالمجاورة للمنفلت، وکان من حقّه أن یکون مرفوعاً، لأنّ تقدیر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إلا أسیر وموثّق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البیت الذی أنشده السائل، فعلی خلاف ما توهّمه، لأنّ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إلا أسیر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لم یبق غیر أسیر،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بالجرّ عطفاً علی المعنی وعلی موضع أسیر، فکأنّه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یبق غیر أسیر وغیر منفلت، ولم یبق غیر موثق</w:t>
      </w:r>
      <w:r>
        <w:rPr>
          <w:rFonts w:eastAsia="IRNazanin" w:cs="IRNazanin"/>
          <w:color w:val="111111"/>
          <w:sz w:val="28"/>
          <w:szCs w:val="28"/>
          <w:rtl w:val="true"/>
          <w:lang w:bidi="fa-IR"/>
        </w:rPr>
        <w:t>.</w:t>
      </w:r>
    </w:p>
    <w:p>
      <w:pPr>
        <w:pStyle w:val="Heading5"/>
        <w:numPr>
          <w:ilvl w:val="4"/>
          <w:numId w:val="1"/>
        </w:numPr>
        <w:rPr/>
      </w:pPr>
      <w:bookmarkStart w:id="846" w:name="__RefHeading___Toc652293_1878427129"/>
      <w:bookmarkStart w:id="847" w:name="_Toc321"/>
      <w:bookmarkEnd w:id="846"/>
      <w:r>
        <w:rPr/>
        <w:t>39</w:t>
      </w:r>
      <w:r>
        <w:rPr>
          <w:rtl w:val="true"/>
        </w:rPr>
        <w:t>الطویل</w:t>
      </w:r>
      <w:bookmarkEnd w:id="847"/>
    </w:p>
    <w:p>
      <w:pPr>
        <w:pStyle w:val="BookText"/>
        <w:rPr/>
      </w:pPr>
      <w:r>
        <w:rPr>
          <w:rFonts w:ascii="Amiri" w:hAnsi="Amiri" w:eastAsia="Amiri" w:cs="Amiri"/>
          <w:color w:val="111111"/>
          <w:sz w:val="28"/>
          <w:sz w:val="28"/>
          <w:szCs w:val="28"/>
          <w:rtl w:val="true"/>
          <w:lang w:bidi="ar-SA"/>
        </w:rPr>
        <w:t>وَلَو أنّ مَا أسْعی لأدْنی مَعِیشةٍ کَفَانی ولم أطْلُبْ قَلِیلٌ مِن المالِ</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امرؤ القیس، وقد تقدّمت ترجمته فی الشاهد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صفة الوضوء، وأورده الشیخ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وابن جنی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وسیبویه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والشنتمری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والمبرد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هشام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والسیوطی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شواهد المغنی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والبغدادی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 xml:space="preserve">. </w:t>
      </w:r>
      <w:r>
        <w:rPr>
          <w:rStyle w:val="FootnoteAnchor"/>
          <w:rtl w:val="true"/>
        </w:rPr>
        <w:footnoteReference w:id="8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امرئ القیس،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التبیان الطوسی،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الخصائص ابن جنی،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الکتاب سیبویه،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النکت فی تفسیر الکتاب الشنتمری،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مغنی اللبیب ابن هشام،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894</w:t>
      </w:r>
      <w:r>
        <w:rPr>
          <w:rFonts w:ascii="IRNazanin" w:hAnsi="IRNazanin" w:eastAsia="IRNazanin"/>
          <w:color w:val="111111"/>
          <w:sz w:val="28"/>
          <w:sz w:val="28"/>
          <w:szCs w:val="28"/>
          <w:rtl w:val="true"/>
          <w:lang w:bidi="fa-IR"/>
        </w:rPr>
        <w:t xml:space="preserve">؛ شرح شواهد المغنی السیوطی،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خزانة الأدب البغدادی،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الأنباری،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کفانی ولم أطلب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استشهد به نحاة الکوفة علی أنّه إذا تنازع عاملان معمولاً واحداً، فإعمال الأوّل أولی لتقدّمه، وفی هذا البیت تنازع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واحداً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فأعمل الشاعر الفعل الأوّل، ولو أعمل الثانی لنصب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أطبقت کلمة باقی النحاة علی أنّ هذا البیت لیس من باب التنازع، ذلک لأنّ شرط صحّة التنازع هو أن یکون کلّ واحدٍ من العاملین طالباً للمعمول مع صحّة المعنی علی فرض عمل أیّهما فیه، وفی هذا البیت لا یتمّ، ذلک لاختلاف مطلوب العاملین، فإنّ </w:t>
      </w:r>
      <w:bookmarkStart w:id="848" w:name="pg14553_192068"/>
    </w:p>
    <w:p>
      <w:pPr>
        <w:pStyle w:val="BookText"/>
        <w:rPr/>
      </w:pPr>
      <w:bookmarkEnd w:id="8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للقلیل،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مفعولاً محذوفاً یدلّ علیه قوله فی البیت الذی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ولکنّما أسعی لمجدٍ مؤثّل وقد یدرک المجد المؤثّل أمثالی</w:t>
      </w:r>
    </w:p>
    <w:p>
      <w:pPr>
        <w:pStyle w:val="BookText"/>
        <w:rPr/>
      </w:pPr>
      <w:r>
        <w:rPr>
          <w:rFonts w:ascii="IRNazanin" w:hAnsi="IRNazanin" w:eastAsia="IRNazanin"/>
          <w:color w:val="111111"/>
          <w:sz w:val="28"/>
          <w:sz w:val="28"/>
          <w:szCs w:val="28"/>
          <w:rtl w:val="true"/>
          <w:lang w:bidi="fa-IR"/>
        </w:rPr>
        <w:t>ومعنی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ثبت کون سعیی لأدنی معیشة لکفانی قلیل من المال ولم أطلب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معنی صحیح لا غبار علیه، ولو جعلنا البیت من باب التنازع لکان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ثبت کون سعیی لأدنی معیشة لکفانی قلیل من المال ولم أطلب ذلک القلیل، وهو معنی متناقض بعید عن مراد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أورده الشیخ فی حدیثه عن فرض الأرجل فی الوضوء علی ضوء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 بِرُؤُسِکُمْ وَ أَرْجُلَکُمْ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نصب الأرجل، وکون عطف الأرجل علی محلّ الرؤوس أولی من عطفها علی الوجوه، لأنّ إعمال الأقرب وهو العامل الثانی أولی من إعمال الأبعد، ثمّ أورد عدّة شواهد قرآنیة وشعریة علی ذلک ذکرنا بعضها فی الشاهد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إنّه ردّ ما یدلّ علی إعمال الأوّل،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قول أمرئ القیس وإعمال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وأنشد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شاذ وخارج عن بابه ولا حکم علی الشاذ،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رفع لأنّه لم یجعل القلیل مطلوباً، وإنّما کان المطلوب عنده الملک، وجعل القلیل کافیاً، ولو لم یرو هذا ونصب فسد المعنی</w:t>
      </w:r>
      <w:r>
        <w:rPr>
          <w:rFonts w:eastAsia="IRNazanin" w:cs="IRNazanin"/>
          <w:color w:val="111111"/>
          <w:sz w:val="28"/>
          <w:szCs w:val="28"/>
          <w:rtl w:val="true"/>
          <w:lang w:bidi="fa-IR"/>
        </w:rPr>
        <w:t>.</w:t>
      </w:r>
    </w:p>
    <w:p>
      <w:pPr>
        <w:pStyle w:val="Heading5"/>
        <w:numPr>
          <w:ilvl w:val="4"/>
          <w:numId w:val="1"/>
        </w:numPr>
        <w:rPr/>
      </w:pPr>
      <w:bookmarkStart w:id="849" w:name="__RefHeading___Toc652295_1878427129"/>
      <w:bookmarkStart w:id="850" w:name="_Toc322"/>
      <w:bookmarkEnd w:id="849"/>
      <w:r>
        <w:rPr/>
        <w:t>40</w:t>
      </w:r>
      <w:r>
        <w:rPr>
          <w:rtl w:val="true"/>
        </w:rPr>
        <w:t>الطویل</w:t>
      </w:r>
      <w:bookmarkEnd w:id="850"/>
    </w:p>
    <w:p>
      <w:pPr>
        <w:pStyle w:val="BookText"/>
        <w:rPr/>
      </w:pPr>
      <w:r>
        <w:rPr>
          <w:rFonts w:ascii="Amiri" w:hAnsi="Amiri" w:eastAsia="Amiri" w:cs="Amiri"/>
          <w:color w:val="111111"/>
          <w:sz w:val="28"/>
          <w:sz w:val="28"/>
          <w:szCs w:val="28"/>
          <w:rtl w:val="true"/>
          <w:lang w:bidi="ar-SA"/>
        </w:rPr>
        <w:t>کأنّ ثَبیراً فی عَرانینِ وَبْلِهِ کبیرُ اُناسٍ فی بِجادٍ مُزَمّلِ</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امرؤ القیس، وقد تقدّمت ترجمته فی الشاهد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صفة الوضوء، وأورده ابن جنی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الشجری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بمکّة، العرانین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عرنین، وهو الأنف، واستعارها هنا لأوائل المطر، والوبل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وبلت السماء وبلاً، إذا أنت بالوابل، وهو ما عظم من القطر، وضمیر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إلی السحاب فی بیت قبله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الدیوان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أباناً فی أفانین وَدْقِهِ، وأبان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وأفانین وَدْقِهِ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ضروب وَدْقِهِ، والودق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والبِجاد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کساء مخطّط من أکسیة الأعراب یتّخذ من وبر الإبل وصوف الغنم، والمزمّل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بمعنی الملفّف، وقد شبّه الشاعر الجبل وقد غطّاه الماء والغُثاء بشیخ قد تلفّف بکساء مخطّط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الشاهد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جرّه لمجاورته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صفة لکبیر، وکان حقّها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أورده الشیخ الطوسی عند کلامه عن فرض الأرجل فی الوضوء علی قراءة جرّ الأرجل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 بِرُؤُسِکُمْ وَ أَرْجُلَکُمْ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مجرورة بالمجاورة للرؤوس، ولا یوجب ذلک اشتراکها معها فی الحکم، کما قال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وأنشد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والمزمّل من صفات الکبیر لا البجاد، وأبطل الشیخ هذا النوع من الأعراب من عدّة وجوه ذکرناها فی الشاهد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الأعراب بالجوار إنّما استحسن بحیث ترتفع الشبهة فی المعنی، ألا تری أنّ الشبهة زائلة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فمعلوم أنّه من صفات الکبیر لا البجاد، ولیس هکذا الآیة، لأنّ الأرجل یصحّ أن یکون فرضها المسح کما یصحّ أن یکون الغسل، والشکّ فی ذلک واقع غیر ممتنع، فلا یجوز إعمال المجاورة فیها لحصول اللبس والشبهة، ولخروجه عن باب ما عهد استعمال القوم الجوار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الشیخ أیضاً أنّ الآیة المبارکة لا یمکن حملها علی البیت، لأنّ الأعراب بالجوار صحّ فی البیت لعدم وجود حرف العطف، وقد تضمّنت الآیة حرف العطف، ولا حکم للمجاورة مع وجود حرف العطف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ونضیف هنا وجهین یخرجان البیت من الحمل علی الجوار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أبو علی الفارسی وابن جنّی وابن الشجری وغیرهم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w:t>
      </w:r>
      <w:bookmarkStart w:id="851" w:name="pg14553_192070"/>
    </w:p>
    <w:p>
      <w:pPr>
        <w:pStyle w:val="BookText"/>
        <w:rPr/>
      </w:pPr>
      <w:bookmarkEnd w:id="851"/>
      <w:r>
        <w:rPr>
          <w:rFonts w:ascii="IRNazanin" w:hAnsi="IRNazanin" w:eastAsia="IRNazanin"/>
          <w:color w:val="111111"/>
          <w:sz w:val="28"/>
          <w:sz w:val="28"/>
          <w:szCs w:val="28"/>
          <w:rtl w:val="true"/>
          <w:lang w:bidi="fa-IR"/>
        </w:rPr>
        <w:t xml:space="preserve">الخفض بالجوار، بل هی صفة حقیقیّة لبجاد، لأنّه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حذف حرف الجرّ، فارتفع الضمیر واستتر فی اسم المفعول</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الخصائص ابن جنّی،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وخزانة الأدب البغدادی،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ابن الشجری،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الشاعر قد أقوی فی البیت، والإقواء هو المخالفة بین حرکة حرف الروی المطلق بکسر وضمّ، وذلک شائع علی ألسنتهم، وذکرنا له مثالاً عند الشاهد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p>
    <w:p>
      <w:pPr>
        <w:pStyle w:val="Heading5"/>
        <w:numPr>
          <w:ilvl w:val="4"/>
          <w:numId w:val="1"/>
        </w:numPr>
        <w:rPr/>
      </w:pPr>
      <w:bookmarkStart w:id="852" w:name="__RefHeading___Toc652297_1878427129"/>
      <w:bookmarkStart w:id="853" w:name="_Toc323"/>
      <w:bookmarkEnd w:id="852"/>
      <w:r>
        <w:rPr/>
        <w:t>41</w:t>
      </w:r>
      <w:r>
        <w:rPr>
          <w:rtl w:val="true"/>
        </w:rPr>
        <w:t>الطویل</w:t>
      </w:r>
      <w:bookmarkEnd w:id="853"/>
    </w:p>
    <w:p>
      <w:pPr>
        <w:pStyle w:val="BookText"/>
        <w:rPr/>
      </w:pPr>
      <w:r>
        <w:rPr>
          <w:rFonts w:ascii="Amiri" w:hAnsi="Amiri" w:eastAsia="Amiri" w:cs="Amiri"/>
          <w:color w:val="111111"/>
          <w:sz w:val="28"/>
          <w:sz w:val="28"/>
          <w:szCs w:val="28"/>
          <w:rtl w:val="true"/>
          <w:lang w:bidi="ar-SA"/>
        </w:rPr>
        <w:t>وأطْوِی عَلی الخُمصِ الحوایا کأنَّها خُیُوطةُ مارِیّ تُغَارُ وتُفْتَلُ</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تأبّط شرّاً، وهو ثابت بن جابر بن سفیان الفهمی، وفی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العدوانی أبو زهیر، من مضر، شاعر عدّاء، من فتّاک العرب فی الجاهلیة، کان من أهل تهامة، مات مقتولاً نحو سنة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الهجرة، وسمّی تأبّط شراً لأنّه أخذ سیفاً أو سکیناً تحت إبطه وخرج، فسئلت أُمّه عنه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تأبّط شراً وخرج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کان یتأبّط أشیاء مخیفة کالأفاعی والغول والسلاح وغیرها</w:t>
      </w:r>
      <w:r>
        <w:rPr>
          <w:rFonts w:eastAsia="IRNazanin" w:cs="IRNazanin"/>
          <w:color w:val="111111"/>
          <w:sz w:val="28"/>
          <w:szCs w:val="28"/>
          <w:rtl w:val="true"/>
          <w:lang w:bidi="fa-IR"/>
        </w:rPr>
        <w:t xml:space="preserve">. </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الصلاة باب ما یسجد علیه وما یکره،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 باب کیفیّة الصلاة وصفتها والمفروض من ذلک والمسنون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 وجازها، وطَوِیَ البطن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خمص من الجوع، وطوَی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أجاعها، والخُمص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أخمص، وهو الضامر البطن، والحوایا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حَوِیّة، وهی ما استدار أو التوی من الأمعاء، والخیوطة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خیط، والماریّ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کساء صغیر له خطوط مرسلة، أو إزار من الصوف المخطّط، والذی فی آخر الحدیث المروی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وماری کان رجلاً حبّالاً یفتل الخیوط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أجده، وتُغار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یُشدّ فتلها،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أغار الحبل، إذا شدّ فتله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الشاهد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استشهد به علی بن الریان علی أنّ هذا اللفظ الوارد </w:t>
      </w:r>
      <w:bookmarkStart w:id="854" w:name="pg14553_192071"/>
    </w:p>
    <w:p>
      <w:pPr>
        <w:pStyle w:val="BookText"/>
        <w:rPr/>
      </w:pPr>
      <w:bookmarkEnd w:id="854"/>
      <w:r>
        <w:rPr>
          <w:rFonts w:ascii="IRNazanin" w:hAnsi="IRNazanin" w:eastAsia="IRNazanin"/>
          <w:color w:val="111111"/>
          <w:sz w:val="28"/>
          <w:sz w:val="28"/>
          <w:szCs w:val="28"/>
          <w:rtl w:val="true"/>
          <w:lang w:bidi="fa-IR"/>
        </w:rPr>
        <w:t>فی حدیث الإمام أبی جعفر علیه السلام مستخدم فی العربیة، ومعهود فی ألفاظها، فقد روی سهل بن زیاد، عن علی بن الریّان،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بعض أصحابنا إلی أبی جعفر علیه السلام بید إبراهیم بن عقبة، یسأله عن الصلاة علی الخمرة المدنیّة،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فیها ما کان معمولاً بخیوطة، ولا تصلّ علی ما کان معمولاً بسیورة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فتوقّف أصحابنا، فأنشدتهم بیت شعر لتأبّط شراً</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وأنشد عجز الشاهد</w:t>
      </w:r>
      <w:r>
        <w:rPr>
          <w:rFonts w:eastAsia="IRNazanin" w:cs="IRNazanin"/>
          <w:color w:val="111111"/>
          <w:sz w:val="28"/>
          <w:szCs w:val="28"/>
          <w:rtl w:val="true"/>
          <w:lang w:bidi="fa-IR"/>
        </w:rPr>
        <w:t>) .</w:t>
      </w:r>
    </w:p>
    <w:p>
      <w:pPr>
        <w:pStyle w:val="Heading5"/>
        <w:numPr>
          <w:ilvl w:val="4"/>
          <w:numId w:val="1"/>
        </w:numPr>
        <w:rPr/>
      </w:pPr>
      <w:bookmarkStart w:id="855" w:name="__RefHeading___Toc652299_1878427129"/>
      <w:bookmarkStart w:id="856" w:name="_Toc324"/>
      <w:bookmarkEnd w:id="855"/>
      <w:r>
        <w:rPr/>
        <w:t>42</w:t>
      </w:r>
      <w:r>
        <w:rPr>
          <w:rtl w:val="true"/>
        </w:rPr>
        <w:t>الطویل</w:t>
      </w:r>
      <w:bookmarkEnd w:id="856"/>
    </w:p>
    <w:p>
      <w:pPr>
        <w:pStyle w:val="BookText"/>
        <w:rPr/>
      </w:pPr>
      <w:r>
        <w:rPr>
          <w:rFonts w:ascii="Amiri" w:hAnsi="Amiri" w:eastAsia="Amiri" w:cs="Amiri"/>
          <w:color w:val="111111"/>
          <w:sz w:val="28"/>
          <w:sz w:val="28"/>
          <w:szCs w:val="28"/>
          <w:rtl w:val="true"/>
          <w:lang w:bidi="ar-SA"/>
        </w:rPr>
        <w:t>لَقَد عَلِمُوا أنّ ابْنَنا لا مُکذّبٌ</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رضی الله عنه، وقد تقدّمت ترجمته فی النصّ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الحجّة أبواب التاریخ باب مولد النبی صلی الله علیه و آله ووفاته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والبیتان من لامیة أبی طالب المشهورة التی تدلّ علی صریح إیمانه باللّه وإقراره بالنبوّة، روی منها أبو هفّان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ورواها ابن إسحاق، والواقدی، وابن هشام، والیعقوبی، وأبو الفرج الأصفهانی، والماوردی، والسهیلی، وابن کثیر، والذهبی، والسیوطی، والحلبی، والبغدادی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وتجد بعض أبیاتها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 ابن 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للبیهقی،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الأثیر،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أبی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شواهده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للسیوطی،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للمفید،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للطوسی،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للکراجکی،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طاوس وغیرها</w:t>
      </w:r>
      <w:r>
        <w:rPr>
          <w:rFonts w:eastAsia="IRNazanin" w:cs="IRNazanin"/>
          <w:color w:val="111111"/>
          <w:sz w:val="28"/>
          <w:szCs w:val="28"/>
          <w:rtl w:val="true"/>
          <w:lang w:bidi="fa-IR"/>
        </w:rPr>
        <w:t xml:space="preserve">. </w:t>
      </w:r>
      <w:r>
        <w:rPr>
          <w:rStyle w:val="FootnoteAnchor"/>
          <w:rtl w:val="true"/>
        </w:rPr>
        <w:footnoteReference w:id="865"/>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أبی طالب وأخباره أبو هفّان،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السیرة النبویّة ابن إسحاق،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المغازی الواقدی،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السیرة النبویة ابن هشام،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تاریخ الیعقوبی،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الأغانی أبو الفرج،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أعلام النبوّة الماوردی،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الروض الأُنف السهیلی،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البدایه والنهایة ابن کثیر،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الخصائص الکبری السیوطی،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السیرة النبویة الحلبی،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خزانة الأدب،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مسند أحمد،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صحیح البخاری،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سنن ابن ماجه،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الاشتقاق ابن درید، ص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دلائل النبوّة البیهقی،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السنن الکبری البیهقی،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النهایه ابن الأثیر،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الکامل فی التاریخ،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شرح ابن أبی الحدید،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لسان العرب ابن منظور،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مغنی اللبیب ابن هشام،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شرح شواهد المغنی السیوطی،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المجموعة النبهانیة،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إیمان أبی طالب المفید،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الأمالی المفید، ص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الإرشاد المفید،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الفوائد الکراجکی،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الطوسی، ص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الحجّة علی الذاهب إلی تکفیر أبی طالب فخار بن معد الموسوی، ص </w:t>
      </w:r>
      <w:r>
        <w:rPr>
          <w:rFonts w:eastAsia="IRNazanin" w:cs="IRNazanin"/>
          <w:color w:val="111111"/>
          <w:sz w:val="28"/>
          <w:szCs w:val="28"/>
          <w:lang w:bidi="fa-IR"/>
        </w:rPr>
        <w:t>339</w:t>
      </w:r>
      <w:r>
        <w:rPr>
          <w:rFonts w:eastAsia="IRNazanin" w:cs="IRNazanin"/>
          <w:color w:val="111111"/>
          <w:sz w:val="28"/>
          <w:szCs w:val="28"/>
          <w:rtl w:val="true"/>
          <w:lang w:bidi="fa-IR"/>
        </w:rPr>
        <w:t>-</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العمدة ابن البطریق، ص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 xml:space="preserve">؛ الطرائف ابن طاوس،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الغدیر الأمینی،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کثیر</w:t>
      </w:r>
      <w:r>
        <w:rPr>
          <w:rFonts w:eastAsia="IRNazanin" w:cs="IRNazanin"/>
          <w:color w:val="111111"/>
          <w:sz w:val="28"/>
          <w:szCs w:val="28"/>
          <w:rtl w:val="true"/>
          <w:lang w:bidi="fa-IR"/>
        </w:rPr>
        <w:t>.</w:t>
      </w:r>
      <w:bookmarkStart w:id="857" w:name="pg14553_192072"/>
    </w:p>
    <w:p>
      <w:pPr>
        <w:pStyle w:val="BookText"/>
        <w:rPr/>
      </w:pPr>
      <w:bookmarkEnd w:id="857"/>
      <w:r>
        <w:rPr>
          <w:rFonts w:ascii="IRNazanin" w:hAnsi="IRNazanin" w:eastAsia="IRNazanin"/>
          <w:color w:val="111111"/>
          <w:sz w:val="28"/>
          <w:sz w:val="28"/>
          <w:szCs w:val="28"/>
          <w:rtl w:val="true"/>
          <w:lang w:bidi="fa-IR"/>
        </w:rPr>
        <w:t>وقد تعرّض لشرح القصیدة الکثیر من العلماء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السهیلی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والبغدادی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واللکهنوی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قصیدة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وعلی فهمی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طلبة الطالب بشرح لامیة أبی طالب</w:t>
      </w:r>
      <w:r>
        <w:rPr>
          <w:rFonts w:eastAsia="IRNazanin" w:cs="IRNazanin"/>
          <w:color w:val="111111"/>
          <w:sz w:val="28"/>
          <w:szCs w:val="28"/>
          <w:rtl w:val="true"/>
          <w:lang w:bidi="fa-IR"/>
        </w:rPr>
        <w:t xml:space="preserve">) . </w:t>
      </w:r>
      <w:r>
        <w:rPr>
          <w:rStyle w:val="FootnoteAnchor"/>
          <w:rtl w:val="true"/>
        </w:rPr>
        <w:footnoteReference w:id="86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أبی طالب و أخباره أبوهفان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والغمام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 وثِمال 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ملجؤهم وغیاثهم، والعصمة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المنعة، والعاصم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المانع الحامی، وعصمة للأرامل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یمنعهنّ من الحاجة والضیاع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به الإمام الصادق علیه السلام علی إیمان أبی طالب رضی الله عنه، فقد روی إسحاق بن جعفر، عن أبیه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 إنّهم یزعمون أنّ أبا طالب کان کافراً؟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 کیف یکون کافراً وهو یقول</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وأنشد البیت المتقدّم فی النص</w:t>
      </w:r>
      <w:r>
        <w:rPr>
          <w:rFonts w:eastAsia="IRNazanin" w:cs="IRNazanin"/>
          <w:color w:val="111111"/>
          <w:sz w:val="28"/>
          <w:szCs w:val="28"/>
          <w:lang w:bidi="fa-IR"/>
        </w:rPr>
        <w:t>8</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یکون أبو طالب کافراً وهو یقول</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وأنشد البیتین</w:t>
      </w:r>
      <w:r>
        <w:rPr>
          <w:rFonts w:eastAsia="IRNazanin" w:cs="IRNazanin"/>
          <w:color w:val="111111"/>
          <w:sz w:val="28"/>
          <w:szCs w:val="28"/>
          <w:rtl w:val="true"/>
          <w:lang w:bidi="fa-IR"/>
        </w:rPr>
        <w:t>) .</w:t>
      </w:r>
    </w:p>
    <w:p>
      <w:pPr>
        <w:pStyle w:val="Heading5"/>
        <w:numPr>
          <w:ilvl w:val="4"/>
          <w:numId w:val="1"/>
        </w:numPr>
        <w:rPr/>
      </w:pPr>
      <w:bookmarkStart w:id="858" w:name="__RefHeading___Toc652301_1878427129"/>
      <w:bookmarkStart w:id="859" w:name="_Toc325"/>
      <w:bookmarkEnd w:id="858"/>
      <w:r>
        <w:rPr/>
        <w:t>43</w:t>
      </w:r>
      <w:r>
        <w:rPr>
          <w:rtl w:val="true"/>
        </w:rPr>
        <w:t>الطویل</w:t>
      </w:r>
      <w:bookmarkEnd w:id="859"/>
    </w:p>
    <w:p>
      <w:pPr>
        <w:pStyle w:val="BookText"/>
        <w:rPr/>
      </w:pPr>
      <w:r>
        <w:rPr>
          <w:rFonts w:ascii="Amiri" w:hAnsi="Amiri" w:eastAsia="Amiri" w:cs="Amiri"/>
          <w:color w:val="111111"/>
          <w:sz w:val="28"/>
          <w:sz w:val="28"/>
          <w:szCs w:val="28"/>
          <w:rtl w:val="true"/>
          <w:lang w:bidi="ar-SA"/>
        </w:rPr>
        <w:t>وبالجَمْرةِ القُصْوی إذا صَمَدُوا لَهَا یَؤمُّونَ رَضْخاً رأسَها بالجَنادلِ</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طالب رضی الله عنه، وقد تقدّمت ترجمته فی النص الثامن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التخریخ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التوحید باب تأویل الصمد، والبیت من قصیدته اللامیة المعروف، وقد تقدّم تخریجها آنفاً، وهو موجود فی الدیوان إلا أنّ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وبالجمرة الکبری، بدل وبالجمرة القصوی</w:t>
      </w:r>
      <w:r>
        <w:rPr>
          <w:rFonts w:eastAsia="IRNazanin" w:cs="IRNazanin"/>
          <w:color w:val="111111"/>
          <w:sz w:val="28"/>
          <w:szCs w:val="28"/>
          <w:rtl w:val="true"/>
          <w:lang w:bidi="fa-IR"/>
        </w:rPr>
        <w:t xml:space="preserve">. </w:t>
      </w:r>
      <w:r>
        <w:rPr>
          <w:rStyle w:val="FootnoteAnchor"/>
          <w:rtl w:val="true"/>
        </w:rPr>
        <w:footnoteReference w:id="867"/>
      </w:r>
      <w:bookmarkStart w:id="860" w:name="pg14553_192073"/>
    </w:p>
    <w:p>
      <w:pPr>
        <w:pStyle w:val="BookText"/>
        <w:rPr/>
      </w:pPr>
      <w:bookmarkEnd w:id="860"/>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الحصاة، وموضع رمی الجمار بمنی، وهی ثلاث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والوسطی، والکبری وهی جمرة العقبة، والقصوی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البعیدة، ولعلّ المراد بها جمرة العقبة، وصمدوا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قصدوا نحوها، وأمّ الشی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قصده، والرضخ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الرمی بالحجارة، والجنادل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جندل، وهو الحصاة أو الحجارة الصغیرة التی تسمّی بالجمار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قصدوا لها، وقد أورده الشیخ الکلینی شاهداً علی هذا المعنی المتحقّق فی اللغة، والذی دلّت علیه أحادیث المعصومین علیهم السلام فی تفسیر معنی الصمد</w:t>
      </w:r>
      <w:r>
        <w:rPr>
          <w:rFonts w:eastAsia="IRNazanin" w:cs="IRNazanin"/>
          <w:color w:val="111111"/>
          <w:sz w:val="28"/>
          <w:szCs w:val="28"/>
          <w:rtl w:val="true"/>
          <w:lang w:bidi="fa-IR"/>
        </w:rPr>
        <w:t>.</w:t>
      </w:r>
    </w:p>
    <w:p>
      <w:pPr>
        <w:pStyle w:val="Heading5"/>
        <w:numPr>
          <w:ilvl w:val="4"/>
          <w:numId w:val="1"/>
        </w:numPr>
        <w:rPr/>
      </w:pPr>
      <w:bookmarkStart w:id="861" w:name="__RefHeading___Toc652303_1878427129"/>
      <w:bookmarkStart w:id="862" w:name="_Toc326"/>
      <w:bookmarkEnd w:id="861"/>
      <w:r>
        <w:rPr/>
        <w:t>44</w:t>
      </w:r>
      <w:r>
        <w:rPr>
          <w:rtl w:val="true"/>
        </w:rPr>
        <w:t>الکامل</w:t>
      </w:r>
      <w:bookmarkEnd w:id="862"/>
    </w:p>
    <w:p>
      <w:pPr>
        <w:pStyle w:val="BookText"/>
        <w:rPr/>
      </w:pPr>
      <w:r>
        <w:rPr>
          <w:rFonts w:ascii="Amiri" w:hAnsi="Amiri" w:eastAsia="Amiri" w:cs="Amiri"/>
          <w:color w:val="111111"/>
          <w:sz w:val="28"/>
          <w:sz w:val="28"/>
          <w:szCs w:val="28"/>
          <w:rtl w:val="true"/>
          <w:lang w:bidi="ar-SA"/>
        </w:rPr>
        <w:t>وإذا بُلیتَ ببَذْلِ وَجْهِکَ سائلاً</w:t>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الزکاة باب من أعطی بعد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وأخرجه العلامة المجلسی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 </w:t>
      </w:r>
      <w:r>
        <w:rPr>
          <w:rStyle w:val="FootnoteAnchor"/>
          <w:rtl w:val="true"/>
        </w:rPr>
        <w:footnoteReference w:id="8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المجلسی،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العقول،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تمثّل به الإمام الصادق علیه السلام فی حدیثه عن العطاء والجود، فقد روی الشیخ الکلینی‌بالإسناد عن بندار بن عاصم، رفعه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توسّل إلیّ أحد بوسیلةٍ، ولا تذّرع بذریعةٍ أقرب له إلی ما یریده منّی، من رجل سلف إلیه منّی ید أتبعتها أختها وأحسنت ربّها </w:t>
      </w:r>
      <w:r>
        <w:rPr>
          <w:rStyle w:val="FootnoteAnchor"/>
          <w:rtl w:val="true"/>
        </w:rPr>
        <w:footnoteReference w:id="869"/>
      </w:r>
      <w:r>
        <w:rPr>
          <w:rFonts w:ascii="IRNazanin" w:hAnsi="IRNazanin" w:eastAsia="IRNazanin"/>
          <w:color w:val="111111"/>
          <w:sz w:val="28"/>
          <w:sz w:val="28"/>
          <w:szCs w:val="28"/>
          <w:rtl w:val="true"/>
          <w:lang w:bidi="fa-IR"/>
        </w:rPr>
        <w:t>فإنّی رأیت منع الأواخر یقطع لسان شکر الأوائل، ولا سخت نفسی بردّ بکر الحوائج، وقد قال الشاعر</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وأنشد القصیدة</w:t>
      </w:r>
      <w:r>
        <w:rPr>
          <w:rFonts w:eastAsia="IRNazanin" w:cs="IRNazanin"/>
          <w:color w:val="111111"/>
          <w:sz w:val="28"/>
          <w:szCs w:val="28"/>
          <w:rtl w:val="true"/>
          <w:lang w:bidi="fa-IR"/>
        </w:rPr>
        <w:t>) .</w:t>
      </w:r>
    </w:p>
    <w:p>
      <w:pPr>
        <w:pStyle w:val="Heading4"/>
        <w:numPr>
          <w:ilvl w:val="3"/>
          <w:numId w:val="1"/>
        </w:numPr>
        <w:rPr/>
      </w:pPr>
      <w:bookmarkStart w:id="863" w:name="__RefHeading___Toc652305_1878427129"/>
      <w:bookmarkStart w:id="864" w:name="_Toc327"/>
      <w:bookmarkEnd w:id="863"/>
      <w:r>
        <w:rPr>
          <w:rtl w:val="true"/>
        </w:rPr>
        <w:t>قافیة المیم</w:t>
      </w:r>
      <w:bookmarkEnd w:id="864"/>
    </w:p>
    <w:p>
      <w:pPr>
        <w:pStyle w:val="Heading5"/>
        <w:numPr>
          <w:ilvl w:val="4"/>
          <w:numId w:val="1"/>
        </w:numPr>
        <w:rPr/>
      </w:pPr>
      <w:bookmarkStart w:id="865" w:name="__RefHeading___Toc652307_1878427129"/>
      <w:bookmarkStart w:id="866" w:name="_Toc328"/>
      <w:bookmarkEnd w:id="865"/>
      <w:r>
        <w:rPr/>
        <w:t>45</w:t>
      </w:r>
      <w:r>
        <w:rPr>
          <w:rtl w:val="true"/>
        </w:rPr>
        <w:t>الطویل</w:t>
      </w:r>
      <w:bookmarkEnd w:id="866"/>
    </w:p>
    <w:p>
      <w:pPr>
        <w:pStyle w:val="BookText"/>
        <w:rPr/>
      </w:pPr>
      <w:r>
        <w:rPr>
          <w:rFonts w:ascii="Amiri" w:hAnsi="Amiri" w:eastAsia="Amiri" w:cs="Amiri"/>
          <w:color w:val="111111"/>
          <w:sz w:val="28"/>
          <w:sz w:val="28"/>
          <w:szCs w:val="28"/>
          <w:rtl w:val="true"/>
          <w:lang w:bidi="ar-SA"/>
        </w:rPr>
        <w:t>وإنّ غُلاماً بین کسری وهاشمٍ لأکرَمُ مَن نِیطتْ عَلَیهِ التَّمائمُ</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الأسود الدؤلی، واسمه ظالم بن عمرو بن سفیان بن جَندل الدؤلی </w:t>
      </w:r>
      <w:bookmarkStart w:id="867" w:name="pg14553_192074"/>
    </w:p>
    <w:p>
      <w:pPr>
        <w:pStyle w:val="BookText"/>
        <w:rPr/>
      </w:pPr>
      <w:bookmarkEnd w:id="867"/>
      <w:r>
        <w:rPr>
          <w:rFonts w:ascii="IRNazanin" w:hAnsi="IRNazanin" w:eastAsia="IRNazanin"/>
          <w:color w:val="111111"/>
          <w:sz w:val="28"/>
          <w:sz w:val="28"/>
          <w:szCs w:val="28"/>
          <w:rtl w:val="true"/>
          <w:lang w:bidi="fa-IR"/>
        </w:rPr>
        <w:t xml:space="preserve">الکنانی، من التابعین، رسم له أمیر المؤمنین علیه السلام شیئاً من أُصول النحو، فکتب فیه أبو الأسود، وأخذه عنه جماعة، سکن البصرة فی أیّام عمر، وولی إمارتها فی خلافة أمیر المؤمنین، وشهد معه صفّین، وهو أوّل من نقّط المصحف نُقَط الإعراب، وتوفّی سنة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87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دیوان تهذیب تاریخ ابن عساکر عبدالقادر بدران،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دائرةالمعارف الاسلامیة،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خزانه الادب،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الاعلام الزرکلی،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الحجّة باب مولد علی بن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ابن شهر آشوب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 </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التعلیق،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ناطه ینوطه نوطاً، أی علّقه علیه، والتمائم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تمیمة، وهی عوذة تعلّق علی الأولاد مخافة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جابر عن أبی جعفر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یقال لعلی بن الحسین علیه السلام ابن الخیرتین؛ فخیرة اللّه من العرب هاشم، ومن العجم فارس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وروی أنّ أبا الأسود قال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w:t>
      </w:r>
    </w:p>
    <w:p>
      <w:pPr>
        <w:pStyle w:val="Heading5"/>
        <w:numPr>
          <w:ilvl w:val="4"/>
          <w:numId w:val="1"/>
        </w:numPr>
        <w:rPr/>
      </w:pPr>
      <w:bookmarkStart w:id="868" w:name="__RefHeading___Toc652309_1878427129"/>
      <w:bookmarkStart w:id="869" w:name="_Toc329"/>
      <w:bookmarkEnd w:id="868"/>
      <w:r>
        <w:rPr/>
        <w:t>46</w:t>
      </w:r>
      <w:r>
        <w:rPr>
          <w:rtl w:val="true"/>
        </w:rPr>
        <w:t>الطویل</w:t>
      </w:r>
      <w:bookmarkEnd w:id="869"/>
    </w:p>
    <w:p>
      <w:pPr>
        <w:pStyle w:val="BookText"/>
        <w:rPr/>
      </w:pPr>
      <w:r>
        <w:rPr>
          <w:rFonts w:ascii="Amiri" w:hAnsi="Amiri" w:eastAsia="Amiri" w:cs="Amiri"/>
          <w:color w:val="111111"/>
          <w:sz w:val="28"/>
          <w:sz w:val="28"/>
          <w:szCs w:val="28"/>
          <w:rtl w:val="true"/>
          <w:lang w:bidi="ar-SA"/>
        </w:rPr>
        <w:t xml:space="preserve">لَقَد کانَ فی حَوْلٍ ثواءٍ ثَوَیته تَقَضّی لُباناتٍ ویَسْأمُ سائمُ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أعشی قیس، وهو میمون بن قیس بن جندل، أبو بصیر، ویقال له أعشی بکر بن وائل، والأعشی الکبیر، وهو من شعراء الطبقة الأولی فی الجاهلیة وأحد أصحاب المعلّقات، وکان یغنّی بشعره، فسمّی صنّاجة العرب، عاش عمراً طویلاً، وأدرک الإسلام ولم یسلم، ولقِّب بالأعشی لضعف بصره، وعمی فی أواخر عمره، وتوفّی بالیمامة سنة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صفة الوضوء، وأورده الشیخ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Style w:val="FootnoteAnchor"/>
          <w:rtl w:val="true"/>
        </w:rPr>
        <w:footnoteReference w:id="873"/>
      </w:r>
      <w:r>
        <w:rPr>
          <w:rFonts w:ascii="Amiri" w:hAnsi="Amiri" w:eastAsia="Amiri" w:cs="Amiri"/>
          <w:color w:val="111111"/>
          <w:sz w:val="28"/>
          <w:sz w:val="28"/>
          <w:szCs w:val="28"/>
          <w:rtl w:val="true"/>
          <w:lang w:bidi="ar-SA"/>
        </w:rPr>
        <w:t>والبیت فی دیوان الشاعر فی قصیدة طویلة مطلعها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هُریرةَ ودّعها وإن لامَ لائمُ غَداةَ غَدٍ أم أنت للبَینِ واجِمُ </w:t>
      </w:r>
      <w:r>
        <w:rPr>
          <w:rStyle w:val="FootnoteAnchor"/>
          <w:rtl w:val="true"/>
        </w:rPr>
        <w:footnoteReference w:id="874"/>
      </w:r>
      <w:bookmarkStart w:id="870" w:name="pg14553_192075"/>
    </w:p>
    <w:p>
      <w:pPr>
        <w:pStyle w:val="BookText"/>
        <w:rPr/>
      </w:pPr>
      <w:bookmarkEnd w:id="870"/>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 بالمکان یثوی ثَواءً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فیه، اللُّبانة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الحاجة عامّة، أو الحاجة من غیر فاقة، بل من هِمّة أو نَهْمة،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قضیت منه لُبانتی، أی شهوتی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زعم أنّه مجرور لمجاورته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أورده الشیخ الطوسی رادّاً علیه معارضاً له، وذلک عند حدیثه عن فرض الأرجل فی الوضوء علی قراءة جرّ الأرجل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اِمْسَحُوا بِرُؤُسِکُمْ وَ أَرْجُلَکُمْ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قیل إنّها مجرورة لمجاورتها الرؤوس، وذلک یوجب اشتراکها مع الرؤوس فی الاعراب لا فی الحکم، ومن ذلک قول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وأورد الشاهد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وقد أبطل الشیخ وجه المجاورة فی هذا البیت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البیت الذی أنشدوه للأعشی، فقد أخطأوا فی توهّمهم أنّ هناک مجاورة، وإنّما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والمعنی لقد کان فی ثواءٍ ثویته تقضّی لُبانات، وهذا القسم من البدل هو بدل الأشتمال،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أَصْحابُ اَلْأُخْدُودِ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ذاتِ اَلْوَقُودِ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عَنِ اَلشَّهْرِ اَلْحَرامِ قِتالٍ فِیهِ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p>
    <w:p>
      <w:pPr>
        <w:pStyle w:val="Heading5"/>
        <w:numPr>
          <w:ilvl w:val="4"/>
          <w:numId w:val="1"/>
        </w:numPr>
        <w:rPr/>
      </w:pPr>
      <w:bookmarkStart w:id="871" w:name="__RefHeading___Toc652311_1878427129"/>
      <w:bookmarkStart w:id="872" w:name="_Toc330"/>
      <w:bookmarkEnd w:id="871"/>
      <w:r>
        <w:rPr/>
        <w:t>47</w:t>
      </w:r>
      <w:r>
        <w:rPr>
          <w:rtl w:val="true"/>
        </w:rPr>
        <w:t>الطویل</w:t>
      </w:r>
      <w:bookmarkEnd w:id="872"/>
    </w:p>
    <w:p>
      <w:pPr>
        <w:pStyle w:val="BookText"/>
        <w:rPr/>
      </w:pPr>
      <w:r>
        <w:rPr>
          <w:rFonts w:ascii="Amiri" w:hAnsi="Amiri" w:eastAsia="Amiri" w:cs="Amiri"/>
          <w:color w:val="111111"/>
          <w:sz w:val="28"/>
          <w:sz w:val="28"/>
          <w:szCs w:val="28"/>
          <w:rtl w:val="true"/>
          <w:lang w:bidi="ar-SA"/>
        </w:rPr>
        <w:t>ألا زَعَمْتَ بالغَیبِ ألا أُحِبّها إذا أنا لم یَکْرُمْ علیّ کریمُها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بن عبدالرحمن بن الأسود بن عامر الخزاعی، أبو صخر، المعروف بکثیر عَزّة، وهی صاحبته عزّة بنت جمیل الضَّمریة، وکان مولعاً بها، عفیفاً فی حبّه لها، وفد علی عبدالملک بن مروان وعمر بن عبدالعزیز، وکانا یعظّمانه ویکرمانه، وهو علی مذهب الکیسانیة، یقول بإمامة علی والحسن والحسین علیهم السلام ومحمّد بن الحنفیّة رضی الله عنه، ویعتقد بغیبة الأخیر، وأنّه سیعود بعد غیبته، وقد عبّر عن ذلک فی بعض أشعاره، وتوفّی بالمدینة سنة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ق،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875"/>
      </w:r>
      <w:bookmarkStart w:id="873" w:name="pg14553_192076"/>
    </w:p>
    <w:p>
      <w:pPr>
        <w:pStyle w:val="BookText"/>
        <w:rPr/>
      </w:pPr>
      <w:bookmarkEnd w:id="873"/>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الروضة، والبیت فی دیوان الشاعر ولفظه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 بالغیب أنّ لن أودّها إذا هی لم یکرُم علیّ کریمُها</w:t>
      </w:r>
    </w:p>
    <w:p>
      <w:pPr>
        <w:pStyle w:val="BookText"/>
        <w:rPr/>
      </w:pPr>
      <w:r>
        <w:rPr>
          <w:rFonts w:ascii="IRNazanin" w:hAnsi="IRNazanin" w:eastAsia="IRNazanin"/>
          <w:color w:val="111111"/>
          <w:sz w:val="28"/>
          <w:sz w:val="28"/>
          <w:szCs w:val="28"/>
          <w:rtl w:val="true"/>
          <w:lang w:bidi="fa-IR"/>
        </w:rPr>
        <w:t xml:space="preserve">وأورده الکشی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والعلامة المجلسی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المرآة </w:t>
      </w:r>
      <w:r>
        <w:rPr>
          <w:rFonts w:eastAsia="IRNazanin" w:cs="IRNazanin"/>
          <w:color w:val="111111"/>
          <w:sz w:val="28"/>
          <w:szCs w:val="28"/>
          <w:rtl w:val="true"/>
          <w:lang w:bidi="fa-IR"/>
        </w:rPr>
        <w:t xml:space="preserve">) . </w:t>
      </w:r>
      <w:r>
        <w:rPr>
          <w:rStyle w:val="FootnoteAnchor"/>
          <w:rtl w:val="true"/>
        </w:rPr>
        <w:footnoteReference w:id="87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کثیر،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رجال الکشی، ص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598</w:t>
      </w:r>
      <w:r>
        <w:rPr>
          <w:rFonts w:ascii="IRNazanin" w:hAnsi="IRNazanin" w:eastAsia="IRNazanin"/>
          <w:color w:val="111111"/>
          <w:sz w:val="28"/>
          <w:sz w:val="28"/>
          <w:szCs w:val="28"/>
          <w:rtl w:val="true"/>
          <w:lang w:bidi="fa-IR"/>
        </w:rPr>
        <w:t xml:space="preserve">؛ مرآة العقول،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560</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ذو المکانة عندها، ومراده إن لم أکن محبّاً لمن یحبّها من ذوی‌الکرامة والمکانة عندها، لم أکن محبّاً صادقاً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الکلینی بالإسناد عن یونس بن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عبداللّه علیه السلام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ألا تنهی حجر بن زائدة وعامر بن جذاعة عن المفضّل بن عمر؟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یونس، قد سألتهما، وکتبت إلیهما، وجعلته حاجتی إلیهما، فلم یکفّا عنه، فلا غفر اللّه لهما، فواللّه لکثیر عزّة أصدق فی مودّته منهما فی ما ینتحلان من مودّتی 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 أحبّانی لأحبّا من اُحبّ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یدلّ علی جلالة المفضّل وذمّهما، لکنّه علی مصطلح القوم ضعیف،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والخبر ضعیف بالحسین بن أحمد ویونس بن ظبیان </w:t>
      </w:r>
      <w:r>
        <w:rPr>
          <w:rStyle w:val="FootnoteAnchor"/>
          <w:rtl w:val="true"/>
        </w:rPr>
        <w:footnoteReference w:id="877"/>
      </w:r>
      <w:r>
        <w:rPr>
          <w:rFonts w:ascii="IRNazanin" w:hAnsi="IRNazanin" w:eastAsia="IRNazanin"/>
          <w:color w:val="111111"/>
          <w:sz w:val="28"/>
          <w:sz w:val="28"/>
          <w:szCs w:val="28"/>
          <w:rtl w:val="true"/>
          <w:lang w:bidi="fa-IR"/>
        </w:rPr>
        <w:t>وروی الکشی عن أبی عبداللّه علیه السلام بأنّه دعا علیهما بعدم المغفرة، لکنّ حدیثه مرسل، ونقل عن النجاشی أنّ حجر بن زائدة ثقة صحیح المذهب، صالح من هذه الطائفة</w:t>
      </w:r>
      <w:r>
        <w:rPr>
          <w:rFonts w:eastAsia="IRNazanin" w:cs="IRNazanin"/>
          <w:color w:val="111111"/>
          <w:sz w:val="28"/>
          <w:szCs w:val="28"/>
          <w:rtl w:val="true"/>
          <w:lang w:bidi="fa-IR"/>
        </w:rPr>
        <w:t xml:space="preserve">.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وأمّا عامر بن جذاعة فالأصحاب وإن لم یصرّحوا بتوثیقه إلا أنّه نقل عن الکشی أنّه وحجر بن زائدة من الحواریین للباقر والصادق علیهما السلام</w:t>
      </w:r>
      <w:r>
        <w:rPr>
          <w:rFonts w:eastAsia="IRNazanin" w:cs="IRNazanin"/>
          <w:color w:val="111111"/>
          <w:sz w:val="28"/>
          <w:szCs w:val="28"/>
          <w:rtl w:val="true"/>
          <w:lang w:bidi="fa-IR"/>
        </w:rPr>
        <w:t xml:space="preserve">. </w:t>
      </w:r>
      <w:r>
        <w:rPr>
          <w:rStyle w:val="FootnoteAnchor"/>
          <w:rtl w:val="true"/>
        </w:rPr>
        <w:footnoteReference w:id="879"/>
      </w:r>
    </w:p>
    <w:p>
      <w:pPr>
        <w:pStyle w:val="Heading5"/>
        <w:numPr>
          <w:ilvl w:val="4"/>
          <w:numId w:val="1"/>
        </w:numPr>
        <w:rPr/>
      </w:pPr>
      <w:bookmarkStart w:id="874" w:name="__RefHeading___Toc652313_1878427129"/>
      <w:bookmarkStart w:id="875" w:name="_Toc331"/>
      <w:bookmarkEnd w:id="874"/>
      <w:r>
        <w:rPr/>
        <w:t>48</w:t>
      </w:r>
      <w:r>
        <w:rPr>
          <w:rtl w:val="true"/>
        </w:rPr>
        <w:t>الطویل</w:t>
      </w:r>
      <w:bookmarkEnd w:id="875"/>
    </w:p>
    <w:p>
      <w:pPr>
        <w:pStyle w:val="BookText"/>
        <w:rPr/>
      </w:pPr>
      <w:r>
        <w:rPr>
          <w:rFonts w:ascii="Amiri" w:hAnsi="Amiri" w:eastAsia="Amiri" w:cs="Amiri"/>
          <w:color w:val="111111"/>
          <w:sz w:val="28"/>
          <w:sz w:val="28"/>
          <w:szCs w:val="28"/>
          <w:rtl w:val="true"/>
          <w:lang w:bidi="ar-SA"/>
        </w:rPr>
        <w:t>قضَی کلُّ ذی دینٍ فوفّی غَریمهُ وعَزّة ممطُولٌ مُعنّیً غَریمُها</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عَزّة، وقد تقدّمت ترجمته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التخریج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التهذیب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صفة الوضوء، والبیت فی دیوان الشاعر من قصیدة طویلة مطلعها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عَفَت غَیْقَةٌ من أهلها فحریمُها فبرُقةُ حِسْمی </w:t>
      </w:r>
      <w:r>
        <w:rPr>
          <w:rStyle w:val="FootnoteAnchor"/>
          <w:rtl w:val="true"/>
        </w:rPr>
        <w:footnoteReference w:id="8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موضع، وکذلک حِسمی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قاعُها فصریمُها</w:t>
      </w:r>
    </w:p>
    <w:p>
      <w:pPr>
        <w:pStyle w:val="BookText"/>
        <w:rPr/>
      </w:pPr>
      <w:r>
        <w:rPr>
          <w:rFonts w:ascii="IRNazanin" w:hAnsi="IRNazanin" w:eastAsia="IRNazanin"/>
          <w:color w:val="111111"/>
          <w:sz w:val="28"/>
          <w:sz w:val="28"/>
          <w:szCs w:val="28"/>
          <w:rtl w:val="true"/>
          <w:lang w:bidi="fa-IR"/>
        </w:rPr>
        <w:t xml:space="preserve">وأورده الأنباری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والبغدادی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الخزانة </w:t>
      </w:r>
      <w:r>
        <w:rPr>
          <w:rFonts w:eastAsia="IRNazanin" w:cs="IRNazanin"/>
          <w:color w:val="111111"/>
          <w:sz w:val="28"/>
          <w:szCs w:val="28"/>
          <w:rtl w:val="true"/>
          <w:lang w:bidi="fa-IR"/>
        </w:rPr>
        <w:t xml:space="preserve">) . </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الغریم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الدائن أو صاحب الحقّ، والممطول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المؤدّی له حقّه،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مَطَله فی الدین، إذا لواه وسوّف فی قضائه، ولم یؤدّه فی وقت استحقاقه، والمُعنّی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عنّاه، إذا کلّفه ما یشقّ علیه، وکان سبباً فی عنائه وشقوته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کلّ ذی دینٍ فوفّی غریمه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استشهد به الشیخ الطوسی علی أنّ الکلام إذا حصل فیه عاملان أحدهما قریب والآخر بعید، فإعمال الأقرب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الفعل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من إعمال الأبعد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والعبارة التی هی موضع الشاهد من باب التنازع، فقد تقدّم عاملان وهما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وتأخّر عنهما معمول واحد،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واحد من العاملین المتقدّمین یطلب المعمول المتأخر مفعولاً، وقد أعمل الشاعر العامل الثانی منهما فی لفظ المعمول، والدلیل علی أنّه أعمل الثانی هنا أنّه لم یصل ضمیر المعمول بالعامل الثانی، لأنّه لو کان قد أعمل الأوّل لوجب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کلّ ذی دین فوفّاه غریمه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یکون التقدیر قضی کلّ ذی دین غریمه فوفّاه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أورد الشیخ الطوسی هذا الشاهد فی معرض حدیثه عن آیة الوضوء،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 أَیْدِیَکُمْ إِلَی اَلْمَرافِقِ وَ اِمْسَحُوا بِرُؤُسِکُمْ وَ أَرْجُلَکُمْ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قراءة نصب الأرجل لا تقتضی إلا الغسل، ولا تحتمل المسح، لأنّ عطف الأرجل علی موضع الرؤوس فی الإیجاب توسّع وتجوّز، والظاهر والحقیقة یوجبان عطفها علی اللفظ لا الموضع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الشیخ فی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علی ما توهّمتم، بل العطف علی الموضع مستحسن فی لغة العرب، وجائز لا علی سبیل الاتّساع والعدول عن الحقیقة، والمتکلّم مخیّرٌ بین حمل الإعراب علی اللفظ تارة، وبین حمله علی الموضع أُخری، وهذا ظاهر فی العربیة مشهور عند أهلها، وفی القرآن والشعر له نظائر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لو سلّمنا أنّ العطف علی اللفظ أقوی، لکان عطف الأرجل علی الرؤوس أولی مع القراءة بالنصب، لأنّ نصب الأرجل لا یکون إلا علی أحد الوجهین؛ إمّا أن یُعطف علی الأیدی والوجوه فی الغسل، أو یعطف علی موضع الرؤوس فینصب، ویکون حکمها المسح، وعطفها علی موضع الرؤوس أولی، وذلک أنّ الکلام إذا حصل فیه عاملان أحدهما قریب والآخر بعید، فإعمال الأقرب أولی من إعمال الأبعد، وقد نصّ أهل العربیة علی هذا، </w:t>
      </w:r>
      <w:r>
        <w:rPr>
          <w:rStyle w:val="FootnoteAnchor"/>
          <w:rtl w:val="true"/>
        </w:rPr>
        <w:footnoteReference w:id="88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فی مسائل الخلاف الأنباری،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شرح الألفیة ابن عقیل،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أکرمنی وأکرمت عبداللّه، وأکرمت وأکرمنی‌عبداللّه، فحمل المذکور بعد الفعلین علی الفعل الثانی أولی من حمله علی الأوّل، لأنّ الثانی أقرب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جاء القرآن وأکثر الشعر بأعمال الثانی،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أَنَّهُمْ ظَنُّوا کَما ظَنَنْتُمْ أَنْ لَنْ یَبْعَثَ اَللّهُ أَحَداً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أعمل الأوّل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ظننتموه،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آتُونِی أُفْرِغْ عَلَیْهِ قِطْراً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أعمل الأوّل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اُفرغه،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هاؤُمُ اِقْرَؤُا کِتابِیَهْ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أعمل الأوّل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هاؤم اقرء وه کتابیه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أعمل فیه الثانی قول الشاعر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وأورد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فأعمل الثانی دون الأوّل، لأنّه لو أعمل الأوّل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کلّ ذی دین فوفّاه غریمه، انتهی کلام الشیخ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أخرج هذا البیت ابن هشام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مالک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التسهیل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یجعلا من باب التنازع، ولهما تأویل خاص فی المسألة</w:t>
      </w:r>
      <w:r>
        <w:rPr>
          <w:rFonts w:eastAsia="IRNazanin" w:cs="IRNazanin"/>
          <w:color w:val="111111"/>
          <w:sz w:val="28"/>
          <w:szCs w:val="28"/>
          <w:rtl w:val="true"/>
          <w:lang w:bidi="fa-IR"/>
        </w:rPr>
        <w:t xml:space="preserve">. </w:t>
      </w:r>
      <w:r>
        <w:rPr>
          <w:rStyle w:val="FootnoteAnchor"/>
          <w:rtl w:val="true"/>
        </w:rPr>
        <w:footnoteReference w:id="883"/>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أنّه لو لم یصحّ الاستشهاد فی الموضع الذی أشرنا إلیه من البیت، فإنّ فیه </w:t>
      </w:r>
      <w:bookmarkStart w:id="876" w:name="pg14553_192079"/>
    </w:p>
    <w:p>
      <w:pPr>
        <w:pStyle w:val="BookText"/>
        <w:rPr/>
      </w:pPr>
      <w:bookmarkEnd w:id="876"/>
      <w:r>
        <w:rPr>
          <w:rFonts w:ascii="IRNazanin" w:hAnsi="IRNazanin" w:eastAsia="IRNazanin"/>
          <w:color w:val="111111"/>
          <w:sz w:val="28"/>
          <w:sz w:val="28"/>
          <w:szCs w:val="28"/>
          <w:rtl w:val="true"/>
          <w:lang w:bidi="fa-IR"/>
        </w:rPr>
        <w:t xml:space="preserve">موضعاً آخر للاستشهاد أشار إلیه الأنباری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ممطول معنّی غریمها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فممطول ومُعنّی عاملان، وتأخّر عنهما معمول واحد،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 هذین العاملین یطلبه نائب فاعل، لأنّ کلّ واحد منهما اسم مفعول وهو یعمل عمل الفعل المبنی للمجهول، والشاعر قد أعمل الثانی منهما، لأنّه لو کان قد أعمل العامل الأوّل لوجب علیه أن یظهر الضمیر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وعزّة ممطول معنّی هو غریمها، وتقدیره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وعزّة ممطول غریمها معنّی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لم یظهر الضمیر دلّ علی أنّه قد أعمل الثانی</w:t>
      </w:r>
      <w:r>
        <w:rPr>
          <w:rFonts w:eastAsia="IRNazanin" w:cs="IRNazanin"/>
          <w:color w:val="111111"/>
          <w:sz w:val="28"/>
          <w:szCs w:val="28"/>
          <w:rtl w:val="true"/>
          <w:lang w:bidi="fa-IR"/>
        </w:rPr>
        <w:t>.</w:t>
      </w:r>
    </w:p>
    <w:p>
      <w:pPr>
        <w:pStyle w:val="Heading5"/>
        <w:numPr>
          <w:ilvl w:val="4"/>
          <w:numId w:val="1"/>
        </w:numPr>
        <w:rPr/>
      </w:pPr>
      <w:bookmarkStart w:id="877" w:name="__RefHeading___Toc652315_1878427129"/>
      <w:bookmarkStart w:id="878" w:name="_Toc332"/>
      <w:bookmarkEnd w:id="877"/>
      <w:r>
        <w:rPr/>
        <w:t>49</w:t>
      </w:r>
      <w:r>
        <w:rPr>
          <w:rtl w:val="true"/>
        </w:rPr>
        <w:t>الوافر</w:t>
      </w:r>
      <w:bookmarkEnd w:id="878"/>
    </w:p>
    <w:p>
      <w:pPr>
        <w:pStyle w:val="BookText"/>
        <w:rPr/>
      </w:pPr>
      <w:r>
        <w:rPr>
          <w:rFonts w:ascii="Amiri" w:hAnsi="Amiri" w:eastAsia="Amiri" w:cs="Amiri"/>
          <w:color w:val="111111"/>
          <w:sz w:val="28"/>
          <w:sz w:val="28"/>
          <w:szCs w:val="28"/>
          <w:rtl w:val="true"/>
          <w:lang w:bidi="ar-SA"/>
        </w:rPr>
        <w:t>ألا إنّ النِّساءَ خُلِقن شَتّی فمنهنّ الغَنیمةُ والغَرامُ</w:t>
      </w:r>
    </w:p>
    <w:p>
      <w:pPr>
        <w:pStyle w:val="BookText"/>
        <w:rPr/>
      </w:pPr>
      <w:r>
        <w:rPr>
          <w:rFonts w:ascii="Amiri" w:hAnsi="Amiri" w:eastAsia="Amiri" w:cs="Amiri"/>
          <w:color w:val="111111"/>
          <w:sz w:val="28"/>
          <w:sz w:val="28"/>
          <w:szCs w:val="28"/>
          <w:rtl w:val="true"/>
          <w:lang w:bidi="ar-SA"/>
        </w:rPr>
        <w:t>ومنهنّ الهِلالُ إذا تجلّی</w:t>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النکاح باب أصناف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أصناف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اختیار الأزواج، ورواها الشیخ الصدوق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وأخرجها عنه العلامة المجلسی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 </w:t>
      </w:r>
      <w:r>
        <w:rPr>
          <w:rStyle w:val="FootnoteAnchor"/>
          <w:rtl w:val="true"/>
        </w:rPr>
        <w:footnoteReference w:id="88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بحار الأنوار، ج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الکرخی </w:t>
      </w:r>
      <w:r>
        <w:rPr>
          <w:rStyle w:val="FootnoteAnchor"/>
          <w:rtl w:val="true"/>
        </w:rPr>
        <w:footnoteReference w:id="88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صاحبتی هلکت رحمها اللّه، وکانت لی موافقة، وقد هممت أن أتزوّج؟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أین تضع نفسک، ومن تشرکه فی مالک، وتطلعه علی دینک وسّرک وأمانتک، فإن کنت لابدّ فاعلاً، فبکراً تنسب إلی الخیر وإلی حسن الخلق، واعلم انهنّ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وأورد الأبیات</w:t>
      </w:r>
      <w:r>
        <w:rPr>
          <w:rFonts w:eastAsia="IRNazanin" w:cs="IRNazanin"/>
          <w:color w:val="111111"/>
          <w:sz w:val="28"/>
          <w:szCs w:val="28"/>
          <w:rtl w:val="true"/>
          <w:lang w:bidi="fa-IR"/>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فامرأة ولودٌ ودودٌ تعین زوجها علی دهره لدنیاه وآخرته، ولا تعین الدهر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وامرأة عقیم لا ذات جمال ولا خلق ولا تُعین زوجها علی خیر، وامرأة صخّابة ولاجة همّازة </w:t>
      </w:r>
      <w:r>
        <w:rPr>
          <w:rStyle w:val="FootnoteAnchor"/>
          <w:rtl w:val="true"/>
        </w:rPr>
        <w:footnoteReference w:id="886"/>
      </w:r>
      <w:r>
        <w:rPr>
          <w:rFonts w:ascii="IRNazanin" w:hAnsi="IRNazanin" w:eastAsia="IRNazanin"/>
          <w:color w:val="111111"/>
          <w:sz w:val="28"/>
          <w:sz w:val="28"/>
          <w:szCs w:val="28"/>
          <w:rtl w:val="true"/>
          <w:lang w:bidi="fa-IR"/>
        </w:rPr>
        <w:t>تستقلّ الکثیر ولا تقبل الیسیر</w:t>
      </w:r>
      <w:r>
        <w:rPr>
          <w:rFonts w:eastAsia="IRNazanin" w:cs="IRNazanin"/>
          <w:color w:val="111111"/>
          <w:sz w:val="28"/>
          <w:szCs w:val="28"/>
          <w:rtl w:val="true"/>
          <w:lang w:bidi="fa-IR"/>
        </w:rPr>
        <w:t xml:space="preserve">» . </w:t>
      </w:r>
      <w:bookmarkStart w:id="879" w:name="pg14553_192080"/>
    </w:p>
    <w:p>
      <w:pPr>
        <w:pStyle w:val="Heading5"/>
        <w:numPr>
          <w:ilvl w:val="4"/>
          <w:numId w:val="1"/>
        </w:numPr>
        <w:rPr/>
      </w:pPr>
      <w:bookmarkStart w:id="880" w:name="__RefHeading___Toc652317_1878427129"/>
      <w:bookmarkStart w:id="881" w:name="_Toc333"/>
      <w:bookmarkEnd w:id="879"/>
      <w:bookmarkEnd w:id="880"/>
      <w:r>
        <w:rPr/>
        <w:t>50</w:t>
      </w:r>
      <w:r>
        <w:rPr>
          <w:rtl w:val="true"/>
        </w:rPr>
        <w:t>الطویل</w:t>
      </w:r>
      <w:bookmarkEnd w:id="881"/>
    </w:p>
    <w:p>
      <w:pPr>
        <w:pStyle w:val="BookText"/>
        <w:rPr/>
      </w:pPr>
      <w:r>
        <w:rPr>
          <w:rFonts w:ascii="Amiri" w:hAnsi="Amiri" w:eastAsia="Amiri" w:cs="Amiri"/>
          <w:color w:val="111111"/>
          <w:sz w:val="28"/>
          <w:sz w:val="28"/>
          <w:szCs w:val="28"/>
          <w:rtl w:val="true"/>
          <w:lang w:bidi="ar-SA"/>
        </w:rPr>
        <w:t>ولکنّ نَصْفاً لَو سَبَبْتُ وسَبّنی بَنُو عَبدِ شَمْسٍ مِن مَنَافٍ وهَاشِمِ</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الفرزدق، وهو هَمّام بن غالب بن صَعْصعة التمیمی الدارمی، أبو فراس، واشتهر بالفرزدق لجهامة وجهه وغلظه، شاعر من النبلاء، من أهل البصرة، عظیم الأثر فی اللغة، ومن شعراء الطبقة الأولی، له قصیدة فی مدح الإمام علی بن الحسین علیه السلام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تعرفُ البطحاءُ وطأته</w:t>
      </w:r>
    </w:p>
    <w:p>
      <w:pPr>
        <w:pStyle w:val="BookText"/>
        <w:rPr/>
      </w:pPr>
      <w:r>
        <w:rPr>
          <w:rFonts w:ascii="Amiri" w:hAnsi="Amiri" w:eastAsia="Amiri" w:cs="Amiri"/>
          <w:color w:val="111111"/>
          <w:sz w:val="28"/>
          <w:sz w:val="28"/>
          <w:szCs w:val="28"/>
          <w:rtl w:val="true"/>
          <w:lang w:bidi="ar-SA"/>
        </w:rPr>
        <w:t xml:space="preserve">والبیتُ یعرفه والحِلُّ والحَرَمُ </w:t>
      </w:r>
      <w:r>
        <w:rPr>
          <w:rStyle w:val="FootnoteAnchor"/>
          <w:rtl w:val="true"/>
        </w:rPr>
        <w:footnoteReference w:id="88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الدیوان،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رجال الکشی،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حلیة الأولیاء أبونعیم،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کنز الفوائد الکراجکی،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الصواعق المحرقة الهیتمی، 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کشف الغمّة الإربلی،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الخواص سبط ابن الجوزی،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مختصر تاریخ دمشق ابن منظور،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 نقائض مشهورة مع جریر والأخطل، وتوفّی فی بادیة البصرة سنة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التخریج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التهذیب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صفة الوضوء، والبیت فی دیوان الشاعر من قصیدة فی هجاء جریر، وقبله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بعدلٍ أن سَبَبتُ مُقاعساً بآبائی الشُّمِّ الکِرامِ الخضارمِ</w:t>
      </w:r>
    </w:p>
    <w:p>
      <w:pPr>
        <w:pStyle w:val="BookText"/>
        <w:rPr/>
      </w:pPr>
      <w:r>
        <w:rPr>
          <w:rFonts w:ascii="IRNazanin" w:hAnsi="IRNazanin" w:eastAsia="IRNazanin"/>
          <w:color w:val="111111"/>
          <w:sz w:val="28"/>
          <w:sz w:val="28"/>
          <w:szCs w:val="28"/>
          <w:rtl w:val="true"/>
          <w:lang w:bidi="fa-IR"/>
        </w:rPr>
        <w:t xml:space="preserve">وهو من شواهد سیبویه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والمبرد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وأورده الأعلم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والبغدادی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والأنباری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الإنصاف </w:t>
      </w:r>
      <w:r>
        <w:rPr>
          <w:rFonts w:eastAsia="IRNazanin" w:cs="IRNazanin"/>
          <w:color w:val="111111"/>
          <w:sz w:val="28"/>
          <w:szCs w:val="28"/>
          <w:rtl w:val="true"/>
          <w:lang w:bidi="fa-IR"/>
        </w:rPr>
        <w:t xml:space="preserve">) . </w:t>
      </w:r>
      <w:r>
        <w:rPr>
          <w:rStyle w:val="FootnoteAnchor"/>
          <w:rtl w:val="true"/>
        </w:rPr>
        <w:footnoteReference w:id="889"/>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نصفاً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إنصافاً وعدلاً، وفی الدیوان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عدلاً، ومن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به عبدمناف بن قصی علی حسب النسبة إلیه،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تصوره بعض الشارحین لأنّه یترتّب علیه فساد المعنی، لأنّ عبد شمس وهاشماً أخوان، وهما ابنا عبد مناف بن 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 الشاعر أنّه لیس من الإنصاف أن یسبّ بنی مقاعس </w:t>
      </w:r>
      <w:r>
        <w:rPr>
          <w:rStyle w:val="FootnoteAnchor"/>
          <w:rtl w:val="true"/>
        </w:rPr>
        <w:footnoteReference w:id="890"/>
      </w:r>
      <w:r>
        <w:rPr>
          <w:rFonts w:ascii="IRNazanin" w:hAnsi="IRNazanin" w:eastAsia="IRNazanin"/>
          <w:color w:val="111111"/>
          <w:sz w:val="28"/>
          <w:sz w:val="28"/>
          <w:szCs w:val="28"/>
          <w:rtl w:val="true"/>
          <w:lang w:bidi="fa-IR"/>
        </w:rPr>
        <w:t xml:space="preserve">بآبائه لما لآبائه من الشرف والکرامة، ولو کان </w:t>
      </w:r>
      <w:bookmarkStart w:id="882" w:name="pg14553_192081"/>
    </w:p>
    <w:p>
      <w:pPr>
        <w:pStyle w:val="BookText"/>
        <w:rPr/>
      </w:pPr>
      <w:bookmarkEnd w:id="882"/>
      <w:r>
        <w:rPr>
          <w:rFonts w:ascii="IRNazanin" w:hAnsi="IRNazanin" w:eastAsia="IRNazanin"/>
          <w:color w:val="111111"/>
          <w:sz w:val="28"/>
          <w:sz w:val="28"/>
          <w:szCs w:val="28"/>
          <w:rtl w:val="true"/>
          <w:lang w:bidi="fa-IR"/>
        </w:rPr>
        <w:t>قد تسابّ مع أشراف قریش من بنی عبدشمس وهاشم لکان إنصافاً فی المهاجاة والمسابّة، ولکان حریاً به لأنّهم یوازون آباءه فی الشرف والعظمة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سببت وسبنی بنو عبدشمسٍ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العبارة من باب التنازع حیث تقدّم فیها عاملان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وتأخّر عنهما معمول واحد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 عبدشمس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یطلبه مفعولاً، والثانی یطلبه فاعلاً، وقد أعمل فیه الثانی، ولو أنّه أعمل الأوّل لقال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سببت وسبونی بنی عبدشمس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وإظهار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سبنی</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وقد استشهد به الشیخ الطوسی فی معرض حدیثه عن آیة الوضوء،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وُجُوهَکُمْ وَ أَیْدِیَکُمْ إِلَی اَلْمَرافِقِ وَ اِمْسَحُوا بِرُؤُسِکُمْ وَ أَرْجُلَکُمْ إِلَی اَلْکَعْبَیْنِ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ففی حال قراءة الأرجل بالنصب، فإنّ عطف الأرجل علی موضع الرؤوس أولی، وذلک لأنّ الکلام إذا حصل فیه عاملان أحدهما قریب والآخر بعید، فإعمال الأقرب أولی من أعمال الأبعد، وقد نصّ أهل العربیة علی هذا، وجاء القرآن الکریم وأکثر الشعر بإعمال الثانی دون الأوّل لقربه، وأورد الشیخ عدّة شواهد قرآنیة وشعریة منها بیت الفرزدق</w:t>
      </w:r>
      <w:r>
        <w:rPr>
          <w:rFonts w:eastAsia="IRNazanin" w:cs="IRNazanin"/>
          <w:color w:val="111111"/>
          <w:sz w:val="28"/>
          <w:szCs w:val="28"/>
          <w:rtl w:val="true"/>
          <w:lang w:bidi="fa-IR"/>
        </w:rPr>
        <w:t>.</w:t>
      </w:r>
    </w:p>
    <w:p>
      <w:pPr>
        <w:pStyle w:val="Heading5"/>
        <w:numPr>
          <w:ilvl w:val="4"/>
          <w:numId w:val="1"/>
        </w:numPr>
        <w:rPr/>
      </w:pPr>
      <w:bookmarkStart w:id="883" w:name="__RefHeading___Toc652319_1878427129"/>
      <w:bookmarkStart w:id="884" w:name="_Toc334"/>
      <w:bookmarkEnd w:id="883"/>
      <w:r>
        <w:rPr/>
        <w:t>51</w:t>
      </w:r>
      <w:r>
        <w:rPr>
          <w:rtl w:val="true"/>
        </w:rPr>
        <w:t>البسیط</w:t>
      </w:r>
      <w:bookmarkEnd w:id="884"/>
    </w:p>
    <w:p>
      <w:pPr>
        <w:pStyle w:val="BookText"/>
        <w:rPr/>
      </w:pPr>
      <w:r>
        <w:rPr>
          <w:rFonts w:ascii="Amiri" w:hAnsi="Amiri" w:eastAsia="Amiri" w:cs="Amiri"/>
          <w:color w:val="111111"/>
          <w:sz w:val="28"/>
          <w:sz w:val="28"/>
          <w:szCs w:val="28"/>
          <w:rtl w:val="true"/>
          <w:lang w:bidi="ar-SA"/>
        </w:rPr>
        <w:t>حتّی شَئاها کَلِیلٌ مَوْهِناً عَمِلٌ باتَتْ طِراباً وباتَ اللَّیلَ لم یَنَمِ</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ساعدة بن جُؤیّة الهذلی، من بنی کعب بن کاهل، من سعد هذیل، شاعر، من مخضرمی الجاهلیة والإسلام، أسلم ولیس له صحبة، قال الآمدی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 محشوّ بالغریب والمعانی الغامضة، له دیوان شعر مطبوع</w:t>
      </w:r>
      <w:r>
        <w:rPr>
          <w:rFonts w:eastAsia="IRNazanin" w:cs="IRNazanin"/>
          <w:color w:val="111111"/>
          <w:sz w:val="28"/>
          <w:szCs w:val="28"/>
          <w:rtl w:val="true"/>
          <w:lang w:bidi="fa-IR"/>
        </w:rPr>
        <w:t xml:space="preserve">. </w:t>
      </w:r>
      <w:r>
        <w:rPr>
          <w:rStyle w:val="FootnoteAnchor"/>
          <w:rtl w:val="true"/>
        </w:rPr>
        <w:footnoteReference w:id="891"/>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المیاه وأحکامها، والبیت من قصیدة طویلة </w:t>
      </w:r>
    </w:p>
    <w:p>
      <w:pPr>
        <w:pStyle w:val="BookText"/>
        <w:rPr/>
      </w:pPr>
      <w:r>
        <w:rPr>
          <w:rFonts w:ascii="Amiri" w:hAnsi="Amiri" w:eastAsia="Amiri" w:cs="Amiri"/>
          <w:color w:val="111111"/>
          <w:sz w:val="28"/>
          <w:sz w:val="28"/>
          <w:szCs w:val="28"/>
          <w:rtl w:val="true"/>
          <w:lang w:bidi="ar-SA"/>
        </w:rPr>
        <w:t>للشاعر، رثی بها من أُصیب یوم مَعْیَط وهو موضع منهم سُراقة بن جُعشم من بنی مدلج، وکان یرسل إلیهم الأخبار، وهذا مطلعها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 شِعری ولا مَنْجی من الهَرَمِ أم هل علی العَیشِ بعد الشّیبِ من نَدَمِ</w:t>
      </w:r>
    </w:p>
    <w:p>
      <w:pPr>
        <w:pStyle w:val="BookText"/>
        <w:rPr/>
      </w:pPr>
      <w:r>
        <w:rPr>
          <w:rFonts w:ascii="IRNazanin" w:hAnsi="IRNazanin" w:eastAsia="IRNazanin"/>
          <w:color w:val="111111"/>
          <w:sz w:val="28"/>
          <w:sz w:val="28"/>
          <w:szCs w:val="28"/>
          <w:rtl w:val="true"/>
          <w:lang w:bidi="fa-IR"/>
        </w:rPr>
        <w:t xml:space="preserve">والبیت من شواهد سیبویه، وأورده المبرد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هشام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والبغدادی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منظور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والأعلم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الکتاب </w:t>
      </w:r>
      <w:r>
        <w:rPr>
          <w:rFonts w:eastAsia="IRNazanin" w:cs="IRNazanin"/>
          <w:color w:val="111111"/>
          <w:sz w:val="28"/>
          <w:szCs w:val="28"/>
          <w:rtl w:val="true"/>
          <w:lang w:bidi="fa-IR"/>
        </w:rPr>
        <w:t xml:space="preserve">) . </w:t>
      </w:r>
      <w:r>
        <w:rPr>
          <w:rStyle w:val="FootnoteAnchor"/>
          <w:rtl w:val="true"/>
        </w:rPr>
        <w:footnoteReference w:id="89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سیبویه،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المقتضب المبرد،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مغنی اللبیب ابن هشام،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800</w:t>
      </w:r>
      <w:r>
        <w:rPr>
          <w:rFonts w:ascii="IRNazanin" w:hAnsi="IRNazanin" w:eastAsia="IRNazanin"/>
          <w:color w:val="111111"/>
          <w:sz w:val="28"/>
          <w:sz w:val="28"/>
          <w:szCs w:val="28"/>
          <w:rtl w:val="true"/>
          <w:lang w:bidi="fa-IR"/>
        </w:rPr>
        <w:t xml:space="preserve">؛ خزانة الأدب البغدادی،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شرح کتاب سیبویه الأعلم،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فی هذا البیت بقراً نظرت إلی برق مستمطر دالّ علی الغیث، حتی شئاها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ساقها من موضعها إلی الموضع الذی کان منه البرق، کلیل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للبرق بمعنی مکّل، مثل ألیم وسمیع بمعنی مُؤلِم ومُسمِع، وموهناً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وقتاً من اللیل، والمعنی أنّ البرق یکلّ أوقات اللیل بدوامه فیه وتوالی لمعانه،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أتعبت لیلک، أی سرت فیه سیراً حثیثاً متعباً متوالیاً، والعَمِل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العمل الدائب الذی لا یفتر، وباتت طراباً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باتت البقر وقد استخفّها الشوق والفرح إلی البرق، وبات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بات البرقُ اللیلَ أجمع لا یفتر متّصلاً من أوّل اللیل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الشاهد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کلیلٌ مَوهِناً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بکلیل علی المجاز والاتّساع مع أنّ اسم الفاعل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متعدٍّ، وذلک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 عمله، لأنّه مغیّر منه لمعنی التکثیر والمبالغة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أنشده سیبویه علی إعمال فعیل، لکن طعن بعض النحاة فی البیت، من جهة استشهاده، واعتبر الطاعنون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وفعله لا یتعدّی فی الأصل،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البیت منصوب علی الظرفیه لا المفعولیة، وجعلوا معنی کلیل ضعیف، أی أنّ البرق کلیل فی نفسه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اعتبر أغلب النحاة تأویل الطاعنین غیر صحیح </w:t>
      </w:r>
      <w:r>
        <w:rPr>
          <w:rStyle w:val="FootnoteAnchor"/>
          <w:rtl w:val="true"/>
        </w:rPr>
        <w:footnoteReference w:id="893"/>
      </w:r>
      <w:r>
        <w:rPr>
          <w:rFonts w:ascii="IRNazanin" w:hAnsi="IRNazanin" w:eastAsia="IRNazanin"/>
          <w:color w:val="111111"/>
          <w:sz w:val="28"/>
          <w:sz w:val="28"/>
          <w:szCs w:val="28"/>
          <w:rtl w:val="true"/>
          <w:lang w:bidi="fa-IR"/>
        </w:rPr>
        <w:t xml:space="preserve">لأنّ صدر البیت وعجزه ینافیه، إذ لو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ضعیف،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الکثیر العمل، ولا وصفه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وبات </w:t>
      </w:r>
    </w:p>
    <w:p>
      <w:pPr>
        <w:pStyle w:val="BookText"/>
        <w:rPr/>
      </w:pPr>
      <w:r>
        <w:rPr>
          <w:rFonts w:ascii="IRNazanin" w:hAnsi="IRNazanin" w:eastAsia="IRNazanin"/>
          <w:color w:val="111111"/>
          <w:sz w:val="28"/>
          <w:sz w:val="28"/>
          <w:szCs w:val="28"/>
          <w:rtl w:val="true"/>
          <w:lang w:bidi="fa-IR"/>
        </w:rPr>
        <w:t>اللیل لم 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ولو کان البرق ضعیفاً لما ساق البقر، لأنّه لا یدلّ علی المطر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واعتُذِر لسیبویه من حیث الإعراب،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فموهناً مفعوله علی المجاز،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أتعبت یومک، أو أتعبت لیلک، ففعیل مبالغة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واستشهد به الشیخ الطوسی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 الغرض الذی ذکرناه، وذلک فی أوّل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المیاه وأحکامها وما یجوز التطهّر به وما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ماءٍ نزل من السماء أو نبع من الأرض، عذباً کان أو ملحاً، فإنّه طاهر مطهّر إلا أن ینجّسه شی ءٌ یتغیّر به حکمه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 من الآیة أنّ اللّه تعالی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 علی ما وقع اسم الماء علیه بأنّه طهور، والطهور هو المطهّر فی لغة العرب، فیجب أن یعتبر کلّما یقع علیه اسم الماء بأنّه طاهرٌ مطهّر إلا ما قام الدلیل علی تغییر حکمه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ولیس لأحدٍ أن یقول إنّ الطهور لا یفید فی لغة العرب کونه مطهّراً، لأنّ هذا خلاف علی أهل اللغة، لأنّهم لا یفرقون بین قول القال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ماء طهور، وهذا ماء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 الطهور هو المطهّر، واسم الفاعل منه غیر متعدٍ، 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کلام العرب متعدیاً، لم یکن متعدّیاً إلا وفاعله متعدٍّ، فإذا کان فاعله غیر متعدٍّ ینبغی أن یحکم بأن فعوله غیر متعدٍ أیضاً، ألا تری أنّ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 متعدّیاً لأنّ الضارب منه متعدٍّ، وإذا کان اسم الطاهر غیر متعدٍ یجب أن یکون الطهور أیضاً غیر متعدٍ؟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من لم یفهم معانی الألفاظ العربیة، وذلک أنّه لا خلاف بین أهل النحو أنّ اسم الفعول موضوع للمبالغة وتکرّر الصفة، ألا تری أنّهم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ضارب، ثمّ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ضروب، إذا تکرّر منه ذلک وکثر، وإذا کان کون الماء طاهراً لیس ممّا یتکرّر ویتزاید، فینبغی أن یعتبر فی إطلاق الطهور علیه غیر ذلک، ولیس بعد ذلک إلا أنّه مطهّر، ولو حملناه علی ما حملنا علیه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فیه زیادة فائدة، وهذا فاسد</w:t>
      </w:r>
      <w:r>
        <w:rPr>
          <w:rFonts w:eastAsia="IRNazanin" w:cs="IRNazanin"/>
          <w:color w:val="111111"/>
          <w:sz w:val="28"/>
          <w:szCs w:val="28"/>
          <w:rtl w:val="true"/>
          <w:lang w:bidi="fa-IR"/>
        </w:rPr>
        <w:t xml:space="preserve">. </w:t>
      </w:r>
      <w:bookmarkStart w:id="885" w:name="pg14553_192084"/>
    </w:p>
    <w:p>
      <w:pPr>
        <w:pStyle w:val="BookText"/>
        <w:rPr/>
      </w:pPr>
      <w:bookmarkEnd w:id="885"/>
      <w:r>
        <w:rPr>
          <w:rFonts w:ascii="IRNazanin" w:hAnsi="IRNazanin" w:eastAsia="IRNazanin"/>
          <w:color w:val="111111"/>
          <w:sz w:val="28"/>
          <w:sz w:val="28"/>
          <w:szCs w:val="28"/>
          <w:rtl w:val="true"/>
          <w:lang w:bidi="fa-IR"/>
        </w:rPr>
        <w:t>وأمّا ما قاله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اسم للفاعل إذا لم یکن متعدّیاً، فالفعول منه غیر متعدٍ، فغلط أیضاً، لأنّا وجدنا کثیراً ما یعتبرون فی أسماء المبالغة والتعدیة وإن کان اسم الفاعل منه غیر متعدّ، ألا تری إلی قول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وأنشد الشاهد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موضوعاً للمبالغة، وإن کان اسم الفاعل منه غیر متعدٍ، وهذا کثیر فی کلام العرب، ویدلّ علی ذلک أیضاً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یُنَزِّلُ عَلَیْکُمْ مِنَ اَلسَّماءِ ماءً لِیُطَهِّرَکُمْ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ما وقع علیه إطلاق اسم الماء یجب أن یکون مطهّراً بظاهر اللفظ إلا ما خرج بالدلیل</w:t>
      </w:r>
      <w:r>
        <w:rPr>
          <w:rFonts w:eastAsia="Amiri" w:cs="Amiri" w:ascii="Amiri" w:hAnsi="Amiri"/>
          <w:color w:val="111111"/>
          <w:sz w:val="28"/>
          <w:szCs w:val="28"/>
          <w:rtl w:val="true"/>
          <w:lang w:bidi="ar-SA"/>
        </w:rPr>
        <w:t>.</w:t>
      </w:r>
    </w:p>
    <w:p>
      <w:pPr>
        <w:pStyle w:val="Heading5"/>
        <w:numPr>
          <w:ilvl w:val="4"/>
          <w:numId w:val="1"/>
        </w:numPr>
        <w:rPr/>
      </w:pPr>
      <w:bookmarkStart w:id="886" w:name="__RefHeading___Toc652321_1878427129"/>
      <w:bookmarkStart w:id="887" w:name="_Toc335"/>
      <w:bookmarkEnd w:id="886"/>
      <w:r>
        <w:rPr/>
        <w:t>52</w:t>
      </w:r>
      <w:r>
        <w:rPr>
          <w:rtl w:val="true"/>
        </w:rPr>
        <w:t>الوافر</w:t>
      </w:r>
      <w:bookmarkEnd w:id="887"/>
    </w:p>
    <w:p>
      <w:pPr>
        <w:pStyle w:val="BookText"/>
        <w:rPr/>
      </w:pPr>
      <w:r>
        <w:rPr>
          <w:rFonts w:ascii="Amiri" w:hAnsi="Amiri" w:eastAsia="Amiri" w:cs="Amiri"/>
          <w:color w:val="111111"/>
          <w:sz w:val="28"/>
          <w:sz w:val="28"/>
          <w:szCs w:val="28"/>
          <w:rtl w:val="true"/>
          <w:lang w:bidi="ar-SA"/>
        </w:rPr>
        <w:t>أقولُ لأُمّ زِنباعٍ أقِرّی صُدُورَ العِیْسِ شَطْرَ بنی تَمیمِ</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جُندَب القِرَدی الهُذلی، شاعر جاهلی، عُرف عنه الإباء الشدید والوفاء، وهو مع عشرة إخوة له منهم أبو خِراش الهذلی کلّهم شعراء دُهاة سراع لا یدرکهم أحدٌ عَدْوَاً، وکان أبو جندب ذا شرّ وبأس، وکان قومه یسمّونه المشؤوم</w:t>
      </w:r>
      <w:r>
        <w:rPr>
          <w:rFonts w:eastAsia="IRNazanin" w:cs="IRNazanin"/>
          <w:color w:val="111111"/>
          <w:sz w:val="28"/>
          <w:szCs w:val="28"/>
          <w:rtl w:val="true"/>
          <w:lang w:bidi="fa-IR"/>
        </w:rPr>
        <w:t xml:space="preserve">.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 xml:space="preserve">ونسبه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هذیل، والظاهر تصحیف الهذلی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 باب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أبو الفرج الأصفهانی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w:t>
      </w:r>
      <w:r>
        <w:rPr>
          <w:rFonts w:eastAsia="IRNazanin" w:cs="IRNazanin"/>
          <w:color w:val="111111"/>
          <w:sz w:val="28"/>
          <w:szCs w:val="28"/>
          <w:rtl w:val="true"/>
          <w:lang w:bidi="fa-IR"/>
        </w:rPr>
        <w:t xml:space="preserve">) .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زِنباع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امرأة الشاعر، وهی من بنی کلب بن عوف، والبیت یقع ضمن قصیدة یخاطب بها الشاعر امرأته، ذکر أبو الفرج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منها فی أغانیه، أقرّ الشی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أثبته وأمضاه،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أقیمی، والشطر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النحو والجهة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الشاهد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شطر بنی تمیم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نحوهم، وقد استشهد به الشیخ الطوسی علی أنّ المراد بالشطر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 وَجْهَکَ شَطْرَ اَلْمَسْجِدِ اَلْحَرامِ</w:t>
      </w:r>
      <w:r>
        <w:rPr>
          <w:rFonts w:eastAsia="Amiri" w:cs="Amiri" w:ascii="Amiri" w:hAnsi="Amiri"/>
          <w:color w:val="111111"/>
          <w:sz w:val="28"/>
          <w:szCs w:val="28"/>
          <w:rtl w:val="true"/>
          <w:lang w:bidi="ar-SA"/>
        </w:rPr>
        <w:t xml:space="preserve">» . </w:t>
      </w:r>
      <w:r>
        <w:rPr>
          <w:rStyle w:val="FootnoteAnchor"/>
          <w:rtl w:val="true"/>
        </w:rPr>
        <w:footnoteReference w:id="896"/>
      </w:r>
      <w:r>
        <w:rPr>
          <w:rFonts w:ascii="IRNazanin" w:hAnsi="IRNazanin" w:eastAsia="IRNazanin"/>
          <w:color w:val="111111"/>
          <w:sz w:val="28"/>
          <w:sz w:val="28"/>
          <w:szCs w:val="28"/>
          <w:rtl w:val="true"/>
          <w:lang w:bidi="fa-IR"/>
        </w:rPr>
        <w:t>هو النحو،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فأوجب اللّه تعالی بظاهر اللفظ التوجّه نحو المسجد الحرام لمن نأی عن المسجد الحرام، والمُراد بالشطر هاهنا النحو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وأنشد البیت</w:t>
      </w:r>
      <w:r>
        <w:rPr>
          <w:rFonts w:eastAsia="IRNazanin" w:cs="IRNazanin"/>
          <w:color w:val="111111"/>
          <w:sz w:val="28"/>
          <w:szCs w:val="28"/>
          <w:rtl w:val="true"/>
          <w:lang w:bidi="fa-IR"/>
        </w:rPr>
        <w:t xml:space="preserve">. </w:t>
      </w:r>
      <w:bookmarkStart w:id="888" w:name="pg14553_192085"/>
    </w:p>
    <w:p>
      <w:pPr>
        <w:pStyle w:val="Heading5"/>
        <w:numPr>
          <w:ilvl w:val="4"/>
          <w:numId w:val="1"/>
        </w:numPr>
        <w:rPr/>
      </w:pPr>
      <w:bookmarkStart w:id="889" w:name="__RefHeading___Toc652323_1878427129"/>
      <w:bookmarkStart w:id="890" w:name="_Toc336"/>
      <w:bookmarkEnd w:id="888"/>
      <w:bookmarkEnd w:id="889"/>
      <w:r>
        <w:rPr/>
        <w:t>53</w:t>
      </w:r>
      <w:r>
        <w:rPr>
          <w:rtl w:val="true"/>
        </w:rPr>
        <w:t>الخفیف</w:t>
      </w:r>
      <w:bookmarkEnd w:id="890"/>
    </w:p>
    <w:p>
      <w:pPr>
        <w:pStyle w:val="BookText"/>
        <w:rPr/>
      </w:pPr>
      <w:r>
        <w:rPr>
          <w:rFonts w:ascii="Amiri" w:hAnsi="Amiri" w:eastAsia="Amiri" w:cs="Amiri"/>
          <w:color w:val="111111"/>
          <w:sz w:val="28"/>
          <w:sz w:val="28"/>
          <w:szCs w:val="28"/>
          <w:rtl w:val="true"/>
          <w:lang w:bidi="ar-SA"/>
        </w:rPr>
        <w:t>أخْلَصَ اللهُ لِی هوایَ فما أُغْ رقُ نَزْعاً ولا تَطیشُ سِهامی</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الکُمیت بن زید بن خُنیس الأسدی، أبو المستهل، شاعر من أهل الکوفة، کان عالماً بآداب العرب ولغاتها وأخبارها وأنسابها، ثقة فی علمه، کثیر المدح لأهل البیت علیهم السلام، فقد صحب الإمام الباقر علیه السلام ومات فی حیاة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الکشی عن حمدویه، عن حسان بن عبید بن زراره، عن أبیه، عن أبی جعفر علیه السلام أنّه قال للکمیت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مؤیّداً بروح القدس ما دمت تقول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وأشهر شعره الهاشمیّات، وهی عدّة قصائد فی مدح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مجموع شعره أکثر من خمسة آلاف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تکن لبنی أسد منقبة غیر الکمیت لکفاهم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عکرمة الضبّی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شعر الکمیت لم یکن للغة ترجمان</w:t>
      </w:r>
      <w:r>
        <w:rPr>
          <w:rFonts w:eastAsia="IRNazanin" w:cs="IRNazanin"/>
          <w:color w:val="111111"/>
          <w:sz w:val="28"/>
          <w:szCs w:val="28"/>
          <w:rtl w:val="true"/>
          <w:lang w:bidi="fa-IR"/>
        </w:rPr>
        <w:t xml:space="preserve">. </w:t>
      </w:r>
      <w:r>
        <w:rPr>
          <w:rStyle w:val="FootnoteAnchor"/>
          <w:rtl w:val="true"/>
        </w:rPr>
        <w:footnoteReference w:id="8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والشعراء ابن قتیبة، ص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شرح شواهد المغنی السیوطی،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والألقاب عباس القمّی،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الغدیر الأمینی،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التخریج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الکافی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والبیت من أوّل قصیدة فی الهاشمیّات، وتقع 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أبیات، ومطلعها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لقَلبٍ مُتیّمٍ مُستَهامِ غیرَ ما صَبْوةٍ ولا أحلامِ</w:t>
      </w:r>
    </w:p>
    <w:p>
      <w:pPr>
        <w:pStyle w:val="BookText"/>
        <w:rPr/>
      </w:pPr>
      <w:r>
        <w:rPr>
          <w:rFonts w:ascii="IRNazanin" w:hAnsi="IRNazanin" w:eastAsia="IRNazanin"/>
          <w:color w:val="111111"/>
          <w:sz w:val="28"/>
          <w:sz w:val="28"/>
          <w:szCs w:val="28"/>
          <w:rtl w:val="true"/>
          <w:lang w:bidi="fa-IR"/>
        </w:rPr>
        <w:t xml:space="preserve">وأورد البیت أبو ریاش القیس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الهاشمیّات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والکشی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وابن شهر آشوب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وأبو الفرج الأصفهانی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والطبرسی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w:t>
      </w:r>
      <w:r>
        <w:rPr>
          <w:rFonts w:eastAsia="IRNazanin" w:cs="IRNazanin"/>
          <w:color w:val="111111"/>
          <w:sz w:val="28"/>
          <w:szCs w:val="28"/>
          <w:rtl w:val="true"/>
          <w:lang w:bidi="fa-IR"/>
        </w:rPr>
        <w:t xml:space="preserve">. </w:t>
      </w:r>
      <w:r>
        <w:rPr>
          <w:rStyle w:val="FootnoteAnchor"/>
          <w:rtl w:val="true"/>
        </w:rPr>
        <w:footnoteReference w:id="898"/>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أخلص اللّه لی هوای، أی جعل اللّه تعالی حبّی لکم أهل البیت خالصاً، أغرق فی النزع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فی مدّ القوس وجذب وترها إلی أقصاه، ثمّ استعیر لمن بالغ فی کلّ شی ء، وطاش السهم یطیش طیشاً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عدل یمیناً أو شمالاً ولم یصب </w:t>
      </w:r>
    </w:p>
    <w:p>
      <w:pPr>
        <w:pStyle w:val="BookText"/>
        <w:rPr/>
      </w:pPr>
      <w:r>
        <w:rPr>
          <w:rFonts w:ascii="IRNazanin" w:hAnsi="IRNazanin" w:eastAsia="IRNazanin"/>
          <w:color w:val="111111"/>
          <w:sz w:val="28"/>
          <w:sz w:val="28"/>
          <w:szCs w:val="28"/>
          <w:rtl w:val="true"/>
          <w:lang w:bidi="fa-IR"/>
        </w:rPr>
        <w:t>الهدف، والمراد أنّ تأییده تعالی جعله لا یُخطئ هدف المودّة، بل یصیب کلّ ما أراد من مدحهم علیهم السلام والثناء علیهم، وإن لم یبالغ فی نزع قوس المحبّة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الکلینی بالإسناد 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الکمیت أبا عبداللّه علیه السلام شعراً،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أخلص اللّه لی هوای،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تقل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اُغرق نزعاً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ولکن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اُغرق نزعاً ولا تطیش سهامی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وروی أنّ الکمیت أنشد هذه القصیدة الإمام الباقر علیه السلام أیضاً ودعا 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للکمیت</w:t>
      </w:r>
      <w:r>
        <w:rPr>
          <w:rFonts w:eastAsia="IRNazanin" w:cs="IRNazanin"/>
          <w:color w:val="111111"/>
          <w:sz w:val="28"/>
          <w:szCs w:val="28"/>
          <w:rtl w:val="true"/>
          <w:lang w:bidi="fa-IR"/>
        </w:rPr>
        <w:t xml:space="preserve">» </w:t>
      </w:r>
      <w:r>
        <w:rPr>
          <w:rStyle w:val="FootnoteAnchor"/>
          <w:rtl w:val="true"/>
        </w:rPr>
        <w:footnoteReference w:id="8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الأغانی أبوالفرج،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مؤیّداً بروح القدس ما نصرتنا بلسانک وقلت فینا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ریاش القیسی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الهاشمیّات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بلغنا أنّ الکمیت أنشد محمّد بن علی بن الحسین علیه السلام هذا الشعر، فلمّا انتهی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أُغرق نزعاً ولا تطیش سهامی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محمّد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یُغرق النزع لم یبلغ غایته بسهمه، ولکن لو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اُغرق نزعاً ولا تطیش سهامی</w:t>
      </w:r>
      <w:r>
        <w:rPr>
          <w:rFonts w:eastAsia="IRNazanin" w:cs="IRNazanin"/>
          <w:color w:val="111111"/>
          <w:sz w:val="28"/>
          <w:szCs w:val="28"/>
          <w:rtl w:val="true"/>
          <w:lang w:bidi="fa-IR"/>
        </w:rPr>
        <w:t xml:space="preserve">» .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وفی روایة ابن شهر آشوب أنّ الکمیت قال موافقاً الإمام الباقر علیه السلام علی تصحیحه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مولای‌أنت أشعر منّی فی هذا المعنی</w:t>
      </w:r>
      <w:r>
        <w:rPr>
          <w:rFonts w:eastAsia="IRNazanin" w:cs="IRNazanin"/>
          <w:color w:val="111111"/>
          <w:sz w:val="28"/>
          <w:szCs w:val="28"/>
          <w:rtl w:val="true"/>
          <w:lang w:bidi="fa-IR"/>
        </w:rPr>
        <w:t xml:space="preserve">. </w:t>
      </w:r>
      <w:r>
        <w:rPr>
          <w:rStyle w:val="FootnoteAnchor"/>
          <w:rtl w:val="true"/>
        </w:rPr>
        <w:footnoteReference w:id="901"/>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ویبدو أنّ الإمام الصادق علیه السلام قد نهاه عن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أُغرق نزعاً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یستبطن هذا القول من معنی التقصیر فی مدحهم وعدم الاعتناء فی مودّتهم، ولأنّه یدلّ علی جواز سهم المحبّة عن هدفه علی تقدیر المبالغة فی المدح والثناء، ولذلک غیّر علیه السلام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أُغرق نزعاً ولا تطیش سهامی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أبلغ وأکمل فی مقام إظهار المحبّة، ذلک لأنّ الشاعر إذا بالغ فی الثناء علی ممدوحه خرج عن الحقّ، وقد یلجأ إلی الکذب فی ما یثبته للمدوح، کما أنّ الرامی إذا أغرق نزعاً أخطأ الهدف، لکنّ المادح لأهل البیت علیهم السلام لا یطیش سهم مودّته عن إصابة الغرض وإن بالغ فی مدّ قوسها إلی حدّ الکمال، لأنّه یصیب هدف الحقّ والصدق، ویکون مطابقاً لواقع الحال</w:t>
      </w:r>
      <w:r>
        <w:rPr>
          <w:rFonts w:eastAsia="IRNazanin" w:cs="IRNazanin"/>
          <w:color w:val="111111"/>
          <w:sz w:val="28"/>
          <w:szCs w:val="28"/>
          <w:rtl w:val="true"/>
          <w:lang w:bidi="fa-IR"/>
        </w:rPr>
        <w:t xml:space="preserve">. </w:t>
      </w:r>
      <w:bookmarkStart w:id="891" w:name="pg14553_192087"/>
    </w:p>
    <w:p>
      <w:pPr>
        <w:pStyle w:val="BookText"/>
        <w:rPr/>
      </w:pPr>
      <w:bookmarkEnd w:id="891"/>
      <w:r>
        <w:rPr>
          <w:rFonts w:ascii="IRNazanin" w:hAnsi="IRNazanin" w:eastAsia="IRNazanin"/>
          <w:color w:val="111111"/>
          <w:sz w:val="28"/>
          <w:sz w:val="28"/>
          <w:szCs w:val="28"/>
          <w:rtl w:val="true"/>
          <w:lang w:bidi="fa-IR"/>
        </w:rPr>
        <w:t>ویُحتمل أن یکون غرضه علیه السلام من التصحیح هو مدح الکمیت والثناء علیه، فکأنّه قال إنّک لم تقصّر فی مدحنا وإظهار مودّتنا، بل تبذل منتهی جهدک وغایة وسعک</w:t>
      </w:r>
      <w:r>
        <w:rPr>
          <w:rFonts w:eastAsia="IRNazanin" w:cs="IRNazanin"/>
          <w:color w:val="111111"/>
          <w:sz w:val="28"/>
          <w:szCs w:val="28"/>
          <w:rtl w:val="true"/>
          <w:lang w:bidi="fa-IR"/>
        </w:rPr>
        <w:t>.</w:t>
      </w:r>
    </w:p>
    <w:p>
      <w:pPr>
        <w:pStyle w:val="Heading4"/>
        <w:numPr>
          <w:ilvl w:val="3"/>
          <w:numId w:val="1"/>
        </w:numPr>
        <w:rPr/>
      </w:pPr>
      <w:bookmarkStart w:id="892" w:name="__RefHeading___Toc652325_1878427129"/>
      <w:bookmarkStart w:id="893" w:name="_Toc337"/>
      <w:bookmarkEnd w:id="892"/>
      <w:r>
        <w:rPr>
          <w:rtl w:val="true"/>
        </w:rPr>
        <w:t>قافیة النون</w:t>
      </w:r>
      <w:bookmarkEnd w:id="893"/>
    </w:p>
    <w:p>
      <w:pPr>
        <w:pStyle w:val="Heading5"/>
        <w:numPr>
          <w:ilvl w:val="4"/>
          <w:numId w:val="1"/>
        </w:numPr>
        <w:rPr/>
      </w:pPr>
      <w:bookmarkStart w:id="894" w:name="__RefHeading___Toc652327_1878427129"/>
      <w:bookmarkStart w:id="895" w:name="_Toc338"/>
      <w:bookmarkEnd w:id="894"/>
      <w:r>
        <w:rPr/>
        <w:t>54</w:t>
      </w:r>
      <w:r>
        <w:rPr>
          <w:rtl w:val="true"/>
        </w:rPr>
        <w:t>البسیط</w:t>
      </w:r>
      <w:bookmarkEnd w:id="895"/>
    </w:p>
    <w:p>
      <w:pPr>
        <w:pStyle w:val="BookText"/>
        <w:rPr/>
      </w:pPr>
      <w:r>
        <w:rPr>
          <w:rFonts w:ascii="Amiri" w:hAnsi="Amiri" w:eastAsia="Amiri" w:cs="Amiri"/>
          <w:color w:val="111111"/>
          <w:sz w:val="28"/>
          <w:sz w:val="28"/>
          <w:szCs w:val="28"/>
          <w:rtl w:val="true"/>
          <w:lang w:bidi="ar-SA"/>
        </w:rPr>
        <w:t>أنْتَ الإمام الذی نَرْجو بطاعتِهِ</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من أهل الشام، حضر صفّین مع أمیر المؤمنین علیه السلام، 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أهل الکوفة، وفی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التوحید باب الجبر والقدر والأمر بین الأمرین، ورواه الشیخ الصدوق، والشیخ المفید، والسید المرتضی، والکراجکی، والإربلی، والسید ابن طاوس، وابن عساکر، والطبرسی، وابن أبی الحدید وغیرهم</w:t>
      </w:r>
      <w:r>
        <w:rPr>
          <w:rFonts w:eastAsia="IRNazanin" w:cs="IRNazanin"/>
          <w:color w:val="111111"/>
          <w:sz w:val="28"/>
          <w:szCs w:val="28"/>
          <w:rtl w:val="true"/>
          <w:lang w:bidi="fa-IR"/>
        </w:rPr>
        <w:t xml:space="preserve">. </w:t>
      </w:r>
      <w:r>
        <w:rPr>
          <w:rStyle w:val="FootnoteAnchor"/>
          <w:rtl w:val="true"/>
        </w:rPr>
        <w:footnoteReference w:id="90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الصدوق، ص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عیون أخبار الرضا علیه السلام الصدوق،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الإرشاد الشیخ المفید،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الفصول المختارة السید المرتضی، 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أمالی المرتضی،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کنز الفوائد الکراجکی،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کشف الغمّة الإربلی،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الطرائف السید ابن طاوس، ص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مختصر تاریخ دمشق ابن منظور،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الاحتجاج الطبرسی،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شرح نهج البلاغة ابن أبی الحدید،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البیتان فی حدیثٍ یتضمّن قول أمیر المؤمنین علیه السلام فی معنی العدل ونفی الجبر وإثبات الحکمة فی أفعال اللّه تعالی ونفی العبث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الشیخ الکلینی بالإسناد عن سهل بن زیاد وإسحاق بن محمّد وغیرهما، رفعوه،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 علیه السلام جالساً بالکوفة بعد منصرفه من صفین، إذ أقبل شیخ فجثا بین یدیه،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أخبرنا عن مسیرنا إلی أهل الشام، أبقضاء من اللّه وقدر؟</w:t>
      </w:r>
    </w:p>
    <w:p>
      <w:pPr>
        <w:pStyle w:val="BookText"/>
        <w:rPr/>
      </w:pPr>
      <w:r>
        <w:rPr>
          <w:rFonts w:ascii="IRNazanin" w:hAnsi="IRNazanin" w:eastAsia="IRNazanin"/>
          <w:color w:val="111111"/>
          <w:sz w:val="28"/>
          <w:sz w:val="28"/>
          <w:szCs w:val="28"/>
          <w:rtl w:val="true"/>
          <w:lang w:bidi="fa-IR"/>
        </w:rPr>
        <w:t>فقال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 یا شیخ، ما علوتم تلعة ولا هبطتم بطن وادٍ إلا بقضاء من اللّه وقدر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اللّه أحتسب عنائی یا أمیر المؤمنین</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 یا شیخ، فواللّه لقد عظّم اللّه الأجر فی مسیرکم وأنتم سائرون، </w:t>
      </w:r>
      <w:bookmarkStart w:id="896" w:name="pg14553_192088"/>
    </w:p>
    <w:p>
      <w:pPr>
        <w:pStyle w:val="BookText"/>
        <w:rPr/>
      </w:pPr>
      <w:bookmarkEnd w:id="896"/>
      <w:r>
        <w:rPr>
          <w:rFonts w:ascii="IRNazanin" w:hAnsi="IRNazanin" w:eastAsia="IRNazanin"/>
          <w:color w:val="111111"/>
          <w:sz w:val="28"/>
          <w:sz w:val="28"/>
          <w:szCs w:val="28"/>
          <w:rtl w:val="true"/>
          <w:lang w:bidi="fa-IR"/>
        </w:rPr>
        <w:t>وفی مقامکم وأنتم مقیمون، وفی منصرفکم وأنتم منصرفون، ولم تکونوا فی شی ء من حالاتکم مکرهین، ولا إلیه مضطرّین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فقال له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لم نکن فی شی ء من حالاتنا مکرهین ولا إلیه مضطرین، وکان بالقضاء والقدر مسیرنا ومنقلبنا ومنصرفنا؟</w:t>
      </w:r>
    </w:p>
    <w:p>
      <w:pPr>
        <w:pStyle w:val="BookText"/>
        <w:rPr/>
      </w:pPr>
      <w:r>
        <w:rPr>
          <w:rFonts w:ascii="IRNazanin" w:hAnsi="IRNazanin" w:eastAsia="IRNazanin"/>
          <w:color w:val="111111"/>
          <w:sz w:val="28"/>
          <w:sz w:val="28"/>
          <w:szCs w:val="28"/>
          <w:rtl w:val="true"/>
          <w:lang w:bidi="fa-IR"/>
        </w:rPr>
        <w:t>یییی فقال 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وتظنّ أنّه کان قضاءً حتماً وقدراً لازماً؟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کان کذلک لبطل الثواب والعقاب والأمر والنهی والزجر من اللّه، وسقط معنی الوعد والوعید، فلم تکن لائمةٌ للمذنب، ولا محمدة للمحسن، ولکان المذنب أولی بالإحسان من المحسن، ولکان المحسن أولی بالعقوبة من المذنب، تلک مقالة إخوان عبدة الأوثان، وخصماء الرحمن، وحزب الشیطان، وقدریة هذه الأمّة ومجوسها، إنّ اللّه تبارک وتعالی کلّف تخییراً، ونهی تحذیراً، وأعطی علی القلیل کثیراً، ولم یُعص مغلوباً، ولم یطع مکرهاً، ولم یملّک مفوّضاً، ولم یخلق السماوات والأرض وما بینهما باطلاً، ولم یبعث النبیین مبشّرین و منذرین عبثاً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ظَنُّ اَلَّذِینَ کَفَرُوا فَوَیْلٌ لِلَّذِینَ کَفَرُوا مِنَ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فأنشأ الشیخ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وأنشد البیتین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وزاد فی بعض ما ذکرنا من المصادر علی البیتین أبیاتاً اُخری، فوصلت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المختارة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تسعة أبیات</w:t>
      </w:r>
      <w:r>
        <w:rPr>
          <w:rFonts w:eastAsia="IRNazanin" w:cs="IRNazanin"/>
          <w:color w:val="111111"/>
          <w:sz w:val="28"/>
          <w:szCs w:val="28"/>
          <w:rtl w:val="true"/>
          <w:lang w:bidi="fa-IR"/>
        </w:rPr>
        <w:t>.</w:t>
      </w:r>
    </w:p>
    <w:p>
      <w:pPr>
        <w:pStyle w:val="Heading5"/>
        <w:numPr>
          <w:ilvl w:val="4"/>
          <w:numId w:val="1"/>
        </w:numPr>
        <w:rPr/>
      </w:pPr>
      <w:bookmarkStart w:id="897" w:name="__RefHeading___Toc652329_1878427129"/>
      <w:bookmarkStart w:id="898" w:name="_Toc339"/>
      <w:bookmarkEnd w:id="897"/>
      <w:r>
        <w:rPr/>
        <w:t>55</w:t>
      </w:r>
      <w:r>
        <w:rPr>
          <w:rtl w:val="true"/>
        </w:rPr>
        <w:t>الرجز</w:t>
      </w:r>
      <w:bookmarkEnd w:id="898"/>
    </w:p>
    <w:p>
      <w:pPr>
        <w:pStyle w:val="BookText"/>
        <w:rPr/>
      </w:pPr>
      <w:r>
        <w:rPr>
          <w:rFonts w:ascii="Amiri" w:hAnsi="Amiri" w:eastAsia="Amiri" w:cs="Amiri"/>
          <w:color w:val="111111"/>
          <w:sz w:val="28"/>
          <w:sz w:val="28"/>
          <w:szCs w:val="28"/>
          <w:rtl w:val="true"/>
          <w:lang w:bidi="ar-SA"/>
        </w:rPr>
        <w:t xml:space="preserve">إذا جَعَلنا </w:t>
      </w:r>
      <w:r>
        <w:rPr>
          <w:rStyle w:val="FootnoteAnchor"/>
          <w:rtl w:val="true"/>
        </w:rPr>
        <w:footnoteReference w:id="903"/>
      </w:r>
      <w:r>
        <w:rPr>
          <w:rFonts w:ascii="Amiri" w:hAnsi="Amiri" w:eastAsia="Amiri" w:cs="Amiri"/>
          <w:color w:val="111111"/>
          <w:sz w:val="28"/>
          <w:sz w:val="28"/>
          <w:szCs w:val="28"/>
          <w:rtl w:val="true"/>
          <w:lang w:bidi="ar-SA"/>
        </w:rPr>
        <w:t xml:space="preserve">ثافِلاً یمینا فلن نعودَ بَعْدَها </w:t>
      </w:r>
      <w:r>
        <w:rPr>
          <w:rStyle w:val="FootnoteAnchor"/>
          <w:rtl w:val="true"/>
        </w:rPr>
        <w:footnoteReference w:id="904"/>
      </w:r>
      <w:r>
        <w:rPr>
          <w:rFonts w:ascii="Amiri" w:hAnsi="Amiri" w:eastAsia="Amiri" w:cs="Amiri"/>
          <w:color w:val="111111"/>
          <w:sz w:val="28"/>
          <w:sz w:val="28"/>
          <w:szCs w:val="28"/>
          <w:rtl w:val="true"/>
          <w:lang w:bidi="ar-SA"/>
        </w:rPr>
        <w:t>سِنینا</w:t>
      </w:r>
    </w:p>
    <w:p>
      <w:pPr>
        <w:pStyle w:val="BookText"/>
        <w:rPr/>
      </w:pPr>
      <w:r>
        <w:rPr>
          <w:rFonts w:ascii="Amiri" w:hAnsi="Amiri" w:eastAsia="Amiri" w:cs="Amiri"/>
          <w:color w:val="111111"/>
          <w:sz w:val="28"/>
          <w:sz w:val="28"/>
          <w:szCs w:val="28"/>
          <w:rtl w:val="true"/>
          <w:lang w:bidi="ar-SA"/>
        </w:rPr>
        <w:t>لِلْحَجِّ والعُمْرَةِ مابَقِینا</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معاویة لعنه اللّه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یزید بن معاویة،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أنّه کان لیزید بن معاویة ابن اسمه عمر، فحجّ فی بعض السنین، فقال وهو منصرف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وأنشد الرجز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فأصابته صاعقة فاحترق، فبلغ خبره محمّد بن علی بن الحسین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استخفّ </w:t>
      </w:r>
      <w:bookmarkStart w:id="899" w:name="pg14553_192089"/>
    </w:p>
    <w:p>
      <w:pPr>
        <w:pStyle w:val="BookText"/>
        <w:rPr/>
      </w:pPr>
      <w:bookmarkEnd w:id="899"/>
      <w:r>
        <w:rPr>
          <w:rFonts w:ascii="IRNazanin" w:hAnsi="IRNazanin" w:eastAsia="IRNazanin"/>
          <w:color w:val="111111"/>
          <w:sz w:val="28"/>
          <w:sz w:val="28"/>
          <w:szCs w:val="28"/>
          <w:rtl w:val="true"/>
          <w:lang w:bidi="fa-IR"/>
        </w:rPr>
        <w:t>أحدٌ ببیت اللّه الحرام إلا عوجل</w:t>
      </w:r>
      <w:r>
        <w:rPr>
          <w:rFonts w:eastAsia="IRNazanin" w:cs="IRNazanin"/>
          <w:color w:val="111111"/>
          <w:sz w:val="28"/>
          <w:szCs w:val="28"/>
          <w:rtl w:val="true"/>
          <w:lang w:bidi="fa-IR"/>
        </w:rPr>
        <w:t xml:space="preserve">» . </w:t>
      </w:r>
      <w:r>
        <w:rPr>
          <w:rStyle w:val="FootnoteAnchor"/>
          <w:rtl w:val="true"/>
        </w:rPr>
        <w:footnoteReference w:id="90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یاقوت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ثافِل،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وعمر بن یزید، عدّه الطبری وابن عبد ربّه من أولاد یزید بن معاویة</w:t>
      </w:r>
      <w:r>
        <w:rPr>
          <w:rFonts w:eastAsia="IRNazanin" w:cs="IRNazanin"/>
          <w:color w:val="111111"/>
          <w:sz w:val="28"/>
          <w:szCs w:val="28"/>
          <w:rtl w:val="true"/>
          <w:lang w:bidi="fa-IR"/>
        </w:rPr>
        <w:t xml:space="preserve">.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تاریخ دمشق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مات فی حیاة أبیه من صاعقة أصابته</w:t>
      </w:r>
      <w:r>
        <w:rPr>
          <w:rFonts w:eastAsia="IRNazanin" w:cs="IRNazanin"/>
          <w:color w:val="111111"/>
          <w:sz w:val="28"/>
          <w:szCs w:val="28"/>
          <w:rtl w:val="true"/>
          <w:lang w:bidi="fa-IR"/>
        </w:rPr>
        <w:t xml:space="preserve">.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 xml:space="preserve">وهذا معارض بروایة یاقوت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هلاکه کان فی زمان الإمام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ومهما یکن القائل فإنّ هذا الرجز یدلّ علی حقد الأمویین علی شعائر الإسلام ونیاتهم السیّئة فی تعطیلها، ومن هنا جاء ت ثورة الإمام الحسین علیه السلام لإصلاح ما أفسده الحکم الأموی وإقامة مبادئ الدین العزیز، فکانت صرخة مدویة جعلت الزمان عاشوراء والأرض کربلاء، وصارت رایة الأحرار فی کلّ زمان، ومنار الثوار فی کلّ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فضائل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 باب من الزیادات فی فقه الحج، 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الحج باب من الزیادات فی فقه الحج، ورواه یاقوت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جبال تهامة، وهما جبلان یقال لأحدهما ثافل الأکبر، وللآخر ثافل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الإمام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ترون هذا الجبل ثافلاً، إنّ یزید بن معاویة لمّا رجع من حجّه مرتحلاً إلی الشام أنشأ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فأماته اللّه عزّ وجلّ قبل أجله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یزید بن معاویة لعنهما اللّه حجّ، فلمّا انصرف قال شعراً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وأنشد الرجز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فنقَّص اللّه عمره، وأماته قبل أجله</w:t>
      </w:r>
      <w:r>
        <w:rPr>
          <w:rFonts w:eastAsia="IRNazanin" w:cs="IRNazanin"/>
          <w:color w:val="111111"/>
          <w:sz w:val="28"/>
          <w:szCs w:val="28"/>
          <w:rtl w:val="true"/>
          <w:lang w:bidi="fa-IR"/>
        </w:rPr>
        <w:t>» .</w:t>
      </w:r>
    </w:p>
    <w:p>
      <w:pPr>
        <w:pStyle w:val="Heading5"/>
        <w:numPr>
          <w:ilvl w:val="4"/>
          <w:numId w:val="1"/>
        </w:numPr>
        <w:rPr/>
      </w:pPr>
      <w:bookmarkStart w:id="900" w:name="__RefHeading___Toc652331_1878427129"/>
      <w:bookmarkStart w:id="901" w:name="_Toc340"/>
      <w:bookmarkEnd w:id="900"/>
      <w:r>
        <w:rPr/>
        <w:t>56</w:t>
      </w:r>
      <w:r>
        <w:rPr>
          <w:rtl w:val="true"/>
        </w:rPr>
        <w:t>الطویل</w:t>
      </w:r>
      <w:bookmarkEnd w:id="901"/>
    </w:p>
    <w:p>
      <w:pPr>
        <w:pStyle w:val="BookText"/>
        <w:rPr/>
      </w:pPr>
      <w:r>
        <w:rPr>
          <w:rFonts w:ascii="Amiri" w:hAnsi="Amiri" w:eastAsia="Amiri" w:cs="Amiri"/>
          <w:color w:val="111111"/>
          <w:sz w:val="28"/>
          <w:sz w:val="28"/>
          <w:szCs w:val="28"/>
          <w:rtl w:val="true"/>
          <w:lang w:bidi="ar-SA"/>
        </w:rPr>
        <w:t>ویُنْحَرُ بالزَّوارءَ مِنْهُم لَدَی الضُّحی ثمانونَ ألفاً مِثلما تُنْحَرُ البُدنُ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عَقْب الشاعر، وهو عبداللّه بن بشّار بن أبی عقب اللیثی، </w:t>
      </w:r>
      <w:r>
        <w:rPr>
          <w:rStyle w:val="FootnoteAnchor"/>
          <w:rtl w:val="true"/>
        </w:rPr>
        <w:footnoteReference w:id="909"/>
      </w:r>
      <w:r>
        <w:rPr>
          <w:rFonts w:ascii="IRNazanin" w:hAnsi="IRNazanin" w:eastAsia="IRNazanin"/>
          <w:color w:val="111111"/>
          <w:sz w:val="28"/>
          <w:sz w:val="28"/>
          <w:szCs w:val="28"/>
          <w:rtl w:val="true"/>
          <w:lang w:bidi="fa-IR"/>
        </w:rPr>
        <w:t xml:space="preserve">رضیع الإمام الحسین علیه السلام، من أصحاب أمیر المؤمنین علیه السلام، فقد کتب علیه السلام إلی الخوارج علی یدیه </w:t>
      </w:r>
    </w:p>
    <w:p>
      <w:pPr>
        <w:pStyle w:val="BookText"/>
        <w:rPr/>
      </w:pPr>
      <w:r>
        <w:rPr>
          <w:rFonts w:ascii="Amiri" w:hAnsi="Amiri" w:eastAsia="Amiri" w:cs="Amiri"/>
          <w:color w:val="111111"/>
          <w:sz w:val="28"/>
          <w:sz w:val="28"/>
          <w:szCs w:val="28"/>
          <w:rtl w:val="true"/>
          <w:lang w:bidi="ar-SA"/>
        </w:rPr>
        <w:t>ووجَّهه نحوهم</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ابن شهر آشوب،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390</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ابن أبی عقب عن أمیر المؤمنین علیه السلام حدیثاً فی حال الشیعة عند غیبة الإمام القائم علیه السلام، رواه عنه أبو الجارود زیاد بن المنذر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وأکثر شعره فی الملاحم والفتن وأحداث آخر الزمان، وله بیت یطالب به بدم الشهداء فی کربلاء ویذکر قَتَلَتهم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غَنیّ قطرةٌ من دمائنا وفی أسدٍ أُخری تُعدّ وتُذْکَرُ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 xml:space="preserve">ویرید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عقبة الغنوی، وبقوله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حرملة بن کاهل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لعنهما اللّه وأخزاهما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إلی کونه رضیع الإمام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ولابن أبی عقب کتاب، ذکره البیاضی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الکتب التی نقل عنها بالواسطة </w:t>
      </w:r>
      <w:r>
        <w:rPr>
          <w:rStyle w:val="FootnoteAnchor"/>
          <w:rtl w:val="true"/>
        </w:rPr>
        <w:footnoteReference w:id="912"/>
      </w:r>
      <w:r>
        <w:rPr>
          <w:rFonts w:ascii="IRNazanin" w:hAnsi="IRNazanin" w:eastAsia="IRNazanin"/>
          <w:color w:val="111111"/>
          <w:sz w:val="28"/>
          <w:sz w:val="28"/>
          <w:szCs w:val="28"/>
          <w:rtl w:val="true"/>
          <w:lang w:bidi="fa-IR"/>
        </w:rPr>
        <w:t>ونقل عنه حدیثاً فی غیبة الإمام القائم علیه السلام، وعبّر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عبداللّه بن بشّار رضیع الحسین علیه السلام</w:t>
      </w:r>
      <w:r>
        <w:rPr>
          <w:rFonts w:eastAsia="IRNazanin" w:cs="IRNazanin"/>
          <w:color w:val="111111"/>
          <w:sz w:val="28"/>
          <w:szCs w:val="28"/>
          <w:rtl w:val="true"/>
          <w:lang w:bidi="fa-IR"/>
        </w:rPr>
        <w:t xml:space="preserve">.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ولم نعثر علی تاریخ دقیق لوفاته، لکن فی خبر للشیخ الطوسی مسند عن المدائنی عن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أبی عقب کان مع جیش المختار الذی بعثه بقیادة إبراهیم ابن مالک الأشتر لقتال عبید اللّه بن زیاد الفاسق فی نهر الخازر</w:t>
      </w:r>
      <w:r>
        <w:rPr>
          <w:rFonts w:eastAsia="IRNazanin" w:cs="IRNazanin"/>
          <w:color w:val="111111"/>
          <w:sz w:val="28"/>
          <w:szCs w:val="28"/>
          <w:rtl w:val="true"/>
          <w:lang w:bidi="fa-IR"/>
        </w:rPr>
        <w:t xml:space="preserve">. </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 xml:space="preserve">بالموصل، وهو یدلّ علی بقاء ابن أبی عقب حیّاً إلی سنة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ویبدو من خبر الشیخ أیضاً أنّ ابن أبی عقب کان من قادة ذلک الجیش أو من وجوهه المعروفین، لا من عامّة جنده، فقد جاء فیه أنّه لمّا تراجع أهل العراق عن أهل الشام، قال لهم عبداللّه بن بشّار</w:t>
      </w:r>
      <w:r>
        <w:rPr>
          <w:rFonts w:eastAsia="IRNazanin" w:cs="IRNazanin"/>
          <w:color w:val="111111"/>
          <w:sz w:val="28"/>
          <w:szCs w:val="28"/>
          <w:rtl w:val="true"/>
          <w:lang w:bidi="fa-IR"/>
        </w:rPr>
        <w:t xml:space="preserve">. </w:t>
      </w:r>
      <w:r>
        <w:rPr>
          <w:rStyle w:val="FootnoteAnchor"/>
          <w:rtl w:val="true"/>
        </w:rPr>
        <w:footnoteReference w:id="915"/>
      </w:r>
      <w:r>
        <w:rPr>
          <w:rFonts w:ascii="IRNazanin" w:hAnsi="IRNazanin" w:eastAsia="IRNazanin"/>
          <w:color w:val="111111"/>
          <w:sz w:val="28"/>
          <w:sz w:val="28"/>
          <w:szCs w:val="28"/>
          <w:rtl w:val="true"/>
          <w:lang w:bidi="fa-IR"/>
        </w:rPr>
        <w:t>بن أبی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خلیلی أنا نلقی أهل الشام علی نهرٍ یقال له الخازر، فیکشفونا حتی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هی</w:t>
      </w:r>
      <w:r>
        <w:rPr>
          <w:rFonts w:eastAsia="IRNazanin" w:cs="IRNazanin"/>
          <w:color w:val="111111"/>
          <w:sz w:val="28"/>
          <w:szCs w:val="28"/>
          <w:rtl w:val="true"/>
          <w:lang w:bidi="fa-IR"/>
        </w:rPr>
        <w:t xml:space="preserve">. </w:t>
      </w:r>
      <w:r>
        <w:rPr>
          <w:rStyle w:val="FootnoteAnchor"/>
          <w:rtl w:val="true"/>
        </w:rPr>
        <w:footnoteReference w:id="916"/>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نکرّ علیهم، فنقتل أمیرهم، فأبشروا واصبروا فإنّکم لهم قاهرون</w:t>
      </w:r>
      <w:r>
        <w:rPr>
          <w:rFonts w:eastAsia="IRNazanin" w:cs="IRNazanin"/>
          <w:color w:val="111111"/>
          <w:sz w:val="28"/>
          <w:szCs w:val="28"/>
          <w:rtl w:val="true"/>
          <w:lang w:bidi="fa-IR"/>
        </w:rPr>
        <w:t xml:space="preserve">. </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وإخباره عن المعصوم هنا لا ریب فیه، فقد قُتِل عبیداللّه بن زیاد فی هذه الوقعة، وبعث ابن الأشتر برأسه إلی المختار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ابن حبیب ما یدلّ علی أنّ وفاة ابن أبی عقب قبل سنة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ق، فقد ترجم له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المغتالین من الأشراف فی الجاهلیة والإسلام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بشّار ابن أبی عقب الشاعر، وکان رضیع الحسین بن علی بن أبی طالب، وکان یجالس عبیداللّه بن الحرّ الجعفی، فیخبره بما خبّره عن علی رضی الله عنه، وهو صاحب أشعار الملاحم،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رضی الله عنه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تقتل، یقتلک عبیداللّه بن زیاد بالجازر</w:t>
      </w:r>
      <w:r>
        <w:rPr>
          <w:rFonts w:eastAsia="IRNazanin" w:cs="IRNazanin"/>
          <w:color w:val="111111"/>
          <w:sz w:val="28"/>
          <w:szCs w:val="28"/>
          <w:rtl w:val="true"/>
          <w:lang w:bidi="fa-IR"/>
        </w:rPr>
        <w:t xml:space="preserve">. </w:t>
      </w:r>
      <w:r>
        <w:rPr>
          <w:rStyle w:val="FootnoteAnchor"/>
          <w:rtl w:val="true"/>
        </w:rPr>
        <w:footnoteReference w:id="9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من نواحی النهروان من أعمال بغداد، والموضع الذی کانت فیه الوقعة بین ابن زیاد وجیش المختار هو الخازر علی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أبی عقب کان یخبرنی عن الحسین رضی الله عنه أشیاء یَکْذِبُها علیه، ویزعم أنّ ابن زیاد یقتله، فأتاه عبیداللّه بن الحر لیلاً مشتملاً علی السیف، فناداه فخرج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معی إلی حاجة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معه ابن أبی عقب، فلمّا برز إلی السبخة ضربه بالسیف حتی مات</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وهذا یعنی أنّه قُتل فی حیاة ابن زیاد، وأنّ الذی اغتاله هو عبیداللّه بن الحر، لکن ذلک معارض بما قدّمناه عن الشیخ الطوسی، وخبره یصدّق الروایة التی زعم ابن الحرّ بسببها أنّ ابن أبی عقب یکذب علی الحسین علیه السلام، فقد بقی ابن أبی عقب حتی کان فی الجیش الذی قاتل ابن زیاد بالخازر، ولا ندری لعلّه کان أحد القتلی فی تلک الوقعة لیتمّ صدق إخباره عن المعصوم علیه السلام، لکن لم أجد ما یدلّ علی ذلک فی ما أُتیح لی بحثه فی کتب الحدیث والتاریخ، کما أنّه لیس هناک ما یدلّ علی بقائه بعد تلک الوقعة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لا تخلو روایة ابن حبیب من أیادی الوضع والدسّ الأمویة الهادفة إلی النیل من أخبار المعصومین وتشویه سمعة أصحابهم فضلاً عن تتبّعهم بالقتل والسجن والتعذیب والتشرید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ومهما یکن الأمر، فإنّ تمثّل المعصوم بهذا البیت </w:t>
      </w:r>
      <w:r>
        <w:rPr>
          <w:rStyle w:val="FootnoteAnchor"/>
          <w:rtl w:val="true"/>
        </w:rPr>
        <w:footnoteReference w:id="920"/>
      </w:r>
      <w:r>
        <w:rPr>
          <w:rFonts w:ascii="IRNazanin" w:hAnsi="IRNazanin" w:eastAsia="IRNazanin"/>
          <w:color w:val="111111"/>
          <w:sz w:val="28"/>
          <w:sz w:val="28"/>
          <w:szCs w:val="28"/>
          <w:rtl w:val="true"/>
          <w:lang w:bidi="fa-IR"/>
        </w:rPr>
        <w:t xml:space="preserve">وتصدیقه له رغم کونه من شعر </w:t>
      </w:r>
      <w:bookmarkStart w:id="902" w:name="pg14553_192092"/>
    </w:p>
    <w:p>
      <w:pPr>
        <w:pStyle w:val="BookText"/>
        <w:rPr/>
      </w:pPr>
      <w:bookmarkEnd w:id="902"/>
      <w:r>
        <w:rPr>
          <w:rFonts w:ascii="IRNazanin" w:hAnsi="IRNazanin" w:eastAsia="IRNazanin"/>
          <w:color w:val="111111"/>
          <w:sz w:val="28"/>
          <w:sz w:val="28"/>
          <w:szCs w:val="28"/>
          <w:rtl w:val="true"/>
          <w:lang w:bidi="fa-IR"/>
        </w:rPr>
        <w:t>الملاحم علی ما سیأتی فی بیان المناسبة، وتعبیر ابن أبی عقب عن أمیر المؤمنین علیه السلام بخلیلی علی ما تقدّم عن الشیخ، واعتماد کتابه فی بعض مصادر أصحابنا، کلّها تدلّ علی صدق الرجل عن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الأزور، وهو المائل، وبه سمّیت دجلة بغداد زوراء، وتُطْلَق علی عدّة أماکن أشهرها زوراء بغداد، واحتمل العلامة المجلسی أن یکون المراد بالزوراء الواردة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لموضعٍ بالری، </w:t>
      </w:r>
      <w:r>
        <w:rPr>
          <w:rStyle w:val="FootnoteAnchor"/>
          <w:rtl w:val="true"/>
        </w:rPr>
        <w:footnoteReference w:id="9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المجلسی،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198</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ورد فی أحادیث الغیبة وعلّامات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وخراب الزوراء وهی الری وخسف المزورة وهی بغداد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بَدَنة، وهی الناقة، وروی البُزل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بازل، وهو من الإبل ما دخل فی السنة التاسعة، ولعلّه یشیر إلی قتال الأمین والمأمون، فقد قتل کثیر من العباسیین مِن عسکر الأمین بالری، والأقرب أنّه یشیر إلی واقعة تکون فی زمان الظهور أو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الکلینی بالإسناد عن محمّد بن سنان،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تمثّل أبو عبداللّه علیه السلام ببیت شعر لابن أبی 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وأنشد البیت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غیره</w:t>
      </w:r>
      <w:r>
        <w:rPr>
          <w:rFonts w:eastAsia="IRNazanin" w:cs="IRNazanin"/>
          <w:color w:val="111111"/>
          <w:sz w:val="28"/>
          <w:szCs w:val="28"/>
          <w:rtl w:val="true"/>
          <w:lang w:bidi="fa-IR"/>
        </w:rPr>
        <w:t xml:space="preserve">: </w:t>
      </w:r>
      <w:r>
        <w:rPr>
          <w:rStyle w:val="FootnoteAnchor"/>
          <w:rtl w:val="true"/>
        </w:rPr>
        <w:footnoteReference w:id="922"/>
      </w:r>
      <w:r>
        <w:rPr>
          <w:rFonts w:ascii="Amiri" w:hAnsi="Amiri" w:eastAsia="Amiri" w:cs="Amiri"/>
          <w:color w:val="111111"/>
          <w:sz w:val="28"/>
          <w:sz w:val="28"/>
          <w:szCs w:val="28"/>
          <w:rtl w:val="true"/>
          <w:lang w:bidi="ar-SA"/>
        </w:rPr>
        <w:t>البُزل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 الزوراء؟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یقولون إنّها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أتیت سوق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الجبل الأسود عن یمین الطریق، تلک الزوراء، یقتل فیها ثمانون ألفاً، منهم ثمانون رجلاً من ولد فلان، کلّهم یصلح للخلافة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یقتلهم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یقتلهم أولاد العجم</w:t>
      </w:r>
      <w:r>
        <w:rPr>
          <w:rFonts w:eastAsia="IRNazanin" w:cs="IRNazanin"/>
          <w:color w:val="111111"/>
          <w:sz w:val="28"/>
          <w:szCs w:val="28"/>
          <w:rtl w:val="true"/>
          <w:lang w:bidi="fa-IR"/>
        </w:rPr>
        <w:t>.</w:t>
      </w:r>
    </w:p>
    <w:p>
      <w:pPr>
        <w:pStyle w:val="Heading5"/>
        <w:numPr>
          <w:ilvl w:val="4"/>
          <w:numId w:val="1"/>
        </w:numPr>
        <w:rPr/>
      </w:pPr>
      <w:bookmarkStart w:id="903" w:name="__RefHeading___Toc652333_1878427129"/>
      <w:bookmarkStart w:id="904" w:name="_Toc341"/>
      <w:bookmarkEnd w:id="903"/>
      <w:r>
        <w:rPr/>
        <w:t>57</w:t>
      </w:r>
      <w:r>
        <w:rPr>
          <w:rtl w:val="true"/>
        </w:rPr>
        <w:t>البسیط</w:t>
      </w:r>
      <w:bookmarkEnd w:id="904"/>
    </w:p>
    <w:p>
      <w:pPr>
        <w:pStyle w:val="BookText"/>
        <w:rPr/>
      </w:pPr>
      <w:r>
        <w:rPr>
          <w:rFonts w:ascii="Amiri" w:hAnsi="Amiri" w:eastAsia="Amiri" w:cs="Amiri"/>
          <w:color w:val="111111"/>
          <w:sz w:val="28"/>
          <w:sz w:val="28"/>
          <w:szCs w:val="28"/>
          <w:rtl w:val="true"/>
          <w:lang w:bidi="ar-SA"/>
        </w:rPr>
        <w:t>صُمٌّ إذا سَمِعُوا خیراً ذُکِرتُ به وإنْ ذُکرتُ بشَرٍّ عِندهم أذِنُوا</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قَعْنَب بن أمّ صاحب الفزاری، واسم أبیه ضَمْرة من بنی عبداللّه بن غطفان، </w:t>
      </w:r>
      <w:bookmarkStart w:id="905" w:name="pg14553_192093"/>
    </w:p>
    <w:p>
      <w:pPr>
        <w:pStyle w:val="BookText"/>
        <w:rPr/>
      </w:pPr>
      <w:bookmarkEnd w:id="905"/>
      <w:r>
        <w:rPr>
          <w:rFonts w:ascii="IRNazanin" w:hAnsi="IRNazanin" w:eastAsia="IRNazanin"/>
          <w:color w:val="111111"/>
          <w:sz w:val="28"/>
          <w:sz w:val="28"/>
          <w:szCs w:val="28"/>
          <w:rtl w:val="true"/>
          <w:lang w:bidi="fa-IR"/>
        </w:rPr>
        <w:t>وأمّ صاحب هی أمّه، شاعر، عاش فی أیّام الولید بن عبدالملک، وعرف واشتهر من خلال هجائه للولید</w:t>
      </w:r>
      <w:r>
        <w:rPr>
          <w:rFonts w:eastAsia="IRNazanin" w:cs="IRNazanin"/>
          <w:color w:val="111111"/>
          <w:sz w:val="28"/>
          <w:szCs w:val="28"/>
          <w:rtl w:val="true"/>
          <w:lang w:bidi="fa-IR"/>
        </w:rPr>
        <w:t xml:space="preserve">. </w:t>
      </w:r>
      <w:r>
        <w:rPr>
          <w:rStyle w:val="FootnoteAnchor"/>
          <w:rtl w:val="true"/>
        </w:rPr>
        <w:footnoteReference w:id="92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 إلی أمّه من الشعراء ابن حبیب، ص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ضمن نوادر المخطوطات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المجلّد الأوّل، ؛ أعلام الزرکلی،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استمعوا، 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أُذُن، وهو الذی یسمع مقال کلّ أحدٍ ویقبله، ولفظه واحد مع المؤنّث والمذکّر والمفرد والجمع، وقال المولی محمّد تقی المجلسی‌الأوّل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البیت علی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یسمعون شرّی بکّل أعضائهم، وصارت بمنزلة الأذن، وباقی النسخ تصحیف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الفقیه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1730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النوادر من أبواب القضاء والأحکام، وأورده المجلسی الأوّل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الفقیه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وابن منظور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اللسان </w:t>
      </w:r>
      <w:r>
        <w:rPr>
          <w:rFonts w:eastAsia="IRNazanin" w:cs="IRNazanin"/>
          <w:color w:val="111111"/>
          <w:sz w:val="28"/>
          <w:szCs w:val="28"/>
          <w:rtl w:val="true"/>
          <w:lang w:bidi="fa-IR"/>
        </w:rPr>
        <w:t xml:space="preserve">) .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النبی صلی الله علیه و آله یقول فی دعائه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أعوذ بک من ولدٍ یکون علیّ ربّاً، ومن مال یکون علیّ ضیاعاً، ومن زوجة تشیّبنی قبل أوان مشیبی، ومن خلیلٍ ماکر عیناه ترانی وقلبه یرعانی، إن رأی خیراً دفنه، وإن رأی شرّاً أذاعه، وأعوذ بک من وجع البطن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ثمّ أنشد البیت</w:t>
      </w:r>
      <w:r>
        <w:rPr>
          <w:rFonts w:eastAsia="IRNazanin" w:cs="IRNazanin"/>
          <w:color w:val="111111"/>
          <w:sz w:val="28"/>
          <w:szCs w:val="28"/>
          <w:rtl w:val="true"/>
          <w:lang w:bidi="fa-IR"/>
        </w:rPr>
        <w:t>) .</w:t>
      </w:r>
    </w:p>
    <w:p>
      <w:pPr>
        <w:pStyle w:val="Heading5"/>
        <w:numPr>
          <w:ilvl w:val="4"/>
          <w:numId w:val="1"/>
        </w:numPr>
        <w:rPr/>
      </w:pPr>
      <w:bookmarkStart w:id="906" w:name="__RefHeading___Toc652335_1878427129"/>
      <w:bookmarkStart w:id="907" w:name="_Toc342"/>
      <w:bookmarkEnd w:id="906"/>
      <w:r>
        <w:rPr/>
        <w:t>58</w:t>
      </w:r>
      <w:r>
        <w:rPr>
          <w:rtl w:val="true"/>
        </w:rPr>
        <w:t>الوافر</w:t>
      </w:r>
      <w:bookmarkEnd w:id="907"/>
    </w:p>
    <w:p>
      <w:pPr>
        <w:pStyle w:val="BookText"/>
        <w:rPr/>
      </w:pPr>
      <w:r>
        <w:rPr>
          <w:rFonts w:ascii="Amiri" w:hAnsi="Amiri" w:eastAsia="Amiri" w:cs="Amiri"/>
          <w:color w:val="111111"/>
          <w:sz w:val="28"/>
          <w:sz w:val="28"/>
          <w:szCs w:val="28"/>
          <w:rtl w:val="true"/>
          <w:lang w:bidi="ar-SA"/>
        </w:rPr>
        <w:t>فإنْ یکُ یا أُمَیمُ علیَّ دَینٌ فعِمرانُ بن موسی یَسْتَدینُ</w:t>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المعیشة باب الدین، وأورده عنه العلامة المجلسی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المرآة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والحرّ العاملی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التجارة باب جواز الاستدانة مع الحاجة إلیها، وابن منظور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والزبیدی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القاموس </w:t>
      </w:r>
      <w:r>
        <w:rPr>
          <w:rFonts w:eastAsia="IRNazanin" w:cs="IRNazanin"/>
          <w:color w:val="111111"/>
          <w:sz w:val="28"/>
          <w:szCs w:val="28"/>
          <w:rtl w:val="true"/>
          <w:lang w:bidi="fa-IR"/>
        </w:rPr>
        <w:t xml:space="preserve">) . </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شرح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امرأة، منادی مرخّم، وأصله أُمیمة، 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یک یا جناح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وعمران بن موسی،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موسی بن عمران علیه السلام وإنّما قلب للوزن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دیناً، واستدانه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استقرض منه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الکلینی، بالإسناد عن موسی بن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أُحصی ما </w:t>
      </w:r>
      <w:bookmarkStart w:id="908" w:name="pg14553_192094"/>
    </w:p>
    <w:p>
      <w:pPr>
        <w:pStyle w:val="BookText"/>
        <w:rPr/>
      </w:pPr>
      <w:bookmarkEnd w:id="908"/>
      <w:r>
        <w:rPr>
          <w:rFonts w:ascii="IRNazanin" w:hAnsi="IRNazanin" w:eastAsia="IRNazanin"/>
          <w:color w:val="111111"/>
          <w:sz w:val="28"/>
          <w:sz w:val="28"/>
          <w:szCs w:val="28"/>
          <w:rtl w:val="true"/>
          <w:lang w:bidi="fa-IR"/>
        </w:rPr>
        <w:t xml:space="preserve">سمعت أبا الحسن موسی علیه السلام ینشد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وأنشد البیت</w:t>
      </w:r>
      <w:r>
        <w:rPr>
          <w:rFonts w:eastAsia="IRNazanin" w:cs="IRNazanin"/>
          <w:color w:val="111111"/>
          <w:sz w:val="28"/>
          <w:szCs w:val="28"/>
          <w:rtl w:val="true"/>
          <w:lang w:bidi="fa-IR"/>
        </w:rPr>
        <w:t>) .</w:t>
      </w:r>
    </w:p>
    <w:p>
      <w:pPr>
        <w:pStyle w:val="Heading5"/>
        <w:numPr>
          <w:ilvl w:val="4"/>
          <w:numId w:val="1"/>
        </w:numPr>
        <w:rPr/>
      </w:pPr>
      <w:bookmarkStart w:id="909" w:name="__RefHeading___Toc652337_1878427129"/>
      <w:bookmarkStart w:id="910" w:name="_Toc343"/>
      <w:bookmarkEnd w:id="909"/>
      <w:r>
        <w:rPr/>
        <w:t>59</w:t>
      </w:r>
      <w:r>
        <w:rPr>
          <w:rtl w:val="true"/>
        </w:rPr>
        <w:t>الرجز</w:t>
      </w:r>
      <w:bookmarkEnd w:id="910"/>
    </w:p>
    <w:p>
      <w:pPr>
        <w:pStyle w:val="BookText"/>
        <w:rPr/>
      </w:pPr>
      <w:r>
        <w:rPr>
          <w:rFonts w:ascii="Amiri" w:hAnsi="Amiri" w:eastAsia="Amiri" w:cs="Amiri"/>
          <w:color w:val="111111"/>
          <w:sz w:val="28"/>
          <w:sz w:val="28"/>
          <w:szCs w:val="28"/>
          <w:rtl w:val="true"/>
          <w:lang w:bidi="ar-SA"/>
        </w:rPr>
        <w:t>ما تنقِمُ الحَرْبُ الشَّمُوسُ مِنّی بازلُ عامین حدیثٌ سِنّی</w:t>
      </w:r>
    </w:p>
    <w:p>
      <w:pPr>
        <w:pStyle w:val="BookText"/>
        <w:rPr/>
      </w:pPr>
      <w:r>
        <w:rPr>
          <w:rFonts w:ascii="Amiri" w:hAnsi="Amiri" w:eastAsia="Amiri" w:cs="Amiri"/>
          <w:color w:val="111111"/>
          <w:sz w:val="28"/>
          <w:sz w:val="28"/>
          <w:szCs w:val="28"/>
          <w:rtl w:val="true"/>
          <w:lang w:bidi="ar-SA"/>
        </w:rPr>
        <w:t>لِمثل هذا ولَدَتْنِی أُمّی</w:t>
      </w:r>
    </w:p>
    <w:p>
      <w:pPr>
        <w:pStyle w:val="BookText"/>
        <w:rPr/>
      </w:pPr>
      <w:r>
        <w:rPr>
          <w:rFonts w:ascii="IRNazanin" w:hAnsi="IRNazanin" w:eastAsia="IRNazanin"/>
          <w:color w:val="111111"/>
          <w:sz w:val="28"/>
          <w:sz w:val="28"/>
          <w:szCs w:val="28"/>
          <w:rtl w:val="true"/>
          <w:lang w:bidi="fa-IR"/>
        </w:rPr>
        <w:t>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جهل، وهو عمرو بن هِشام بن المُغیرة المخزومی، أشدّ الناس عداوةً لرسول اللّه صلی الله علیه و آله، وأحد سادات قریش وأبطالها ودهاتها فی الجاهلیة، وکان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فدعاه المسلمون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شهد بدراً مع المشرکین فقُتل فیها</w:t>
      </w:r>
      <w:r>
        <w:rPr>
          <w:rFonts w:eastAsia="IRNazanin" w:cs="IRNazanin"/>
          <w:color w:val="111111"/>
          <w:sz w:val="28"/>
          <w:szCs w:val="28"/>
          <w:rtl w:val="true"/>
          <w:lang w:bidi="fa-IR"/>
        </w:rPr>
        <w:t xml:space="preserve">. </w:t>
      </w:r>
      <w:r>
        <w:rPr>
          <w:rStyle w:val="FootnoteAnchor"/>
          <w:rtl w:val="true"/>
        </w:rPr>
        <w:footnoteReference w:id="9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أعلام الزرکلی،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ونسب نحو هذا الرجز لأمیر المؤمنین علیّ علیه السلام </w:t>
      </w:r>
      <w:r>
        <w:rPr>
          <w:rStyle w:val="FootnoteAnchor"/>
          <w:rtl w:val="true"/>
        </w:rPr>
        <w:footnoteReference w:id="927"/>
      </w:r>
      <w:r>
        <w:rPr>
          <w:rFonts w:ascii="IRNazanin" w:hAnsi="IRNazanin" w:eastAsia="IRNazanin"/>
          <w:color w:val="111111"/>
          <w:sz w:val="28"/>
          <w:sz w:val="28"/>
          <w:szCs w:val="28"/>
          <w:rtl w:val="true"/>
          <w:lang w:bidi="fa-IR"/>
        </w:rPr>
        <w:t xml:space="preserve">وقد ارتجز به فی بدر، 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البدایة والنهایة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أبا جهل قاله متمثّلاً، وهو یدلّ علی أنّه لیس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التخریج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الروضة، وأخرجه ابن هشام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وابن کثیر، وابن درید، والبغدادی، والسیوطی وغیرهم</w:t>
      </w:r>
      <w:r>
        <w:rPr>
          <w:rFonts w:eastAsia="IRNazanin" w:cs="IRNazanin"/>
          <w:color w:val="111111"/>
          <w:sz w:val="28"/>
          <w:szCs w:val="28"/>
          <w:rtl w:val="true"/>
          <w:lang w:bidi="fa-IR"/>
        </w:rPr>
        <w:t xml:space="preserve">. </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شرح الغریب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النَّفُور العَسِر الصُّحبة، وروی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العَوان، وهی الحرب التی قُوتِلَ فیها مرّة بعد أُخری، والبازل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إذا انشّق نابه، وذلک فی السنة التاسعة، وهو فی هذه السنّ کامل القوّة شدید الصلابة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الکلینی بالإسناد عن فُضیل البرجمی فی حدیث قتادة لخالد بن عبداللّه أمیر مکّة عن أکرم وأعزّ وأذلّ وقعة کانت فی العرب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أبو جهل یومئذٍ أی یوم بدر وقد أعلم لیُری مکانه، وعلیه عمامة حمراء، وبیده تُرس مذهّب وهو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 دعواهم أن الحمد للّه‌ربّ العالمین</w:t>
      </w:r>
      <w:r>
        <w:rPr>
          <w:rFonts w:eastAsia="IRNazanin" w:cs="IRNazanin"/>
          <w:color w:val="111111"/>
          <w:sz w:val="28"/>
          <w:szCs w:val="28"/>
          <w:rtl w:val="true"/>
          <w:lang w:bidi="fa-IR"/>
        </w:rPr>
        <w:t xml:space="preserve">) </w:t>
      </w:r>
      <w:bookmarkStart w:id="911" w:name="pg14553_192095"/>
    </w:p>
    <w:p>
      <w:pPr>
        <w:pStyle w:val="Heading2"/>
        <w:numPr>
          <w:ilvl w:val="1"/>
          <w:numId w:val="1"/>
        </w:numPr>
        <w:rPr/>
      </w:pPr>
      <w:bookmarkStart w:id="912" w:name="__RefHeading___Toc652339_1878427129"/>
      <w:bookmarkStart w:id="913" w:name="_Toc344"/>
      <w:bookmarkEnd w:id="911"/>
      <w:bookmarkEnd w:id="912"/>
      <w:r>
        <w:rPr>
          <w:rtl w:val="true"/>
        </w:rPr>
        <w:t>فهرس المصادر</w:t>
      </w:r>
      <w:bookmarkEnd w:id="9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إثبات الهداة ، للحرّ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الکتب الإسلامیة،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 للطبرسی، من أعلام القرن السادس، منشورات المرتضی، مطبعة سعید، مشهد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إحقاق الحقّ ، للسیّد نور اللّه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الشهید سنة </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مکتبة السیّد المرعشی،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القرآن ، للجصاص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سنة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إحیاء التراث العربی،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أدب الکاتب ، لابن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مطبعة السعادة، مصر،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إرشاد الساری فی شرح صحیح البخاری ، للقسطلانی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الطبعة الأولی،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فی معرفة حجج اللّه علی العباد ، 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المؤتمر العالمی لألفیّة الشیخ المفید،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الاستیعاب ، لابن عبدالبرّ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إحیاء التراث العربی، بیروت،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فی هامش الإصابة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أسد الغابة ، لابن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أسماء المغتالین من الأشراف فی الجاهلیّة والإسلام ، لمحمّد بن حبیب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شرکة مصطفی البابی مصر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المخطوطات</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الاشتقاق ، لابن 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مکتبة المثنی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الإصابة فی تمییز الصحابة ، لابن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إحیاء التراث العربی، بیروت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الأعلام ، للزرکلی دار العلم للملایین، بیروت، الطبعة السابعة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أعلام النبوّة ، للماوردی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الکتاب العربی،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النساء فی عالمی العرب والإسلام ، لعمر رضا کحالة مؤسسة الرسالة، بیروت، الطبعة الخامسة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أعیان الشیعة ، للسیّد محسن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التعارف،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الأغانی ، لأبی الفرج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الاقتضاب ، فی شرح أدب الکتّاب، لابن السیّد البطلمیوسی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الهیئة المصریّة للکتاب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إکمال الدین وإتمام النعمة ،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النشر الإسلامی،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مؤسسة البعثة، قم،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 للشیخ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مؤسسة البعثة، قم،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 لأبی علی القالی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 للسیّد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الکتاب العربی، بیروت، الطبعة الثانیة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 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الشجریّة ، لابن الشجری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حیدر آباد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الأمثال ، لأبی عبید القاسم 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المأمون دمشق الطبعة الأولی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الأمثال والحکم ، لمحمّد بن أبی بکر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المستشاریّة الثقافیّة للجمهوریّة الإسلامیّة دمشق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الانتصار ، للسیّد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الأضواء،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الانصاف فی مسائل الخلاف ، لأبی البرکات الأنباری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الأوائل ، لأبی هلال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بعد سنة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أوضح المسالک إلی ألفیّة ابن مالک ، لابن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إحیاء التراث العربی الطبعة الثامنة،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إیمان أبی طالب ، 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البعثة، 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مع کتاب الإفصاح</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 للعلامة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دارالکتب الإسلامیّة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البدء والتاریخ ، للمقدسی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مکتبة الثقافة الدینیة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 لابن کثیر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ذوی التمییز فی لطائف الکتاب العزیز ، للفیروزآبادی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المکتبة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بلاغات النساء ، لابن طیفور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الحداثة، بیروت، الطبعة الأولی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 للزبیدی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الطبعة الأولی مصر المطبعة الخیریّة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الإسلام الثقافی والسیاسی ، لصائب عبدالحمید، مرکز الغدیر،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 للخطیب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دارالتراث،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المدینة المنوّرة ، لابن شبّة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الفکر،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التبیان فی تفسیر القرآن ، للشیخ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مطبعة النعمان النجف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التبیین فی أنساب القرشیین ، لابن قدامة المقدسی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مکتبة النهضة العربیّة وعالم الکتب،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 الروایة فی تقریر الکفایة ، لابن الطیب الفاسی،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تحریم الفقاع ، للشیخ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ضمن الرسائل العشر 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تدریب الراوی ، شرح تقریب النووی، للسیوطی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الأولی القاهرة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تدوین السنّة الشریفة ، للسیّد محمّد رضا الحسینی الجلالی، مکتب الإعلام الإسلامی، الطبعة الثانیة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الحفاظ ، للذهبی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إحیاء التراث،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الخواص ، لسبط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مکتبة نینوی الحدیثة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الطبری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القرطبی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التفسیرالکبیر ، للفخر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إحیاء التراث العربی، بیروت، الطبعة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تقیید العلم ، للخطیب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طبع دمشق </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 xml:space="preserve">ق أوفست دار إحیاء السنة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 للشیخ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الکتب الإسلامیة طهران الطبعة الرابعة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تاریخ دمشق ، لعبدالقادر بدران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إحیاء التراث العربی، الطبعة الثالثة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الکمال فی أسماء الرجال ، للمزّی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الرسالة، بیروت، الطبعة الرابعة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التوحید ،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 لابن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الکتب الثقافیة الطبعة الأولی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الأخبار ، للسبزواری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المائة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آل البیت علیهم السلام لإحیاء التراث،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الرواة ، للأردبیلی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مکتبة السیّد المرعشی،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جمهرة الأمثال ، لأبی هلال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بعد سنة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الجیل، الطبعة الثانیة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جمهرة أنساب العرب ، لابن حزم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الطبعة الأولی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جمهرة اللغة ، لابن 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العلم للملایین، بیروت، الطبعة الأولی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جمهرة النسب ، لابن السائب الکلبی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مکتبة النهضة وعالم الکتب،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الحجّة علی الذاهب إلی تکفیر أبی طالب ، لابن معد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سیّدالشهداء،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الحجّة للقراء السبعة ، لأبی علی الفارسی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المأمون،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الأبرار فی فضائل محمّد وآله الأطهار ، للسیّد هاشم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قم،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حلیة الأولیاء ، لأبی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بیروت، الطبعة الأولی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خزانة الأدب ، لعبد القادر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مکتبة الخانجی القاهرة الطبعة الأولی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الخصائص ، لأبی الفتح عثمان بن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الکتب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الخصائص الکبری ، للسیوطی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بیروت، الطبعة الأولی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الإسلامیة ، المترجمة عن الأصل الانجلیزی والفرنسی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 المعارف الإسلامیة الشیعیّة ، حسن الأمین دار التعارف،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الدرجات الرفیعة ، للسیّد علی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بصیرتی، قم،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الإمامة ، لأبی جعفر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المائة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مؤسسة البعثة، قم،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دلائل النبوة ، للبیهقی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بیروت، الطبعة الأولی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الأخطل ، بیروت، </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الأعشی ، المتوفّی سنة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 دار صعب،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امرئ القیس ،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ذی الرمّة ، کلیّة کمبریج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طفیل الغنوی ، دار الکتاب الجدید لبنان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الفرزدق ، بشرح إیلیا الحاوی دار الکتب اللبنانی، بیروت،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کُثیّر عزّة ، دار الجیل، بیروت،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النابغة الذبیانی ، دار صادر،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إلی تصانیف الشیعة ، لآقا بزرک الطهرانی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الأضواء،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الشیخ الطوسی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المکتبة الحیدریة النجف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الکشی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کلّیة الإلهیات جامعة مشهد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جماعة المدرسین،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 الأنف ، للسهیلی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مؤسسة مختار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المتقین فی شرح من لا یحضره الفقیه ، للشیخ محمّد تقی المجلسی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الثانیة،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 لابن الفتال،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الشهید سنة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منشورات الرضی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زهر الآداب وثمر الألباب ، للقیروانی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الجیل، بیروت،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البحار ومدینة الحکم والآثار ، للشیخ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نشر مؤسسة فراهانی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لأبی عیسی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السنن الکبری ، للبیهقی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المعرفة،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أعلام النبلاء ، للذهبی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مؤسسة الرسالة،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 لمحمّد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 لابن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مصطفی البابی الحلبی مصر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لعلی بن برهان الدین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المکتبة الإسلامیة،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الشافی فی الإمامة ، للسیّد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الصادق طهران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شذرات الذهب ، لابن العماد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ألفیة ابن مالک ، لابن عقیل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ناصر خسرو، بیروت، الطبعة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دیوان جریر ، دار الکتاب اللبنانی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شواهد المغنی ، للسیوطی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لجنة التراث العربی منشورات أدب الحوزة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 لابن أبی الحدید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إحیاء الکتب العربیّة الطبعة الأولی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الهاشمیات ، لأبی ریاش القیسی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عالم الکتب،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شعراء النصرانیّة ، جمع و تنسیق لویس شیخو، دار المشرق، بیروت، الطبعة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أبی طالب وأخباره ، لأبی هفّان المهزمی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الثقافة،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الشعر والشعراء ، لابن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إحیاء العلوم، بیروت، الطبعة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صبح الأعشی ، للقلقشندی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المؤسسة المصریّة للتألیف والترجمة والطباعة والنشر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الصحاح ، للجوهری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دارالعلم للملایین الطبعة الرابعة،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الصحیح ، للبخاری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عالم الکتب، بیروت، الطبعة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الصحیح ، لمسلم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بیروت، الطبعة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المستقیم إلی مستحقّی التقدیم ، للبیاضی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المکتبة المرتضویّة الطبعة الأولی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الصواعق المحرقة ، لابن حجر الهیتمی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مکتبة القاهرة مصر الطبعة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 لابن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دارصادر،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 لابن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مطبعة الخیام، قم،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 الفرید ، لابن عبد ربّه الأندلسی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المکتبة التجاریة الکبری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العلل ومعرفة الرجال ، لأحمد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جامعة أنقرة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الطالب فی أنساب آل أبی طالب ، لابن عنبة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المطبعة الحیدریّة النجف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عیون صحاح الأخبار ، لابن البطریق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جماعة المدرسین،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العمدة فی محاسن الشعر وآدابه ، لابن رشیق القیروانی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دارالمعرفة،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الإمام الرضا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للبحرانی تحقیق ونشر مؤسسة الإمام المهدی علیه السلام،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فاطمة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للبحرانی تحقیق ونشر مؤسسة الإمام المهدی علیه السلام،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الأخبار ، لابن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الکتاب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علیه السلام ،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الطبعة الأولی 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 للشیخ الأمینی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الکتب الإسلامیّة طهران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غریب الحدیث ، لابن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الغیبة ، للنعمانی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المائة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مکتبة الصدوق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الفائق فی غریب الحدیث ، للزمخشری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الکتب العلمیة،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الباری فی شرح صحیح البخاری ، لابن حجر العسقلانی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مطبعة البابی الحلبی القاهرة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 أُوفست دار الکتاب الجدید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المختارة من العیون والمحاسن ، للسیّد الشریف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دارالأضواء،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 للشیخ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المکتبة الرضویة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 لابن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 للتستری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مطبعة المصطفوی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 لثقة الإسلام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المکتبة الإسلامیة طهران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 للمبرد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دارالفکر العربی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 لابن الأثیر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الکتاب ، لسیبویه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أدب الحوزة،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الکشاف ، للزمخشری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نشر أدب الحوزة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فی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تبریز المطبعة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الکنی والألقاب ، للشیخ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الطبعة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العرفان فی فقه القرآن ، للمقداد السیوری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الطبعة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فی سنن الأقوال والأفعال ، للمتّقی الهندی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الرسالة، بیروت الطبعة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الفوائد ، لأبی الفتح الکرجکی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الأضواء،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العرب ، لابن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أدب الحوزة، 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مجاز القرآن ، لأبی عبیدة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الرسالة، بیروت، الطبعة الثانیة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المجدی فی أنساب الطالبیین ، للعمری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المائة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مکتبة السیّد المرعشی قم الطبعة الأولی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تراثنا ، العدد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 علیهم السلام لإحیاء التراث،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الأمثال ، للمیدانی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 لأمین الإسلام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المائة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الرجال ، للقهپائی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إسماعیلیان،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مجمل اللغة ، لأحمد 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معهد المخطوطات العربیة الکویت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المجموع فی شرح المهذب ، لأبی زکریا النووی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المجموعة النبهانیة فی المدائح النبویّة ، لیوسف بن إسماعیل النبهانی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المحبّر ، لمحمّد بن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الآفاق الجدیدة،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المحدّث الفاصل بین الراوی والواعی ، للرامهرمزی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دارالفکر،</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الجنان ، للیافعی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الکتب العلمیة،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فی شرح أخبار الرسول ، للعلامة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الإسلامیة، طهران،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مراتب النحویین ، لأبی الطیب اللغوی مطبعة نهضة مصر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 لعلی بن الحسین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الهجرة،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المزهر فی علوم اللغة وأنواعها ، للسیوطی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الأولی،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مستدرکات علم الرجال ، للشیخ علی النمازی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الطبعة الأولی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وسائل الشیعة ، للمحدث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آل البیت علیهم السلام لإحیاء التراث،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المستقصی فی أمثال العرب ، للزمخشری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بیروت، الطبعة الثانیة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المسند ، لأحمد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المعارف ، لابن قتیبة الدینوری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الشریف 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الأخبار ،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القرآن ، لأبی زکریّا الفرّاء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دارالسرور،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الأدباء ، لیاقوت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دارالفکر، بیروت، الطبعة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البلدان ، لیاقوت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الحدیث ، للسیّد أبی القاسم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بیروت، الطبعة الثالثة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الشعراء فی لسان العرب ، للدکتور یاسین الأیوبی دار العلم للملایین، الطبعة الثانیة،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 للطبرانی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إحیاء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ما استعجم ، للبکری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عالم الکتب، بیروت، الطبعة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المفصّل فی اللغة والأدب ، لمیشال عاصی وإمیل بدیع، دارالعلم للملایین،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مقاییس اللغة ، لأحمد 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المعلّقات العشر ، بشرح الزوزنی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 اللبیب عن کتب الأعاریب ، لابن هشام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أُفست منشورات سیّد الشهداء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الطالبیین ، لأبی الفرج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المکتبة الحیدریّة النجف الطبعة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المقتضب ، لأبی العباس المبرد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عالم الکتب،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مقتل الحسین علیه السلام ، للخوارزمی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مکتبة المفید،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المقنعة ، 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جماعة المدرسین،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 طالب، لابن شهر آشوب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المطبعة العلمیة،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منال الطالب فی شرح طوال الغرائب ، لابن الأثیر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دمشق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أدب الدعاء فی الإسلام ، للسیّد محمّد رضا الحسینی الجلالی، مقال منشور فی مجلّة تراثنا العدد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إصدار مؤسسة آل البیت علیهم السلام،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تاریخ النحو ، لسعید الأفغانی دارالفکر،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الإسلامیّة طهران الطبعة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نسب إلی أمّه من الشعراء ، لمحمّد بن حبیب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مطبوع ضمن نوادر المخطوطات المجلّد الأوّل مصطفی البابی مصر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المقال فی أحوال الرجال ، لأبی علی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آل البیت علیهم السلام لإحیاء التراث، قم،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الناصریات ، للسیّد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مطبوع علی الحجر ضمن کتاب الجوامع الفقهیّة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النجوم الزاهرة فی ملوک مصر والقاهرة ، لابن تغری الأتابکی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874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مصر وزارة الثقافة والإرشاد القومی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نساء النبی صلی الله علیه و آله ، لبنت الشاطئ دار الکتاب العربی،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نسب قریش ، للزبیری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المعارف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النکت فی تفسیر کتاب سیبویه ، للأعلم الشنتمری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معهد المخطوطات العربیّة الکویت الطبعة الأولی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الإقدام فی وجوب المسح علی الأقدام ، للقاضی نور اللّه التستری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 فی مجلّة تراثنا العدد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النهایة فی غریب الحدیث ، لابن الأثیر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المکتبة الإسلامیّة،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 جمع السیّد الشریف الرضی من کلام أمیرالمؤمنین علیه السلام دار الهجرة،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الهاشمیات ، للکمیت بن زید الأسدی مؤسسة الأعلمی،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إلی تحصیل مسائل الشریعة ، للحرّ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آل البیت علیهم السلام،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الأعیان ، لابن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الشریف الرضی، قم، الطبعة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وقعة صفین ، لنصر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مکتبة السیّد المرعشی،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الأحادیث وردت فی 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وقد وافق أکثر المفسّرین من الخاصّة والعامّة علی هذا المعنی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تاریخ پژوهان، علی معموری، سال اول، شمارۀ دوم، تابستان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دربارۀ ضبط نام کلین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سمعانی، الانساب،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زبیدی، تاج العروس،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مجلسی، 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از شرح حال افراد یاد شده،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مامقانی، تنقیح المقال ذیل نام‌های مذکور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هویت این شخص اختلاف نظر است با این حال، نظر عمدۀ رجال نویسان بین خواهرزاده برقی نویسنده کتاب محاسن یا پدر بزرگ وی در گردش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نجاشی، همان،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منسوب به محله‌ای در بغداد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 السلسله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زبیدی،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بحرالعلوم، الفوائد الرجالیه،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صاحب کتاب الغیبه و معروف به کاتب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به مقدمه علی‌اکبر غفاری بر کتاب الغیبه نعمانی‌مراجعه فرمایید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مشهورترین شاگردان کلینی و استاد شیخ صدوق و مفید و طوسی و نجاشی و سیدمرتضی،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فهرست این آثار را در رجال طوسی ذیل نام کلینی بجویید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طاووس در کشف المحجة، فلاح السائل و فتح الابواب از این کتاب روایت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اسناد این کتاب به کلینی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شهرآشوب، معالم العلماء،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ابن داود،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حرعاملی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ابن اثیر،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طوسی، الغیبه،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لزوم ارزیابی سندی احادیث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سفینه، سال اول، شماره دوم، بهار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تنها اثر یادشده در منابع رجالی، رساله‌ای از ابوالعباس حمیری است که پرسش و پاسخ‌هایی دارد که وی از طریق محمد بن عثمان عمری از امام عسکری علیه السلام سؤال نموده و پاسخ آن را گرفته است و البته نگارش آن نیز از شخص حمیری بوده و عمری تنها نقش واسطه را ایفا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دربارۀ تعداد روایات کافی اختلاف نظر است، اما غالباً آن را بین </w:t>
      </w:r>
      <w:r>
        <w:rPr>
          <w:rFonts w:eastAsia="IRNazanin" w:cs="IRNazanin"/>
          <w:b w:val="false"/>
          <w:bCs w:val="false"/>
          <w:i w:val="false"/>
          <w:iCs w:val="false"/>
          <w:color w:val="333333"/>
          <w:sz w:val="20"/>
          <w:szCs w:val="20"/>
        </w:rPr>
        <w:t>16121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نهایةالدرایه،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معارف، پژوهشی در تاریخ حدیث شیعه،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روایات شیعه در این باره در حد تواتر است که نمونه‌ای از آن را کلینی خود در مقدمه چنین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اعرضوها علی کتاب اللّه فما وافی کتاب اللّه فخذوه و ماخالف کتاب اللّه فردوه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گر چه این معیار چندان با استقبال روبه‌رو نشده و نمونه‌های اندکی از آن به چشم می‌خورد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معیار در مواردی کاربرد دارد که احتمال تقیه در خصوص روایات موافق اهل سنت مطرح باشد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دراین‌باره به شرح حال تک تک هشت نفر مذکور و افراد واقع در سلسله سند آنها مانند ابراهیم بن هاشم‌مراجعه کنید و جالب توجه آن که نجاشی در بسیاری موارد در معرفی این افراد چنین تعبیر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بکتبه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نشان دهنده سنت نقل حدیث به روش مناوله یا مکاتبه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فقیهان شیعه در آغاز برای پاسخ‌گویی به مسائل فقهی مستقیماً به سراغ روایات رفته و به گزیده‌ای از یک روایت‌استناد می‌کردند، اما از دورۀ شیخ مفید و طوسی به تدریج تنوع نیازهای فقهی، شیوه گذشته را ناکارآمد نموده و لذا فقیهان شیعه در جست‌وجوی جایگزینی برای روش سابق به جای نقل حدیث در پاسخ به مسأیل فقهی به کنکاش اجتهادی در روایات و استخراج حالات گوناگون یک مسئله روی آوردند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همان،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حسن صاحب معالم، منتقی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نمونه به دو اثر مهم این مدرسه؛ الدرایه شهید ثانی و منتقی الجمان فرزند ایشان مراجعه کنید که در آنها سعی شده کتاب‌های چهارگانه شیعه بر مبنای روش حلی ارزش‌گذاری و دسته‌بندی شود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دربارۀ میزان نفوذ اندیشه‌های جبری و تشبیه و تجسیم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سیدمرتضی، رسائل،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همان،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مدرسی طباطبایی، 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أهل البیت، العدد الثانی والعشرون، السنة السادسة،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العدد الثالث والعشرون،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أشار فی معجم رجال الحدیث،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ما یزید علی الثلاثین من أساتذته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کتاب الکلینی والکافی،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شیخاً 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للطوسی،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مقدّمة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المحجّة،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فی التأریخ،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التبصیر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الإکمال،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الشافی،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مقدّمة الکافی للدکتور حسین علی محفوظ</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العلماء،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الانتخاب الجیّد،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نقلاً من مقدّمة الکافی للدکتور محفوظ</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تصحیح الاعتقاد،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الشیعة،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نهایة الدرایة،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 التی لم یتحقّق فیها الشرط المذکور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الأعمام والأخوال وأولادهم، فإنّهم یتقرّبون بالجدّ، والجدّ یتقرّب بالأب أو الاُمّ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جبیر</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آینۀ پژوهش، سال چهاردهم، شمارۀ سوم، مرداد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شمارۀ پیاپی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مکتبة الداوری، قم، بی‌تا؛ نیز رجال الطوسی،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مؤسسة النشر الاسلامی، قم، چاپ اول،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اصطخری، ابو اسحاق ابراهیم، مسالک و ممالک،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به اهتمام ایرج افشار؛ انتشارات علمی و فرهنگی، تهران، چاپ سوم،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عبدالرسول، عبدالغفار، الکلینی والکافی،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مؤسسة النشر الاسلامی، قم، چاپ اول،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نیز مجلۀ علوم الحدیث، شمارۀ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موسوی خوانساری، محمدباقر، روضات الجنات،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مکتبة اسماعیلیان، قم، بی‌تا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الحدیث، شمارۀ اول،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نیز 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جد مادری کلینی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الطوسی، رجال الطوسی، رقم </w:t>
      </w:r>
      <w:r>
        <w:rPr>
          <w:rFonts w:eastAsia="IRNazanin" w:cs="IRNazanin"/>
          <w:b w:val="false"/>
          <w:bCs w:val="false"/>
          <w:i w:val="false"/>
          <w:iCs w:val="false"/>
          <w:color w:val="333333"/>
          <w:sz w:val="20"/>
          <w:szCs w:val="20"/>
        </w:rPr>
        <w:t>6279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مؤسسة النشر الاسلامی، قم، چاپ اول،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نیز 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عموی مادر کلینی، همو، همان، رقم </w:t>
      </w:r>
      <w:r>
        <w:rPr>
          <w:rFonts w:eastAsia="IRNazanin" w:cs="IRNazanin"/>
          <w:b w:val="false"/>
          <w:bCs w:val="false"/>
          <w:i w:val="false"/>
          <w:iCs w:val="false"/>
          <w:color w:val="333333"/>
          <w:sz w:val="20"/>
          <w:szCs w:val="20"/>
        </w:rPr>
        <w:t>5920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نیز دربارۀ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محمد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علّان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دایی محمد بن یعقوب کلینی،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النجاشی، رجال النجاشی،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مکتبة الداوری، قم، بی‌تا</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الطوسی، رجال الطوسی،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همو، الفهرست،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فصل‌نامۀ علوم الحدیث، شمارۀ اول،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محرم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الکوفة ومساجدها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والکافی،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نیز فصل‌نامۀ علوم الحدیث،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نیز ثامر هاشم حبیب العمیدی، الشیخ الکلینی البغدادی وکتابه الکافی،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دفتر تبلیغات اسلامی، قم، چاپ اول،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فصل‌نامۀ علوم الحدیث،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محرم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المؤتلف والمختلف، عبدالغنی بن سعید الازدی المصری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حافظ ابن ماکولا، الاکمال،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مؤسسة التاریخ العربی، بی جا، بی تا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الاثیر الجزری، جامع الاصول،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دارالفکر، بیروت، چاپ سوم،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الاثیر، الکامل فی التاریخ،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دار صادر، بیروت،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الذهبی، المشتبه،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موجود در کتابخانۀ تخصصی تاریخ اسلام و ایران، قم، بی نا، بی جا، بی تا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مؤسسة الرسالة، بیروت، چاپ نهم،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نیز، تاریخ الاسلام، حوادث سال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رقم ترجمه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دار الکتاب العربی، بیروت، چاپ اول،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الصفدی، الوافی بالوفیات،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دارالنشر، اشتوتگارت، چاپ سوم،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الفیروز آبادی، محمد بن یعقوب، القاموس المحیط،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دار الجیل، بیروت، بی تا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الزبیدی، السید محمد مرتضی، تاج العروس،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دارالفکر، بی جا، بی تا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الزرکلی، خیر الدین، الاعلام،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دارالعلم للملایین، بیروت، چاپ هفتم،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علوم الحدیث،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نیز الکلینی وکتابه الکافی،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الکلینی والکافی،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الکلینی وکتابه الکافی،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مقاله‌ای با عنوان احمد بن حنبل و ظاهرگرایی که تاکنون به چاپ نرسیده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مکتب در فرآیند تکامل،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نیز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پاورقی شمارۀ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فصل سوم کتاب،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بحران رهبری و نقش راویان حدیث</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ترمس العاملی، بحوث حول روایات الکافی،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مؤسسة دار الهجرة، قم، چاپ اول،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سید حسن، تأسیس الشیعة لعلوم الاسلام، منشورات الاعلمی، تهران؛ نیز مغز متفکر جهان شیعه، مرکز مطالعات اسلامی استراسبورگ، انتشارات جاویدان، تهران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زمینه مراجعه به کتب حدیثی متقدمان حقیقت را آشکار می‌کند؛ از اصول کافی گرفته تا کتب کلامی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حدیثی شیخ صدوق رحمه الله مانند توحید و اعتقادات و کتب حدیثی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کلامی شیخ مفید رحمه الله و شیخ طوسی رحمه الله و</w:t>
      </w:r>
      <w:r>
        <w:rPr>
          <w:rFonts w:eastAsia="IRNazanin" w:cs="IRNazanin"/>
          <w:b w:val="false"/>
          <w:bCs w:val="false"/>
          <w:i w:val="false"/>
          <w:iCs w:val="false"/>
          <w:color w:val="333333"/>
          <w:sz w:val="20"/>
          <w:szCs w:val="20"/>
          <w:rtl w:val="true"/>
        </w:rPr>
        <w:t>. . .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عنوان نمونه می‌توان اثر ارزشمند مرحوم استاد شهید مرتضی مطهری، سیری در نهج البلاغه، بخش دوم، باعنوان الهیات و ماوراء الطبیعه را از نظر گذراند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عنوان نمونه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تأسیس الشیعة لعلوم الاسلام، از سید حسن صدر و مغز متفکر جهان اسلام، از مرکز مطالعات اسلامی استراسبورگ و دانش مسلمین، از محمدرضا حکیمی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مکتب در فرایند تکامل،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جوئل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کرمر، احیای فرهنگی در عهد آل بویه،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ترجمه محمد سعید حنایی کاشانی، مرکز نشر دانشگاهی، تهران، چاپ اول،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والکافی،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نیز الکلینی</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وکتابه الکافی،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فصل پانزدهم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مدارس و کتابخانه‌ها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حسن بن محمد بن حسن قمی، به تصحیح جلال الدین تهرانی، انتشارات‌توس، تهران،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ش؛ نیز فقیهی، علی اصغر، تاریخ مذهبی قم،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انتشارات اسماعیلیان، قم، بی‌تا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مقدمه ارزشمند کتاب الهدایة صدوق رحمه الله،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تحقیق و نشر مؤسسة الامام الهادی علیه السلام، قم، چاپ اول،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عبدالرزاق الحسینی، العراق قدیماً وحدیثاً،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دارالکتب، بیروت، چاپ پنجم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الدکتور جلیل کمال الدین، بغداد مرکز العلم والثقافة العالمیة فی القرون الوسطی، المکتبة العالمیة، بغداد،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الدکتور فهمی سعد، العامة فی بغداد، فصل‌های هفتم و هشتم کتاب، دار المنتخب العربی، بیروت، چاپ اول،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نیز بغداد مرکز العلم والثقافة العالمیة فی القرون الوسطی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السید محمد الصدر، تاریخ الغیبه الصغری،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مکتبة الامام امیرالمؤمنین علیه السلام، اصفهان،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مطهری، مرتضی، انسان کامل،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انتشارات صدرا، تهران، چاپ سوم،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ناچیز، نوشتار دیگری زیر عنوان شرایط راوی از دیدگاه قدما و متأخران سامان داده است که هنوز به زیور طبع آراسته نگردیده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وثاقت راوی از دیدگاه کلینی نیز می‌توان، مقدمۀ کافی را ملاحظه کرد و برخی آرای اصولی ایشان را نیز از همان مقدمه با ارزش به دست آورد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الکلینی وکتابه الکافی،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الکلینی والکافی،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علوم الحدیث،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محرم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نامۀ علوم حدیث، ش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روش‌شناسی تفسیر قرآن،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 فهم حدیث،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اُصول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التعلیقه علی شرح اُصول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اُصول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فصلنامۀ 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تخصّصی حدیث اندیشه، سال اوّل،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پاییز و زمستان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نگاه منطقی، هر یک از انسان‌ها به تنهایی، یک شخص هستند که زیر نام کلّی حیوان ناطق قرار می‌گیرند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حیوان ناطق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نوع این اشخاص به شمار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منطقیان در تعریف نوع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آن کلّی ذاتی‌ای است که بیانگر تمام ذات یا حقیقت شیء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این تعریف، هر گاه از چیستی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افرادی که حقیقت آنها یکی است پرسیده شود بدین گونه که مثلاً پرسیده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پرویز و احمد چه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آنچه در پاسخ به چنین سؤالی ذکر خواهد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بدین سؤال، بدیهی است که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انسان‌اند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منطق، محمّدعلی اژه‌ای،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دربارۀ این قاعده و استدلال‌های مطرح شده برای اثبات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الحکمة،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الأسفار الأربعة،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نمونۀ دیگر،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شارح، مراد از عقل را در 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یُعبأ بأهل الدین ممّن لا عقل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عقل بالفعل یا عقل مستفاد می‌داند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چنان می‌نماید که کاربرد قرآنی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کم در برخی نمونه‌ها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زبان و استعمال امامان علیهم السلام بسیار نزدیک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اثبات این سخن، می‌توانید به المعجم المفهرس رجوع کنید و به کاربرد مشتقّات جهل درنگرید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العالِم من شهدت بصحّة أقواله أفعاله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الحکم و المواعظ،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آنچه گذشت، گزیدۀ سخنان درازْ دامن شارح در این صفحات بود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با فرض این که آن عابد، خود عالِم نباشد و نیز این که عبادت عالم، به اندازۀ عبادت عابد نباشد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نامۀ علوم حدیث، 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مقائیس اللغة، أبو الحسین أحمد بن فارس،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الکلیات، أبوالبقاء أیوب بن موسی الحسینی الکفوی،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النجاة فی المنطق و الإلهیّات، أبوعلی الحسین بن عبداللّه ابن سینا،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الاشارات و التنبیهات، أبوعلی الحسین بن عبداللّه ابن سینا،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التحصیل، بهمنیاربن المرزبان، ص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مقاصد الفلاسفة، محمد الغزالی،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شروح الشمسیة، قطب الدین محمود بن محمد الرازی،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التعریفات جرجانی،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المبدأ و المعاد، محمد بن ابراهیم صدرالدین الشیرازی،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الکلیات، ابوالبقا،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التوقیف علی مهمّات التعاریف، محمد عبدالرؤوف المناوی،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الشافی، محمد محسن الفیض الکاشانی،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الحدائق الناضرة، یوسف البحرانی،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جامع السعادات، محمد مهدی النراقی،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شرح المنظومة، ملا هادی سبزواری،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فرهنگ معارف اسلامی، سید جعفر سجادی،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علی اکبر دهخدا، ص </w:t>
      </w:r>
      <w:r>
        <w:rPr>
          <w:rFonts w:eastAsia="IRNazanin" w:cs="IRNazanin"/>
          <w:b w:val="false"/>
          <w:bCs w:val="false"/>
          <w:i w:val="false"/>
          <w:iCs w:val="false"/>
          <w:color w:val="333333"/>
          <w:sz w:val="20"/>
          <w:szCs w:val="20"/>
        </w:rPr>
        <w:t>14112</w:t>
      </w:r>
      <w:r>
        <w:rPr>
          <w:rFonts w:ascii="IRNazanin" w:hAnsi="IRNazanin" w:eastAsia="IRNazanin"/>
          <w:b w:val="false"/>
          <w:b w:val="false"/>
          <w:bCs w:val="false"/>
          <w:i w:val="false"/>
          <w:i w:val="false"/>
          <w:iCs w:val="false"/>
          <w:color w:val="333333"/>
          <w:sz w:val="20"/>
          <w:sz w:val="20"/>
          <w:szCs w:val="20"/>
          <w:rtl w:val="true"/>
        </w:rPr>
        <w:t xml:space="preserve">؛ المعجم الفلسفی، جمیل صلیبا،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و تفسیر نهج البلاغه، محمدتقی جعفری،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شرح اُصول الکافی، ملّاصدرا،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دائرة المعارف الشیعیة العامّة، محمدحسین الأعلمی الحائری،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الاربعة،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الشواهد الربوبیة،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خلاصه دیدگاه‌ملّا صدرا دربارۀ معانی عقل</w:t>
      </w:r>
      <w:r>
        <w:rPr>
          <w:rFonts w:eastAsia="IRNazanin" w:cs="IRNazanin"/>
          <w:b w:val="false"/>
          <w:bCs w:val="false"/>
          <w:i w:val="false"/>
          <w:iCs w:val="false"/>
          <w:color w:val="333333"/>
          <w:sz w:val="20"/>
          <w:szCs w:val="20"/>
          <w:rtl w:val="true"/>
        </w:rPr>
        <w:t>»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صلی الله علیه و آله، محمدباقر المجلسی،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أول ما خلق اللّه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الکافی، صدرالدین الشیرازی،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نامۀ علوم حدیث،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شرح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سنّت در قانونگذاری اسلام،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شَعرانی، در تعلیقات ارزنده خود بر الوافی فیض کاشانی، دربارۀ‌این حدیث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حدیث مشهور صحیح عندنا و عند أهل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 و الترمذی، عن زید بن ارقم، عن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ونحمداللّه علی أن جعلنا ممّن عمل بقوله صلی الله علیه و آله واتبع عترته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حواشی الوافی، چاپ سنگی،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أعیان الشیعة،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شرح اُصول کافی، محمد خواجوی،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عبس،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شرح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شرح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شرح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شرح 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الدرجات الرفیعة،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الصالح،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اصول کافی، تصحیح و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کمره‌ای،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الوافی،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جامع المقال،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وصول الأخیار،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مرآة العقول،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قواعد التحدیث،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اُصول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فصل‌نامۀ علوم حدیث، 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تفصیل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الاستنباط بین الاصولیین و الاخباریین،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شناخت‌نامۀ علّامه مجلسی،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آداب الصلوة،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تفصیل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قواعد المرام فی علم الکلام،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کشف المراد،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نهایة الحکمة،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شارح المقاصد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تحقیق از فلاسفه و صاحبان ادیان بر حقیقت معاد اتفاق نظر دارند؛ هرچند در چگونگی آن میان ایشان اختلاف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فلاسفه آن را تنها روحانی می‌دانند</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بسیاری از علمای اسلام همچون</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معاد را روحانی و جسمانی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دوانی نیز معتقد است معاد جسمانی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روحانی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متبادر از اطلاق اهل شرع همین است؛ زیرا اعتقاد به چنین معادی واجب و منکر آن از نگاه مسلمانان، مسیحیان و یهودیان کافر شمرده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الاسفار الاربعة،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الشفاء،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کشف المراد،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منظومه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تفضیل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شناخت‌نامه علّامۀ مجلسی،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یادنامۀ مجلسی، به کوشش مهدی مهریزی و هادی ربانی،</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رویکرد به فلسفه، تصوف و عرفان و باطنی گری انقلابی را باید سه چهره فرهنگی شکست سیاسی مسلمانان‌در برابر هجوم مغولان و متلاشی شدن انسجام حکومت و یک پارچگی قلمرو مسلمانان 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هر سه چهره در واقع، گریز از رویارویی مستقیم با قدرت است که معمولاً در شکل درون گرایی خود را نشان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دولت صفوی که در واقع، محصول پیوند باطنی‌گرایی انقلابی حروفیه با تصوّف خانقاهی شیخ صفی الدین است در آغاز حکومت خود، رویکردی مهرآمیز به تصوّف داشت و همین رویکرد، موجب سودجویی‌های فراوان صوفیان گشت که عکس العمل آن بر خوردهای تند و بی‌رحمانه شاه عباس اوّل در قزوین گشت و وی را به انتقال پایتخت از قزوین به اصفهان واداشت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اصفهان با تقویت متشرعه و اهل حدیث در برابر صوفیان و عارفان و ایجاد چالش فرهنگی بین طرفداران حدیث و علاقه‌مندان به عرفان کم کم زمینه تفوق اهل حدیث را به وجود آورد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دوره کتب حدیثی فراوانی تألیف شد و بر بسیاری از کتب حدیثی قدما شرح نگاشته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از چهار کتاب مشهور حدیثی متأخر یعنی بحار الأنوار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وافی فیض کاشانی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وسایل الشیعه شیخ حر عاملی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دوره تألیف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همزمان با کمی تأخیر، کتاب حدیثی حجیم دیگری که چندان شهرت نیافت به نام العوالم والمعارف توسط مرحوم عبداللّه بن نور اللّه بحرینی نوشته شد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مجلسی در سال‌های گوناگون، کتاب‌های مجموعۀ کافی را به طور غیر منظم با دوستانش بحث می‌کرد وحواشی می‌نوشت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 و طبق تصریح خویش در پایان کتاب‌ها، شرح‌های خود را به این ترتیب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التوحید در هفتم ربیع الثانی </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ق پایان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هفتم ربیع الثانی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دوّم آن در اواخر رجب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پذیرفته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الذنوب در دهم جمادی الاولی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الکفر در بیست و سوم صف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 کتاب الحج در جمادی الأولی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هشت رجب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یافته است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الأقوال فی معرفة الرجال، مؤسسة المعارف الاسلامیّة،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دارالمفید، لبنان،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محمدبن علی اردبیلی، انتشارات کتابخانه آیت الله الظمی مرعشی النجفی،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کشی، رقم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 .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خلاصة الاقوال،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مناظرۀ علمی در پاسخ علامه قاضی خضری، محمد صادق نجمی،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بنیاد معارف اسلامی، پاییز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سؤال های دوم و سوم،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امام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طبقات ابن سعد، 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بنا به نقل 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علمای انصار بود و از رسول خدا حدیث‌های فراوان فرا گرفته بود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این حدیث در دو مورد از 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الجنائز 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موسی علیه السلام نقل شده است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الغسل بدء الاذان و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الصلوة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الطب؛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الطب؛ 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الاطعمه؛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جمله اضافی در مسند احمد آمده است</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رحلت این دو امام به ترتیب سال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عایشه در سال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عبداللّه در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بدرود حیات گفته است</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ما منافقین را از سه راه مختلف می‌شناختیم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انکار نمودن خدا و رسولش و با تخلف از نماز و با عداوت و دشمنی علی ابن ابیطالب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معالم المدرستین،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گروه انصار منافقین را از راه دشمنی آنان نسبت به علی ابن ابیطالب می‌شناختیم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المناقب، 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معالم المدرستین علّامه عسکری،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لیدن در شرح حال خلیفه دوم می‌گوید او اول کسی است که برای شرب خمر هشتاد ضربه تازیانه زد و با افراد خطاکار با شدت رفتار نمود خانه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رویشد ثقفی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آتش زد و ربیع بن امیه بن خلف را که مرد شرابخوار بود به خیبر تبعید نمود و او به روم پناهنده گردید و به آئین مسیحیت روی آورد و مرتد شد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البدایه والنهایه،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عقد الفرید،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ملل و نحل، شهرستانی، چاپ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مورد به صواعق محرقه در ذیل آیۀ هشتم و دهم از آیات مربوط به فضائل اهل بیت و نهایه ابن اثیر درذیل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تفسیر آیه اولئک هم خیر البریه مراجعه شود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الخلفاء، و تاریخ ابو الفداء شرح حال معاویه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الحدیث، العدد التاسع، السنة الخامسة، محرم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الصدوق،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العمدة ابن رشیق،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یاقوت،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المزهر السیوطی،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الخصائص ابن جنّی،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خزانة الأدب البغدادی،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شذرات الذهب ابن العماد،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الأعشی القلقشندی،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فهرست ابن الندیم،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وفیّات الأعیان ابن خلّکان،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الجنان الیافعی،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یورد للاحتجاج به علی قول أو رأی أو قاعدة المعجم المفصّل، میشال عاصی وإمیل بدیع،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والشعراء ابن قتیبة،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خزانة الأدب البغدادی،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أبو الفرج،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النجوم الزاهرة،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ابن کثیر،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الزرکلی،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آقا بزرک،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خزانة الأدب البغدادی،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خزانة الأدب البغدادی،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الکشّاف الزمخشری،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خزانة الأدب البغدادی،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الشفا القاضی عیاض،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الزمخشری بید،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المفصّل، میشال عاصی وإمیل بدیع،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خزانة الأدب البغدادی،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الروایة فی تقریر الکفایة ابن الطیّب الفاسی،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وخزانة الأدب البغدادی،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خزانة الأدب البغدادی،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المنوّرة ابن شبة،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تذکرة الحفّاظ الذهبی،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تقیید العلم الخطیب البغدادی،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تذکرة الحفّاظ الذهبی،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29510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8935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بشرح صحیح البخاری لابن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إرشاد الساری القسطلانی،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العلل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رجال النجاشی،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 الفاصل الرامهرمزی،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أُسد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تقیید العلم الخطیب،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حلیة الأولیاء أبو نعیم،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ابن الندیم،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المزهر السیوطی،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مراتب النحویین أبو الطیب اللغوی،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أعلام الزرکلی،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الأغانی أبوالفرج،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الشعر والشعراء ابن قتیبة،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الفهرست ابن الندیم،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المزهر السیوطی،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مراتب النحویین أبوالطیب اللغوی،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والفصل المتقدّمان</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جوامع التوحید کتاب التوحید؛ التوحید الصدوق،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ترجمة محمد بن عذافر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ابن سعد،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الطبقات الکبری ابن سعد،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المصنّف</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الأولی فی بلاغات النساء ابن طیفور،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الشافی المرتضی،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دلائل الإمامة الطبری،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مقتل الحسین الخوارزمی،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منال الطالب ابن الأثیر،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الطرائف ابن طاوس،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الاحتجاج الطبرسی،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الأربلی،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وغیرها کثیر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الشافی المرتضی،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تدوین السنّة الشریفة السیّد محمّد رضا الحسینی الجلالی،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الطوسی،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الشاهد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المجدی العمری،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الدرجات الرفیعة السید علی خان،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سفینة البحار عباس القمّی،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الواعظین الفتال،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جامع الأخبار السبزواری،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الکلینی،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التبیین فی أنساب القرشیین ابن قدامة،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التبیین فی أنساب القرشیین،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النبویّة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روایة العلامة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 بجوارهم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علّق العلامة المجلسی علی هذه الکلمة بقول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یرید غلبة الخصوم علینا، أو یصیر تخاذله سبباً لغلبتهم علینا،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وفیّات الأعیان ابن خلّکان،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والشعراء ابن قتیبة،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خزانة الأدب البغدادی،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شواهد المُغنی،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المعارف الإسلامیة،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الأعلام الزرکلی،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ذی الرُّمّة،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بلاغات النساء ابن طیفور،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غریب الحدیث ابن قتیبة،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الأمالی الشیخ المفید،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الاحتجاج الطبرسی،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البدء والتاریخ المقدسی،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منال الطالب ابن الأثیر الجزری،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الطرائف ابن طاوس،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تذکرة الخواص سبط ابن الجوزی،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فاطمة علیها السلام البحرانی،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إحقاق الحقّ الشهید التستری،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الغدیر الأمینی،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أعلام النساء کحالة،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3869</w:t>
      </w:r>
      <w:r>
        <w:rPr>
          <w:rFonts w:ascii="IRNazanin" w:hAnsi="IRNazanin" w:eastAsia="IRNazanin"/>
          <w:b w:val="false"/>
          <w:b w:val="false"/>
          <w:bCs w:val="false"/>
          <w:i w:val="false"/>
          <w:i w:val="false"/>
          <w:iCs w:val="false"/>
          <w:color w:val="333333"/>
          <w:sz w:val="20"/>
          <w:sz w:val="20"/>
          <w:szCs w:val="20"/>
          <w:rtl w:val="true"/>
        </w:rPr>
        <w:t xml:space="preserve">؛ المستدرک الحاکم،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المستدرک الحاکم،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المعجم الکبیر الطبرانی،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امرئ القیس،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تفسیر التبیان الطوسی،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والغبیط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قتب الهودج، والمدأّب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الموسّع</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مغنی اللبیب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فی سیرة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الطبقات الکبری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الإصابة ابن حجر،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الأعلام الزرکلی،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أبی الحدید،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إیمان أبی طالب المفید،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أبی طالب أبو هفّان،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سیرة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سیرة ابن إسحاق،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الروض الأُنف،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شرح ابن أبی الحدید،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خزانة الأدب،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إیمان أبی‌طالب،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إیمان أبی طالب،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طفیل الغنوی،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الکتاب سیبویه،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النکت فی تفسیر الکتاب الشنتمری،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الإنصاف فی مسائل الخلاف الأنباری،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المقتضب المبرد،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نصّ البصریون من النحاة علی أنّ الثانی أولی بالمعمول، للنقل والقیاس، أمّا النقل فقد ورد کثیراً فی القرآن الکریم‌وفی المنظوم والمنثور من کلام العرب، وأمّا القیاس فلأسباب ثلاثة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سیبویه،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النکت فی تفسیر الکتاب الشنتمری،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ویتبعهم منها</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الأغانی أبو الفرج،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والشعراء ابن قتیبة،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خزانة الأدب البغدادی،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الأعلام الزرکلی،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النابغة،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التبیان الطوسی،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أحکام القرآن الجصّاص،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بحار الأنوار المجلسی،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جمهرة النسب الکلبی،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الکامل المبرد،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أعلام الزرکلی،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وأشار الشیخ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أنّ الوجه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 وأنّ الشاعر قد أقوی لأنّ القصیدة مجرورة، وهذا الوجه متین، ذلک لأنّ الإقواء جارٍ علی ألسنتهم کثیراً، وهو المخالفة بین حرکة الرویّ المطلق بکسر وضمّ، قال النابغة الذبیانی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زعم البوارح أنّ رحلتنا غداً وبذاک حدّثنا الغُدافُ الأسودُ لا مرحباً بغدٍ ولا أهلاً به إن کان تودیع الأحبّة فی غدِ</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الإرشاد المفید،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قریش الزبیری،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عمدة الطالب ابن عنبة،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المجلسی،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المراد بجدّها الإمام الحسین علیه السلام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القول إمّا للتقیّة، أو لبیان الواقع فی تلک الساعة من صیحتهنّ، أو مراده من الصبی عبداللّه بن الحسین علیه السلام الرضیع الشهید بالطفّ فی حجر أبیه علیه السلام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الأغانی أبو الفرج،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الإصابة ابن حجر،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أمالی المرتضی،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شرح شواهد المغنی السیوطی،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الأعلام الزرکلی،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الشعر والشعراء ابن قتیبة،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التبیان الطوسی،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الکامل المبرد،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أدب الکاتب ابن قتیبة،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الاقتضاب ابن السید البطلیموسی،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سیبویه،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النکت فی تفسیر الکتاب الأعلم الشنتمری،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المقتضب المبرد،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معانی القرآن الفرّاء،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القالی،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مغنی اللبیب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شرح شواهد المغنی السیوطی،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خزانة الأدب البغدادی،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فی مسائل الخلاف الأنباری،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التبیان الطوسی،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الغابة ابن الأثیر،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الإصابة ابن حجر،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جمهرة أنساب العرب ابن حزم،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زهر الآداب القیروانی،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خزانة الأدب البغدادی،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لسان العرب زبرق،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شعراء النصرانیّة لویس شیخو،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الأعلام الزرکلی،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الشعراء فی لسان العرب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یاسین الأیوبی،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مجاز القرآن أبو عبیدة،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الأمالی القالی،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تفسیر الطبری،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التبیان الطوسی،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الطبرسی،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یاقوت الحموی عتکان،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شعراء النصرانیة لویس شیخو،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مرآة العقول المجلسی،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ابن عبد ربه،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الکامل ابن الأثیر،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القالی،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مجمل اللغة ابن فارس،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معجم مقاییس اللغة ابن فارس،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الصحاح الجوهری،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لسان العرب ابن منظور،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بصائر ذوی التمییز الفیروزآبادی،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العقد الفرید ابن عبد ربه،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مرآة العقول المجلسی،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الزبیدی،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الذهبی،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أُسد الغابة ابن الأثیر،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المزی،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تهذیب التهذیب ابن حجر،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ابن حبان،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وقعة صفّین نصر بن مزاحم،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الأعلام الزرکلی،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التستری،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خزانة الأدب البغدادی،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ابن الأثیر،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الإصابة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الأعلام الزرکلی،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البیت لا یجری علی شی ء من الأوزان الشعریّة، ولا بدّ من وجود نقصٍ فی بعض تفعیلاته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المجلسی،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الجُربّان، بالکسر وبالضم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القمیص، وجیب القمیص</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الاستیعاب ابن عبد البر،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قریش الزبیری،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اُسد الغابة ابن الأثیر،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ابن حجر،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مرآة العقول المجلسی،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نسب قریش الزبیری،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أُسد الغابة ابن الأثیر،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الاستیعاب ابن عبدالبر،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ابن حجر،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الأعلام الزرکلی،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الأغانی أبو الفرج،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الأعلام الزرکلی،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السید الأمین،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الأمثال المدائنی،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المستقصی الزمخشری،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جمهرة الأمثال العسکری،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ابن منظور،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الأغانی أبو الفرج،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المجلسی،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النوری،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المجلسی،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المجلسی،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الحرّ العاملی،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نسخة من 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سیبویه،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النکت فی تفسیر الکتاب الأعلم،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المقتضب المبرد،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شرح دیوان جریر إیلیا الحاوی،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التبیان الطوسی،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التبیان الطوسی،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المفید،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الأعلام الزرکلی،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الأمثال والحکم الرازی،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الکامل المبرد،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أبو الفرج الأصفهانی،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الشعر والشعراء ابن قتیبة،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معجم ما استعجم البکری،ج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الأعلام الزرکلی،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الطوسی،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المقنعة المفید،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تفسیر القرطبی،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الزرکلی،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والحکم الرازی،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الکامل المبرد،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مرأة العقول،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الکتاب سیبویه،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الحجّة للقرّاء السبعة الفارسی،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التفسیر الکبیر الفخر الرازی،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الناصریّات السیّد المرتضی،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المقتضب المبرد،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الکشّاف الزمخشری،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المقداد،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خزانة الأدب البغدادی،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الطوسی،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یشتمل، وما أثبتناه من المصادر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المحبّر ابن حبیب،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الأعلام الزرکلی،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الأوائل العسکری،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جمهرة الأمثال العسکری،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المستقصی الزمخشری،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الأمثال والحکم الرازی،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الأمثال أبو عبید،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مجمع الأمثال المیدانی،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خزانة الأدب البغدادی،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الأغانی أبو الفرج،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الشعر والشعراء ابن قتیبة،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الأعلام الزرکلی،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الکشاف الزمخشری،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خزانة الأدب البغدادی،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دیوان الأخطل،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مرآة العقول المجلسی،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الخصائص،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الأمالی ابن الشجری،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دیوان امرئ القیس،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المعلّقات العشر الزوزنی،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خزانة الأدب البغدادی،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اللبیب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895</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أسماء المغتالین ابن حبیب،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الجزء الثانی من نوادر المخطوطات؛ الشعر والشعراء ابن قتیبة،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الأغانی أبو الفرج،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شرح شواهد المغنی السیوطی،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الزرکلی،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 أبی طالب وأخباره أبو هفان،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تربیتها بعدم المنع بعد العطاء</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النصرانیة،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الزرکلی،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الاعشی،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الشعر والشعراء ابن قتیبة،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شرح شواهد المغنی السیوطی،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عیون الأخبار ابن قتیبة،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کمال الدین الصدوق،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المفید،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الحائری،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کثیر،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الإنصاف فی مسائل الخلاف الأنباری،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خزانة الأدب،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المسالک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الکرخی</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الصخابة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شدیدة الصوت، والولاجة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کثیرة الدخول والخروج، والهمّازة العیّابة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الأعلام الزرکلی،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الفرزدق بشرح إیلیا الحاوی،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کتاب سیبویه،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شرح الکتاب الأعلم،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خزانة الأدب البغدادی،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الإنصاف فی مسائل الخلاف الأنباری،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المقتضب المبرد،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وهم حی من تمیم، رهط جریر الشاعر، و مقاعس هو الحارث بن عمرو بن کعب بن سعد بن زید مناة بن تمیم</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خزانة الأدب البغدادی،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شواهد المغنی السیوطی،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الزرکلی،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الأغانی أبو الفرج،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أبی خراش</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الأغانی أبوالفرج،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الهاشمیّات،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شرح الهاشمیّات،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رجال الکشی،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بحار الأنوار المجلسی،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مرآة العقول المجلسی،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الهاشمیّات،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إحدی روایتی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ترکنا، وفی معجم البلدان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 وفی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نزلنا، والظاهر أنّه 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روضة المتّقین فی شرح من لا یحضره الفقیه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العقد الفرید ابن عبد ربه،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مختصر تاریخ دمشق ابن منظور،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البلدان یاقوت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ثافِل،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الدئلی والدیلمی،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الشیخ،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المستقیم البیاضی،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المستقیم البیاضی،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إثبات الهداة الحرّ العاملی،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بین إربل والموصل علی جهة الزاب الأعلی</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 اسم أبیه فی الأمالی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مصحّفاً 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بشّار</w:t>
      </w:r>
      <w:r>
        <w:rPr>
          <w:rFonts w:eastAsia="IRNazanin" w:cs="IRNazanin"/>
          <w:b w:val="false"/>
          <w:bCs w:val="false"/>
          <w:i w:val="false"/>
          <w:iCs w:val="false"/>
          <w:color w:val="333333"/>
          <w:sz w:val="20"/>
          <w:szCs w:val="20"/>
          <w:rtl w:val="true"/>
        </w:rPr>
        <w:t>)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الهزیمة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الأمالی الطوسی،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أسماء المغتالین ابن حبیب،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نوادر المخطوطات المجلّد الثانی</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وینحر بالزوراء منهم لدی الضحی</w:t>
      </w:r>
      <w:r>
        <w:rPr>
          <w:rFonts w:eastAsia="IRNazanin" w:cs="IRNazanin"/>
          <w:b w:val="false"/>
          <w:bCs w:val="false"/>
          <w:i w:val="false"/>
          <w:iCs w:val="false"/>
          <w:color w:val="333333"/>
          <w:sz w:val="20"/>
          <w:szCs w:val="20"/>
          <w:rtl w:val="true"/>
        </w:rPr>
        <w:t>. . .» .</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غیر معاویة بن وهب، والکلام قد یکون للمصنّف، أو للراوی قبل معاویة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المتّقین المجلسی،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لسان العرب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العقول المجلسی،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الحرّ العاملی،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دین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الزبیدی دین</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الزمخشری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شرح شواهد المغنی‌السیوطی،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عساکر؛ المناقب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السیرة النبویة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جمهرة اللغة ابن درید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خزانة الأدب البغدادی،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شرح شواهد المغنی السیوطی،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إسحاق بن راهویه؛ الأمالی الشجریة،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427</Pages>
  <Words>95819</Words>
  <Characters>381335</Characters>
  <CharactersWithSpaces>474142</CharactersWithSpaces>
  <Paragraphs>3297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2026-08-24T14:54:38Z</dcterms:created>
  <dc:creator>ghaemiyeh.com</dc:creator>
  <dc:description/>
  <dc:language>en-US</dc:language>
  <cp:lastModifiedBy/>
  <dcterms:modified xsi:type="dcterms:W3CDTF">2026-08-24T18:24:52Z</dcterms:modified>
  <cp:revision>1</cp:revision>
  <dc:subject/>
  <dc:title>شناخت نامه کلینی و الکافی جلد 4</dc:title>
</cp:coreProperties>
</file>

<file path=docProps/custom.xml><?xml version="1.0" encoding="utf-8"?>
<Properties xmlns="http://schemas.openxmlformats.org/officeDocument/2006/custom-properties" xmlns:vt="http://schemas.openxmlformats.org/officeDocument/2006/docPropsVTypes"/>
</file>