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حوزه علمیه جدید پایه اول تا دهم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اصول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کفایة الأصول المجلد 1 (از ابتدا تا پایان «المقصد الأوّل»)</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کلمة المجمع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کلمة التحقیق</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[الجزء الاول ]</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أمّا المقدّمة : ففی بیان أُمور</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 : موضوع العلم ومسائله و موضوع علم الأُصول وتعریفه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موضوع العلم</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مسائل العلم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تمایز العلوم باختلاف الأغراض</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قد لا یکون لموضوع العلم اسم مخصوص</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موضوع علم‌الأُصول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تعریف علم الأُصول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الثانی : الوضع وأقسامه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تعریف الوضع</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أقسام الوضع‌الثلاثة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إنکار القسم‌الرابع من‌الوضع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ثبوت قسمین‌من أقسام الوضع‌والکلام فی‌القسم الثالث</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الأقوال فی‌وضع الحروف</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التحقیق: عدم‌الفرق بین المعنی الاسمی‌والحرفی لا فی‌الموضوع له ولاالمستعمل فیه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الإشکال بعدم‌بقاء الفرق بین‌الاسم والحرف‌فی المعنی</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الجواب عن‌الإشکال وبیان‌الفرق</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الخبر والإنشاء</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أسماء الإشارةوالضمائر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الثالث : استعمال اللفظ فی ما یناسب معناه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قولان فی‌المسألة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الأظهر أنّ صحة الاستعمال المجازی إنماهی بالطبع</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الرابع : إطلاق اللفظ وإرادة نوعه أو صنفه أو مثله أو شخصه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صحّة إرادةالنوع أو الصنف‌أو المثل‌من اللفظ</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الإشکال فی إرادة شخص اللفظ منه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الجواب عن الإ شکال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التحقیق فی‌إرادة النوع أوالصنف من‌اللفظ</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الخامس : وضع الألفاظ لذوات المعانی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عدم تبعیّةالدلالة للإرادةوالدلیل علیه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توجیه ما حُکی‌عن الشیخ الرئیس والمحقّق الطوسیّ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السادس : وضع المرکّبات</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لیس للمرکّبات‌وضع علی حدة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السابع : أمارات الوضع</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1 - التبادر</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2 - عدم صحّةالسلب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3 - الاطّراد</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الثامن : أحوال اللفظ</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تعارض الأحوال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التاسع‌ : الحقیقة الشرعیّة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أقسام الوضع‌التعیینی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ثبوت الحقیقةالشرعیّة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ثمرة البحث</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العاشر : الصحیح والأعمّ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تقدیم أُمور :</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الأمر الأول :تصویر النزاع‌علی القول‌بثبوت الحقیقةالشرعیة وعدمه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الإشکال إثباتاًفی تصویرالنزاع بناءًعلی عدم القول بالحقیقة الشرعیة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تصویر النزاع‌علی مسلک‌الباقلّانی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الأمر الثانی :معنی الصحّة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الأمر الثالث : لزوم</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تصویر الجامع‌علی القولین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تصویر الجامع‌علی القول‌بالصحیح</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إشکال الشیخ‌الأعظم علی‌تصویر الجامع</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الجواب عن‌الإشکال</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وجوه تصویرالجامع علی‌القول بالأعم‌والمناقشة فیها</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1 - الجامع هوجملة من أجزاءالعبادة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2 - الجامع هومعظم الأجزاء</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3 - أن یکون‌وضع العبادات‌کوضع الأعلام‌الشخصیة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4 - أن یکون‌الموضوع له هوالصحیح التام‌والتوسعة تتمّ بتسامح العرف</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5 - أن یکون حال‌أسامی العبادات حال أسامی المقادیر والأوزان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الأمر الرابع :عمومیّة الوضع‌والموضوع له‌فی ألفاظ‌العبادات</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الأمر الخامس :</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وجوه القول‌بالصحیح :</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وجوه القول‌بالأعم :</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 الکلام فی أسامی المعاملات</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 عدم الإجمال‌فی أسامی‌المعاملات بناءًعلی وضعهاللصحیح</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 أنحاء دخل‌الشیء فی‌المأمور به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الحادی عشر : الاشتراک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توهّم استحالةقوع الاشتراک‌والجواب عنه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توهّم منع استعمال المشترک فی القرآن والجواب عنه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توهّم لزوم وقوع الاشتراک فی اللغات والجواب عنه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الثانی عشر : استعمال اللفظ فی أکثر من معنی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الأظهر : عدم جواز الاستعمال فی الأکثر عقلاً</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القول بالتفصیل بین التثنیة والجمع وبین المفرد والمناقشة فیه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المقصود من بطون القرآن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الثالث عشر : فی المشتقّ</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تحریر محلّ‌النزاع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تقدیم أُمور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1 - المراد من‌المشتقّ</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عدم اختصاص‌النزاع باسم‌الفاعل ومابمعناه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شمول النزاع لبعض الجوامد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2 - الإشکال فی‌جریان النزاع‌فی اسم الزمان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3 - خروج الأفعال والمصادر عن النزاع</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عدم دلالة الفعل‌علی الزمان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دلالة الماضی والمضارع علی الزمان التزاماً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ما یؤیّد عدم دلالة الفعل علی الزمان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الفرق بین المعنی الحرفی والاسمی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4 - اختلاف‌المبادئ‌لا یوجب‌اختلافاً فی‌دلالة المشتقّ</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5 - المراد ب « الحال » فی عنوان المسألة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6 - لا أصل لفظیّ فی المسألة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مقتضی الأصل‌العملی فی‌المسألة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الأقوال فی مسألة المشتقّ</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مختار المصنّف:</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حجّة القول بالاشتراط :</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حجّة أُخری علی الاشتراط :</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الإشکال علی دلیل صحّةالسلب‌والجواب عنه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عدم الفرق بین‌المشتق اللازم‌ و المتعدّی</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حجّة القول‌بعدم الاشتراط :</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التفصیل بین‌المشتقّ المحکوم علیه والمحکوم به والجواب عنه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تنبیهات :</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1 - بساطة المشتق واستدلال المحقّق الشریف علیه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معنی بساطةالمشتق</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2 - الفرق بین‌المشتقّ ومبدئه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3 - ملاک الحمل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مناقشة ما أفاده الفصول فی المقام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4 - کفایة المغایرة المفهومیّة فی‌الحمل وکیفیّة حمل صفاته تعالی علیه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مناقشة ماأفاده الفصول‌فی المقام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5 - الخلاف فی اعتبار قیام المبدأ بالذات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الکلام فی‌الصفات الجاریةعلیه تعالی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کلام الفصول فی صفاته تعالی ومناقشته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6 - عدم اعتبارالتلبّس الحقیقی‌فی صدق‌المشتق</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المقصد الأول : فی الأوامر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الفصل الأوّل‌ : فی ما یتعلّق بمادّة الأمر من الجهات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الجهة الأُولی : معانی لفظ« الأمر » فی‌اللغة والعرف</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معنی لفظ« الأمر » فی‌الاصطلاح</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تعدّد موارد استعمال « الأمر » فی الکتاب والسنّة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الجهة الثانیة : اعتبار العلوّ فی الأمر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الجهة الثالثة : الأمر حقیقةٌ فی الوجوب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أدلّة القول‌بوضع الأمرلمطلق الطلب‌ومناقشتها</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الجهة الرابعة : الأمر موضوع‌للطلب الإنشائیّ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اتحادالطلب والإرادة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لا صفة فی النفس غیر الإرادة تسمّی بالطلب</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استدلال الأشاعرة علی مغایرة الطلب والإرادة والإشکال علیه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المصالحة بین الطرفین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دفع وهْم فی فهم کلام الأصحاب والمعتزلة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مدلول الجملات الخبریة والإنشائیة عند الأصحاب والمعتزلة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الإشکال علی اتحاد الطلب والإرادة ودفعه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شبهة الجبروردّها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الإشکال فی‌عقاب العاصی‌والجواب عنه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إشکالٌ آخرعلی اتحادالطلب والإرادةوالجواب عنه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الفصل الثانی‌ : فی ما یتعلّق بصیغة الأمر</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المبحث الأوّل : ‌معنی صیغةالأمر</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الکلام فی سائرالصیغ الإنشائیّة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توهّم انسلاخ صیغ الإنشاء عن معانیها إذا وقعت فی کلامه تعالی والجواب عنه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المبحث الثانی‌ : صیغة الأمرحقیقة فی‌الوجوب</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المناقشة فی‌ما أفاده‌صاحب المعالم‌فی المقام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المبحث الثالث : مفاد الجمل الخبریّة المستعملة فی‌مقام الطلب</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الإشکال فی أنّ‌الجمل الخبریة الطلبیّة مستعملة فی‌معناها الخبری والجواب عنه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المبحث الرابع : ‌هل صیغة الأمرظاهرة فی‌الوجوب ؟</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دعوی ظهورالصیغة فی‌الوجوب‌والکلام فیها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مقتضی إطلاق‌الصیغة هوالحمل علی‌الوجوب</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المبحث الخامس : ‌إطلاق الصیغةهل یقتضی‌التوصلیة أم‌لابدّ من‌الرجوع إلی‌الأُصول ؟</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1- معنی الواجب التوصّلی والتعبّدی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2 - امتناع أخذقصد الامتثال‌شرعاً فی‌متعلق الأمر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3 - امتناع التمسّک بإطلاق الأمر لإثبات التوصّلیّة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إمکان التمسّک بالإطلاق المقامی لإثبات التوصّلیّة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مقتضی الأُصول العملیّة :</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التفصیل بین القیود التی یغفل عنها العامّة وغیرها</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عدم جریان البراءة الشرعیة فی المقام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المبحث السادس : مقتضی إطلاق الصیغة هو الوجوب النفسیّ التعیینیّ العینیّ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المبحث السابع : وقوع الأمرعقیب الحظرأو ما یوهمه والأقوال فیه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التحقیق : الالتزام‌ببقاء الصیغة علی‌ظهورها أوالالتزام بإجمالها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المبحث الثامن‌ : عدم دلالةالصیغة علی‌المرّة والتکرار</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حصر الفصول‌النزاع فی الهیئةوالمناقشة فیه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المراد بالمرّة والتکرار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ثمرة البحث فی المرّة والتکرار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المبحث التاسع‌ : عدم دلالةالصیغة علی‌الفور أو التراخی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أدلّة وجوب الفور والإشکال فیها</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ما یترتّب علی‌القول بالفور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الفصل الثالث : فی الإجزاء</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مقدّمات ‌البحث</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1 - المراد من« وجهه »</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2 - المراد من « الاقتضاء »</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3 - المراد من« الإجزاء »</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4 - الفرق بین‌هذه المسألةومسألة المرّةو التکرار</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الفرق بین هذه المسألة ومسألة تبعیة القضاء للأداء</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تحقیق المسألة فی موضعین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الموضع الأول :إجزاء الإتیان‌بالمأمور به عن‌أمر نفسه دون غیره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الموضع الثانی:إجزاء الإتیان‌بالمأمور به‌عن أمر غیره :</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1 - الکلام فی إجزاء الأمر الاضطراری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أنحاء الأمر الاضطراری وحکم کلّ واحدٍمنها</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تعیین ما وقع علیه الأمر الاضطراری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2 - الکلام فی إجزاء الأمر الظاهری</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الإجزاء فی‌الأُصول المنقّحة الموضوع التکلیف</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الکلام فی‌إجزاء الأمارات المنقّحة لموضوع التکلیف بناءً علی الطریقیة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الکلام فی‌إجزاء الأمارات‌بناءً علی‌السببیّة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حکم الإجزاءفی ما إذا شکّ‌فی السببیّة والطریقیّة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عدم الإجزاء فی الأُصول والأمارات الجاریة فی إثبات أصل التکلیف</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تذنیبان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1 - عدم الإجزاءفی صورة القطع بالأمر خطأً</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2 - الإجزاء لا یوجب التصویب</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فصلٌ : ‌فی مقدّمة الواجب</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الامر الأوّل: المسألة أُصولیّة عقلیّة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الأمر الثانی : انّه ربما تقسّم المقدّمة إلی تقسیمات:</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المقدّمة الداخلیّة والخارجیّة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خروج الأجزاء عن محلّ النزاع</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المقدّمة العقلیّةو الشرعیّةو العادیّة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مقدّمة الوجودوالصحّة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والوجوب والعلم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المقدّمة المتقدّمة والمقارنة والمتأخّرة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الإشکال فی‌الشرط المتأخّر بل المتقدّم أیضاً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التحقیق فی رفع الإشکال :</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الجواب عن الإشکال فی شرط التکلیف والوضع</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الجواب عن الإشکال فی شرط المأمور به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الأمر الثالث : فی تقسیمات الواجب</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الواجب المطلق والمشروط</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رجوع الشرطفی الواجب المشروط إلی نفس الوجوب</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کلام الشیخ الأنصاری فی رجوع الشرط إلی الواجب</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الإشکال فی ما أفاده الشیخ من عدم الإطلاق فی مفاد الهیئة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الإشکال فی ما أفاده الشیخ من لزوم رجوع الشرط إلی المادّة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فائدة إنشاء الوجوب المشروط</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دخول‌المقدّمات الوجودیّة فی النزاع</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خروج مقدّمات الوجوب عن النزاع</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وجوب التعلّم</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هل إطلاق الواجب علی الواجب المشروط علی نحو الحقیقة أم المجاز ؟</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الواجب‌المعلّق والمنجّز</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إنکار الشیخ الأعظم الواجب المعلّق والتحقیق فیه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إشکال المصنّف علی الواجب المعلّق</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إشکال بعض أهل النظر فی الواجب المعلّق والجواب عنه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إشکال رابع علی الواجب المعلّق والجواب عنه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إشکال خامس علی کلام صاحب الفصول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المناط فی فعلیّة وجوب المقدّمة هو فعلیّة وجوب ذیها</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وجوب المقدّمات قبل الوقت ووجوه دفع الإشکال فیها</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دوران الأمر بین رجوع القید إلی المادّة أو الهیئة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وجهان لترجیح إطلاق الهیئة علی إطلاق المادّة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المناقشة فی الوجهین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الواجب النفسیّ والغیریّ</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تعریف الواجب النفسیّ‌والغیریّ</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الإشکال علی التعریف</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دفع الإشکال</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حکم الشک فی النفسیّة والغیریّة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إشکال الشیخ‌الأنصاری فی المقام والجواب عنه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تذنیبان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1 - الکلام فی‌استحقاق‌الثواب والعقاب علی امتثال الأمر الغیری ومخالفته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إشکال التقرّب واستحقاق الثواب فی المقدّ مات العبادیّة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الجواب عن الإشکال</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التفصّی عن الإشکال بوجهین آخرین والجواب عنهما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2 - هل یعتبر فی الطهارات قصد التوصّل إلی غایاتها ؟</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کلام صاحب‌المعالم فی تبعیة وجوب المقدّمة لإرادة ذیها والإیراد علیه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هل یعتبر قصد التوصّل فی المقدّمة أو ترتّب ذی المقدمة علیها؟</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المناقشة فی اعتبار قصد التوصّل</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المقدّمة الموصلة وما یرد علیها :</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الإشکال الأول</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الإشکال الثانی</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استدلال صاحب الفصول علی وجوب خصوص المقدّمة الموصلة :</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الدلیل الثالث</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الإشکال فی أدلّة الفصول :</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الإشکال علی الدلیل الثانی</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الإشکال علی الدلیل الثالث</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دلیلٌ آخر علی وجوب خصوص المقدّمة الموصلة والمناقشة فیه</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ثمرة القول بالمقدّمة الموصلة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إیراد الشیخ الأنصاری علی الثمرة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الجواب عمّا أورده الشیخ علی الثمرة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الواجب الأصلی والتبعی</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هذا التقسیم بلحاظ الثبوت لا الإثبات</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انقسام الواجب الغیری إلیهما</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الواجب النفسی یتصف بالأصالة دون التبعیّة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إذا شکّ فی واجب أنّه أصلیّ أو تبعیّ</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ثمرة النزاع فی وجوب المقدّمة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الفروع الثلاثة التی ذکروها ثمرةً والمناقشة فیها</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إشکال الثمرة الأُولی</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إشکال الثمرة الثانیة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إشکال الثمرة الثالثة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ثمرة أُخری لمسألة المقدّمة والمناقشة فیها</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لا أصل فی مسألة الملازمة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جریان استصحاب عدم وجوب المقدّمة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الاستدلال علی وجوب المقدّمة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استدلال البصری علی وجوب المقدّمة والإشکال علیه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التفصیل بین السبب وغیره والإشکال فیه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التفصیل بین الشرط الشرعی وغیره والإشکال علیه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مقدّمة المستحبّ والحرام والمکروه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فصل لأمر بالشیء هل یقتضی النهی عن ضدّه أو لا ؟</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تقدیم أُمور :</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1 - المراد من« الاقتضاء »و « الضد »</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2 - توهّم‌مقدّمیة ترک‌أحد الضدّین لوجود الآخر</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الجواب عن التوهّم</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جوابٌ آخر عن التوهّم ، بلزوم الدور</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جواب المحقّق الخونساری عن إشکال الدور</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المناقشة فی ما أفاده المحقّق الخونساری</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منع الاقتضاء من جهة التلازم</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3 - الکلام فی دلالة الأمر تضمّناً علی النهی عن الضدّ العام</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دعوی أنّ الأمر بالشیء عین النهی عن ضدّه العام والکلام فیها</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4- ثمرة المسألة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إنکار البهائی للثمرة والإشکال علی ما أفاده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الکلام فی تصحیح الأمر بالضد بنحو الترتّب</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الإشکال علی الترتّب باستلزامه طلب الضدّین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توهّم جواز طلب الضدّین إذا کان اجتماعهما بسوء الاختیار والجواب عنه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توهّم الفرق بین الاجتماع فی عرضٍ واحد وبین الترتّب والجواب عنه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توهّم وقوع طلب الضدّین فی العرفیات والجواب عنه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إشکالٌ آخر علی الترتّب باستلزامه تعدّد استحقاق العقوبتین فی صورة المخالفة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تصحیح الترتّب فی موردٍ خاصّ</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إمکان الترتّب مساوقٌ لوقوعه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فصل‌لا یجوز أمر الآمر مع علمه بانتفاء شرطه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صحّة الأمر الإنشائی مع العلم بانتفاء شرط الفعلیّة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فصل تعلّق الأوامر والنواهی بالطبائع</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کفایة الوجدان عن إقامة البرهان علی المسألة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المراد بتعلّق الأوامر بالطبائع</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دفع وهْمٍ فی المسألة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فصل هل یبقی الجواز بعد نسخ الوجوب ؟</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عدم جریان‌استصحاب الجواز</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فصل الواجب التخییری</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التخییر العقلی</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التخییر الشرعی</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الکلام فی التخییر بین الأقلّ والأکثر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فصلٌ فی الوجوب الکفائیّ</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فصل الواجب الموقّت وغیر الموقّت والمضیّق والموسّع</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التخییر بین أفراد الموسّع عقلیّ لا شرعی</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هل القضاء تابعٌ للأداء ؟</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فصل الأمر بالأمر</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فصل الأمر بعد الأمر</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فقه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فقه 4 (المکاسب : از «القول فی شرایط العوضین» تا پایان «احتکار الطعام»)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المجلد 4</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[تتمة کتاب البیع]</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القول فی شرائط العوضین</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 من شروط العوضین:المالیة]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[أقسام الأرضین و أحکامها]</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فالأقسام أربعة لا خامس لها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الأوّل : ما یکون مواتاً بالأصالة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الثانی : ما کانت عامرة بالأصالة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الثالث : ما عرض له الحیاة بعد الموت</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الرابع : ما عرض له الموت بعد العمارة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[رجوع إلی أحکام القسم الثالث]</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[لو کانت العمارة فیها من المسلمین]</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[الأراضی المفتوحة عنوة ملک للمسلمین]</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[ثبوت حق الأولویة فیها للمشتری]</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[کلام الشهید فی الدروس]</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[ظهور کلام الشهید الثانی فی جواز البیع تبعا للآثار]</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[المتیقن ثبوت حق الاختصاص للمتصرف لا الملک]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[حکم ما ینفصل من المفتوح عنوة]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[من شروط العوضین:کونه طِلْقاً]</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[الحقوق المانعة عن تصرف المالک فی ملکه]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 لا یجوز بیع الوقف إجماعاً محقّقاً فی الجملة و محکیّاً</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[صورة وقف أمیر المؤمنین علیه السلام]</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[هل الوقف یبطل بنفس البیع أو بجوازه]</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[کلام صاحب الجواهر و کاشف الغطاء فی أن الوقف یبطل بمجرد جواز البیع و المناقشة فیما أفاد صاحب الجواهر و کاشف الغطاء]</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[الأقوال فی الخروج عن عموم منع بیع الوقف]</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فاعلم أنّ لأصحابنا فی الخروج عن عموم المنع فی الجملة أقوالاً</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أحدها: عدم الخروج عنه أصلاً</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الثانی الخروج عن عموم المنع فی المنقطع فی الجملة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الثالث: الخروج عن عموم المنع و الحکم بالجواز فی المؤبّد</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[کلام السید المرتضی قدس سره]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[کلام الشیخ الطوسی فی المبسوط]</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و قال سلّار فیما حکی عنه</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و قال [ابن زهرة قدس سره] فی الغنیة علی ما حکی عنه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و قال [ابن حمزة قدس سره] فی الوسیلة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و قال الراوندی فی فقه القرآن علی ما حکی عنه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[کلمات ابن سعید فی الجامع و النزهة]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و قال [المحقق قدس سره] فی الشرائع</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[کلام العلامة فی التحریر و الإرشاد و التذکرة]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[کلمات الشهید فی غایة المراد و الدروس و اللمعة]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[کلام الصیمری]</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[کلام الفاضل المقداد قدس سره]</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[کلام الفاضل القطیفی]</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[کلام المحقق الثانی]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[کلام الشهید الثانی]</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[الوقف المؤبّد]</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[صور جواز بیع الوقف]</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الاُولی : أن یخرب الوقف بحیث لا یمکن الانتفاع به مع بقاء عینه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الصورة الثانیة : أن یخرب بحیث یسقط عن الانتفاع المعتدّ به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الصورة الثالثة : أن یخرب بحیث یقلّ منفعته،لکن لا إلی حدٍّ یلحق بالمعدوم</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الصورة الرابعة : أن یکون بیع الوقف أنفع و أعود للموقوف علیه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الصورة الخامسة : أن یلحق الموقوفَ علیهم ضرورةٌ شدیدة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الصورة السادسة : أن یشترط الواقف بیعه عند الحاجة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الصورة السابعة : أن یؤدّی بقاؤه إلی خرابه علماً أو ظنّاً</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الصورة الثامنة : أن یقع بین الموقوف علیهم اختلافٌ لا یؤمن معه تلف المال</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الصورة التاسعة : أن یؤدّی الاختلاف بینهم إلی ضررٍ عظیم من غیر تقییدٍ بتلف المال،فضلاً عن خصوص الوقف</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الصورة العاشرة : أن یلزم فسادٌ یستباح منه الأنفس</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[الوقف المنقطع]</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 و من أسباب خروج الملک عن کونه طِلْقاً : صیرورة المملوکة أُمّ ولدٍ لسیّدها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[مستثنیات منع : بیع أُمّ الولد]</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[موارد القسم الأول أی تعلق حق للغیر بها]</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و منها : تعلّق کفن مولاها بها</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و منها : ما إذا جنت علی غیر مولاها فی حیاته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و منها : ما إذا جنت علی مولاها بما یوجب صحّة استرقاقها لو کان المجنیّ علیه غیر المولی</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و منها : ما إذا جنی حرّ علیها بما فیه دیتها</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و منها : ما إذا لحقت بدار الحرب ثمّ استرقّت</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و منها : ما إذا خرج مولاها عن الذمّة و ملکت أموالُه التی هی منها</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و منها : ما إذا کان مولاها ذمّیا و قتل مسلماً</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و أمّا القسم الثانی : و هو ما إذا عرض لها حقّ لنفسها أولی بالمراعاة من حقّ الاستیلاد</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فمن موارده : ما إذا أسلمت و هی أمة ذمّی</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و منها : ما إذا عجز مولاها عن نفقتها و لو بکسبها</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و منها : بیعها علی من تنعتق علیه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و منها : ما إذا مات قریبها و خلّف ترکة و لم یکن له وارث سواها</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[موارد القسم الثالث أی تعلق حق سابق علی الاستیلاد]</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و من القسم الثالث : ما إذا کان علوقها بعد الرهن</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و منها : ما إذا کان علوقها بعد إفلاس المولی و الحَجر علیه</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و منها : ما إذا کان علوقها بعد جنایتها</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و منها : ما إذا کان علوقها فی زمان خیار بائعها</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و منها : ما إذا کان علوقها بعد اشتراط أداء مال الضمان منها</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و منها : ما إذا کان علوقها بعد نذر جَعلها صدقةً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و منها : ما إذا کان علوقها من مکاتَب مشروط ثمّ فُسخت کتابته</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و القسم الرابع : و هو ما کان إبقاؤها فی ملک المولی غیر معرّضٍ لها للعتق</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 و من أسباب خروج الملک عن کونه طِلْقاً : کونه مرهوناً</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و إنّما الکلام فی أنّ بیع الراهن هل یقع باطلاً من أصله؟أو یقع موقوفاً علی الإجازة،</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ثمّ إنّ الکلام فی کون الإجازة من المرتهن کاشفةً أو ناقلةً،هو الکلام فی مسألة الفضولی،</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[هل تنفع الإجازة بعد الرد أم لا]</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[فک الرهن بعد البیع بمنزلة الإجازة]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و الفرق بین الإجازة و الفکّ:</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[هل سقوط حق الرهانة کاشف أو ناقل]</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[ظاهر کل من قال بلزوم العقد هو الکشف]</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 إذا جنی العبد عمداً بما یوجب قتله أو استرقاق کلِّه أو بعضه</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 إذا جنی العبد خطأً صحّ بیعه علی المشهور</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الثالث من شروط العوضین:القدرة علی التسلیم</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[معنی الغرر لغة]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[الاستدلال الفریقین بالنبوی المذکور علی شرطیة القدرة]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[کلام الشهید فی القواعد فی تفسیر الغرر]</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[کلام الشهید فی شرح الإرشاد فی تفسیر الغرر]</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[المناقشة فیما أفاده الشهید فی شرح الإرشاد]</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[التمسک بالنبوی المذکور أخفی من المدعی]</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ثمّ إنّه ربما یستدلّ علی هذا الشرط بوجوه أُخر</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منها : ما اشتهر عن النبی صلّی اللّٰه علیه و آله من قوله : «لا تبع ما لیس عندک»</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و منها : أنّ لازم العقد وجوب تسلیم کلٍّ من المتبایعین العوضین إلی صاحبه</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و منها : أنّ الغرض من البیع انتفاع کلٍّ منهما بما یصیر إلیه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و منها : أنّ بذل الثمن علی غیر المقدور سفهٌ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[هل القدرة شرط أو العجز مانع]</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[المناقشة فیما استظهره صاحب الجواهر]</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[العبرة بالقدرة فی زمان الاستحقاق]</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[القدرة علی التسلیم شرط بالتبع و المقصد الأصلی هو التسلم]</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ثمّ إنّ الشرط هی القدرة المعلومة للمتبایعین؛</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[هل العبرة بقدرة الموکل أو الوکیل]</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 لا یجوز بیع الآبق منفرداً</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 یجوز بیع الآبق مع الضمیمة فی الجملة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مسألة [من شروط العوضین:العلم بقدر الثمن]</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مسألة [من شروط العوضین:العلم بقدر المثمن]</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و فی خصوص الکیل و الوزن خصوص الأخبار المعتبرة: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منها : صحیحة الحلبی</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[الإیراد علی الصحیحة و الجواب عنه]</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[روایة سماعة]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و روایة أبان</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[روایة أبی العطارد]</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و مرسلة ابن بکیر</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[هل الحکم منوط بالغرر الشخصی أم لا]</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[وجوب معرفة العدد فی المعدود و الدلیل علیه]</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مسألة [التقدیر بغیر ما یتعارف التقدیر به]</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[هل یجوز بیع المکیل وزنا و بالعکس]</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[الکلام فی مقامین]</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أمّا الأوّل : [التقدیر بغیر ما تعارف تقدیره به من حیث جعله طریقا إلی ما تعارف فیه]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[التقدیر بغیر ما تعارف تقدیره به مستقلا]</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بقی الکلام فی تعیین المناط فی کون الشیء مکیلاً أو موزوناً</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مسألة لو أخبر البائع بمقدار المبیع جاز الاعتماد علیه علی المشهور</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[هل یعتبر کون الخبر طریقا عرفیا للمقدار]</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[ثبوت الخیار للمشتری لو تبین الخلاف بالنقیصة]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[عدم الإشکال فی کون هذا الخیار خیار التخلف]</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[کل ما یکون طریقا عرفیا إلی مقدار البیع فهو بحکم إخبار البائع]</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مسألة [هل یجوز بیع الثوب و الأراضی مع المشاهدة]</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مسألة بیع بعضٍ من جملةٍ متساویة الأجزاء</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الأوّل : أن یرید بذلک البعض کسراً واقعیّاً من الجملة مقدّراً بذلک العنوان</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الثانی : أن یراد به بعض مردّد بین ما یمکن صدقه علیه من الأفراد المتصوّرة فی المجموع</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فرع</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الثالث من وجوه بیع البعض من الکلّ : أن یکون المبیع طبیعة کلّیة منحصرة المصادیق فی الأفراد المتصوّرة فی تلک الجملة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و الفرق بین هذا الوجه و الوجه الثانی</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مسألة لو باع صاعاً من صبرة</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ثمّ إنّه یتفرّع علی المختار من کون المبیع کلّیاً أُمور</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أحدها : کون التخییر فی تعیینه بید البائع</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و منها : أنّه لو تلف بعض الجملة و بقی مصداق الطبیعة انحصر حقّ المشتری فیه</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و منها : أنّه لو فرضنا أنّ البائع بعد ما باع صاعاً من الجملة باع من شخص آخر صاعاً کلیّاً آخر</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[صور إقباض الکلی]</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[لو باع ثمرة شجرات و استثنی منها أرطالا معلومة]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[أقسام بیع الصبرة]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إذا شاهد عیناً فی زمان سابق علی العقد علیها</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فرعان</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الأوّل : لو اختلفا فی التغییر فادّعاه المشتری</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الفرع الثانی : لو اتّفقا علی التغیّر بعد المشاهدة</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مسألة لا بدّ من اختبار الطعم و اللون و الرائحة فیما یختلف قیمته باختلاف ذلک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مسألة یجوز ابتیاع ما یفسده الاختبار من دون اختبار</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مسألة المشهور من غیر خلاف یذکر جواز بیع المسک فی فأره</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مسألة لا فرق فی عدم جواز بیع المجهول بین ضمّ معلومٍ إلیه و عدمه</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مسألة یجوز أن یُندر لظرفٍ ما یوزن مع ظرفه مقدارٌ یحتمل الزیادة و النقیصة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مسألة یجوز بیع المظروف مع ظرفه الموزون معه و إن لم یعلم إلّا بوزن المجموع</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[تنبیهات البیع]</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مسألة : المعروف بین الأصحاب تبعاً لظاهر تعبیر الشیخ بلفظ«ینبغی»،استحباب التفقّه</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مسألة : [حکم تلقی الرکبان تکلیفا]</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مسألة : یحرم النجش</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مسألة : إذا دفع إنسان إلی غیره مالاً لیصرفه فی قَبیلٍ یکون المدفوع إلیه منهم</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مسألة : احتکار الطعام</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ثمّ إنّ کشف الإبهام عن أطراف المسألة یتمّ ببیان أُمور</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الأوّل : فی مورد الاحتکار</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الثانی : [ما هو حد الاحتکار]</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الثالث : [عدم حصر الاحتکار فی شراء الطعام بل مطلق جمعه و حبسه]</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الرابع : أقسام حبس الطعام کثیرة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الخامس : الظاهر عدم الخلاف کما قیل فی إجبار المحتکر علی البیع</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خاتمة : و من أهمّ آداب التجارة الإجمال فی الطلب و الاقتصاد فیه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فقه 5 (المکاسب : از «کتاب الخیارات» تا پایان «خیار العیب»)</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المجلد 5</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القول فی الخیار و أقسامه و أحکامه</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مقدّمتان</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الاُولی : [فی معنی الخیار]</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الثانیة : [الأصل فی البیع اللزوم]</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[معانی الأصل]</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الأوّل : الراجح</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الثانی : القاعدة المستفادة من العمومات التی یجب الرجوع إلیها عند الشکّ فی بعض الأفراد أو بعض الأحوال</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الثالث : الاستصحاب</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الرابع : المعنی اللغوی</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بقی الکلام فی معنی قول العلّامة فی القواعد و التذکرة</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[الأدلة علی أصالة اللزوم]</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[الاستدلال بآیة أوفوا بالعقود]</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[الاستدلال بآیة أحل الله البیع]</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[الاستدلال بآیة تجارة عن تراض]</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[الاستدلال بآیة أکل المال بالباطل]</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[الاستدلال بروایتی لا یحل مال امرئ مسلم و الناس مسلطون]</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[الاستدلال بروایة المؤمنون عند شروطهم]</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و منها : الأخبار المستفیضة</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[مقتضی الاستصحاب أیضا اللزوم]</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[ظاهر المختلف أن الأصل عدم اللزوم و المناقشة فیه]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[إذا شک فی عقد أنه من مصادیق العقد اللازم أو الجائز]</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فی أقسام الخیار</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الأوّل : فی خیار المجلس</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و تنقیح مباحث هذا الخیار و مسقطاته یحصل برسم مسائل:</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[مسائل فی خیار المجلس]</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مسألة : لا إشکال فی ثبوته للمتبایعین إذا کانا أصیلین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[أقسام الوکیل]</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[1-أن یکون وکیلا فی مجرد إجراء العقد]</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[2-أن یکون وکیلا مستقلا فی التصرف المالی]</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[3-أن لا یکون مستقلا فی التصرف]</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[هل للموکل تفویض حق الخیار إلی الوکیل؟]</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[عدم ثبوت الخیار للفضولی]</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مسألة : [هل یثبت الخیار إذا کان العاقد واحدا؟]</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مسألة : قد یستثنی بعض أشخاص المبیع عن عموم ثبوت هذا الخیار</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منها : من ینعتق علی أحد المتبایعین</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و منها : العبد المسلم المشتری من الکافر</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و منها : شراء العبد نفسه بناءً علی جوازه</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مسألة : لا یثبت خیار المجلس فی شیءٍ من العقود سوی البیع عند علمائنا</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مسألة : مبدأ هذا الخیار من حین العقد</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القول فی مسقطات الخیار</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مسألة : [المسقط الأول اشتراط السقوط فی ضمن العقد]</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[توهم معارضة اشتراط السقوط لعموم أدلة الخیار و دفعه]</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ثمّ إنّ هذا الشرط یتصوّر علی وجوه</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أحدها : أن یشترط عدم الخیار</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الثانی : أن یشترط عدم الفسخ</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الثالث : أن یشترط إسقاط الخیار</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بقی الکلام فی أنّ المشهور : أنّ تأثیر الشرط إنّما هو مع ذکره فی متن العقد</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فرع:</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مسألة : [المسقط الثانی إسقاط هذا الخیار بعد العقد]</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ثمّ إنّ الظاهر سقوط الخیار بکلّ لفظٍ یدلّ علیه بإحدی الدلالات العرفیّة</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مسألة : لو قال أحدهما لصاحبه : «اختر»</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مسألة : [المسقط الثالث افتراق المتبایعین]</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[معنی الافتراق المسقط]</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[ما یحصل به الافتراق]</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مسألة : المعروف أنّه لا اعتبار بالافتراق عن إکراه</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[الاستدلال علی کون المسقط هو الافتراق عن رضا]</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مسألة : لو أُکره أحدهما علی التفرّق و منع عن التخایر و بقی الآخر فی المجلس</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[محل الکلام ما لو أکره أحدهما المعین علی الافتراق]</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[إذا أکره أحدهما علی البقاء]</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مسألة : لو زال الإکراه</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مسألة [المسقط الرابع التصرف]</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الثانی : خیار الحیوان</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مسألة : المشهور اختصاص هذا الخیار بالمشتری</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مسألة : لا فرق بین الأمة و غیرها فی مدّة الخیار</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مسألة : مبدأ هذا الخیار من حین العقد</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مسألة : لا إشکال فی دخول اللیلتین المتوسّطتین فی الثلاثة أیّام</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مسألة : یسقط هذا الخیار بأُمور</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أحدها : اشتراط سقوطه فی العقد</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و الثانی : إسقاطه بعد العقد</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الثالث : التصرّف</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الثالث : خیار الشرط</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مسألة : لا فرق بین کون زمان الخیار متّصلاً بالعقد أو منفصلاً عنه</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مسألة : لا فرق فی بطلان العقد بین ذکر المدّة المجهولة کقدوم الحاجّ،و بین عدم ذکر المدّة أصلاً</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مسألة : مبدأ هذا الخیار عند الإطلاق</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مسألة : یصحّ جعل الخیار لأجنبیٍّ</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مسألة : یجوز لهما اشتراط الاستئمار</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مسألة : من أفراد خیار الشرط : ما یضاف البیع إلیه</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فتوضیح المسألة یتحقّق بالکلام فی أُمور</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الأوّل : أنّ اعتبار ردّ الثمن فی هذا الخیار یتصوّر علی وجوه</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الثانی : الثمن المشروط ردُّه : إمّا أن یکون فی الذمّة،و إمّا أن یکون معیّناً</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الثالث : [لا یکفی مجرّد الردّ فی الفسخ]</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الرابع : یسقط هذا الخیار بإسقاطه بعد العقد علی الوجه الثانی من الوجهین الأوّلین</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الخامس : لو تلف المبیع کان من المشتری</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السادس : لا إشکال فی القدرة علی الفسخ بردّ الثمن علی نفس المشتری</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السابع : إذا أطلق اشتراط الفسخ بردّ الثمن لم یکن له ذلک إلّا بردّ الجمیع</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الثامن : کما یجوز للبائع اشتراط الفسخ بردّ الثمن،کذا یجوز للمشتری اشتراط الفسخ بردّ المثمن</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مسألة : لا إشکال و لا خلاف فی عدم اختصاص خیار الشرط بالبیع و جریانه فی کلّ معاوضةٍ لازمةٍ</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[عدم جریان خیار الشرط فی الإیقاعات]</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[عدم جریان خیار الشرط فی العقود المتضمنة للإیقاع]</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[أقسام العقود من حیث دخول خیار الشرط فیها]</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[ما لا یدخله اتّفاقاً]</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[ما اختلف فی دخوله فیه]</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[الوقف]</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و منه : الصلح</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و منه : الضمان</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و منه : الرهن</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و منه : الصرف</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[ما یدخله خیار الشرط اتفاقا]</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[هل یدخل خیار الشرط فی القسمة؟]</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الرابع : خیار الغبن</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[الغبن لغة و اصطلاحا]</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[الاستدلال بآیة تجارة عن تراض علی هذا الخیار]</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[الاستدلال بآیة و لا تأکلوا أموالکم]</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[ما استدل به فی التذکرة و المناقشة فیه]</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[الاستدلال بلا ضرر و لا ضرار]</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[الاستدلال علی خیار الغبن بالأخبار الواردة فی حکم الغبن]</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[العمدة فی المسألة الإجماع]</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ثمّ إنّ تنقیح هذا المطلب یتمّ برسم مسائل</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مسألة : یشترط فی هذا الخیار أمران</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الأوّل : عدم علم المغبون بالقیمة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الشرط الثانی : کون التفاوت فاحشاً</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[حد التفاوت الفاحش]</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[ما هو المناط فی الضرر الموجب للخیار]</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[الأظهر اعتبار الضرر المالی]</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[تصویر الغبن من الطرفین و الإشکال فیه]</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[الوجوه المذکورة فی تصویر ذلک]</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منها : ما ذکره المحقّق القمّی صاحب القوانین</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و منها : ما ذکره بعض المعاصرین</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و منها : أن یراد بالغبن فی المقسم معناه الأعمّ</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و منها : ما ذکره بعضٌ:من أنّه یحصل بفرض المتبایعین وقت العقد فی مکانین</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و منها : ما ذکره فی مفتاح الکرامة:من فرضه فیما إذا ادّعی کلٌّ من المتبایعین الغبن</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مسألة : ظهور الغبن شرطٌ شرعیٌّ لحدوث الخیار،أو کاشفٌ عقلیٌّ عن ثبوته حین العقد؟</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مسألة : یسقط هذا الخیار بأُمور</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أحدها : إسقاطه بعد العقد</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الثانی من المسقطات : اشتراط سقوط الخیار فی متن العقد</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الثالث : تصرّف المغبون بأحد التصرّفات المسقطة للخیارات المتقدّمة بعد علمه بالغبن</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الرابع من المسقطات : تصرّف المشتری المغبون قبل العلم بالغبن</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بقی الکلام فی حکم تلف العوضین مع الغبن</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مسألة : الظاهر ثبوت خیار الغبن فی کلّ معاوضةٍ مالیّةٍ</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مسألة : اختلف أصحابنا فی کون هذا الخیار علی الفور أو علی التراخی</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الخامس : خیار التأخیر</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ثمّ إنّه یشترط فی هذا الخیار أُمور</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أحدها : عدم قبض المبیع</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الشرط الثانی : عدم قبض مجموع الثمن</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الشرط الثالث : عدم اشتراط تأخیر تسلیم أحد العوضین</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الشرط الرابع : أن یکون المبیع عیناً أو شبهه</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ثمّ إنّ هنا أُموراً قیل باعتبارها فی هذا الخیار</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منها : عدم الخیار لأحدهما أو لهما</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و منها : تعدّد المتعاقدین</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و منها : أن لا یکون المبیع حیواناً أو خصوص الجاریة</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مسألة : یسقط هذا الخیار بأُمورٍ</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أحدها : إسقاطه بعد الثلاثة بلا إشکالٍ و لا خلاف</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الثانی : اشتراط سقوطه فی متن العقد</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الثالث : بذل المشتری للثمن بعد الثلاثة</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الرابع : أخذ الثمن من المشتری بناءً علی عدم سقوطه بالبذل</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مسألة : فی کون هذا الخیار علی الفور أو التراخی قولان</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مسألة : لو تلف المبیع بعد الثلاثة کان من البائع إجماعاً مستفیضاً</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مسألة : لو اشتری ما یفسد من یومه</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السادس : خیار الرؤیة</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مسألة : مورد هذا الخیار بیع العین الشخصیّة الغائبة</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مسألة : الأکثر علی أنّ الخیار عند الرؤیة فوریٌّ</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مسألة : یسقط هذا الخیار بترک المبادرة عرفاً</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مسألة : لا یسقط هذا الخیار ببذل التفاوت و لا بإبدال العین</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مسألة : الظاهر ثبوت خیار الرؤیة فی کلّ عقدٍ واقعٍ علی عینٍ شخصیّةٍ موصوفةٍ کالصلح و الإجارة</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مسألة : لو اختلفا،فقال البائع:لم یختلف صفته</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مسألة : لو نسج بعض الثوب،فاشتراه علی أن ینسج الباقی کالأوّل بطل</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السابع : فی خیار العیب</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مسألة : ظهور العیب فی المبیع یوجب تسلّط المشتری علی الردّ و أخذ الأرش بلا خلافٍ</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القول فی مسقطات هذا الخیار بطرفیه أو أحدهما</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مسألة : یسقط الردّ خاصّةً بأُمور</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أحدها : التصریح بالتزام العقد و إسقاط الردّ و اختیار الأرش</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الثانی : التصرّف فی المعیب عند علمائنا</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الثالث : تلف العین أو صیرورته کالتالف</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«فرع»</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الرابع من المسقطات : حدوث عیبٍ عند المشتری</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تنبیه:</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مسألة : یسقط الأرش دون الردّ فی موضعین</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أحدهما: إذا اشتری ربویّاً بجنسه فظهر عیبٌ فی أحدهما،</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الثانی: ما لو لم یوجب العیب نقصاً فی القیمة،</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مسألة : یسقط الردّ و الأرش معاً بأُمور</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أحدها: العلم بالعیب قبل العقد بلا خلافٍ و لا إشکال؛</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الثانی: تبرّی البائع عن العیوب إجماعاً فی الجملة</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و منها: التصرّف بعد العلم بالعیب</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و منها: حدوث العیب فی المعیب المذکور</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و منها: ثبوت أحد مانعی الردّ</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و منها: تأخیر الأخذ بمقتضی الخیار،</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مسألة : قال فی المبسوط:من باع شیئاً فیه عیبٌ لم یبیّنه فعل محظوراً</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مسائل فی اختلاف المتبایعین</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أمّا الأوّل : [و هو الاختلاف فی موجب الخیار] ففیه مسائل</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الاُولی : لو اختلفا فی تعیّب المبیع و عدمه مع تعذّر ملاحظته لتلفٍ أو نحوه</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الثانیة : لو اختلفا فی کون الشیء عیباً و تعذّر تبیُّن الحال لفقد أهل الخبرة</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الثالثة : لو اختلفا فی حدوث العیب فی ضمان البائع أو تأخّره عن ذلک</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فرعٌ</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الرابعة : لو رَدّ سلعةً بالعیب فأنکر البائع أنّها سلعته</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و أمّا الثانی : و هو الاختلاف فی المسقط ففیه أیضاً مسائل</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الاُولی : لو اختلفا فی علم المشتری بالعیب و عدمه</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الثانیة : لو اختلفا فی زواله قبل علم المشتری أو بعده</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الثالثة : لو کان عیبٌ مشاهداً</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الرابعة : لو اختلفا فی البراءة قدّم منکرها</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الخامسة : لو ادّعی البائع رضا المشتری به بعد العلم أو إسقاط الخیار أو تصرّفه فیه أو حدوث عیبٍ عنده</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و أمّا الثالث : ففیه مسائل</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الاُولی : لو اختلفا فی الفسخ،فإن کان الخیار باقیاً فله إنشاؤه</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الثانیة : لو اختلفا فی تأخّر الفسخ عن أوّل الوقت</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الثالثة : لو ادّعی المشتری الجهل بالخیار أو بفوریّته بناءً علی فوریّته</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رجال</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کلیات فی علم الرجال (از بحث «مشایخ الثقات» تا پایان کتاب)</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[الفصل السادس: التوثیقات العامة]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2 - مشایخ الثقات</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1 - ابن أبی عمیر (المتوفی عام 217)</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نقض القاعدة بالنقل عن الضعاف</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2 - صفوان بن یحیی بیّاع السابری (المتوفی عام 210 ه )</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3 - أحمد بن محمّد بن عمرو بن أبی نصر البزنطی (المتوفّی عام 221)</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محاولة للاجابة عن النقوض</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3 - العصابة المشهورة بأنهم لا یروون الا عن الثقات</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ألف - احمد بن محمد بن عیسی القمی</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ب - بنو فضال</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ج - جعفر بن بشیر</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د - محمد بن اسماعیل بن میمون الزعفرانی</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ه - علی بن الحسن الطاطری</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و - أحمد بن علیّ النجاشی صاحب الفهرس</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مشایخ النجاشی کما استخرجهم النوری</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4 - کل من یروی عنه محمد بن أحمد بن یحیی بلا واسطة فی «نوادر الحکمة»</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طبقته فی الحدیث</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نظرنا فی الموضوع</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5 - ما وقع فی اسناد کتاب «کامل الزیارة»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6 - ما ورد فی اسناد تفسیر القمی</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1 - ترجمة القمی</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2 - مشایخه</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3 - طبقته فی الرجال</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4 - تعریف للتفسیر</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5 - الراوی للتفسیر أو من املی علیه</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6 - التفسیر لیس للقمی وحده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7 - اصحاب الصادق علیه السلام فی رجال الشیخ</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نظرنا فی الموضوع</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8 - هل شیخوخة الاجازة دلیل الوثاقة عند المستجیز؟</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توضیحه مع تحقیقه</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9 - الوکالة عن الامام علیه السلام</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10 - کثرة تخریج الثقة عن شخص</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الفصل السابع: دراسة حول الکتب الاربعة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1 - تقییم احادیث «الکافی»</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الصحیح عند القدماء و المتأخرین</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الوجه الأوّل: المدائح الواردة حول الکافی</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الوجه الثانی: المدائح الواردة فی حقّ المؤلف</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الوجه الثالث: کون المؤلف فی عصر الغیبة الصغری</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تقییم العرض علی وکیل الناحیة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2 - تقییم احادیث «من لا یحضره الفقیه»</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3 - تقییم احادیث «التهذیب» و «الاستبصار»</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تصحیح أسانید الشیخ</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الفصل الثامن: فی فرق الشیعة الواردة فی الکتب</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1 - الکیسانیة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2 - الزیدیة</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الف - الجارودیة:</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ب - السلیمانیة:</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ج - الصالحیة و البتریة: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3 - الناووسیة</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4 - الإسماعیلیة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5 - الفطحیة أو الافطحیة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6 - الواقفة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7 - الخطابیة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8 - المغیریة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9 - الغلاة</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التفویض و معانیه</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فقدان الضابطة الواحدة فی الغلو</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تضعیف الراوی من حیث العمل</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خاتمة فی فوائد رجالیة</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الفائدة الأولی</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الفائدة الثانیة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الفائدة الرابعة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الفائدة الخامسة</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الفائدة السادسة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الفائدة السابعة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الفائدة الثامنة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الفائدة التاسعة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الفائدة العاشرة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الفائدة الحادیة عشر</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الفائدة الثانیة عشر</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الفائدة الثالثة عشر</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الاول: فی الالفاظ الاربعة</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1 - الکتاب</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2 - الاصل</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3 - التصنیف (المصنّف)</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4 - النوادر</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الثانی: فی الاصول المدوّنة فی عصر ائمتنا (علیهم السلام)</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الثالث: وجه العنایة بالاصول و مدی دلالتها علی الوثاقة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الفائدة الرابعة عشر</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علم الرجال و الاحادیث غیر الفقهیة</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الکتب المؤلفة فی حیاة الصحابة</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فلسفه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نهایة الحکمة (از ابتدا تا پایان المرحلة السابعة)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کلام بمنزلة المدخل لهذه الصناعة</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المرحلة الأولی فی أحکام الوجود الکلیة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الفصل الأول فی أن الوجود مشترک معنوی</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الفصل الثانی فی أصالة الوجود و اعتباریة الماهیة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الفصل الثالث فی أن الوجود حقیقة مشککة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الفصل الرابع فی شطر من أحکام العدم</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الفصل الخامس فی أنه لا تکرر فی الوجود</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المرحلة الثانیة فی الوجود المستقل و الرابط</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الفصل الأول فی انقسام الوجود إلی المستقل و الرابط</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الفصل الثانی فی کیفیة اختلاف الوجود الرابط و المستقل</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الفصل الثالث فی انقسام الوجود فی نفسه إلی ما لنفسه و ما لغیره</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المرحلة الثالثة فی انقسام الوجود إلی ذهنی و خارجی</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فصل فی انقسام الوجود إلی ذهنی و خارجی</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المرحلة الرابعة فی مواد القضایا : الوجوب و الامتناع و الإمکان و انحصارها فی ثلاث</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الفصل الأول فی أن کل مفهوم إما واجب و إما ممکن و إما ممتنع</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تنبیه : فی أقسام الضرورة</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تنبیه آخر</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تنبیه آخر</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الفصل الثانی فی انقسام کل من المواد الثلاث إلی ما بالذات و ما بالغیر و ما بالقیاس إلی الغیر إلا الإمکان</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الفصل الثالث فی أن واجب الوجود بالذات ماهیته إنیته</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الفصل الرابع فی أن واجب الوجود بالذات واجب الوجود من جمیع الجهات</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الفصل الخامس الشی‌ء ما لم یجب لم یوجد و فیه بطلان القول بالأولویة</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الفصل السادس فی حاجة الممکن إلی العلة و أن علة حاجته إلی العلة هو الإمکان دون الحدوث</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تنبیه</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الفصل السابع الممکن محتاج إلی العلة بقاء کما أنه محتاج إلیها حدوثا</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الفصل الثامن فی بعض أحکام الممتنع بالذات</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خاتمة</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المرحلة الخامسة فی الماهیة و أحکامها</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الفصل الأول فی أن الماهیة فی حد ذاتها لا موجودة و لا لا موجودة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الفصل الثانی فی اعتبارات الماهیة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الفصل الثالث فی الکلی و الجزئی</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الفصل الرابع فی الذاتی و العرضی</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الفصل الخامس فی الجنس و الفصل و النوع و بعض ما یلحق بذلک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الفصل السادس فی بعض ما یرجع إلی الفصل</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الفصل السابع فی بعض أحکام النوع</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المرحلة السادسة فی المقولات العشر</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الفصل الأول فی المقولات و عددها</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الفصل الثانی فی تعریف الجوهر و أنه جنس لما تحته من الماهیات</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الفصل الثالث فی أقسام الجوهر الأولیة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الفصل الرابع فی ماهیة الجسم</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الفصل الخامس فی ماهیة المادة و إثبات وجودها</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الفصل السادس فی أن المادة لا تفارق الجسمیة و الجسمیة لا تفارق المادة أی أن کل واحدة منها لا تفارق صاحبتها</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الفصل السابع فی إثبات الصور النوعیة و هی الصور الجوهریة المنوعة لجوهر الجسم المطلق</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خاتمة للفصل</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الفصل الثامن فی الکم و هو من المقولات العرضیة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الفصل التاسع فی انقسامات الکم</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الفصل العاشر فی أحکام مختلفة للکم</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الفصل الحادی عشر فی الکیف و انقسامه الأولی</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الفصل الثانی عشر فی الکیفیات المحسوسة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الفصل الثالث عشر فی الکیفیات المختصة بالکمیات</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الفصل الرابع عشر فی الکیفیات الاستعدادیة و تسمی أیضا القوة و اللاقوة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الفصل الخامس عشر فی الکیفیات النفسانیة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الفصل السادس عشر فی الإضافة</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البحث الأول</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البحث الثانی</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البحث الثالث</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البحث الرابع</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البحث الخامس</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الفصل السابع عشر فی الأین</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البحث الأول</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البحث الثانی</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البحث الثالث</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الفصل الثامن عشر فی المتی</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الفصل التاسع عشر فی الوضع</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تنبیه</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الفصل العشرون فی الجدة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الفصل الحادی و العشرون فی مقولتی أن یفعل و أن ینفعل</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المرحلة السابعة فی الواحد و الکثیر</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الفصل الأول فی أن مفهوم الوحدة و الکثرة بدیهی غنی عن التعریف</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تنبیه</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الفصل الثانی فی أقسام الواحد</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الفصل الثالث فی أن من لوازم الوحدة الهوهویة و من لوازم الکثرة الغیریة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الفصل الرابع فی انقسام الحمل إلی هو هو و ذی هو</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الفصل الخامس فی الغیریة و أقسامها</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الفصل السادس فی تقابل التناقض</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الفصل السابع فی تقابل العدم و الملکة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الفصل الثامن فی تقابل التضایف</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الفصل التاسع فی تقابل التضاد</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خاتمة</w:t>
        </w:r>
        <w:r>
          <w:tab/>
        </w:r>
        <w:r>
          <w:fldChar w:fldCharType="begin"/>
        </w:r>
        <w:r>
          <w:instrText xml:space="preserve">PAGEREF 990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19_166700"/>
    <w:bookmarkEnd w:id="0"/>
    <w:p>
      <w:pPr>
        <w:pStyle w:val="Heading2"/>
      </w:pPr>
      <w:bookmarkStart w:id="561" w:name="_Toc1"/>
      <w:r>
        <w:t>مشخصات کتاب</w:t>
      </w:r>
      <w:bookmarkEnd w:id="561"/>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اصفهان،1398</w:t>
      </w:r>
    </w:p>
    <w:p>
      <w:pPr>
        <w:pStyle w:val="BookText"/>
      </w:pPr>
      <w:r>
        <w:rPr>
          <w:rFonts w:ascii="IRNazanin" w:hAnsi="IRNazanin" w:eastAsia="IRNazanin" w:cs="IRNazanin"/>
          <w:lang w:bidi="fa-IR"/>
          <w:color w:val="111111"/>
          <w:sz w:val="28"/>
          <w:szCs w:val="28"/>
          <w:rtl/>
        </w:rPr>
        <w:t xml:space="preserve">عنوان و نام پدیدآور : دروس حوزه پایه اول تا دهم/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 مرکز تحقیقات رایانه ای قائمیه اصفهان 1398.</w:t>
      </w:r>
    </w:p>
    <w:p>
      <w:pPr>
        <w:pStyle w:val="BookText"/>
      </w:pPr>
      <w:r>
        <w:rPr>
          <w:rFonts w:ascii="IRNazanin" w:hAnsi="IRNazanin" w:eastAsia="IRNazanin" w:cs="IRNazanin"/>
          <w:lang w:bidi="fa-IR"/>
          <w:color w:val="111111"/>
          <w:sz w:val="28"/>
          <w:szCs w:val="28"/>
          <w:rtl/>
        </w:rPr>
        <w:t xml:space="preserve">مشخصات ظاهری : نرم افزار تلفن همراه و رایانه</w:t>
      </w:r>
    </w:p>
    <w:p>
      <w:pPr>
        <w:pStyle w:val="BookText"/>
      </w:pPr>
      <w:r>
        <w:rPr>
          <w:rFonts w:ascii="IRNazanin" w:hAnsi="IRNazanin" w:eastAsia="IRNazanin" w:cs="IRNazanin"/>
          <w:lang w:bidi="fa-IR"/>
          <w:color w:val="111111"/>
          <w:sz w:val="28"/>
          <w:szCs w:val="28"/>
          <w:rtl/>
        </w:rPr>
        <w:t xml:space="preserve">موضوع : حوزه و دانشگاه.</w:t>
      </w:r>
    </w:p>
    <w:p>
      <w:pPr>
        <w:pStyle w:val="BookText"/>
      </w:pPr>
      <w:r>
        <w:rPr>
          <w:rFonts w:ascii="IRNazanin" w:hAnsi="IRNazanin" w:eastAsia="IRNazanin" w:cs="IRNazanin"/>
          <w:lang w:bidi="fa-IR"/>
          <w:color w:val="111111"/>
          <w:sz w:val="28"/>
          <w:szCs w:val="28"/>
          <w:rtl/>
        </w:rPr>
        <w:t xml:space="preserve">موضوع : حوزه‌های علمیه-- ایران.</w:t>
      </w:r>
    </w:p>
    <w:p>
      <w:pPr>
        <w:pStyle w:val="BookText"/>
      </w:pPr>
      <w:r>
        <w:rPr>
          <w:rFonts w:ascii="IRNazanin" w:hAnsi="IRNazanin" w:eastAsia="IRNazanin" w:cs="IRNazanin"/>
          <w:lang w:bidi="fa-IR"/>
          <w:color w:val="111111"/>
          <w:sz w:val="28"/>
          <w:szCs w:val="28"/>
          <w:rtl/>
        </w:rPr>
        <w:t xml:space="preserve">موضوع : دانشگاه‌ها و مدارس عالی-- ایران.</w:t>
      </w:r>
    </w:p>
    <w:p>
      <w:pPr>
        <w:pStyle w:val="BookText"/>
      </w:pPr>
      <w:r>
        <w:rPr>
          <w:rFonts w:ascii="IRNazanin" w:hAnsi="IRNazanin" w:eastAsia="IRNazanin" w:cs="IRNazanin"/>
          <w:lang w:bidi="fa-IR"/>
          <w:color w:val="111111"/>
          <w:sz w:val="28"/>
          <w:szCs w:val="28"/>
          <w:rtl/>
        </w:rPr>
        <w:t xml:space="preserve">شناسه افزوده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توضیح : مجوعه حاضر،متن کتب متداول حوزه از پایه اول تا دهم می باشد.</w:t>
      </w:r>
    </w:p>
    <w:p>
      <w:pPr>
        <w:pStyle w:val="Heading2"/>
      </w:pPr>
      <w:bookmarkStart w:id="562" w:name="_Toc2"/>
      <w:r>
        <w:t>اصول</w:t>
      </w:r>
      <w:bookmarkEnd w:id="562"/>
    </w:p>
    <w:p>
      <w:pPr>
        <w:pStyle w:val="Heading3"/>
      </w:pPr>
      <w:bookmarkStart w:id="563" w:name="_Toc3"/>
      <w:r>
        <w:t>کفایة الأصول المجلد 1 (از ابتدا تا پایان «المقصد الأوّل»)</w:t>
      </w:r>
      <w:bookmarkEnd w:id="563"/>
    </w:p>
    <w:p>
      <w:pPr>
        <w:pStyle w:val="Heading4"/>
      </w:pPr>
      <w:bookmarkStart w:id="564" w:name="_Toc4"/>
      <w:r>
        <w:t>اشارة</w:t>
      </w:r>
      <w:bookmarkEnd w:id="564"/>
    </w:p>
    <w:p>
      <w:pPr>
        <w:pStyle w:val="BookText"/>
      </w:pPr>
      <w:r>
        <w:rPr>
          <w:rFonts w:ascii="IRNazanin" w:hAnsi="IRNazanin" w:eastAsia="IRNazanin" w:cs="IRNazanin"/>
          <w:lang w:bidi="fa-IR"/>
          <w:color w:val="111111"/>
          <w:sz w:val="28"/>
          <w:szCs w:val="28"/>
          <w:rtl/>
        </w:rPr>
        <w:t xml:space="preserve">سرشناسه : آخوند‌خراسانی،محمدکاظم‌بن‌حسین، ۱۲۵۵ - ۱۳۲۹ق.</w:t>
      </w:r>
    </w:p>
    <w:p>
      <w:pPr>
        <w:pStyle w:val="BookText"/>
      </w:pPr>
      <w:r>
        <w:rPr>
          <w:rFonts w:ascii="IRNazanin" w:hAnsi="IRNazanin" w:eastAsia="IRNazanin" w:cs="IRNazanin"/>
          <w:lang w:bidi="fa-IR"/>
          <w:color w:val="111111"/>
          <w:sz w:val="28"/>
          <w:szCs w:val="28"/>
          <w:rtl/>
        </w:rPr>
        <w:t xml:space="preserve">عنوان و نام پدیدآور : کفایه‌الاصول/ تالیف محمدکاظم الخراسانی؛ المحقق مجتبی المحمودی.</w:t>
      </w:r>
    </w:p>
    <w:p>
      <w:pPr>
        <w:pStyle w:val="BookText"/>
      </w:pPr>
      <w:r>
        <w:rPr>
          <w:rFonts w:ascii="IRNazanin" w:hAnsi="IRNazanin" w:eastAsia="IRNazanin" w:cs="IRNazanin"/>
          <w:lang w:bidi="fa-IR"/>
          <w:color w:val="111111"/>
          <w:sz w:val="28"/>
          <w:szCs w:val="28"/>
          <w:rtl/>
        </w:rPr>
        <w:t xml:space="preserve">مشخصات نشر : قم : مجمع‌الفکر‌الاسلامی، ۱۴۳۱ق.= ۱۳۸۹.</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موضوع : اصول فقه شیعه -- قرن ۱۴ق.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۱۵۹/۸/آ۳ک۷ ۱۳۸۹الف</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۲۱۰۵۳۶۶</w:t>
      </w:r>
    </w:p>
    <w:p>
      <w:pPr>
        <w:pStyle w:val="BookText"/>
      </w:pPr>
      <w:r>
        <w:rPr>
          <w:rFonts w:ascii="IRNazanin" w:hAnsi="IRNazanin" w:eastAsia="IRNazanin" w:cs="IRNazanin"/>
          <w:lang w:bidi="fa-IR"/>
          <w:color w:val="111111"/>
          <w:sz w:val="28"/>
          <w:szCs w:val="28"/>
          <w:rtl/>
        </w:rPr>
        <w:t xml:space="preserve">توضیح : کفایه الاصول آخرین متن درسی علم اصول در دوره سطح حوزه های تشیع است که در آن آخرین یافته های آخوند خراسانی در علم اصول به سبک کلاسیک و نو مطرح شده است. این کتاب حاصل مغز متفکری است که هم به معقول و هم به منقول نظر داشته است. موضوعات این کتاب به یک مقدمه و دو قسمت عمده تقسیم شده است:</w:t>
      </w:r>
    </w:p>
    <w:p>
      <w:pPr>
        <w:pStyle w:val="BookText"/>
      </w:pPr>
      <w:r>
        <w:rPr>
          <w:rFonts w:ascii="IRNazanin" w:hAnsi="IRNazanin" w:eastAsia="IRNazanin" w:cs="IRNazanin"/>
          <w:lang w:bidi="fa-IR"/>
          <w:color w:val="111111"/>
          <w:sz w:val="28"/>
          <w:szCs w:val="28"/>
          <w:rtl/>
        </w:rPr>
        <w:t xml:space="preserve">۱. مباحث الفاظ.</w:t>
      </w:r>
    </w:p>
    <w:p>
      <w:pPr>
        <w:pStyle w:val="BookText"/>
      </w:pPr>
      <w:r>
        <w:rPr>
          <w:rFonts w:ascii="IRNazanin" w:hAnsi="IRNazanin" w:eastAsia="IRNazanin" w:cs="IRNazanin"/>
          <w:lang w:bidi="fa-IR"/>
          <w:color w:val="111111"/>
          <w:sz w:val="28"/>
          <w:szCs w:val="28"/>
          <w:rtl/>
        </w:rPr>
        <w:t xml:space="preserve">۲. مباحث ادله عقلی.</w:t>
      </w:r>
    </w:p>
    <w:p>
      <w:pPr>
        <w:pStyle w:val="BookText"/>
      </w:pPr>
      <w:r>
        <w:rPr>
          <w:rFonts w:ascii="IRNazanin" w:hAnsi="IRNazanin" w:eastAsia="IRNazanin" w:cs="IRNazanin"/>
          <w:lang w:bidi="fa-IR"/>
          <w:color w:val="111111"/>
          <w:sz w:val="28"/>
          <w:szCs w:val="28"/>
          <w:rtl/>
        </w:rPr>
        <w:t xml:space="preserve">مقدمه شامل سیزده امر است ؛ چون: تعریف و موضوع علم اصول و وضع و اقسام آن، خبر و انشا، علائم مجاز و حقیقت، اطلاق لفظ و اراده نوع یا مثل، حقیقت شرعی، صحیح و اعم، اشتراک لفظی و مشتق و متعلقات.</w:t>
      </w:r>
    </w:p>
    <w:p>
      <w:pPr>
        <w:pStyle w:val="BookText"/>
      </w:pPr>
      <w:r>
        <w:rPr>
          <w:rFonts w:ascii="IRNazanin" w:hAnsi="IRNazanin" w:eastAsia="IRNazanin" w:cs="IRNazanin"/>
          <w:lang w:bidi="fa-IR"/>
          <w:color w:val="111111"/>
          <w:sz w:val="28"/>
          <w:szCs w:val="28"/>
          <w:rtl/>
        </w:rPr>
        <w:t xml:space="preserve">مقصد اول، در اوامر است و مطالب مربوط به اوامر را در طی سیزده فصل بحث و بررسی می کند.</w:t>
      </w:r>
    </w:p>
    <w:p>
      <w:pPr>
        <w:pStyle w:val="Heading4"/>
      </w:pPr>
      <w:bookmarkStart w:id="565" w:name="_Toc5"/>
      <w:r>
        <w:t>اشارة</w:t>
      </w:r>
      <w:bookmarkEnd w:id="565"/>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19_166706"/>
    <w:bookmarkEnd w:id="1"/>
    <w:p>
      <w:pPr>
        <w:pStyle w:val="Heading4"/>
      </w:pPr>
      <w:bookmarkStart w:id="566" w:name="_Toc6"/>
      <w:r>
        <w:t>کلمة المجمع</w:t>
      </w:r>
      <w:bookmarkEnd w:id="56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علی محمد وآله الطیّبین الطاهرین .</w:t>
      </w:r>
    </w:p>
    <w:p>
      <w:pPr>
        <w:pStyle w:val="BookText"/>
      </w:pPr>
      <w:r>
        <w:rPr>
          <w:rFonts w:ascii="IRNazanin" w:hAnsi="IRNazanin" w:eastAsia="IRNazanin" w:cs="IRNazanin"/>
          <w:lang w:bidi="fa-IR"/>
          <w:color w:val="111111"/>
          <w:sz w:val="28"/>
          <w:szCs w:val="28"/>
          <w:rtl/>
        </w:rPr>
        <w:t xml:space="preserve">یعتبر علم الأُصول أساساً للعلوم الإسلامیة الاستنباطیة علی العموم من حیث اعتمادها علی فهم مضمون النّص الإسلامی فهماً استدلالیّاً ، وعلم الأُصول هو العلم الذی یبحث عن قواعد الاستدلال بالنصّ الدینی دلالة ودلیلاً .</w:t>
      </w:r>
    </w:p>
    <w:p>
      <w:pPr>
        <w:pStyle w:val="BookText"/>
      </w:pPr>
      <w:r>
        <w:rPr>
          <w:rFonts w:ascii="IRNazanin" w:hAnsi="IRNazanin" w:eastAsia="IRNazanin" w:cs="IRNazanin"/>
          <w:lang w:bidi="fa-IR"/>
          <w:color w:val="111111"/>
          <w:sz w:val="28"/>
          <w:szCs w:val="28"/>
          <w:rtl/>
        </w:rPr>
        <w:t xml:space="preserve">وعلم الأُصول بمعناه هذا وبمضمونه العلمی المتطوّر الذی جعله فی عداد أحدث العلوم الآلیّة جدّة فی مضمونها ومنهجها حصیلة فریدة من حصائل التفکیر الإسلامی الشیعی النابع من حوزات العلم الشیعیّة الکبری وأهمّها الحوزتان العلمیّتان الکبیرتان : حوزة النجف الأشرف وحوزة قم المقدّسة الکبری ، فإنّ الإبداعات العلمیّة التی أفرزتها عقول النوابغ فی هاتین الحوزتین جعلت من علم الأُصول الشیعی الجدید علماً فریداً فی نوعه وحصراً علی حوزات العلم الشیعیّة التی انفردت دون غیرها بإنتاج هذا العلم مضموناً ومنهجاً ، ممّا جعل من علم الأُصول الشیعی المعاصر علماً جدیداً لا یکاد یمتّ بعلم الأُصول القدیم إلّابصلة التاریخ وآصرة الشَبَه فی بعض عناوین المسائل والبحوث .</w:t>
      </w:r>
    </w:p>
    <w:p>
      <w:pPr>
        <w:pStyle w:val="BookText"/>
      </w:pPr>
      <w:r>
        <w:rPr>
          <w:rFonts w:ascii="IRNazanin" w:hAnsi="IRNazanin" w:eastAsia="IRNazanin" w:cs="IRNazanin"/>
          <w:lang w:bidi="fa-IR"/>
          <w:color w:val="111111"/>
          <w:sz w:val="28"/>
          <w:szCs w:val="28"/>
          <w:rtl/>
        </w:rPr>
        <w:t xml:space="preserve">أمّا علم الأُصول الذی یمارس بحثه ودرسه فی حوزات العلم الإسلامیّة الأُخری غیر الشیعیّة فهو لا یمثّل إلّاعهداً بائداً من عهود هذا العلم إذا قورن</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بالحالة التی علیها هذا العلم فی مضمونه ومنهجه لدی حوزات العلم الإسلامیة الشیعیّة کالنجف وقم ، فإنّ مستوی الأبحاث الأُصولیة لدی المدارس الإسلامیة الأُخری یعکس جموداً مملاًّ یمکن أن نتلمّس آثاره الواضحة فی جفاف البحث الفقهی فیها وجموده وانغلاقه علی نفسه فی ما یواجهه من المشاکل العصیّة علی مختلف الأصعدة وعلی صعید معالجة القضایا المستجدّة علی الخصوص .</w:t>
      </w:r>
    </w:p>
    <w:p>
      <w:pPr>
        <w:pStyle w:val="BookText"/>
      </w:pPr>
      <w:r>
        <w:rPr>
          <w:rFonts w:ascii="IRNazanin" w:hAnsi="IRNazanin" w:eastAsia="IRNazanin" w:cs="IRNazanin"/>
          <w:lang w:bidi="fa-IR"/>
          <w:color w:val="111111"/>
          <w:sz w:val="28"/>
          <w:szCs w:val="28"/>
          <w:rtl/>
        </w:rPr>
        <w:t xml:space="preserve">ونقطة الانطلاق فی علم الأُصول الجدید هی الأُسس التی وضعها المجدّد الأکبر لهذا العلم العلّامة الکبیر الوحید البهبهانی قدس سره بما قام به من تأسیس لحجّیّة القطع ، وجعلها الأساس فی بحوث الحجج والأُصول ، ثمّ تمییزه بین نوعی الدلیل الفقاهتی والاجتهادی ، الذی ادّی به إلی التمییز بین نوعی الحکم الشرعی : الظاهری والواقعی .</w:t>
      </w:r>
    </w:p>
    <w:p>
      <w:pPr>
        <w:pStyle w:val="BookText"/>
      </w:pPr>
      <w:r>
        <w:rPr>
          <w:rFonts w:ascii="IRNazanin" w:hAnsi="IRNazanin" w:eastAsia="IRNazanin" w:cs="IRNazanin"/>
          <w:lang w:bidi="fa-IR"/>
          <w:color w:val="111111"/>
          <w:sz w:val="28"/>
          <w:szCs w:val="28"/>
          <w:rtl/>
        </w:rPr>
        <w:t xml:space="preserve">ثمّ جاء الشیخ الأعظم الأنصاری لیبنی علی تلک الأُسس النظام العام لأبحاث الأمارات والأُصول ، أی القسم المتصدّی لقواعد إثبات الدلیل من أبحاث علم الأُصول ضمن کتابه الفرید : فرائد الأُصول ، ممّا جعله - بحقّ - مؤسّساً لأبحاث الأدلّة - أو ما تعارف تسمیتها بأبحاث الأمارات والأُصول - فی علم الأُصول الجدید ، وبقی القسم الآخر لأبحاث الأُصول وهو القسم المتصدّی لقواعد إثبات الدلالة ینتظر من یضع لها تصمیمها ونظامها الجدید .</w:t>
      </w:r>
    </w:p>
    <w:p>
      <w:pPr>
        <w:pStyle w:val="BookText"/>
      </w:pPr>
      <w:r>
        <w:rPr>
          <w:rFonts w:ascii="IRNazanin" w:hAnsi="IRNazanin" w:eastAsia="IRNazanin" w:cs="IRNazanin"/>
          <w:lang w:bidi="fa-IR"/>
          <w:color w:val="111111"/>
          <w:sz w:val="28"/>
          <w:szCs w:val="28"/>
          <w:rtl/>
        </w:rPr>
        <w:t xml:space="preserve">وقد قدّر للمجدّد الکبیر الآخوند المولی محمدکاظم الخراسانی أحد أبرز تلامذة الشیخ الأعظم الأنصاری أن یکون هو القائم بهذه المهمّة العلمیّة الکبری ضمن کتابه : « کفایة الأُصول » وهو هذا الکتاب ، فوضع خلال ما قدّمه فی هذا الکتاب التصمیم الشامل الجدید لأبحاث هذا العلم متّبعاً فی قسم الأمارات والأُصول أثر أُستاذه الشیخ الأعظم مضیفاً إلی ما ترکه أُستاذه</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 بعض إبداعاته الخاصّة فی مجال تقسیم مراتب الحکم والجمع بین الحکمین الظاهریّ والواقعی وبعض أبحاث القطع والعلم الإجمالی وغیر ذلک من مباحث الأمارات والأُصول ، ومجدّداً مؤسّساً فی القسم الآخر من أبحاث هذا العلم ، وهو قسم ما اصطلح علیه بمباحث الألفاظ أو الذی یتصدّی للبحث عن قواعد دلالة الدلیل علی الحکم الشرعی ، مبدعاً للتصمیم الشامل لهذه الأبحاث فی علم الأُصول الجدید .</w:t>
      </w:r>
    </w:p>
    <w:p>
      <w:pPr>
        <w:pStyle w:val="BookText"/>
      </w:pPr>
      <w:r>
        <w:rPr>
          <w:rFonts w:ascii="IRNazanin" w:hAnsi="IRNazanin" w:eastAsia="IRNazanin" w:cs="IRNazanin"/>
          <w:lang w:bidi="fa-IR"/>
          <w:color w:val="111111"/>
          <w:sz w:val="28"/>
          <w:szCs w:val="28"/>
          <w:rtl/>
        </w:rPr>
        <w:t xml:space="preserve">فعلم الأُصول الجدید مدین للمولی محمدکاظم الخراسانی فی تصمیم القسم الأول من أبحاثه المتصدّیه لقواعد دلالة الدلیل ، کما هو مدین للشیخ الأعظم الأنصاری فی تصمیم القسم الثانی من أبحاثه المتصدّیه لقواعد إثبات الدلیل .</w:t>
      </w:r>
    </w:p>
    <w:p>
      <w:pPr>
        <w:pStyle w:val="BookText"/>
      </w:pPr>
      <w:r>
        <w:rPr>
          <w:rFonts w:ascii="IRNazanin" w:hAnsi="IRNazanin" w:eastAsia="IRNazanin" w:cs="IRNazanin"/>
          <w:lang w:bidi="fa-IR"/>
          <w:color w:val="111111"/>
          <w:sz w:val="28"/>
          <w:szCs w:val="28"/>
          <w:rtl/>
        </w:rPr>
        <w:t xml:space="preserve">ولأجل من ذکرناه من الدور الفرید لهذین الکتابین : « فرائد الأُصول » للشیخ الأعظم الأنصاری و « کفایة الأُصول » للشیخ المولی محمدکاظم الخراسانی فی تصمیم أبحاث هذا العلم وتهذیبها وتعمیقها فقد أصبح هذان الکتابان المحور الأساس للدراسات والأبحاث الأُصولیة فی حوزات العلم وحواضره الکبری ، کما أصبحا الکتابین المعتمدین فی التدریس لطلّاب المرحلة الوسطی من الدراسات الإسلامیة الحوزویّة .</w:t>
      </w:r>
    </w:p>
    <w:p>
      <w:pPr>
        <w:pStyle w:val="BookText"/>
      </w:pPr>
      <w:r>
        <w:rPr>
          <w:rFonts w:ascii="IRNazanin" w:hAnsi="IRNazanin" w:eastAsia="IRNazanin" w:cs="IRNazanin"/>
          <w:lang w:bidi="fa-IR"/>
          <w:color w:val="111111"/>
          <w:sz w:val="28"/>
          <w:szCs w:val="28"/>
          <w:rtl/>
        </w:rPr>
        <w:t xml:space="preserve">وکان من توفیق اللّٰه سبحانه وتعالی لمجمع الفکر الإسلامی أن قام بتحقیق کتابی « المکاسب » و « فرائد الأُصول » ضمن موسوعة آثار الشیخ الأعظم الأنصاری ، کما قام بتحقیق « الروضة البهیة فی شرح اللمعة الدمشقیة » تحقیقاً روعی فیه قدر المستطاع مناهج التحقیق العلمی وما یحتاج الباحث من سلامة النّص وتنظیمه ، وضبط المصادر ، وفهرسة الأبحاث وغیر ذلک وفقاً</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للمناهج العلمیة فی التحقیق والعرض ، ولم یبق من مجموعة الکتب الدراسیّة الحوزویة للمرحلة الوسطی - مرحلة السطح - إلّاکتاب « کفایة الأُصول » ، ومن أجل ذلک فقد ارتأت إدارة المجمع أن تقوم بتحقیق هذا الکتاب أیضاً لتکتمل بذلک حلقات الکتب الدراسیّة المختصّة بالمرحلة الوسطی للدراسات الحوزویة ، فأوکلت مهمّة القیام بتحقیق هذا الکتاب إلی العلّامة المفضال سماحة حجة الإسلام والمسلمین الشیخ مجتبی المحمودی لما عرفت فیه من القدرة العلمیّة المتمیّزة والخبرة والتجربة الجیّدة فی تدریس هذا الکتاب ، فقام مشکوراً وللّٰه الحمد بهذه المهمّة خیر قیام .</w:t>
      </w:r>
    </w:p>
    <w:p>
      <w:pPr>
        <w:pStyle w:val="BookText"/>
      </w:pPr>
      <w:r>
        <w:rPr>
          <w:rFonts w:ascii="IRNazanin" w:hAnsi="IRNazanin" w:eastAsia="IRNazanin" w:cs="IRNazanin"/>
          <w:lang w:bidi="fa-IR"/>
          <w:color w:val="111111"/>
          <w:sz w:val="28"/>
          <w:szCs w:val="28"/>
          <w:rtl/>
        </w:rPr>
        <w:t xml:space="preserve">وإذ تشکر إدارة مجمع الفکر الإسلامی ربّها الحمید علی هذا التوفیق تسأله سبحانه وتعالی أن یتقبّل منها هذا الجهد وأن یوفّق طلّاب العلم والدارسین والباحثین للاستفادة من هذا الأثر العلمی القیّم بأحسن ما تکون الاستفادة إنّه هو الموفّق والمعین .</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419_166710"/>
    <w:bookmarkEnd w:id="2"/>
    <w:p>
      <w:pPr>
        <w:pStyle w:val="Heading4"/>
      </w:pPr>
      <w:bookmarkStart w:id="567" w:name="_Toc7"/>
      <w:r>
        <w:t>کلمة التحقیق</w:t>
      </w:r>
      <w:bookmarkEnd w:id="56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للّٰه‌کما هو أهله وأفضل الصلاة والسلام علی سیّد رسله محمد وآله‌الطیّبین .</w:t>
      </w:r>
    </w:p>
    <w:p>
      <w:pPr>
        <w:pStyle w:val="BookText"/>
      </w:pPr>
      <w:r>
        <w:rPr>
          <w:rFonts w:ascii="IRNazanin" w:hAnsi="IRNazanin" w:eastAsia="IRNazanin" w:cs="IRNazanin"/>
          <w:lang w:bidi="fa-IR"/>
          <w:color w:val="111111"/>
          <w:sz w:val="28"/>
          <w:szCs w:val="28"/>
          <w:rtl/>
        </w:rPr>
        <w:t xml:space="preserve">أمّا بعد ، فلا یخفی علی الفضلاء المحقّقین أنّ الکتب التی علیها مدار البحث والدرس والتحقیق بحاجةٍ ماسّةٍ إلی مواصلة العمل العلمی لإکمال الجهات المختلفة والعدیدة التی تتعلّق بها ، ولا یمکن الاقتصار علی مرحلة معیّنة من التحقیق فیها .</w:t>
      </w:r>
    </w:p>
    <w:p>
      <w:pPr>
        <w:pStyle w:val="BookText"/>
      </w:pPr>
      <w:r>
        <w:rPr>
          <w:rFonts w:ascii="IRNazanin" w:hAnsi="IRNazanin" w:eastAsia="IRNazanin" w:cs="IRNazanin"/>
          <w:lang w:bidi="fa-IR"/>
          <w:color w:val="111111"/>
          <w:sz w:val="28"/>
          <w:szCs w:val="28"/>
          <w:rtl/>
        </w:rPr>
        <w:t xml:space="preserve">ومن الکتب الأساس فی مرحلة الدراسات الوسطیٰ هو کتاب « کفایة الأُصول » للمحقّق الأوحدی الشیخ محمدکاظم الخراسانی - قدّس سرّه الشریف - والذی أصبح - منذ تألیفه إلی یومنا هذا - محور اهتمام العلماء والمحقّقین بالنسبة إلی شرحه والتعلیق علیه .</w:t>
      </w:r>
    </w:p>
    <w:p>
      <w:pPr>
        <w:pStyle w:val="BookText"/>
      </w:pPr>
      <w:r>
        <w:rPr>
          <w:rFonts w:ascii="IRNazanin" w:hAnsi="IRNazanin" w:eastAsia="IRNazanin" w:cs="IRNazanin"/>
          <w:lang w:bidi="fa-IR"/>
          <w:color w:val="111111"/>
          <w:sz w:val="28"/>
          <w:szCs w:val="28"/>
          <w:rtl/>
        </w:rPr>
        <w:t xml:space="preserve">وقد أُعید طبعه محقّقاً مراراً فی الآونة الأخیرة ، وآتت هذه الجهود ثمارها مشکورة . ومن الفرض إکمال هذا المسار مرحلة تلو الأُخری ، کی یشمل التحقیق والتدقیق کلّ الجوانب العلمیّة والفنیّة للکتاب .</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علی هذا فقد بادرنا إلی تحقیق الکتاب فی ضمن المراحل الآتیة : أوّلاً : اعتمدنا فی تحقیق الکتاب علی :</w:t>
      </w:r>
    </w:p>
    <w:p>
      <w:pPr>
        <w:pStyle w:val="BookText"/>
      </w:pPr>
      <w:r>
        <w:rPr>
          <w:rFonts w:ascii="IRNazanin" w:hAnsi="IRNazanin" w:eastAsia="IRNazanin" w:cs="IRNazanin"/>
          <w:lang w:bidi="fa-IR"/>
          <w:color w:val="111111"/>
          <w:sz w:val="28"/>
          <w:szCs w:val="28"/>
          <w:rtl/>
        </w:rPr>
        <w:t xml:space="preserve">أ - النسخة المکتوبة بخطّ المصنّف المحفوظة فی مکتبة مجلس الشوری الإسلامی برقم (14117 ) فی 132 ورقة وفیها تعدیلات کثیرة أوردها المصنّف علی الکتاب ، ورمزنا لهذه النسخة ب «الأصل » .</w:t>
      </w:r>
    </w:p>
    <w:p>
      <w:pPr>
        <w:pStyle w:val="BookText"/>
      </w:pPr>
      <w:r>
        <w:rPr>
          <w:rFonts w:ascii="IRNazanin" w:hAnsi="IRNazanin" w:eastAsia="IRNazanin" w:cs="IRNazanin"/>
          <w:lang w:bidi="fa-IR"/>
          <w:color w:val="111111"/>
          <w:sz w:val="28"/>
          <w:szCs w:val="28"/>
          <w:rtl/>
        </w:rPr>
        <w:t xml:space="preserve">ب - النسخة المطبوعة فی أیّام حیاة المؤلّف ، وعلیها تصحیحات نجله المرحوم الشیخ محمد آقازاده علی أساس النسخة التی درسّها الآخوند عدّة مرّات ، طبعت هذه النسخة فی جزأین ، ورمزنا لها ب «ن » .</w:t>
      </w:r>
    </w:p>
    <w:p>
      <w:pPr>
        <w:pStyle w:val="BookText"/>
      </w:pPr>
      <w:r>
        <w:rPr>
          <w:rFonts w:ascii="IRNazanin" w:hAnsi="IRNazanin" w:eastAsia="IRNazanin" w:cs="IRNazanin"/>
          <w:lang w:bidi="fa-IR"/>
          <w:color w:val="111111"/>
          <w:sz w:val="28"/>
          <w:szCs w:val="28"/>
          <w:rtl/>
        </w:rPr>
        <w:t xml:space="preserve">ج - الطبعة التی توجد فی هامشها تعلیقات تلمیذ المصنّف ، المحقّق البارع الشیخ علی القوچانی ، طبعت سنة (1341 ه ) ، ورمزنا لها ب «ق » .</w:t>
      </w:r>
    </w:p>
    <w:p>
      <w:pPr>
        <w:pStyle w:val="BookText"/>
      </w:pPr>
      <w:r>
        <w:rPr>
          <w:rFonts w:ascii="IRNazanin" w:hAnsi="IRNazanin" w:eastAsia="IRNazanin" w:cs="IRNazanin"/>
          <w:lang w:bidi="fa-IR"/>
          <w:color w:val="111111"/>
          <w:sz w:val="28"/>
          <w:szCs w:val="28"/>
          <w:rtl/>
        </w:rPr>
        <w:t xml:space="preserve">د - الطبعة الممزوجة بشرح تلمیذه الآخر ، المحقّق الحجة الشیخ عبد الحسین الرشتی ، والمطبوعة سنة ( 1370 ه ) بالمطبعة الحیدریة فی النجف الأشرف فی جزأین ، ورمزنا لها ب «ر » .</w:t>
      </w:r>
    </w:p>
    <w:p>
      <w:pPr>
        <w:pStyle w:val="BookText"/>
      </w:pPr>
      <w:r>
        <w:rPr>
          <w:rFonts w:ascii="IRNazanin" w:hAnsi="IRNazanin" w:eastAsia="IRNazanin" w:cs="IRNazanin"/>
          <w:lang w:bidi="fa-IR"/>
          <w:color w:val="111111"/>
          <w:sz w:val="28"/>
          <w:szCs w:val="28"/>
          <w:rtl/>
        </w:rPr>
        <w:t xml:space="preserve">ه - الطبعة المقرونة بهوامش العلّامة المحقّق المیرزا أبو الحسن المشکینی ، المطبوعة بالطبعة الحجریّة فی جزأین ، ورمزنا لها ب «ش » .</w:t>
      </w:r>
    </w:p>
    <w:p>
      <w:pPr>
        <w:pStyle w:val="BookText"/>
      </w:pPr>
      <w:r>
        <w:rPr>
          <w:rFonts w:ascii="IRNazanin" w:hAnsi="IRNazanin" w:eastAsia="IRNazanin" w:cs="IRNazanin"/>
          <w:lang w:bidi="fa-IR"/>
          <w:color w:val="111111"/>
          <w:sz w:val="28"/>
          <w:szCs w:val="28"/>
          <w:rtl/>
        </w:rPr>
        <w:t xml:space="preserve">و - حقائق الأُصول ، تألیف فقیه عصره آیة اللّٰه العظمی السیّد محسن الحکیم قدس سره .</w:t>
      </w:r>
    </w:p>
    <w:p>
      <w:pPr>
        <w:pStyle w:val="BookText"/>
      </w:pPr>
      <w:r>
        <w:rPr>
          <w:rFonts w:ascii="IRNazanin" w:hAnsi="IRNazanin" w:eastAsia="IRNazanin" w:cs="IRNazanin"/>
          <w:lang w:bidi="fa-IR"/>
          <w:color w:val="111111"/>
          <w:sz w:val="28"/>
          <w:szCs w:val="28"/>
          <w:rtl/>
        </w:rPr>
        <w:t xml:space="preserve">ز - منته الدرایة ، تألیف الفقیه المحقّق السیّد محمد جعفر الجزائری المروّج ، الطبعة الأُولی فی ثمانیة أجزاء .</w:t>
      </w:r>
    </w:p>
    <w:p>
      <w:pPr>
        <w:pStyle w:val="BookText"/>
      </w:pPr>
      <w:r>
        <w:rPr>
          <w:rFonts w:ascii="IRNazanin" w:hAnsi="IRNazanin" w:eastAsia="IRNazanin" w:cs="IRNazanin"/>
          <w:lang w:bidi="fa-IR"/>
          <w:color w:val="111111"/>
          <w:sz w:val="28"/>
          <w:szCs w:val="28"/>
          <w:rtl/>
        </w:rPr>
        <w:t xml:space="preserve">کما تمّت مراجعة تعلیقات وشروح أُخری للکتاب والاستفادة منها ، وهی کما یلی :</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نهایة الدرایة للمحقّق الأُصولی الشیخ محمد حسین الإصفهانی المحقّقة المطبوعة فی ستّة أجزاء .</w:t>
      </w:r>
    </w:p>
    <w:p>
      <w:pPr>
        <w:pStyle w:val="BookText"/>
      </w:pPr>
      <w:r>
        <w:rPr>
          <w:rFonts w:ascii="IRNazanin" w:hAnsi="IRNazanin" w:eastAsia="IRNazanin" w:cs="IRNazanin"/>
          <w:lang w:bidi="fa-IR"/>
          <w:color w:val="111111"/>
          <w:sz w:val="28"/>
          <w:szCs w:val="28"/>
          <w:rtl/>
        </w:rPr>
        <w:t xml:space="preserve">2 - نهایة النهایة ، تألیف المولی المحقّق الشیخ علی الإیروانی ، مطبوعة فی جزأین .</w:t>
      </w:r>
    </w:p>
    <w:p>
      <w:pPr>
        <w:pStyle w:val="BookText"/>
      </w:pPr>
      <w:r>
        <w:rPr>
          <w:rFonts w:ascii="IRNazanin" w:hAnsi="IRNazanin" w:eastAsia="IRNazanin" w:cs="IRNazanin"/>
          <w:lang w:bidi="fa-IR"/>
          <w:color w:val="111111"/>
          <w:sz w:val="28"/>
          <w:szCs w:val="28"/>
          <w:rtl/>
        </w:rPr>
        <w:t xml:space="preserve">3 - عنایة الأُصول ، تألیف سماحة الحجة المحقّق السیّد مرتضی الفیروزآبادی ، فی ستّة أجزاء .</w:t>
      </w:r>
    </w:p>
    <w:p>
      <w:pPr>
        <w:pStyle w:val="BookText"/>
      </w:pPr>
      <w:r>
        <w:rPr>
          <w:rFonts w:ascii="IRNazanin" w:hAnsi="IRNazanin" w:eastAsia="IRNazanin" w:cs="IRNazanin"/>
          <w:lang w:bidi="fa-IR"/>
          <w:color w:val="111111"/>
          <w:sz w:val="28"/>
          <w:szCs w:val="28"/>
          <w:rtl/>
        </w:rPr>
        <w:t xml:space="preserve">ویظهر للمراجع إلی أکثر الطبعات التی اعتمدنا علیها أنّها کتبت فی أیّام حیاة المحقّق الخراسانی ، وفیها أکثر من دلالة وإشارة إلی أن النسخ کانت تتداول بین التلامذة والمؤلّف .</w:t>
      </w:r>
    </w:p>
    <w:p>
      <w:pPr>
        <w:pStyle w:val="BookText"/>
      </w:pPr>
      <w:r>
        <w:rPr>
          <w:rFonts w:ascii="IRNazanin" w:hAnsi="IRNazanin" w:eastAsia="IRNazanin" w:cs="IRNazanin"/>
          <w:lang w:bidi="fa-IR"/>
          <w:color w:val="111111"/>
          <w:sz w:val="28"/>
          <w:szCs w:val="28"/>
          <w:rtl/>
        </w:rPr>
        <w:t xml:space="preserve">ثانیاً : التعلیقات التی أوردناها من الشروح وثّقناها بذکر اسم المصدر بکامله . وأما بالنسبة إلی موارد الاختلاف فی العبارة ففی أکثرها لم نشر إلّاإلی الرمز الذی حدّدناه للمصدر .</w:t>
      </w:r>
    </w:p>
    <w:p>
      <w:pPr>
        <w:pStyle w:val="BookText"/>
      </w:pPr>
      <w:r>
        <w:rPr>
          <w:rFonts w:ascii="IRNazanin" w:hAnsi="IRNazanin" w:eastAsia="IRNazanin" w:cs="IRNazanin"/>
          <w:lang w:bidi="fa-IR"/>
          <w:color w:val="111111"/>
          <w:sz w:val="28"/>
          <w:szCs w:val="28"/>
          <w:rtl/>
        </w:rPr>
        <w:t xml:space="preserve">وهناک ملاحظة بخصوص الطبعة الحجریة المقرونة بحواشی المحقّق المشکینی ، فبما أنّ اختلاف النسخ والألفاظ مُدرج فی هذه الطبعة ، ولم ینقل إلی الطبعة المحقّقة (فی خمسة أجزاء ) ، فلذا نقلنا اختلاف النسخ عن الطبعة الحجریة والتی رمزنا لها ب «ش » ، لکنّ التعلیقات التی ذکرناها عن المحقّق المشکینی نقلناها عن الطبعة الحدیثة بعنوان (کفایة الأُصول مع حواشی المشکینی ) وذلک لسهولة الرجوع إلیها .</w:t>
      </w:r>
    </w:p>
    <w:p>
      <w:pPr>
        <w:pStyle w:val="BookText"/>
      </w:pPr>
      <w:r>
        <w:rPr>
          <w:rFonts w:ascii="IRNazanin" w:hAnsi="IRNazanin" w:eastAsia="IRNazanin" w:cs="IRNazanin"/>
          <w:lang w:bidi="fa-IR"/>
          <w:color w:val="111111"/>
          <w:sz w:val="28"/>
          <w:szCs w:val="28"/>
          <w:rtl/>
        </w:rPr>
        <w:t xml:space="preserve">ثالثاً : کان همّنا الأول فی هذا التحقیق - مضافاً إلی تنفیذ سائر المهامّ التحقیقیّة - بیان موارد الإغلاق أو الخطأ فی التعبیر والتی تؤدّی إلی سوء الفهم أو تعسّره . وذلک بالاستناد إلی بعض الشروح والتعلیقات الآنفة الذکر ،</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وأخصّ بالذکر الشرح المستوعب لجمیع جوانب النقد والتوضیح (منته الدرایة ) ، فقد نبّه علی کثیر من موارد الخطأ والتعقید فی التعبیر ، ممّا لم ینبّه علیه الآخرون .</w:t>
      </w:r>
    </w:p>
    <w:p>
      <w:pPr>
        <w:pStyle w:val="BookText"/>
      </w:pPr>
      <w:r>
        <w:rPr>
          <w:rFonts w:ascii="IRNazanin" w:hAnsi="IRNazanin" w:eastAsia="IRNazanin" w:cs="IRNazanin"/>
          <w:lang w:bidi="fa-IR"/>
          <w:color w:val="111111"/>
          <w:sz w:val="28"/>
          <w:szCs w:val="28"/>
          <w:rtl/>
        </w:rPr>
        <w:t xml:space="preserve">وأما الإشکال والإیراد فی الجانب المضمونی ممّا یرجع إلی المؤاخذة علی ما أفاده المصنّف فلم نُدرج منه - إلّاما ندر - فی هذا التحقیق .</w:t>
      </w:r>
    </w:p>
    <w:p>
      <w:pPr>
        <w:pStyle w:val="BookText"/>
      </w:pPr>
      <w:r>
        <w:rPr>
          <w:rFonts w:ascii="IRNazanin" w:hAnsi="IRNazanin" w:eastAsia="IRNazanin" w:cs="IRNazanin"/>
          <w:lang w:bidi="fa-IR"/>
          <w:color w:val="111111"/>
          <w:sz w:val="28"/>
          <w:szCs w:val="28"/>
          <w:rtl/>
        </w:rPr>
        <w:t xml:space="preserve">ومع ذلک فلم نقتصر علی ذکر موارد الأخطاء أو التعقید التی تؤثّر فی فهم المطلب ، بل نبّهنا فی کثیر من الموارد علی السهو الذی حصل فی مثل تذکیر الألفاظ وتأنیثها والتی لا تؤثّر فی غالب الأحیان فی إدراک المعنی .</w:t>
      </w:r>
    </w:p>
    <w:p>
      <w:pPr>
        <w:pStyle w:val="BookText"/>
      </w:pPr>
      <w:r>
        <w:rPr>
          <w:rFonts w:ascii="IRNazanin" w:hAnsi="IRNazanin" w:eastAsia="IRNazanin" w:cs="IRNazanin"/>
          <w:lang w:bidi="fa-IR"/>
          <w:color w:val="111111"/>
          <w:sz w:val="28"/>
          <w:szCs w:val="28"/>
          <w:rtl/>
        </w:rPr>
        <w:t xml:space="preserve">رابعاً : قد ینسب المؤلف بعض الآراء والمطالب إلی بعض العلماء ، وبعد التدقیق والتمحیص یُعرف عدم تطابق المنقول مع کلام المنقول عنه ، فحاولنا التنبیه علی هذه الموارد بالاستعانة بالشروح والتعالیق المعتمدة .</w:t>
      </w:r>
    </w:p>
    <w:p>
      <w:pPr>
        <w:pStyle w:val="BookText"/>
      </w:pPr>
      <w:r>
        <w:rPr>
          <w:rFonts w:ascii="IRNazanin" w:hAnsi="IRNazanin" w:eastAsia="IRNazanin" w:cs="IRNazanin"/>
          <w:lang w:bidi="fa-IR"/>
          <w:color w:val="111111"/>
          <w:sz w:val="28"/>
          <w:szCs w:val="28"/>
          <w:rtl/>
        </w:rPr>
        <w:t xml:space="preserve">خامساً : هناک بعض المفردات والجمل اختلفت النسخ والطبعات فی ضبطها وثبتها ، إلّاأنّها لا توجب تغییراً فی المعنی ولا تحسیناً فی أداء العبارة للمعنی ، فلم نُشر فی عملنا هذا إلی أغلب هذه الموارد .</w:t>
      </w:r>
    </w:p>
    <w:p>
      <w:pPr>
        <w:pStyle w:val="BookText"/>
      </w:pPr>
      <w:r>
        <w:rPr>
          <w:rFonts w:ascii="IRNazanin" w:hAnsi="IRNazanin" w:eastAsia="IRNazanin" w:cs="IRNazanin"/>
          <w:lang w:bidi="fa-IR"/>
          <w:color w:val="111111"/>
          <w:sz w:val="28"/>
          <w:szCs w:val="28"/>
          <w:rtl/>
        </w:rPr>
        <w:t xml:space="preserve">سادساً : فی بعض الموارد حصل السهو المؤکّد فی ضبط الکلمة أو اسم معیّن ، وقد تسرّب السهو من الأصل إلی طبعاته ، فصحّحنا هذه الموارد - النادرة جدّاً - بالرجوع إلی المصادر المعتمدة .</w:t>
      </w:r>
    </w:p>
    <w:p>
      <w:pPr>
        <w:pStyle w:val="BookText"/>
      </w:pPr>
      <w:r>
        <w:rPr>
          <w:rFonts w:ascii="IRNazanin" w:hAnsi="IRNazanin" w:eastAsia="IRNazanin" w:cs="IRNazanin"/>
          <w:lang w:bidi="fa-IR"/>
          <w:color w:val="111111"/>
          <w:sz w:val="28"/>
          <w:szCs w:val="28"/>
          <w:rtl/>
        </w:rPr>
        <w:t xml:space="preserve">سابعاً : بالنسبة إلی إرجاعات المؤلّف إلی ما تقدّم منه فی الکتاب أو ما سیأتی بیانه ، أوردنا تارة مقطعاً من العبارة المقصودة مع تعیین رقم الصفحة من الکتاب ، وأُخری اکتفینا بذکر عنوان البحث الذی طُرحت الفکرة فی ثنایاه ، وثالثة أثبتنا العبارة دون الاشارة إلی رقم صفحتها لقرب عهد</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القارئ بالبحث ، ورابعة لم نشر إلی شیء من ذلک لعدم ابتعادنا عن الموضوع فی تلک الموارد .</w:t>
      </w:r>
    </w:p>
    <w:p>
      <w:pPr>
        <w:pStyle w:val="BookText"/>
      </w:pPr>
      <w:r>
        <w:rPr>
          <w:rFonts w:ascii="IRNazanin" w:hAnsi="IRNazanin" w:eastAsia="IRNazanin" w:cs="IRNazanin"/>
          <w:lang w:bidi="fa-IR"/>
          <w:color w:val="111111"/>
          <w:sz w:val="28"/>
          <w:szCs w:val="28"/>
          <w:rtl/>
        </w:rPr>
        <w:t xml:space="preserve">وأخیراً نقدّم خالص شکرنا إلی مؤسسة النشر الإسلامی التابعة لجماعة المدرّسین بقم المقدّسة لتزویدنا بالقرص المدمج الحاوی علی الطبعة المحقّقة من الکتاب فی ثلاثة أجزاء ، والذی جعلناه الأصل والمعتمد فی عملنا التحقیقی ، وقد اختزلنا بذلک أشواطاً مهمّة من العمل .</w:t>
      </w:r>
    </w:p>
    <w:p>
      <w:pPr>
        <w:pStyle w:val="BookText"/>
      </w:pPr>
      <w:r>
        <w:rPr>
          <w:rFonts w:ascii="IRNazanin" w:hAnsi="IRNazanin" w:eastAsia="IRNazanin" w:cs="IRNazanin"/>
          <w:lang w:bidi="fa-IR"/>
          <w:color w:val="111111"/>
          <w:sz w:val="28"/>
          <w:szCs w:val="28"/>
          <w:rtl/>
        </w:rPr>
        <w:t xml:space="preserve">کما ونشکر فضیلة حجة الإسلام والمسلمین السیّد محمدرضی الحسینی الإشکوری علی قراءته المتأ نّیة للکتاب وإبداء بعض الملاحظات القیّمة ، والأخ الفاضل رعد المظفر علی عمل المقابلة الأخیرة والتدقیق .</w:t>
      </w:r>
    </w:p>
    <w:p>
      <w:pPr>
        <w:pStyle w:val="BookText"/>
      </w:pPr>
      <w:r>
        <w:rPr>
          <w:rFonts w:ascii="IRNazanin" w:hAnsi="IRNazanin" w:eastAsia="IRNazanin" w:cs="IRNazanin"/>
          <w:lang w:bidi="fa-IR"/>
          <w:color w:val="111111"/>
          <w:sz w:val="28"/>
          <w:szCs w:val="28"/>
          <w:rtl/>
        </w:rPr>
        <w:t xml:space="preserve">وآخر دعوانا أن الحمد للّٰه‌ربّ العالمین</w:t>
      </w:r>
    </w:p>
    <w:p>
      <w:pPr>
        <w:pStyle w:val="BookText"/>
      </w:pPr>
      <w:r>
        <w:rPr>
          <w:rFonts w:ascii="IRNazanin" w:hAnsi="IRNazanin" w:eastAsia="IRNazanin" w:cs="IRNazanin"/>
          <w:lang w:bidi="fa-IR"/>
          <w:color w:val="111111"/>
          <w:sz w:val="28"/>
          <w:szCs w:val="28"/>
          <w:rtl/>
        </w:rPr>
        <w:t xml:space="preserve">مجتبی المحمودی</w:t>
      </w:r>
    </w:p>
    <w:p>
      <w:pPr>
        <w:pStyle w:val="BookText"/>
      </w:pPr>
      <w:r>
        <w:rPr>
          <w:rFonts w:ascii="IRNazanin" w:hAnsi="IRNazanin" w:eastAsia="IRNazanin" w:cs="IRNazanin"/>
          <w:lang w:bidi="fa-IR"/>
          <w:color w:val="111111"/>
          <w:sz w:val="28"/>
          <w:szCs w:val="28"/>
          <w:rtl/>
        </w:rPr>
        <w:t xml:space="preserve">رجب الخیر / 1431 ه</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4419_166716"/>
    <w:bookmarkEnd w:id="3"/>
    <w:p>
      <w:pPr>
        <w:pStyle w:val="Heading4"/>
      </w:pPr>
      <w:bookmarkStart w:id="568" w:name="_Toc8"/>
      <w:r>
        <w:t>[الجزء الاول ]</w:t>
      </w:r>
      <w:bookmarkEnd w:id="568"/>
    </w:p>
    <w:p>
      <w:pPr>
        <w:pStyle w:val="Heading5"/>
      </w:pPr>
      <w:bookmarkStart w:id="569" w:name="_Toc9"/>
      <w:r>
        <w:t>اشارة</w:t>
      </w:r>
      <w:bookmarkEnd w:id="569"/>
    </w:p>
    <w:p>
      <w:pPr>
        <w:pStyle w:val="BookText"/>
      </w:pPr>
      <w:r>
        <w:rPr>
          <w:rFonts w:ascii="Amiri" w:hAnsi="Amiri" w:eastAsia="Amiri" w:cs="Amiri"/>
          <w:lang w:bidi="ar-SA"/>
          <w:color w:val="111111"/>
          <w:sz w:val="28"/>
          <w:szCs w:val="28"/>
          <w:rtl/>
        </w:rPr>
        <w:t xml:space="preserve">الحمد للّٰه‌ربّ العالمین ، والصلاة والسَّلام علی محمَّد وآله</w:t>
      </w:r>
    </w:p>
    <w:p>
      <w:pPr>
        <w:pStyle w:val="BookText"/>
      </w:pPr>
      <w:r>
        <w:rPr>
          <w:rFonts w:ascii="Amiri" w:hAnsi="Amiri" w:eastAsia="Amiri" w:cs="Amiri"/>
          <w:lang w:bidi="ar-SA"/>
          <w:color w:val="111111"/>
          <w:sz w:val="28"/>
          <w:szCs w:val="28"/>
          <w:rtl/>
        </w:rPr>
        <w:t xml:space="preserve">الطاهرین ، ولعنة اللّٰه علی أَعدائهم أَجمعین</w:t>
      </w:r>
    </w:p>
    <w:p>
      <w:pPr>
        <w:pStyle w:val="BookText"/>
      </w:pPr>
      <w:r>
        <w:rPr>
          <w:rFonts w:ascii="IRNazanin" w:hAnsi="IRNazanin" w:eastAsia="IRNazanin" w:cs="IRNazanin"/>
          <w:lang w:bidi="fa-IR"/>
          <w:color w:val="111111"/>
          <w:sz w:val="28"/>
          <w:szCs w:val="28"/>
          <w:rtl/>
        </w:rPr>
        <w:t xml:space="preserve">وبعد ، فقد رتّبته علی مقدّمة ومقاصدَ وخاتمة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4419_166720"/>
    <w:bookmarkEnd w:id="4"/>
    <w:p>
      <w:pPr>
        <w:pStyle w:val="Heading5"/>
      </w:pPr>
      <w:bookmarkStart w:id="570" w:name="_Toc10"/>
      <w:r>
        <w:t>أمّا المقدّمة : ففی بیان أُمور</w:t>
      </w:r>
      <w:bookmarkEnd w:id="570"/>
    </w:p>
    <w:p>
      <w:pPr>
        <w:pStyle w:val="Heading6"/>
      </w:pPr>
      <w:bookmarkStart w:id="571" w:name="_Toc11"/>
      <w:r>
        <w:t>الأوّل : موضوع العلم ومسائله و موضوع علم الأُصول وتعریفه</w:t>
      </w:r>
      <w:bookmarkEnd w:id="571"/>
    </w:p>
    <w:p>
      <w:pPr>
        <w:pStyle w:val="Heading6"/>
      </w:pPr>
      <w:bookmarkStart w:id="572" w:name="_Toc12"/>
      <w:r>
        <w:t>موضوع العلم</w:t>
      </w:r>
      <w:bookmarkEnd w:id="5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موضوع کلّ علم - وهو الّذی یُبحثُ فیه عن عوارضه الذاتیّة ، أی بلا واسطة فی العروض - هو نفسُ موضوعات مسائله عیناً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وما یتّحد معها خارجاً ، وإن کان یغایرُها مفهوماً ، تغایُرَ الکلّیّ ومصادیقه ، والطبیعیِّ وأفراده .</w:t>
      </w:r>
    </w:p>
    <w:p>
      <w:pPr>
        <w:pStyle w:val="Heading6"/>
      </w:pPr>
      <w:bookmarkStart w:id="573" w:name="_Toc13"/>
      <w:r>
        <w:t>مسائل العلم</w:t>
      </w:r>
      <w:bookmarkEnd w:id="573"/>
    </w:p>
    <w:p>
      <w:pPr>
        <w:pStyle w:val="Heading6"/>
      </w:pPr>
      <w:bookmarkStart w:id="574" w:name="_Toc14"/>
      <w:r>
        <w:t>اشارة</w:t>
      </w:r>
      <w:bookmarkEnd w:id="574"/>
    </w:p>
    <w:p>
      <w:pPr>
        <w:pStyle w:val="BookText"/>
      </w:pPr>
      <w:r>
        <w:rPr>
          <w:rFonts w:ascii="Amiri" w:hAnsi="Amiri" w:eastAsia="Amiri" w:cs="Amiri"/>
          <w:lang w:bidi="ar-SA"/>
          <w:color w:val="111111"/>
          <w:sz w:val="28"/>
          <w:szCs w:val="28"/>
          <w:rtl/>
        </w:rPr>
        <w:t xml:space="preserve">والمسائل عبارةٌ عن جملة من قضایا متشتّتة ، جَمَعَها اشتراکُها فی الدخل فی الغرض الّذی لأجله دُوِّنَ هذا العلم ؛ فلذا قد یتداخل بعضُ العلوم فی بعض المسائل ممّا کان له دخلٌ فی مهمَّینِ ، لأجل کلّ منهما دُوِّنَ علمٌ علی حدة ، فیصیر من مسائل العلمین .</w:t>
      </w:r>
    </w:p>
    <w:p>
      <w:pPr>
        <w:pStyle w:val="BookText"/>
      </w:pPr>
      <w:r>
        <w:rPr>
          <w:rFonts w:ascii="IRNazanin" w:hAnsi="IRNazanin" w:eastAsia="IRNazanin" w:cs="IRNazanin"/>
          <w:lang w:bidi="fa-IR"/>
          <w:color w:val="111111"/>
          <w:sz w:val="28"/>
          <w:szCs w:val="28"/>
          <w:rtl/>
        </w:rPr>
        <w:t xml:space="preserve">لا یقال: علی هذا یمکنُ تداخل عِلْمین فی تمام مسائلهما ، فی ما کان هناک مهمّان متلازمان فی الترتّب علی جملة من القضایا ، لا یکاد یمکن </w:t>
      </w:r>
      <w:r>
        <w:rPr>
          <w:rStyle w:val="FootnoteReference"/>
        </w:rPr>
        <w:footnoteReference w:id="1"/>
      </w:r>
      <w:r>
        <w:rPr>
          <w:rFonts w:ascii="IRNazanin" w:hAnsi="IRNazanin" w:eastAsia="IRNazanin" w:cs="IRNazanin"/>
          <w:lang w:bidi="fa-IR"/>
          <w:color w:val="111111"/>
          <w:sz w:val="28"/>
          <w:szCs w:val="28"/>
          <w:rtl/>
        </w:rPr>
        <w:t xml:space="preserve">انفکاکهما .</w:t>
      </w:r>
    </w:p>
    <w:p>
      <w:pPr>
        <w:pStyle w:val="BookText"/>
      </w:pPr>
      <w:r>
        <w:rPr>
          <w:rFonts w:ascii="IRNazanin" w:hAnsi="IRNazanin" w:eastAsia="IRNazanin" w:cs="IRNazanin"/>
          <w:lang w:bidi="fa-IR"/>
          <w:color w:val="111111"/>
          <w:sz w:val="28"/>
          <w:szCs w:val="28"/>
          <w:rtl/>
        </w:rPr>
        <w:t xml:space="preserve">فإنّه یقال : - مضافاً إلی بُعد ذلک بل امتناعه </w:t>
      </w:r>
      <w:r>
        <w:rPr>
          <w:rStyle w:val="FootnoteReference"/>
        </w:rPr>
        <w:footnoteReference w:id="2"/>
      </w:r>
      <w:r>
        <w:rPr>
          <w:rFonts w:ascii="IRNazanin" w:hAnsi="IRNazanin" w:eastAsia="IRNazanin" w:cs="IRNazanin"/>
          <w:lang w:bidi="fa-IR"/>
          <w:color w:val="111111"/>
          <w:sz w:val="28"/>
          <w:szCs w:val="28"/>
          <w:rtl/>
        </w:rPr>
        <w:t xml:space="preserve">عادةً - لا یکاد یصحّ لذلک تدوین علْمین وتسمیتهما باسمین ، بل تدوین علم واحد ، یبحث فیه تارةً</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4419_166721"/>
    <w:bookmarkEnd w:id="5"/>
    <w:p>
      <w:pPr>
        <w:pStyle w:val="BookText"/>
      </w:pPr>
      <w:r>
        <w:rPr>
          <w:rFonts w:ascii="IRNazanin" w:hAnsi="IRNazanin" w:eastAsia="IRNazanin" w:cs="IRNazanin"/>
          <w:lang w:bidi="fa-IR"/>
          <w:color w:val="111111"/>
          <w:sz w:val="28"/>
          <w:szCs w:val="28"/>
          <w:rtl/>
        </w:rPr>
        <w:t xml:space="preserve">لکلا المهمَّین ، وأُخری لأحدهما ، وهذا بخلاف التداخل فی بعض المسائل ، فإنّ حُسْنَ تدوین علْمین - کانا مشترکین فی مسألة أو أزید فی جملة مسائلهما المختلفة - لأجل مهمَّین ممّا لا یخفی .</w:t>
      </w:r>
    </w:p>
    <w:p>
      <w:pPr>
        <w:pStyle w:val="Heading6"/>
      </w:pPr>
      <w:bookmarkStart w:id="575" w:name="_Toc15"/>
      <w:r>
        <w:t>تمایز العلوم باختلاف الأغراض</w:t>
      </w:r>
      <w:bookmarkEnd w:id="5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انقدح بما ذکرنا : أنّ تمایز العلوم إنّما هو باختلاف الأغراض الداعیة إلی التدوین ، لا الموضوعات ولا المحمولات ، وإلّا کان کلُّ بابٍ - بل کلُّ مسألة - من کلّ علمٍ علماً علی حدة - کما هو واضح لمن کان له أدنی تأمّل - ، فلا یکون الاختلاف بحسب الموضوع أو المحمول موجباً للتعدّد ، کما لا یکون وحدتهما سبباً لأن یکون من الواحد .</w:t>
      </w:r>
    </w:p>
    <w:p>
      <w:pPr>
        <w:pStyle w:val="Heading6"/>
      </w:pPr>
      <w:bookmarkStart w:id="576" w:name="_Toc16"/>
      <w:r>
        <w:t>قد لا یکون لموضوع العلم اسم مخصوص</w:t>
      </w:r>
      <w:bookmarkEnd w:id="576"/>
    </w:p>
    <w:p>
      <w:pPr>
        <w:pStyle w:val="BookText"/>
      </w:pPr>
      <w:r>
        <w:rPr>
          <w:rFonts w:ascii="Amiri" w:hAnsi="Amiri" w:eastAsia="Amiri" w:cs="Amiri"/>
          <w:lang w:bidi="ar-SA"/>
          <w:color w:val="111111"/>
          <w:sz w:val="28"/>
          <w:szCs w:val="28"/>
          <w:rtl/>
        </w:rPr>
        <w:t xml:space="preserve">ثمّ إنّه ربما لا یکون لموضوع العلم - وهو الکلّیّ المتّحد مع موضوعات المسائل - عنوانٌ خاصّ واسمٌ مخصوص ، فیصحّ أن یعبّر عنه بکلّ ما دلّ علیه ؛ بداهةَ عدم دخل ذلک فی موضوعیّته أصلاً .</w:t>
      </w:r>
    </w:p>
    <w:p>
      <w:pPr>
        <w:pStyle w:val="Heading6"/>
      </w:pPr>
      <w:bookmarkStart w:id="577" w:name="_Toc17"/>
      <w:r>
        <w:t>موضوع علم‌الأُصول</w:t>
      </w:r>
      <w:bookmarkEnd w:id="577"/>
    </w:p>
    <w:p>
      <w:pPr>
        <w:pStyle w:val="BookText"/>
      </w:pPr>
      <w:r>
        <w:rPr>
          <w:rFonts w:ascii="IRNazanin" w:hAnsi="IRNazanin" w:eastAsia="IRNazanin" w:cs="IRNazanin"/>
          <w:lang w:bidi="fa-IR"/>
          <w:color w:val="111111"/>
          <w:sz w:val="28"/>
          <w:szCs w:val="28"/>
          <w:rtl/>
        </w:rPr>
        <w:t xml:space="preserve">وقد انقدح بذلک : أنّ موضوع علم الأُصول هو الکلّیّ المنطبقُ علی موضوعات مسائله المتشتّتة ، لا خصوص الأدلّة الأربعة بما هی أدلّة </w:t>
      </w:r>
      <w:r>
        <w:rPr>
          <w:rStyle w:val="FootnoteReference"/>
        </w:rPr>
        <w:footnoteReference w:id="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ولا بما هی هی </w:t>
      </w:r>
      <w:r>
        <w:rPr>
          <w:rStyle w:val="FootnoteReference"/>
        </w:rPr>
        <w:footnoteReference w:id="4"/>
      </w:r>
      <w:r>
        <w:rPr>
          <w:rFonts w:ascii="IRNazanin" w:hAnsi="IRNazanin" w:eastAsia="IRNazanin" w:cs="IRNazanin"/>
          <w:lang w:bidi="fa-IR"/>
          <w:color w:val="111111"/>
          <w:sz w:val="28"/>
          <w:szCs w:val="28"/>
          <w:rtl/>
        </w:rPr>
        <w:t xml:space="preserve">؛ ضرورةَ أنّ البحث فی غیر واحدٍ من مسائله المهمّة لیس عن عوارضها .</w:t>
      </w:r>
    </w:p>
    <w:p>
      <w:pPr>
        <w:pStyle w:val="BookText"/>
      </w:pPr>
      <w:r>
        <w:rPr>
          <w:rFonts w:ascii="IRNazanin" w:hAnsi="IRNazanin" w:eastAsia="IRNazanin" w:cs="IRNazanin"/>
          <w:lang w:bidi="fa-IR"/>
          <w:color w:val="111111"/>
          <w:sz w:val="28"/>
          <w:szCs w:val="28"/>
          <w:rtl/>
        </w:rPr>
        <w:t xml:space="preserve">وهو واضح ، لو کان المرادُ بالسنّة منها هو نفس قول المعصوم أو فعله أو تقریره - کما هو المصطلح فیها - ؛ لوضوح عدم البحث فی کثیر من مباحثها المهمّة - کعمدة مباحث التعادل والترجیح ، بل ومسألة حجّیّة خبر الواحد - لا عنها ، ولا عن سائر الأدلّة .</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419_166722"/>
    <w:bookmarkEnd w:id="6"/>
    <w:p>
      <w:pPr>
        <w:pStyle w:val="BookText"/>
      </w:pPr>
      <w:r>
        <w:rPr>
          <w:rFonts w:ascii="IRNazanin" w:hAnsi="IRNazanin" w:eastAsia="IRNazanin" w:cs="IRNazanin"/>
          <w:lang w:bidi="fa-IR"/>
          <w:color w:val="111111"/>
          <w:sz w:val="28"/>
          <w:szCs w:val="28"/>
          <w:rtl/>
        </w:rPr>
        <w:t xml:space="preserve">ورجوع البحث فیهما فی الحقیقة إلی البحث عن ثبوت السنّة بخبر الواحد فی مسألة حجّیّة الخبر - کما افید </w:t>
      </w:r>
      <w:r>
        <w:rPr>
          <w:rStyle w:val="FootnoteReference"/>
        </w:rPr>
        <w:footnoteReference w:id="5"/>
      </w:r>
      <w:r>
        <w:rPr>
          <w:rFonts w:ascii="IRNazanin" w:hAnsi="IRNazanin" w:eastAsia="IRNazanin" w:cs="IRNazanin"/>
          <w:lang w:bidi="fa-IR"/>
          <w:color w:val="111111"/>
          <w:sz w:val="28"/>
          <w:szCs w:val="28"/>
          <w:rtl/>
        </w:rPr>
        <w:t xml:space="preserve">- ، وبأیّ الخبرین فی باب التعارض ، فإنّه أیضاً بحثٌ فی الحقیقة عن حجّیّة الخبر فی هذا الحال ، غیرُ مفید ؛ فإنّ البحث عن ثبوت الموضوع - وما هو مفاد « کان » التّامّة - لیس بحثاً عن عوارضه ، فإنّها مفادُ « کان » الناقصة .</w:t>
      </w:r>
    </w:p>
    <w:p>
      <w:pPr>
        <w:pStyle w:val="BookText"/>
      </w:pPr>
      <w:r>
        <w:rPr>
          <w:rFonts w:ascii="IRNazanin" w:hAnsi="IRNazanin" w:eastAsia="IRNazanin" w:cs="IRNazanin"/>
          <w:lang w:bidi="fa-IR"/>
          <w:color w:val="111111"/>
          <w:sz w:val="28"/>
          <w:szCs w:val="28"/>
          <w:rtl/>
        </w:rPr>
        <w:t xml:space="preserve">لا یقال : هذا فی الثبوت الواقعیّ ، وأمّا الثبوت التعبّدیّ - کما هو المهمّ فی هذه المباحث - فهو فی الحقیقة یکون مفاد « کان » الناقصة .</w:t>
      </w:r>
    </w:p>
    <w:p>
      <w:pPr>
        <w:pStyle w:val="BookText"/>
      </w:pPr>
      <w:r>
        <w:rPr>
          <w:rFonts w:ascii="IRNazanin" w:hAnsi="IRNazanin" w:eastAsia="IRNazanin" w:cs="IRNazanin"/>
          <w:lang w:bidi="fa-IR"/>
          <w:color w:val="111111"/>
          <w:sz w:val="28"/>
          <w:szCs w:val="28"/>
          <w:rtl/>
        </w:rPr>
        <w:t xml:space="preserve">فإنّه یقال : نعم ، لکنّه ممّا لایعرض السنّة ، بل الخبر الحاکی لها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الثبوت التعبّدیّ یرجع إلی وجوب العمل علی طبق الخبر ، کالسنّة المحکیّة به ، وهذا من عوارضه لا عوارضها ، کما لا یخفی .</w:t>
      </w:r>
    </w:p>
    <w:p>
      <w:pPr>
        <w:pStyle w:val="BookText"/>
      </w:pPr>
      <w:r>
        <w:rPr>
          <w:rFonts w:ascii="Amiri" w:hAnsi="Amiri" w:eastAsia="Amiri" w:cs="Amiri"/>
          <w:lang w:bidi="ar-SA"/>
          <w:color w:val="111111"/>
          <w:sz w:val="28"/>
          <w:szCs w:val="28"/>
          <w:rtl/>
        </w:rPr>
        <w:t xml:space="preserve">وبالجملة : الثبوت الواقعیُّ لیس من العوارض ، والتعبّدیُّ وإن کان منها إلّا أنّه لیس للسنّة ، بل للخبر ، فتأمّل جیّداً .</w:t>
      </w:r>
    </w:p>
    <w:p>
      <w:pPr>
        <w:pStyle w:val="BookText"/>
      </w:pPr>
      <w:r>
        <w:rPr>
          <w:rFonts w:ascii="Amiri" w:hAnsi="Amiri" w:eastAsia="Amiri" w:cs="Amiri"/>
          <w:lang w:bidi="ar-SA"/>
          <w:color w:val="111111"/>
          <w:sz w:val="28"/>
          <w:szCs w:val="28"/>
          <w:rtl/>
        </w:rPr>
        <w:t xml:space="preserve">وأمّا إذا کان المراد من السنّة ما یعمُّ حکایتها </w:t>
      </w:r>
      <w:r>
        <w:rPr>
          <w:rStyle w:val="FootnoteReference"/>
        </w:rPr>
        <w:footnoteReference w:id="6"/>
      </w:r>
      <w:r>
        <w:rPr>
          <w:rFonts w:ascii="IRNazanin" w:hAnsi="IRNazanin" w:eastAsia="IRNazanin" w:cs="IRNazanin"/>
          <w:lang w:bidi="fa-IR"/>
          <w:color w:val="111111"/>
          <w:sz w:val="28"/>
          <w:szCs w:val="28"/>
          <w:rtl/>
        </w:rPr>
        <w:t xml:space="preserve">، فلأنّ البحث فی تلک المباحث وإن کان عن أحوال السنّة بهذا المعنی ، إلّاأنّ البحث فی غیر واحدٍ من مسائلها - کمباحث الألفاظ وجملةٍ من غیرها - لا یخصّ الأدلّة ، بل یعمّ غیرها ، وإن کان المهمّ معرفة أحوال خصوصها ، کما لا یخفی .</w:t>
      </w:r>
    </w:p>
    <w:p>
      <w:pPr>
        <w:pStyle w:val="Heading6"/>
      </w:pPr>
      <w:bookmarkStart w:id="578" w:name="_Toc18"/>
      <w:r>
        <w:t>تعریف علم الأُصول</w:t>
      </w:r>
      <w:bookmarkEnd w:id="578"/>
    </w:p>
    <w:p>
      <w:pPr>
        <w:pStyle w:val="BookText"/>
      </w:pPr>
      <w:r>
        <w:rPr>
          <w:rFonts w:ascii="IRNazanin" w:hAnsi="IRNazanin" w:eastAsia="IRNazanin" w:cs="IRNazanin"/>
          <w:lang w:bidi="fa-IR"/>
          <w:color w:val="111111"/>
          <w:sz w:val="28"/>
          <w:szCs w:val="28"/>
          <w:rtl/>
        </w:rPr>
        <w:t xml:space="preserve">ویؤیّد ذلک : تعریف الأُصول بأنّه « العلم بالقواعد الممهّدة لاستنباط الأحکام الشرعیّة » ، وإن کان الأَولی تعریفه بأنّه : « صناعة یعرف بها القواعد الّتی یمکن أن تقع فی طریق استنباط الأحکام ، أو الّتی ینتهی إلیها</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4419_166723"/>
    <w:bookmarkEnd w:id="7"/>
    <w:p>
      <w:pPr>
        <w:pStyle w:val="BookText"/>
      </w:pPr>
      <w:r>
        <w:rPr>
          <w:rFonts w:ascii="IRNazanin" w:hAnsi="IRNazanin" w:eastAsia="IRNazanin" w:cs="IRNazanin"/>
          <w:lang w:bidi="fa-IR"/>
          <w:color w:val="111111"/>
          <w:sz w:val="28"/>
          <w:szCs w:val="28"/>
          <w:rtl/>
        </w:rPr>
        <w:t xml:space="preserve">فی مقام العمل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بناءً علی أنّ مسألة حجّیّة الظنّ علی الحکومة ومسائل الأُصول العملیّة فی الشبهات الحکمیّة ، من الأُصول ، کما هو کذلک ؛ ضرورة أنّه لا وجه لالتزام الاستطراد فی مثل هذه المهمّات .</w:t>
      </w:r>
    </w:p>
    <w:p>
      <w:pPr>
        <w:pStyle w:val="Heading6"/>
      </w:pPr>
      <w:bookmarkStart w:id="579" w:name="_Toc19"/>
      <w:r>
        <w:t>الثانی : الوضع وأقسامه</w:t>
      </w:r>
      <w:bookmarkEnd w:id="579"/>
    </w:p>
    <w:p>
      <w:pPr>
        <w:pStyle w:val="Heading6"/>
      </w:pPr>
      <w:bookmarkStart w:id="580" w:name="_Toc20"/>
      <w:r>
        <w:t>تعریف الوضع</w:t>
      </w:r>
      <w:bookmarkEnd w:id="580"/>
    </w:p>
    <w:p>
      <w:pPr>
        <w:pStyle w:val="BookText"/>
      </w:pPr>
      <w:r>
        <w:rPr>
          <w:rFonts w:ascii="IRNazanin" w:hAnsi="IRNazanin" w:eastAsia="IRNazanin" w:cs="IRNazanin"/>
          <w:lang w:bidi="fa-IR"/>
          <w:color w:val="111111"/>
          <w:sz w:val="28"/>
          <w:szCs w:val="28"/>
          <w:rtl/>
        </w:rPr>
        <w:t xml:space="preserve">الوضع هو : نحو اختصاصٍ للّفظ بالمعنی وارتباطٍ خاصّ بینهما ، ناشٍ من تخصیصه به تارةً ، ومن کثرة استعماله فیه أُخری ، وبهذا المعنی صحّ تقسیمه إلی التعیینیّ والتعیّنیّ ، کما لا یخفی .</w:t>
      </w:r>
    </w:p>
    <w:p>
      <w:pPr>
        <w:pStyle w:val="Heading6"/>
      </w:pPr>
      <w:bookmarkStart w:id="581" w:name="_Toc21"/>
      <w:r>
        <w:t>أقسام الوضع‌الثلاثة</w:t>
      </w:r>
      <w:bookmarkEnd w:id="581"/>
    </w:p>
    <w:p>
      <w:pPr>
        <w:pStyle w:val="BookText"/>
      </w:pPr>
      <w:r>
        <w:rPr>
          <w:rFonts w:ascii="Amiri" w:hAnsi="Amiri" w:eastAsia="Amiri" w:cs="Amiri"/>
          <w:lang w:bidi="ar-SA"/>
          <w:color w:val="111111"/>
          <w:sz w:val="28"/>
          <w:szCs w:val="28"/>
          <w:rtl/>
        </w:rPr>
        <w:t xml:space="preserve">ثمّ إنّ الملحوظ حال الوضع إمّا یکون معنیً عامّاً فیوضع اللفظ له تارةً ، ولأفراده ومصادیقه أُخری ، وإمّا یکون معنیً خاصّاً لا یکاد یصحّ إلّا وضعُ اللفظ له دون العامّ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فتکون الأقسام ثلاثة ؛ وذلک لأنّ العامّ یصلحُ لأن یکون</w:t>
      </w:r>
    </w:p>
    <w:p>
      <w:pPr>
        <w:pStyle w:val="Heading6"/>
      </w:pPr>
      <w:bookmarkStart w:id="582" w:name="_Toc22"/>
      <w:r>
        <w:t>إنکار القسم‌الرابع من‌الوضع</w:t>
      </w:r>
      <w:bookmarkEnd w:id="582"/>
    </w:p>
    <w:p>
      <w:pPr>
        <w:pStyle w:val="BookText"/>
      </w:pPr>
      <w:r>
        <w:rPr>
          <w:rFonts w:ascii="IRNazanin" w:hAnsi="IRNazanin" w:eastAsia="IRNazanin" w:cs="IRNazanin"/>
          <w:lang w:bidi="fa-IR"/>
          <w:color w:val="111111"/>
          <w:sz w:val="28"/>
          <w:szCs w:val="28"/>
          <w:rtl/>
        </w:rPr>
        <w:t xml:space="preserve">آلة للحاظ أفراده ومصادیقه بما هو کذلک ، فإنّه من وجوهها ، ومعرفةُ وجه الشیء معرفتهُ بوجه </w:t>
      </w:r>
      <w:r>
        <w:rPr>
          <w:rStyle w:val="FootnoteReference"/>
        </w:rPr>
        <w:footnoteReference w:id="7"/>
      </w:r>
      <w:r>
        <w:rPr>
          <w:rFonts w:ascii="IRNazanin" w:hAnsi="IRNazanin" w:eastAsia="IRNazanin" w:cs="IRNazanin"/>
          <w:lang w:bidi="fa-IR"/>
          <w:color w:val="111111"/>
          <w:sz w:val="28"/>
          <w:szCs w:val="28"/>
          <w:rtl/>
        </w:rPr>
        <w:t xml:space="preserve">، بخلاف الخاصّ ، فإنّه - بما هو خاصّ - لا یکونُ وجهاً للعامّ ، ولا لسائر الأفراد ؛ فلا یکون معرفته وتصوّره معرفةً له ، ولا لها أصلاً ولو بوجهٍ .</w:t>
      </w:r>
    </w:p>
    <w:p>
      <w:pPr>
        <w:pStyle w:val="BookText"/>
      </w:pPr>
      <w:r>
        <w:rPr>
          <w:rFonts w:ascii="IRNazanin" w:hAnsi="IRNazanin" w:eastAsia="IRNazanin" w:cs="IRNazanin"/>
          <w:lang w:bidi="fa-IR"/>
          <w:color w:val="111111"/>
          <w:sz w:val="28"/>
          <w:szCs w:val="28"/>
          <w:rtl/>
        </w:rPr>
        <w:t xml:space="preserve">نعم ، ربما یوجب تصوّره تصوّر العامّ بنفسه ، فیوضع له اللفظ ، فیکون الوضعُ عامّاً کما کان الموضوع له عامّاً . وهذا بخلاف ما فی الوضع العامّ والموضوع له الخاصّ ، فإنّ الموضوع له - وهی الأفراد - لا یکون متصوّراً إلّا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4419_166724"/>
    <w:bookmarkEnd w:id="8"/>
    <w:p>
      <w:pPr>
        <w:pStyle w:val="BookText"/>
      </w:pPr>
      <w:r>
        <w:rPr>
          <w:rFonts w:ascii="IRNazanin" w:hAnsi="IRNazanin" w:eastAsia="IRNazanin" w:cs="IRNazanin"/>
          <w:lang w:bidi="fa-IR"/>
          <w:color w:val="111111"/>
          <w:sz w:val="28"/>
          <w:szCs w:val="28"/>
          <w:rtl/>
        </w:rPr>
        <w:t xml:space="preserve">بوجهه وعنوانه ، وهو العامّ ، وفرقٌ واضح بین تصوّر الشیء بوجهه ، وتصوّره بنفسه ولو کان بسبب تصوّرِ أمرٍ آخر .</w:t>
      </w:r>
    </w:p>
    <w:p>
      <w:pPr>
        <w:pStyle w:val="BookText"/>
      </w:pPr>
      <w:r>
        <w:rPr>
          <w:rFonts w:ascii="IRNazanin" w:hAnsi="IRNazanin" w:eastAsia="IRNazanin" w:cs="IRNazanin"/>
          <w:lang w:bidi="fa-IR"/>
          <w:color w:val="111111"/>
          <w:sz w:val="28"/>
          <w:szCs w:val="28"/>
          <w:rtl/>
        </w:rPr>
        <w:t xml:space="preserve">ولعلّ خفاء ذلک علی بعض الأعلام </w:t>
      </w:r>
      <w:r>
        <w:rPr>
          <w:rStyle w:val="FootnoteReference"/>
        </w:rPr>
        <w:footnoteReference w:id="8"/>
      </w:r>
      <w:r>
        <w:rPr>
          <w:rFonts w:ascii="IRNazanin" w:hAnsi="IRNazanin" w:eastAsia="IRNazanin" w:cs="IRNazanin"/>
          <w:lang w:bidi="fa-IR"/>
          <w:color w:val="111111"/>
          <w:sz w:val="28"/>
          <w:szCs w:val="28"/>
          <w:rtl/>
        </w:rPr>
        <w:t xml:space="preserve">، وعدم تمییزه </w:t>
      </w:r>
      <w:r>
        <w:rPr>
          <w:rStyle w:val="FootnoteReference"/>
        </w:rPr>
        <w:footnoteReference w:id="9"/>
      </w:r>
      <w:r>
        <w:rPr>
          <w:rFonts w:ascii="Amiri" w:hAnsi="Amiri" w:eastAsia="Amiri" w:cs="Amiri"/>
          <w:lang w:bidi="ar-SA"/>
          <w:color w:val="111111"/>
          <w:sz w:val="28"/>
          <w:szCs w:val="28"/>
          <w:rtl/>
        </w:rPr>
        <w:t xml:space="preserve">بینهما ، کان موجباً لتوهّم إمکان ثبوت قسمٍ رابعٍ وهو أن یکون الوضع خاصّاً مع کون الموضوع له عامّاً ، مع أنّه واضحٌ لمن کان له أدنی تأ مُّل .</w:t>
      </w:r>
    </w:p>
    <w:p>
      <w:pPr>
        <w:pStyle w:val="Heading6"/>
      </w:pPr>
      <w:bookmarkStart w:id="583" w:name="_Toc23"/>
      <w:r>
        <w:t>ثبوت قسمین‌من أقسام الوضع‌والکلام فی‌القسم الثالث</w:t>
      </w:r>
      <w:bookmarkEnd w:id="583"/>
    </w:p>
    <w:p>
      <w:pPr>
        <w:pStyle w:val="BookText"/>
      </w:pPr>
      <w:r>
        <w:rPr>
          <w:rFonts w:ascii="IRNazanin" w:hAnsi="IRNazanin" w:eastAsia="IRNazanin" w:cs="IRNazanin"/>
          <w:lang w:bidi="fa-IR"/>
          <w:color w:val="111111"/>
          <w:sz w:val="28"/>
          <w:szCs w:val="28"/>
          <w:rtl/>
        </w:rPr>
        <w:t xml:space="preserve">ثمّ إنّه لا ریبَ فی ثبوت الوضع الخاصّ والموضوع له الخاصّ ، کوضع الأعلام ، وکذا الوضع العامّ والموضوع له العامّ ، کوضع أسماء الأجناس .</w:t>
      </w:r>
    </w:p>
    <w:p>
      <w:pPr>
        <w:pStyle w:val="Heading6"/>
      </w:pPr>
      <w:bookmarkStart w:id="584" w:name="_Toc24"/>
      <w:r>
        <w:t>الأقوال فی‌وضع الحروف</w:t>
      </w:r>
      <w:bookmarkEnd w:id="584"/>
    </w:p>
    <w:p>
      <w:pPr>
        <w:pStyle w:val="BookText"/>
      </w:pPr>
      <w:r>
        <w:rPr>
          <w:rFonts w:ascii="Amiri" w:hAnsi="Amiri" w:eastAsia="Amiri" w:cs="Amiri"/>
          <w:lang w:bidi="ar-SA"/>
          <w:color w:val="111111"/>
          <w:sz w:val="28"/>
          <w:szCs w:val="28"/>
          <w:rtl/>
        </w:rPr>
        <w:t xml:space="preserve">وأمّا الوضع العامّ والموضوع له الخاصّ فقد تُوُهّم </w:t>
      </w:r>
      <w:r>
        <w:rPr>
          <w:rStyle w:val="FootnoteReference"/>
        </w:rPr>
        <w:footnoteReference w:id="10"/>
      </w:r>
      <w:r>
        <w:rPr>
          <w:rFonts w:ascii="IRNazanin" w:hAnsi="IRNazanin" w:eastAsia="IRNazanin" w:cs="IRNazanin"/>
          <w:lang w:bidi="fa-IR"/>
          <w:color w:val="111111"/>
          <w:sz w:val="28"/>
          <w:szCs w:val="28"/>
          <w:rtl/>
        </w:rPr>
        <w:t xml:space="preserve">أنّه وضع الحروف وما الحِقَ بها من الأسماء .</w:t>
      </w:r>
    </w:p>
    <w:p>
      <w:pPr>
        <w:pStyle w:val="BookText"/>
      </w:pPr>
      <w:r>
        <w:rPr>
          <w:rFonts w:ascii="Amiri" w:hAnsi="Amiri" w:eastAsia="Amiri" w:cs="Amiri"/>
          <w:lang w:bidi="ar-SA"/>
          <w:color w:val="111111"/>
          <w:sz w:val="28"/>
          <w:szCs w:val="28"/>
          <w:rtl/>
        </w:rPr>
        <w:t xml:space="preserve">کما تُوُهّم </w:t>
      </w:r>
      <w:r>
        <w:rPr>
          <w:rStyle w:val="FootnoteReference"/>
        </w:rPr>
        <w:footnoteReference w:id="11"/>
      </w:r>
      <w:r>
        <w:rPr>
          <w:rFonts w:ascii="IRNazanin" w:hAnsi="IRNazanin" w:eastAsia="IRNazanin" w:cs="IRNazanin"/>
          <w:lang w:bidi="fa-IR"/>
          <w:color w:val="111111"/>
          <w:sz w:val="28"/>
          <w:szCs w:val="28"/>
          <w:rtl/>
        </w:rPr>
        <w:t xml:space="preserve">أیضاً أنّ المستعمل فیه فیها </w:t>
      </w:r>
      <w:r>
        <w:rPr>
          <w:rStyle w:val="FootnoteReference"/>
        </w:rPr>
        <w:footnoteReference w:id="12"/>
      </w:r>
      <w:r>
        <w:rPr>
          <w:rFonts w:ascii="Amiri" w:hAnsi="Amiri" w:eastAsia="Amiri" w:cs="Amiri"/>
          <w:lang w:bidi="ar-SA"/>
          <w:color w:val="111111"/>
          <w:sz w:val="28"/>
          <w:szCs w:val="28"/>
          <w:rtl/>
        </w:rPr>
        <w:t xml:space="preserve">خاصٌّ مع کون الموضوع له کالوضع عامّاً .</w:t>
      </w:r>
    </w:p>
    <w:p>
      <w:pPr>
        <w:pStyle w:val="Heading6"/>
      </w:pPr>
      <w:bookmarkStart w:id="585" w:name="_Toc25"/>
      <w:r>
        <w:t>التحقیق: عدم‌الفرق بین المعنی الاسمی‌والحرفی لا فی‌الموضوع له ولاالمستعمل فیه</w:t>
      </w:r>
      <w:bookmarkEnd w:id="5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والتحقیق : - حسب ما یؤدّی إلیه النظرُ الدقیقُ - أنّ حالَ المستعمل فیه والموضوع له فیها حالُهما فی الأسماء ؛ وذلک لأنّ الخصوصیّة المتوهّمة إن کانت هی الموجبة لکون المعنی المتخصّص بها جزئیّاً خارجیّاً ، فمن الواضح أنّ کثیراً مّا لا یکون المستعمل فیه فیها کذلک ، بل کلّیّاً ؛</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التجأ بعضُ الفحول </w:t>
      </w:r>
      <w:r>
        <w:rPr>
          <w:rStyle w:val="FootnoteReference"/>
        </w:rPr>
        <w:footnoteReference w:id="13"/>
      </w:r>
      <w:r>
        <w:rPr>
          <w:rFonts w:ascii="Amiri" w:hAnsi="Amiri" w:eastAsia="Amiri" w:cs="Amiri"/>
          <w:lang w:bidi="ar-SA"/>
          <w:color w:val="111111"/>
          <w:sz w:val="28"/>
          <w:szCs w:val="28"/>
          <w:rtl/>
        </w:rPr>
        <w:t xml:space="preserve">إلی جعله جزئیّاً إضافیّاً ، وهو کما تری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کانت هی الموجبة لکونه جزئیّاً ذهنیّاً - حیث إنّه لا یکاد یکون المعنی حرفیّاً إلّاإذا لوحظ حالةً لمعنیً آخر ومن خصوصیّاته القائمة به ، ویکون حاله کحال العرض ، فکما لا یکونُ فی الخارج إلّافی الموضوع ، کذلک هو لا یکونُ فی الذهن إلّافی مفهوم آخر ؛ ولذا قیل </w:t>
      </w:r>
      <w:r>
        <w:rPr>
          <w:rStyle w:val="FootnoteReference"/>
        </w:rPr>
        <w:footnoteReference w:id="14"/>
      </w:r>
      <w:r>
        <w:rPr>
          <w:rFonts w:ascii="IRNazanin" w:hAnsi="IRNazanin" w:eastAsia="IRNazanin" w:cs="IRNazanin"/>
          <w:lang w:bidi="fa-IR"/>
          <w:color w:val="111111"/>
          <w:sz w:val="28"/>
          <w:szCs w:val="28"/>
          <w:rtl/>
        </w:rPr>
        <w:t xml:space="preserve">فی تعریفه : بأنّه ما دلّ علی معنیً فی غیره - فالمعنی وإن کان لا محالة یصیر جزئیّاً بهذا اللحاظ ، بحیث یباینه إذا لوحظ ثانیاً کما لوحظ أوّلاً ، ولو کان اللاحظُ واحداً ، إلّاأنّ هذا اللحاظ لا یکاد یکون مأخوذاً فی المستعمل فیه </w:t>
      </w:r>
      <w:r>
        <w:rPr>
          <w:rStyle w:val="FootnoteReference"/>
        </w:rPr>
        <w:footnoteReference w:id="15"/>
      </w:r>
      <w:r>
        <w:rPr>
          <w:rFonts w:ascii="IRNazanin" w:hAnsi="IRNazanin" w:eastAsia="IRNazanin" w:cs="IRNazanin"/>
          <w:lang w:bidi="fa-IR"/>
          <w:color w:val="111111"/>
          <w:sz w:val="28"/>
          <w:szCs w:val="28"/>
          <w:rtl/>
        </w:rPr>
        <w:t xml:space="preserve">، وإلّا فلابدّ من لحاظ آخر متعلّق بما هو ملحوظ بهذا اللحاظ ؛ بداهة أنّ تصوّر المستعمل فیه ممّا لابدّ منه فی استعمال الألفاظ ، وهو کما تری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أنّه یلزم أن لا یصدقَ علی الخارجیّات ؛ لامتناع صدق الکلّی العقلیّ علیها </w:t>
      </w:r>
      <w:r>
        <w:rPr>
          <w:rStyle w:val="FootnoteReference"/>
        </w:rPr>
        <w:footnoteReference w:id="16"/>
      </w:r>
      <w:r>
        <w:rPr>
          <w:rFonts w:ascii="IRNazanin" w:hAnsi="IRNazanin" w:eastAsia="IRNazanin" w:cs="IRNazanin"/>
          <w:lang w:bidi="fa-IR"/>
          <w:color w:val="111111"/>
          <w:sz w:val="28"/>
          <w:szCs w:val="28"/>
          <w:rtl/>
        </w:rPr>
        <w:t xml:space="preserve">، حیثُ لا موطن له إلّاالذهن ، فامتنع امتثال مثل: « سِر من البصرة » ، إلّا بالتجرید وإلغاء الخصوصیّة ، هذا .</w:t>
      </w:r>
    </w:p>
    <w:p>
      <w:pPr>
        <w:pStyle w:val="BookText"/>
      </w:pPr>
      <w:r>
        <w:rPr>
          <w:rFonts w:ascii="IRNazanin" w:hAnsi="IRNazanin" w:eastAsia="IRNazanin" w:cs="IRNazanin"/>
          <w:lang w:bidi="fa-IR"/>
          <w:color w:val="111111"/>
          <w:sz w:val="28"/>
          <w:szCs w:val="28"/>
          <w:rtl/>
        </w:rPr>
        <w:t xml:space="preserve">مع أنّه لیس لحاظ المعنی حالةً لغیره فی الحروف إلّاکلحاظه</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4419_166726"/>
    <w:bookmarkEnd w:id="9"/>
    <w:p>
      <w:pPr>
        <w:pStyle w:val="BookText"/>
      </w:pPr>
      <w:r>
        <w:rPr>
          <w:rFonts w:ascii="IRNazanin" w:hAnsi="IRNazanin" w:eastAsia="IRNazanin" w:cs="IRNazanin"/>
          <w:lang w:bidi="fa-IR"/>
          <w:color w:val="111111"/>
          <w:sz w:val="28"/>
          <w:szCs w:val="28"/>
          <w:rtl/>
        </w:rPr>
        <w:t xml:space="preserve">فی نفسه فی الأسماء ، وکما لا یکون هذا اللحاظ معتبراً فی المستعمل فیه فیها ، کذلک اللحاظ فی الحروف ، کما لا یخفی .</w:t>
      </w:r>
    </w:p>
    <w:p>
      <w:pPr>
        <w:pStyle w:val="BookText"/>
      </w:pPr>
      <w:r>
        <w:rPr>
          <w:rFonts w:ascii="IRNazanin" w:hAnsi="IRNazanin" w:eastAsia="IRNazanin" w:cs="IRNazanin"/>
          <w:lang w:bidi="fa-IR"/>
          <w:color w:val="111111"/>
          <w:sz w:val="28"/>
          <w:szCs w:val="28"/>
          <w:rtl/>
        </w:rPr>
        <w:t xml:space="preserve">وبالجملة : لیس المعنی فی کلمة « من » ولفظ « الابتداء » - مثلاً - إلّا الابتداء ؛ فکما لا یعتبر فی معناه لحاظه فی نفسه ومستقلاًّ ، کذلک لا یعتبر فی معناها لحاظهُ فی غیرها </w:t>
      </w:r>
      <w:r>
        <w:rPr>
          <w:rStyle w:val="FootnoteReference"/>
        </w:rPr>
        <w:footnoteReference w:id="17"/>
      </w:r>
      <w:r>
        <w:rPr>
          <w:rFonts w:ascii="IRNazanin" w:hAnsi="IRNazanin" w:eastAsia="IRNazanin" w:cs="IRNazanin"/>
          <w:lang w:bidi="fa-IR"/>
          <w:color w:val="111111"/>
          <w:sz w:val="28"/>
          <w:szCs w:val="28"/>
          <w:rtl/>
        </w:rPr>
        <w:t xml:space="preserve">وآلةً ، وکما لا یکون لحاظه فیه موجباً لجزئیّته فلیکن کذلک فیها .</w:t>
      </w:r>
    </w:p>
    <w:p>
      <w:pPr>
        <w:pStyle w:val="Heading6"/>
      </w:pPr>
      <w:bookmarkStart w:id="586" w:name="_Toc26"/>
      <w:r>
        <w:t>الإشکال بعدم‌بقاء الفرق بین‌الاسم والحرف‌فی المعنی</w:t>
      </w:r>
      <w:bookmarkEnd w:id="586"/>
    </w:p>
    <w:p>
      <w:pPr>
        <w:pStyle w:val="BookText"/>
      </w:pPr>
      <w:r>
        <w:rPr>
          <w:rFonts w:ascii="IRNazanin" w:hAnsi="IRNazanin" w:eastAsia="IRNazanin" w:cs="IRNazanin"/>
          <w:lang w:bidi="fa-IR"/>
          <w:color w:val="111111"/>
          <w:sz w:val="28"/>
          <w:szCs w:val="28"/>
          <w:rtl/>
        </w:rPr>
        <w:t xml:space="preserve">إن قلت: علی هذا لم یبق فرقٌ بین الاسم والحرف فی المعنی ، ولزم کونُ مثل کلمة « من » ولفظ « الابتداء » مترادفین ، صحّ استعمالُ کلّ منهما فی موضع الآخر ، وهکذا سائر الحروف مع الأسماء الموضوعة لمعانیها ، وهو باطلٌ بالضرورة ، کما هو واضح .</w:t>
      </w:r>
    </w:p>
    <w:p>
      <w:pPr>
        <w:pStyle w:val="Heading6"/>
      </w:pPr>
      <w:bookmarkStart w:id="587" w:name="_Toc27"/>
      <w:r>
        <w:t>الجواب عن‌الإشکال وبیان‌الفرق</w:t>
      </w:r>
      <w:bookmarkEnd w:id="587"/>
    </w:p>
    <w:p>
      <w:pPr>
        <w:pStyle w:val="BookText"/>
      </w:pPr>
      <w:r>
        <w:rPr>
          <w:rFonts w:ascii="IRNazanin" w:hAnsi="IRNazanin" w:eastAsia="IRNazanin" w:cs="IRNazanin"/>
          <w:lang w:bidi="fa-IR"/>
          <w:color w:val="111111"/>
          <w:sz w:val="28"/>
          <w:szCs w:val="28"/>
          <w:rtl/>
        </w:rPr>
        <w:t xml:space="preserve">قلت: الفرق بینهما إنّما هو فی اختصاص کلٍّ منهما بوضعٍ ، حیث إنّه وُضِعَ الاسم لیُراد منه معناه بما هو هو وفی نفسه ، والحرف لیُراد منه معناه لا کذلک ، بل بما هو حالةٌ لغیره ، کما مرّت الإشارة إلیه غیر مرّة .</w:t>
      </w:r>
    </w:p>
    <w:p>
      <w:pPr>
        <w:pStyle w:val="BookText"/>
      </w:pPr>
      <w:r>
        <w:rPr>
          <w:rFonts w:ascii="IRNazanin" w:hAnsi="IRNazanin" w:eastAsia="IRNazanin" w:cs="IRNazanin"/>
          <w:lang w:bidi="fa-IR"/>
          <w:color w:val="111111"/>
          <w:sz w:val="28"/>
          <w:szCs w:val="28"/>
          <w:rtl/>
        </w:rPr>
        <w:t xml:space="preserve">فالاختلافُ بین الاسم والحرف فی الوضع یکون موجباً لعدم جواز استعمال أحدهما فی موضع الآخَر ، وإن اتّفقا فی ما له الوضع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عرفت - بما لا مزید علیه - : أنّ نحو إرادة المعنی لا یکادُ یمکنُ أن یکون من خصوصیّاته ومقوّماته .</w:t>
      </w:r>
    </w:p>
    <w:p>
      <w:pPr>
        <w:pStyle w:val="Heading6"/>
      </w:pPr>
      <w:bookmarkStart w:id="588" w:name="_Toc28"/>
      <w:r>
        <w:t>الخبر والإنشاء</w:t>
      </w:r>
      <w:bookmarkEnd w:id="588"/>
    </w:p>
    <w:p>
      <w:pPr>
        <w:pStyle w:val="BookText"/>
      </w:pPr>
      <w:r>
        <w:rPr>
          <w:rFonts w:ascii="IRNazanin" w:hAnsi="IRNazanin" w:eastAsia="IRNazanin" w:cs="IRNazanin"/>
          <w:lang w:bidi="fa-IR"/>
          <w:color w:val="111111"/>
          <w:sz w:val="28"/>
          <w:szCs w:val="28"/>
          <w:rtl/>
        </w:rPr>
        <w:t xml:space="preserve">ثمّ لا یبعد أن یکون الاختلافُ فی الخبر والإنشاء أیضاً کذلک ، فیکون</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4419_166727"/>
    <w:bookmarkEnd w:id="10"/>
    <w:p>
      <w:pPr>
        <w:pStyle w:val="BookText"/>
      </w:pPr>
      <w:r>
        <w:rPr>
          <w:rFonts w:ascii="IRNazanin" w:hAnsi="IRNazanin" w:eastAsia="IRNazanin" w:cs="IRNazanin"/>
          <w:lang w:bidi="fa-IR"/>
          <w:color w:val="111111"/>
          <w:sz w:val="28"/>
          <w:szCs w:val="28"/>
          <w:rtl/>
        </w:rPr>
        <w:t xml:space="preserve">الخبر موضوعاً لیستعمل فی حکایة ثبوت معناه فی موطنه </w:t>
      </w:r>
      <w:r>
        <w:rPr>
          <w:rStyle w:val="FootnoteReference"/>
        </w:rPr>
        <w:footnoteReference w:id="18"/>
      </w:r>
      <w:r>
        <w:rPr>
          <w:rFonts w:ascii="IRNazanin" w:hAnsi="IRNazanin" w:eastAsia="IRNazanin" w:cs="IRNazanin"/>
          <w:lang w:bidi="fa-IR"/>
          <w:color w:val="111111"/>
          <w:sz w:val="28"/>
          <w:szCs w:val="28"/>
          <w:rtl/>
        </w:rPr>
        <w:t xml:space="preserve">، والإنشاء لیستعمل فی قصد تحقّقه وثبوته ، وإن اتّفقا فی ما استعملا فیه ، فتأمّل .</w:t>
      </w:r>
    </w:p>
    <w:p>
      <w:pPr>
        <w:pStyle w:val="Heading6"/>
      </w:pPr>
      <w:bookmarkStart w:id="589" w:name="_Toc29"/>
      <w:r>
        <w:t>أسماء الإشارةوالضمائر</w:t>
      </w:r>
      <w:bookmarkEnd w:id="589"/>
    </w:p>
    <w:p>
      <w:pPr>
        <w:pStyle w:val="BookText"/>
      </w:pPr>
      <w:r>
        <w:rPr>
          <w:rFonts w:ascii="Amiri" w:hAnsi="Amiri" w:eastAsia="Amiri" w:cs="Amiri"/>
          <w:lang w:bidi="ar-SA"/>
          <w:color w:val="111111"/>
          <w:sz w:val="28"/>
          <w:szCs w:val="28"/>
          <w:rtl/>
        </w:rPr>
        <w:t xml:space="preserve">ثمّ إنّه قد انقدح ممّا حقّقناه أنّه یمکن أن یقال: إنّ المستعمل فیه فی مثل أسماء الإشارة والضمائر أیضاً عامٌّ ، وإنّ تشخّصه إنّما نشأ من قِبَلِ طور استعمالها ، حیث إنّ أسماء الإشارة وُضِعَت لیشار بها إلی معانیها ، وکذا بعضُ الضمائر ، وبعضُها لیُخاطب به </w:t>
      </w:r>
      <w:r>
        <w:rPr>
          <w:rStyle w:val="FootnoteReference"/>
        </w:rPr>
        <w:footnoteReference w:id="19"/>
      </w:r>
      <w:r>
        <w:rPr>
          <w:rFonts w:ascii="IRNazanin" w:hAnsi="IRNazanin" w:eastAsia="IRNazanin" w:cs="IRNazanin"/>
          <w:lang w:bidi="fa-IR"/>
          <w:color w:val="111111"/>
          <w:sz w:val="28"/>
          <w:szCs w:val="28"/>
          <w:rtl/>
        </w:rPr>
        <w:t xml:space="preserve">المعنی ، والإشارة والتخاطب یستدعیان التشخّص ، کما لا یخفی .</w:t>
      </w:r>
    </w:p>
    <w:p>
      <w:pPr>
        <w:pStyle w:val="BookText"/>
      </w:pPr>
      <w:r>
        <w:rPr>
          <w:rFonts w:ascii="IRNazanin" w:hAnsi="IRNazanin" w:eastAsia="IRNazanin" w:cs="IRNazanin"/>
          <w:lang w:bidi="fa-IR"/>
          <w:color w:val="111111"/>
          <w:sz w:val="28"/>
          <w:szCs w:val="28"/>
          <w:rtl/>
        </w:rPr>
        <w:t xml:space="preserve">فدعوی : أنّ المستعمل فیه فی مثل : « هذا » ، أو « هو » ، أو « إیّاک » ، إنّما هو المفرد المذکّر ، وتشخّصه إنّما جاء من قِبَل الإشارة ، أو التخاطب بهذه الألفاظ إلیه ؛ فإنّ الإشارة أو التخاطب لا یکاد یکونُ إلّا إلی الشخص أو معه ، غیر مجازفة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خلاصة الکلام</w:t>
      </w:r>
    </w:p>
    <w:p>
      <w:pPr>
        <w:pStyle w:val="BookText"/>
      </w:pPr>
      <w:r>
        <w:rPr>
          <w:rFonts w:ascii="IRNazanin" w:hAnsi="IRNazanin" w:eastAsia="IRNazanin" w:cs="IRNazanin"/>
          <w:lang w:bidi="fa-IR"/>
          <w:color w:val="111111"/>
          <w:sz w:val="28"/>
          <w:szCs w:val="28"/>
          <w:rtl/>
        </w:rPr>
        <w:t xml:space="preserve">فتلخّص ممّا حقّقناه : أنّ التشخّص الناشئ من قِبَل الاستعمالات لا یوجب تشخّص المستعمل فیه ، سواءً کان تشخّصاً خارجیّاً - کما فی مثل أسماء الإشارة - أو ذهنیّاً - کما فی أسماء الأجناس والحروف ونحوهما - ، من غیر فرقٍ فی ذلک أصلاً بین الحروف وأسماء الأجناس .</w:t>
      </w:r>
    </w:p>
    <w:p>
      <w:pPr>
        <w:pStyle w:val="BookText"/>
      </w:pPr>
      <w:r>
        <w:rPr>
          <w:rFonts w:ascii="IRNazanin" w:hAnsi="IRNazanin" w:eastAsia="IRNazanin" w:cs="IRNazanin"/>
          <w:lang w:bidi="fa-IR"/>
          <w:color w:val="111111"/>
          <w:sz w:val="28"/>
          <w:szCs w:val="28"/>
          <w:rtl/>
        </w:rPr>
        <w:t xml:space="preserve">ولعمری هذا واضح ؛ ولذا لیس فی کلام القدماء من کون الموضوع له أو المستعمل فیه خاصّاً فی الحرف عینٌ ولا أثرٌ ، وإنّما ذهب إلیه بعض من تأخّر </w:t>
      </w:r>
      <w:r>
        <w:rPr>
          <w:rStyle w:val="FootnoteReference"/>
        </w:rPr>
        <w:footnoteReference w:id="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4419_166728"/>
    <w:bookmarkEnd w:id="11"/>
    <w:p>
      <w:pPr>
        <w:pStyle w:val="BookText"/>
      </w:pPr>
      <w:r>
        <w:rPr>
          <w:rFonts w:ascii="IRNazanin" w:hAnsi="IRNazanin" w:eastAsia="IRNazanin" w:cs="IRNazanin"/>
          <w:lang w:bidi="fa-IR"/>
          <w:color w:val="111111"/>
          <w:sz w:val="28"/>
          <w:szCs w:val="28"/>
          <w:rtl/>
        </w:rPr>
        <w:t xml:space="preserve">ولعلّه لِتوهُّم کونِ قصده بما هو فی غیره من خصوصیّات الموضوع له أو المستعمل فیه ، والغفلةِ عن </w:t>
      </w:r>
      <w:r>
        <w:rPr>
          <w:rStyle w:val="FootnoteReference"/>
        </w:rPr>
        <w:footnoteReference w:id="21"/>
      </w:r>
      <w:r>
        <w:rPr>
          <w:rFonts w:ascii="IRNazanin" w:hAnsi="IRNazanin" w:eastAsia="IRNazanin" w:cs="IRNazanin"/>
          <w:lang w:bidi="fa-IR"/>
          <w:color w:val="111111"/>
          <w:sz w:val="28"/>
          <w:szCs w:val="28"/>
          <w:rtl/>
        </w:rPr>
        <w:t xml:space="preserve">أنّ قصد المعنی من لفظه علی أنحائه لا یکادُ یکونُ من شؤونه وأطواره ، وإلّا فلیکن قصده بما هو هو وفی نفسه کذلک . فتأمّل فی المقام ، فإنّه دقیقٌ وقد زلّ فیه أقدام غیر واحدٍ من أهل التحقیق والتدقیق .</w:t>
      </w:r>
    </w:p>
    <w:p>
      <w:pPr>
        <w:pStyle w:val="Heading6"/>
      </w:pPr>
      <w:bookmarkStart w:id="590" w:name="_Toc30"/>
      <w:r>
        <w:t>الثالث : استعمال اللفظ فی ما یناسب معناه</w:t>
      </w:r>
      <w:bookmarkEnd w:id="590"/>
    </w:p>
    <w:p>
      <w:pPr>
        <w:pStyle w:val="Heading6"/>
      </w:pPr>
      <w:bookmarkStart w:id="591" w:name="_Toc31"/>
      <w:r>
        <w:t>قولان فی‌المسألة</w:t>
      </w:r>
      <w:bookmarkEnd w:id="591"/>
    </w:p>
    <w:p>
      <w:pPr>
        <w:pStyle w:val="BookText"/>
      </w:pPr>
      <w:r>
        <w:rPr>
          <w:rFonts w:ascii="IRNazanin" w:hAnsi="IRNazanin" w:eastAsia="IRNazanin" w:cs="IRNazanin"/>
          <w:lang w:bidi="fa-IR"/>
          <w:color w:val="111111"/>
          <w:sz w:val="28"/>
          <w:szCs w:val="28"/>
          <w:rtl/>
        </w:rPr>
        <w:t xml:space="preserve">صحّة استعمال اللفظ فی ما یناسبُ ما وضع له هل هو </w:t>
      </w:r>
      <w:r>
        <w:rPr>
          <w:rStyle w:val="FootnoteReference"/>
        </w:rPr>
        <w:footnoteReference w:id="22"/>
      </w:r>
      <w:r>
        <w:rPr>
          <w:rFonts w:ascii="IRNazanin" w:hAnsi="IRNazanin" w:eastAsia="IRNazanin" w:cs="IRNazanin"/>
          <w:lang w:bidi="fa-IR"/>
          <w:color w:val="111111"/>
          <w:sz w:val="28"/>
          <w:szCs w:val="28"/>
          <w:rtl/>
        </w:rPr>
        <w:t xml:space="preserve">بالوضع أو بالطبع ؟</w:t>
      </w:r>
    </w:p>
    <w:p>
      <w:pPr>
        <w:pStyle w:val="Heading6"/>
      </w:pPr>
      <w:bookmarkStart w:id="592" w:name="_Toc32"/>
      <w:r>
        <w:t>الأظهر أنّ صحة الاستعمال المجازی إنماهی بالطبع</w:t>
      </w:r>
      <w:bookmarkEnd w:id="592"/>
    </w:p>
    <w:p>
      <w:pPr>
        <w:pStyle w:val="BookText"/>
      </w:pPr>
      <w:r>
        <w:rPr>
          <w:rFonts w:ascii="IRNazanin" w:hAnsi="IRNazanin" w:eastAsia="IRNazanin" w:cs="IRNazanin"/>
          <w:lang w:bidi="fa-IR"/>
          <w:color w:val="111111"/>
          <w:sz w:val="28"/>
          <w:szCs w:val="28"/>
          <w:rtl/>
        </w:rPr>
        <w:t xml:space="preserve">وجهان ، بل قولان </w:t>
      </w:r>
      <w:r>
        <w:rPr>
          <w:rStyle w:val="FootnoteReference"/>
        </w:rPr>
        <w:footnoteReference w:id="23"/>
      </w:r>
      <w:r>
        <w:rPr>
          <w:rFonts w:ascii="IRNazanin" w:hAnsi="IRNazanin" w:eastAsia="IRNazanin" w:cs="IRNazanin"/>
          <w:lang w:bidi="fa-IR"/>
          <w:color w:val="111111"/>
          <w:sz w:val="28"/>
          <w:szCs w:val="28"/>
          <w:rtl/>
        </w:rPr>
        <w:t xml:space="preserve">، أظهرهما أنّه </w:t>
      </w:r>
      <w:r>
        <w:rPr>
          <w:rStyle w:val="FootnoteReference"/>
        </w:rPr>
        <w:footnoteReference w:id="24"/>
      </w:r>
      <w:r>
        <w:rPr>
          <w:rFonts w:ascii="IRNazanin" w:hAnsi="IRNazanin" w:eastAsia="IRNazanin" w:cs="IRNazanin"/>
          <w:lang w:bidi="fa-IR"/>
          <w:color w:val="111111"/>
          <w:sz w:val="28"/>
          <w:szCs w:val="28"/>
          <w:rtl/>
        </w:rPr>
        <w:t xml:space="preserve">بالطبع ؛ بشهادة الوجدان بحُسن الاستعمال فیه ولو مع مَنْعِ الواضع عنه ، وباستهجان الاستعمال فی ما لا یناسبه ولو مع ترخیصه ، ولا معنی لصحّته إلّاحسنه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صحّة استعمال اللفظ فی نوعه أو مثله من قبیله . کما تأتی الإشارة إلی تفصیله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4419_166729"/>
    <w:bookmarkEnd w:id="12"/>
    <w:p>
      <w:pPr>
        <w:pStyle w:val="Heading6"/>
      </w:pPr>
      <w:bookmarkStart w:id="593" w:name="_Toc33"/>
      <w:r>
        <w:t>الرابع : إطلاق اللفظ وإرادة نوعه أو صنفه أو مثله أو شخصه</w:t>
      </w:r>
      <w:bookmarkEnd w:id="593"/>
    </w:p>
    <w:p>
      <w:pPr>
        <w:pStyle w:val="Heading6"/>
      </w:pPr>
      <w:bookmarkStart w:id="594" w:name="_Toc34"/>
      <w:r>
        <w:t>صحّة إرادةالنوع أو الصنف‌أو المثل‌من اللفظ</w:t>
      </w:r>
      <w:bookmarkEnd w:id="5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شبهة فی صحّة إطلاق اللفظ وإرادة نوعه به ، کما إذا قیل : « ضرب - مثلاً - فِعْلُ ماضٍ </w:t>
      </w:r>
      <w:r>
        <w:rPr>
          <w:rStyle w:val="FootnoteReference"/>
        </w:rPr>
        <w:footnoteReference w:id="27"/>
      </w:r>
      <w:r>
        <w:rPr>
          <w:rFonts w:ascii="IRNazanin" w:hAnsi="IRNazanin" w:eastAsia="IRNazanin" w:cs="IRNazanin"/>
          <w:lang w:bidi="fa-IR"/>
          <w:color w:val="111111"/>
          <w:sz w:val="28"/>
          <w:szCs w:val="28"/>
          <w:rtl/>
        </w:rPr>
        <w:t xml:space="preserve">» ؛ أو صنفه ، کما إذا قیل: « زیدٌ فی ( ضرب زید ) فاعلٌ » إذا لم یقصد به شخص القول ؛ أو مثله ک « ضرب » </w:t>
      </w:r>
      <w:r>
        <w:rPr>
          <w:rStyle w:val="FootnoteReference"/>
        </w:rPr>
        <w:footnoteReference w:id="28"/>
      </w:r>
      <w:r>
        <w:rPr>
          <w:rFonts w:ascii="Amiri" w:hAnsi="Amiri" w:eastAsia="Amiri" w:cs="Amiri"/>
          <w:lang w:bidi="ar-SA"/>
          <w:color w:val="111111"/>
          <w:sz w:val="28"/>
          <w:szCs w:val="28"/>
          <w:rtl/>
        </w:rPr>
        <w:t xml:space="preserve">فی المثال فی ما إذا قُصِدَ .</w:t>
      </w:r>
    </w:p>
    <w:p>
      <w:pPr>
        <w:pStyle w:val="BookText"/>
      </w:pPr>
      <w:r>
        <w:rPr>
          <w:rFonts w:ascii="IRNazanin" w:hAnsi="IRNazanin" w:eastAsia="IRNazanin" w:cs="IRNazanin"/>
          <w:lang w:bidi="fa-IR"/>
          <w:color w:val="111111"/>
          <w:sz w:val="28"/>
          <w:szCs w:val="28"/>
          <w:rtl/>
        </w:rPr>
        <w:t xml:space="preserve">وقد أشرنا </w:t>
      </w:r>
      <w:r>
        <w:rPr>
          <w:rStyle w:val="FootnoteReference"/>
        </w:rPr>
        <w:footnoteReference w:id="29"/>
      </w:r>
      <w:r>
        <w:rPr>
          <w:rFonts w:ascii="IRNazanin" w:hAnsi="IRNazanin" w:eastAsia="IRNazanin" w:cs="IRNazanin"/>
          <w:lang w:bidi="fa-IR"/>
          <w:color w:val="111111"/>
          <w:sz w:val="28"/>
          <w:szCs w:val="28"/>
          <w:rtl/>
        </w:rPr>
        <w:t xml:space="preserve">إلی أنّ صحّة الإطلاق کذلک وحُسْنه إنّما کان بالطبع ، لا بالوضع ، وإلّا کانت المهملاتُ موضوعةً لذلک ؛ لصحّة الإطلاق کذلک فیها .</w:t>
      </w:r>
    </w:p>
    <w:p>
      <w:pPr>
        <w:pStyle w:val="BookText"/>
      </w:pPr>
      <w:r>
        <w:rPr>
          <w:rFonts w:ascii="IRNazanin" w:hAnsi="IRNazanin" w:eastAsia="IRNazanin" w:cs="IRNazanin"/>
          <w:lang w:bidi="fa-IR"/>
          <w:color w:val="111111"/>
          <w:sz w:val="28"/>
          <w:szCs w:val="28"/>
          <w:rtl/>
        </w:rPr>
        <w:t xml:space="preserve">والالتزامُ بوضعها کذلک کما تری .</w:t>
      </w:r>
    </w:p>
    <w:p>
      <w:pPr>
        <w:pStyle w:val="Heading6"/>
      </w:pPr>
      <w:bookmarkStart w:id="595" w:name="_Toc35"/>
      <w:r>
        <w:t>الإشکال فی إرادة شخص اللفظ منه</w:t>
      </w:r>
      <w:bookmarkEnd w:id="595"/>
    </w:p>
    <w:p>
      <w:pPr>
        <w:pStyle w:val="BookText"/>
      </w:pPr>
      <w:r>
        <w:rPr>
          <w:rFonts w:ascii="IRNazanin" w:hAnsi="IRNazanin" w:eastAsia="IRNazanin" w:cs="IRNazanin"/>
          <w:lang w:bidi="fa-IR"/>
          <w:color w:val="111111"/>
          <w:sz w:val="28"/>
          <w:szCs w:val="28"/>
          <w:rtl/>
        </w:rPr>
        <w:t xml:space="preserve">وأمّا إطلاقه وإرادة شخصه - کما إذا قیل: « زیدٌ لفظٌ » ، وأُرید منه شخصُ نفسه - ففی صحّته بدون تأویلٍ نظرٌ ؛ لاستلزامه اتّحادَ الدالّ والمدلول ، أو ترکّبَ القضیّة من جزءین کما فی الفصول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ذلک: أنّه إن اعتبر دلالته علی نفسه حینئذٍ لزم الاتّحاد ، وإلّا لزم</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4419_166730"/>
    <w:bookmarkEnd w:id="13"/>
    <w:p>
      <w:pPr>
        <w:pStyle w:val="BookText"/>
      </w:pPr>
      <w:r>
        <w:rPr>
          <w:rFonts w:ascii="IRNazanin" w:hAnsi="IRNazanin" w:eastAsia="IRNazanin" w:cs="IRNazanin"/>
          <w:lang w:bidi="fa-IR"/>
          <w:color w:val="111111"/>
          <w:sz w:val="28"/>
          <w:szCs w:val="28"/>
          <w:rtl/>
        </w:rPr>
        <w:t xml:space="preserve">ترکّبها من جزأین ؛ لأنّ القضیّة اللفظیّة علی هذا إنّما تکون حاکیة عن المحمول والنسبة ، لا الموضوع ، فتکون القضیّة المحکیّة بها مرکّبةٌ من جزأین ، مع امتناع الترکّب </w:t>
      </w:r>
      <w:r>
        <w:rPr>
          <w:rStyle w:val="FootnoteReference"/>
        </w:rPr>
        <w:footnoteReference w:id="31"/>
      </w:r>
      <w:r>
        <w:rPr>
          <w:rFonts w:ascii="IRNazanin" w:hAnsi="IRNazanin" w:eastAsia="IRNazanin" w:cs="IRNazanin"/>
          <w:lang w:bidi="fa-IR"/>
          <w:color w:val="111111"/>
          <w:sz w:val="28"/>
          <w:szCs w:val="28"/>
          <w:rtl/>
        </w:rPr>
        <w:t xml:space="preserve">إلّامن الثلاثة ؛ ضرورة استحالة ثبوت النسبة بدون المنتسبَیْن .</w:t>
      </w:r>
    </w:p>
    <w:p>
      <w:pPr>
        <w:pStyle w:val="Heading6"/>
      </w:pPr>
      <w:bookmarkStart w:id="596" w:name="_Toc36"/>
      <w:r>
        <w:t>الجواب عن الإ شکال</w:t>
      </w:r>
      <w:bookmarkEnd w:id="5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قلت: یمکنُ أن یقال: إنّه یکفی تعدّد الدال والمدلول اعتباراً ، وإن اتّحدا ذاتاً ؛ فمن حیث إنّه لفظٌ صادرٌ عن لافظه کان دالّاً ، ومن حیث إنّ نفسه وشخصه مرادُه کان مدلولاً .</w:t>
      </w:r>
    </w:p>
    <w:p>
      <w:pPr>
        <w:pStyle w:val="BookText"/>
      </w:pPr>
      <w:r>
        <w:rPr>
          <w:rFonts w:ascii="IRNazanin" w:hAnsi="IRNazanin" w:eastAsia="IRNazanin" w:cs="IRNazanin"/>
          <w:lang w:bidi="fa-IR"/>
          <w:color w:val="111111"/>
          <w:sz w:val="28"/>
          <w:szCs w:val="28"/>
          <w:rtl/>
        </w:rPr>
        <w:t xml:space="preserve">مع أنّ حدیث ترکّب القضیّة من جزأین - لولا اعتبار الدلالة فی البین - إنّما یلزمُ إذا لم یکن الموضوع نفس شخصه ، وإلّا کان أجزاؤها الثلاثة تامّةً ، وکان المحمول فیها منتسباً إلی شخص اللفظ ونفسه ، غایة الأمر أنّه نفس الموضوع لا الحاکی عنه ، فافهم ، فإنّه لا یخلو عن دقّة .</w:t>
      </w:r>
    </w:p>
    <w:p>
      <w:pPr>
        <w:pStyle w:val="BookText"/>
      </w:pPr>
      <w:r>
        <w:rPr>
          <w:rFonts w:ascii="IRNazanin" w:hAnsi="IRNazanin" w:eastAsia="IRNazanin" w:cs="IRNazanin"/>
          <w:lang w:bidi="fa-IR"/>
          <w:color w:val="111111"/>
          <w:sz w:val="28"/>
          <w:szCs w:val="28"/>
          <w:rtl/>
        </w:rPr>
        <w:t xml:space="preserve">وعلی هذا لیس من باب استعمال اللفظ بشیء .</w:t>
      </w:r>
    </w:p>
    <w:p>
      <w:pPr>
        <w:pStyle w:val="Heading6"/>
      </w:pPr>
      <w:bookmarkStart w:id="597" w:name="_Toc37"/>
      <w:r>
        <w:t>التحقیق فی‌إرادة النوع أوالصنف من‌اللفظ</w:t>
      </w:r>
      <w:bookmarkEnd w:id="597"/>
    </w:p>
    <w:p>
      <w:pPr>
        <w:pStyle w:val="BookText"/>
      </w:pPr>
      <w:r>
        <w:rPr>
          <w:rFonts w:ascii="IRNazanin" w:hAnsi="IRNazanin" w:eastAsia="IRNazanin" w:cs="IRNazanin"/>
          <w:lang w:bidi="fa-IR"/>
          <w:color w:val="111111"/>
          <w:sz w:val="28"/>
          <w:szCs w:val="28"/>
          <w:rtl/>
        </w:rPr>
        <w:t xml:space="preserve">بل یمکن أن یقال: إنّه لیس أیضاً من هذا الباب ما إذا اطلق اللفظ وأُرید به نوعه أو صنفه ؛ فإنّه فرده ومصداقه حقیقةً ، لا لفظُه وذاک معناه ، کی یکون مستعملاً فیه استعمالَ اللفظ فی المعنی ، فیکون اللفظ نفسَ الموضوع الملقی إلی المخاطب خارجاً ، قد احضر فی ذهنه بلا وساطة حاکٍ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حکم علیه ابتداءً بدون واسطة أصلاً ، لا لفظَه ، کما لا یخفی ؛ فلا یکون فی البین لفظٌ قد استعمل فی معنیً ، بل فرْدٌ قد حکم فی القضیّة علیه بما هو مصداقٌ لکلّیّ اللفظ ، لا بما هو خصوص جزئیّه .</w:t>
      </w:r>
    </w:p>
    <w:p>
      <w:pPr>
        <w:pStyle w:val="BookText"/>
      </w:pPr>
      <w:r>
        <w:rPr>
          <w:rFonts w:ascii="IRNazanin" w:hAnsi="IRNazanin" w:eastAsia="IRNazanin" w:cs="IRNazanin"/>
          <w:lang w:bidi="fa-IR"/>
          <w:color w:val="111111"/>
          <w:sz w:val="28"/>
          <w:szCs w:val="28"/>
          <w:rtl/>
        </w:rPr>
        <w:t xml:space="preserve">نعم ، فی ما إذا أُرید به فرْدٌ آخر مثلُه ، کان من قبیل استعمال اللفظ فی المعنی .</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4419_166731"/>
    <w:bookmarkEnd w:id="14"/>
    <w:p>
      <w:pPr>
        <w:pStyle w:val="BookText"/>
      </w:pPr>
      <w:r>
        <w:rPr>
          <w:rFonts w:ascii="IRNazanin" w:hAnsi="IRNazanin" w:eastAsia="IRNazanin" w:cs="IRNazanin"/>
          <w:lang w:bidi="fa-IR"/>
          <w:color w:val="111111"/>
          <w:sz w:val="28"/>
          <w:szCs w:val="28"/>
          <w:rtl/>
        </w:rPr>
        <w:t xml:space="preserve">اللهمّ إلّاأن یقال: إنّ لفظ « ضرب » وإن کان فرداً له ، إلّاأنّه إذا قُصد به حکایتُه وجُعل عنواناً له ومرآتَه ، کان لفظَه المستعمل فیه ، وکان حینئذٍ کما إذا قصد به فرد مثله .</w:t>
      </w:r>
    </w:p>
    <w:p>
      <w:pPr>
        <w:pStyle w:val="BookText"/>
      </w:pPr>
      <w:r>
        <w:rPr>
          <w:rFonts w:ascii="IRNazanin" w:hAnsi="IRNazanin" w:eastAsia="IRNazanin" w:cs="IRNazanin"/>
          <w:lang w:bidi="fa-IR"/>
          <w:color w:val="111111"/>
          <w:sz w:val="28"/>
          <w:szCs w:val="28"/>
          <w:rtl/>
        </w:rPr>
        <w:t xml:space="preserve">وبالجملة : فإذا اطلق وأُرید به نوعه - کما إذا أُرید به فرد مثله - کان من باب استعمال اللفظ فی المعنی ، وإن کان فرداً منه وقد حُکم فی القضیّة بما یعمّه .</w:t>
      </w:r>
    </w:p>
    <w:p>
      <w:pPr>
        <w:pStyle w:val="BookText"/>
      </w:pPr>
      <w:r>
        <w:rPr>
          <w:rFonts w:ascii="IRNazanin" w:hAnsi="IRNazanin" w:eastAsia="IRNazanin" w:cs="IRNazanin"/>
          <w:lang w:bidi="fa-IR"/>
          <w:color w:val="111111"/>
          <w:sz w:val="28"/>
          <w:szCs w:val="28"/>
          <w:rtl/>
        </w:rPr>
        <w:t xml:space="preserve">وإن اطلق لیحکم علیه بما هو فرد کلّیّه ومصداقه ، لا بما هو لفظه وبه حکایته ، فلیس من هذا الباب .</w:t>
      </w:r>
    </w:p>
    <w:p>
      <w:pPr>
        <w:pStyle w:val="BookText"/>
      </w:pPr>
      <w:r>
        <w:rPr>
          <w:rFonts w:ascii="IRNazanin" w:hAnsi="IRNazanin" w:eastAsia="IRNazanin" w:cs="IRNazanin"/>
          <w:lang w:bidi="fa-IR"/>
          <w:color w:val="111111"/>
          <w:sz w:val="28"/>
          <w:szCs w:val="28"/>
          <w:rtl/>
        </w:rPr>
        <w:t xml:space="preserve">لکنّ الإطلاقات المتعارفة ظاهراً لیست کذلک ، کما لا یخفی ، وفیها ما لا یکاد یصحّ أن یراد منه ذلک ، ممّا کان الحکم فی القضیّة لا یکاد یعمّ شخصَ اللفظ ، کما فی مثل « ضَرَبَ فِعْلُ ماضٍ » .</w:t>
      </w:r>
    </w:p>
    <w:p>
      <w:pPr>
        <w:pStyle w:val="Heading6"/>
      </w:pPr>
      <w:bookmarkStart w:id="598" w:name="_Toc38"/>
      <w:r>
        <w:t>الخامس : وضع الألفاظ لذوات المعانی</w:t>
      </w:r>
      <w:bookmarkEnd w:id="598"/>
    </w:p>
    <w:p>
      <w:pPr>
        <w:pStyle w:val="Heading6"/>
      </w:pPr>
      <w:bookmarkStart w:id="599" w:name="_Toc39"/>
      <w:r>
        <w:t>عدم تبعیّةالدلالة للإرادةوالدلیل علیه</w:t>
      </w:r>
      <w:bookmarkEnd w:id="5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ریب فی کون الألفاظ موضوعةً بإزاء معانیها من حیث هی ، لا من حیث هی مرادةٌ للافظها ؛ لما عرفت </w:t>
      </w:r>
      <w:r>
        <w:rPr>
          <w:rStyle w:val="FootnoteReference"/>
        </w:rPr>
        <w:footnoteReference w:id="32"/>
      </w:r>
      <w:r>
        <w:rPr>
          <w:rFonts w:ascii="IRNazanin" w:hAnsi="IRNazanin" w:eastAsia="IRNazanin" w:cs="IRNazanin"/>
          <w:lang w:bidi="fa-IR"/>
          <w:color w:val="111111"/>
          <w:sz w:val="28"/>
          <w:szCs w:val="28"/>
          <w:rtl/>
        </w:rPr>
        <w:t xml:space="preserve">- بما لا مزید علیه - من أنّ قصد المعنی علی أنحائه من مقوّمات الاستعمال ، فلا یکاد یکون من قیود المستعمل فیه ، هذا .</w:t>
      </w:r>
    </w:p>
    <w:p>
      <w:pPr>
        <w:pStyle w:val="BookText"/>
      </w:pPr>
      <w:r>
        <w:rPr>
          <w:rFonts w:ascii="IRNazanin" w:hAnsi="IRNazanin" w:eastAsia="IRNazanin" w:cs="IRNazanin"/>
          <w:lang w:bidi="fa-IR"/>
          <w:color w:val="111111"/>
          <w:sz w:val="28"/>
          <w:szCs w:val="28"/>
          <w:rtl/>
        </w:rPr>
        <w:t xml:space="preserve">مضافاً إلی ضرورة صحّة الحمل والإسناد فی الجمل بلا تصرُّفٍ فی ألفاظ الأطراف ، مع أنّه لو کانت موضوعة لها بما هی مرادة لما صحّ بدونه ؛ بداهة أنّ</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4419_166732"/>
    <w:bookmarkEnd w:id="15"/>
    <w:p>
      <w:pPr>
        <w:pStyle w:val="BookText"/>
      </w:pPr>
      <w:r>
        <w:rPr>
          <w:rFonts w:ascii="IRNazanin" w:hAnsi="IRNazanin" w:eastAsia="IRNazanin" w:cs="IRNazanin"/>
          <w:lang w:bidi="fa-IR"/>
          <w:color w:val="111111"/>
          <w:sz w:val="28"/>
          <w:szCs w:val="28"/>
          <w:rtl/>
        </w:rPr>
        <w:t xml:space="preserve">المحمول علی « زید » فی « زید قائم » والمسند إلیه فی « ضَرَبَ زیدٌ » - مثلاً - هو نفس القیام والضرب ، لا بما هما مرادان .</w:t>
      </w:r>
    </w:p>
    <w:p>
      <w:pPr>
        <w:pStyle w:val="BookText"/>
      </w:pPr>
      <w:r>
        <w:rPr>
          <w:rFonts w:ascii="IRNazanin" w:hAnsi="IRNazanin" w:eastAsia="IRNazanin" w:cs="IRNazanin"/>
          <w:lang w:bidi="fa-IR"/>
          <w:color w:val="111111"/>
          <w:sz w:val="28"/>
          <w:szCs w:val="28"/>
          <w:rtl/>
        </w:rPr>
        <w:t xml:space="preserve">مع أنّه یلزم کون وضع عامّة الألفاظ عامّاً والموضوع له خاصّاً ؛ لمکان اعتبار خصوص إرادة اللافظین فی ما وضع له اللفظ ، فإنّه لا مجال لتوهُّم أخذ مفهوم الإرادة فیه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وهکذا الحال فی طرف الموضوع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6"/>
      </w:pPr>
      <w:bookmarkStart w:id="600" w:name="_Toc40"/>
      <w:r>
        <w:t>توجیه ما حُکی‌عن الشیخ الرئیس والمحقّق الطوسیّ</w:t>
      </w:r>
      <w:bookmarkEnd w:id="600"/>
    </w:p>
    <w:p>
      <w:pPr>
        <w:pStyle w:val="BookText"/>
      </w:pPr>
      <w:r>
        <w:rPr>
          <w:rFonts w:ascii="Amiri" w:hAnsi="Amiri" w:eastAsia="Amiri" w:cs="Amiri"/>
          <w:lang w:bidi="ar-SA"/>
          <w:color w:val="111111"/>
          <w:sz w:val="28"/>
          <w:szCs w:val="28"/>
          <w:rtl/>
        </w:rPr>
        <w:t xml:space="preserve">وأمّا ما حکی عن العَلَمین: الشیخ الرئیس والمحقّق الطوسیّ </w:t>
      </w:r>
      <w:r>
        <w:rPr>
          <w:rStyle w:val="FootnoteReference"/>
        </w:rPr>
        <w:footnoteReference w:id="34"/>
      </w:r>
      <w:r>
        <w:rPr>
          <w:rFonts w:ascii="IRNazanin" w:hAnsi="IRNazanin" w:eastAsia="IRNazanin" w:cs="IRNazanin"/>
          <w:lang w:bidi="fa-IR"/>
          <w:color w:val="111111"/>
          <w:sz w:val="28"/>
          <w:szCs w:val="28"/>
          <w:rtl/>
        </w:rPr>
        <w:t xml:space="preserve">- من مصیرهما إلی أنّ الدلالة تتبع الإرادة </w:t>
      </w:r>
      <w:r>
        <w:rPr>
          <w:rStyle w:val="FootnoteReference"/>
        </w:rPr>
        <w:footnoteReference w:id="35"/>
      </w:r>
      <w:r>
        <w:rPr>
          <w:rFonts w:ascii="IRNazanin" w:hAnsi="IRNazanin" w:eastAsia="IRNazanin" w:cs="IRNazanin"/>
          <w:lang w:bidi="fa-IR"/>
          <w:color w:val="111111"/>
          <w:sz w:val="28"/>
          <w:szCs w:val="28"/>
          <w:rtl/>
        </w:rPr>
        <w:t xml:space="preserve">- فلیس ناظراً إلی کون الألفاظ موضوعة للمعانی بما هی مرادة - کما توهّمه بعض الأفاضل </w:t>
      </w:r>
      <w:r>
        <w:rPr>
          <w:rStyle w:val="FootnoteReference"/>
        </w:rPr>
        <w:footnoteReference w:id="36"/>
      </w:r>
      <w:r>
        <w:rPr>
          <w:rFonts w:ascii="IRNazanin" w:hAnsi="IRNazanin" w:eastAsia="IRNazanin" w:cs="IRNazanin"/>
          <w:lang w:bidi="fa-IR"/>
          <w:color w:val="111111"/>
          <w:sz w:val="28"/>
          <w:szCs w:val="28"/>
          <w:rtl/>
        </w:rPr>
        <w:t xml:space="preserve">- ، بل ناظرٌ إلی أنّ دلالة الألفاظ علی معانیها بالدلالة التصدیقیّة - أی: دلالتها علی کونها مرادةً للافظها - تتبع إرادتها منها وتتفرّع علیها - تبعیّةَ مقام الإثبات للثبوت ، وتفرُّعَ الکشف علی الواقع المکشوف - ؛ فإنّه لولا الثبوت فی الواقع لما کان للإثبات والکشف والدلالة مجالٌ .</w:t>
      </w:r>
    </w:p>
    <w:p>
      <w:pPr>
        <w:pStyle w:val="BookText"/>
      </w:pPr>
      <w:r>
        <w:rPr>
          <w:rFonts w:ascii="IRNazanin" w:hAnsi="IRNazanin" w:eastAsia="IRNazanin" w:cs="IRNazanin"/>
          <w:lang w:bidi="fa-IR"/>
          <w:color w:val="111111"/>
          <w:sz w:val="28"/>
          <w:szCs w:val="28"/>
          <w:rtl/>
        </w:rPr>
        <w:t xml:space="preserve">ولذا لابدّ من إحراز کون المتکلّم بصدد الإفادة فی إثبات إرادة ما هو ظاهر کلامه ودلالتِهِ علی الإرادة ، وإلّا لما کانت لکلامه هذه الدلالة ، وإن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4419_166733"/>
    <w:bookmarkEnd w:id="16"/>
    <w:p>
      <w:pPr>
        <w:pStyle w:val="BookText"/>
      </w:pPr>
      <w:r>
        <w:rPr>
          <w:rFonts w:ascii="IRNazanin" w:hAnsi="IRNazanin" w:eastAsia="IRNazanin" w:cs="IRNazanin"/>
          <w:lang w:bidi="fa-IR"/>
          <w:color w:val="111111"/>
          <w:sz w:val="28"/>
          <w:szCs w:val="28"/>
          <w:rtl/>
        </w:rPr>
        <w:t xml:space="preserve">کانت له الدلالة التصوّریّة ، أی: کون سماعه موجباً لإخطار معناه الموضوع له ، ولو کان من وراء الجدار </w:t>
      </w:r>
      <w:r>
        <w:rPr>
          <w:rStyle w:val="FootnoteReference"/>
        </w:rPr>
        <w:footnoteReference w:id="37"/>
      </w:r>
      <w:r>
        <w:rPr>
          <w:rFonts w:ascii="IRNazanin" w:hAnsi="IRNazanin" w:eastAsia="IRNazanin" w:cs="IRNazanin"/>
          <w:lang w:bidi="fa-IR"/>
          <w:color w:val="111111"/>
          <w:sz w:val="28"/>
          <w:szCs w:val="28"/>
          <w:rtl/>
        </w:rPr>
        <w:t xml:space="preserve">، أو من لافظٍ بلا شعور ولا اختیار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قلت: علی هذا یلزم أن لا یکون هناک دلالةٌ عند الخطأ ، والقطع بما لیس بمراد ، أو الاعتقاد بإرادة شیءٍ ولم یکن له من اللفظ مراد .</w:t>
      </w:r>
    </w:p>
    <w:p>
      <w:pPr>
        <w:pStyle w:val="BookText"/>
      </w:pPr>
      <w:r>
        <w:rPr>
          <w:rFonts w:ascii="IRNazanin" w:hAnsi="IRNazanin" w:eastAsia="IRNazanin" w:cs="IRNazanin"/>
          <w:lang w:bidi="fa-IR"/>
          <w:color w:val="111111"/>
          <w:sz w:val="28"/>
          <w:szCs w:val="28"/>
          <w:rtl/>
        </w:rPr>
        <w:t xml:space="preserve">قلت: نعم لا یکون حینئذٍ دلالة ، بل یکون هناک جهالة وضلالة ، یحسبها الجاهل دلالة .</w:t>
      </w:r>
    </w:p>
    <w:p>
      <w:pPr>
        <w:pStyle w:val="BookText"/>
      </w:pPr>
      <w:r>
        <w:rPr>
          <w:rFonts w:ascii="IRNazanin" w:hAnsi="IRNazanin" w:eastAsia="IRNazanin" w:cs="IRNazanin"/>
          <w:lang w:bidi="fa-IR"/>
          <w:color w:val="111111"/>
          <w:sz w:val="28"/>
          <w:szCs w:val="28"/>
          <w:rtl/>
        </w:rPr>
        <w:t xml:space="preserve">ولعَمری ما أفاده العَلَمان من التبعیّة - علی ما بیّنّاه - واضحٌ لا محیص عنه . ولا یکاد ینقضی تعجّبی کیف رضی المتوهّم أن یجعل کلامهما ناظراً إلی ما لا ینبغی صدوره عن فاضل ، فضلاً عمّن هو عَلَمٌ فی التحقیق والتدقیق؟!</w:t>
      </w:r>
    </w:p>
    <w:p>
      <w:pPr>
        <w:pStyle w:val="Heading6"/>
      </w:pPr>
      <w:bookmarkStart w:id="601" w:name="_Toc41"/>
      <w:r>
        <w:t>السادس : وضع المرکّبات</w:t>
      </w:r>
      <w:bookmarkEnd w:id="601"/>
    </w:p>
    <w:p>
      <w:pPr>
        <w:pStyle w:val="Heading6"/>
      </w:pPr>
      <w:bookmarkStart w:id="602" w:name="_Toc42"/>
      <w:r>
        <w:t>لیس للمرکّبات‌وضع علی حدة</w:t>
      </w:r>
      <w:bookmarkEnd w:id="602"/>
    </w:p>
    <w:p>
      <w:pPr>
        <w:pStyle w:val="BookText"/>
      </w:pPr>
      <w:r>
        <w:rPr>
          <w:rFonts w:ascii="IRNazanin" w:hAnsi="IRNazanin" w:eastAsia="IRNazanin" w:cs="IRNazanin"/>
          <w:lang w:bidi="fa-IR"/>
          <w:color w:val="111111"/>
          <w:sz w:val="28"/>
          <w:szCs w:val="28"/>
          <w:rtl/>
        </w:rPr>
        <w:t xml:space="preserve">لا وجه لتوهّم وضعٍ للمرکّبات غیر وضع المفردات ؛ ضرورة عدم الحاجة إلیه بعد وضعها بموادّها فی مثل « زید قائم » و « ضرب عمرو بکراً » ، شخصیّاً ، وبهیئاتها المخصوصة من خصوص إعرابها نوعیّاً </w:t>
      </w:r>
      <w:r>
        <w:rPr>
          <w:rStyle w:val="FootnoteReference"/>
        </w:rPr>
        <w:footnoteReference w:id="38"/>
      </w:r>
      <w:r>
        <w:rPr>
          <w:rFonts w:ascii="IRNazanin" w:hAnsi="IRNazanin" w:eastAsia="IRNazanin" w:cs="IRNazanin"/>
          <w:lang w:bidi="fa-IR"/>
          <w:color w:val="111111"/>
          <w:sz w:val="28"/>
          <w:szCs w:val="28"/>
          <w:rtl/>
        </w:rPr>
        <w:t xml:space="preserve">، ومنها : خصوص</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4419_166734"/>
    <w:bookmarkEnd w:id="17"/>
    <w:p>
      <w:pPr>
        <w:pStyle w:val="BookText"/>
      </w:pPr>
      <w:r>
        <w:rPr>
          <w:rFonts w:ascii="IRNazanin" w:hAnsi="IRNazanin" w:eastAsia="IRNazanin" w:cs="IRNazanin"/>
          <w:lang w:bidi="fa-IR"/>
          <w:color w:val="111111"/>
          <w:sz w:val="28"/>
          <w:szCs w:val="28"/>
          <w:rtl/>
        </w:rPr>
        <w:t xml:space="preserve">هیئات المرکّبات الموضوعة لخصوصیّات النسب والإضافات ، بمزایاها الخاصّة من تأکیدٍ وحصرٍ وغیرهما نوعیّاً </w:t>
      </w:r>
      <w:r>
        <w:rPr>
          <w:rStyle w:val="FootnoteReference"/>
        </w:rPr>
        <w:footnoteReference w:id="39"/>
      </w:r>
      <w:r>
        <w:rPr>
          <w:rFonts w:ascii="IRNazanin" w:hAnsi="IRNazanin" w:eastAsia="IRNazanin" w:cs="IRNazanin"/>
          <w:lang w:bidi="fa-IR"/>
          <w:color w:val="111111"/>
          <w:sz w:val="28"/>
          <w:szCs w:val="28"/>
          <w:rtl/>
        </w:rPr>
        <w:t xml:space="preserve">؛ بداهةَ أنّ وضعها کذلک وافٍ بتمام المقصود منها ، کما لا یخفی ، من غیر حاجةٍ إلی وضع آخر لها بجملتها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استلزامه الدلالة علی المعنی تارةً بملاحظة وضع نفسها ، وأُخری بملاحظة وضع مفرداتها .</w:t>
      </w:r>
    </w:p>
    <w:p>
      <w:pPr>
        <w:pStyle w:val="BookText"/>
      </w:pPr>
      <w:r>
        <w:rPr>
          <w:rFonts w:ascii="IRNazanin" w:hAnsi="IRNazanin" w:eastAsia="IRNazanin" w:cs="IRNazanin"/>
          <w:lang w:bidi="fa-IR"/>
          <w:color w:val="111111"/>
          <w:sz w:val="28"/>
          <w:szCs w:val="28"/>
          <w:rtl/>
        </w:rPr>
        <w:t xml:space="preserve">ولعلّ المراد من العبارات الموهمة لذلک ، هو وضع الهیئات علی حدة غیر وضع الموادّ ، لا وضعها بجملتها علاوةً علی وضع کلّ منهما .</w:t>
      </w:r>
    </w:p>
    <w:p>
      <w:pPr>
        <w:pStyle w:val="Heading6"/>
      </w:pPr>
      <w:bookmarkStart w:id="603" w:name="_Toc43"/>
      <w:r>
        <w:t>السابع : أمارات الوضع</w:t>
      </w:r>
      <w:bookmarkEnd w:id="603"/>
    </w:p>
    <w:p>
      <w:pPr>
        <w:pStyle w:val="Heading6"/>
      </w:pPr>
      <w:bookmarkStart w:id="604" w:name="_Toc44"/>
      <w:r>
        <w:t>1 - التبادر</w:t>
      </w:r>
      <w:bookmarkEnd w:id="604"/>
    </w:p>
    <w:p>
      <w:pPr>
        <w:pStyle w:val="BookText"/>
      </w:pPr>
      <w:r>
        <w:rPr>
          <w:rFonts w:ascii="IRNazanin" w:hAnsi="IRNazanin" w:eastAsia="IRNazanin" w:cs="IRNazanin"/>
          <w:lang w:bidi="fa-IR"/>
          <w:color w:val="111111"/>
          <w:sz w:val="28"/>
          <w:szCs w:val="28"/>
          <w:rtl/>
        </w:rPr>
        <w:t xml:space="preserve">لا یخفی: أنّ تبادر المعنی من اللفظ وانسباقه إلی الذهن - من نفسه وبلا قرینةٍ - علامةُ کونه حقیقةً فیه ؛ بداهةَ أنّه لولا وضعُهُ له لما تبادَرَ .</w:t>
      </w:r>
    </w:p>
    <w:p>
      <w:pPr>
        <w:pStyle w:val="BookText"/>
      </w:pPr>
      <w:r>
        <w:rPr>
          <w:rFonts w:ascii="IRNazanin" w:hAnsi="IRNazanin" w:eastAsia="IRNazanin" w:cs="IRNazanin"/>
          <w:lang w:bidi="fa-IR"/>
          <w:color w:val="111111"/>
          <w:sz w:val="28"/>
          <w:szCs w:val="28"/>
          <w:rtl/>
        </w:rPr>
        <w:t xml:space="preserve">لا یقال: کیف یکون علامةً مع توقّفه علی العلم بأنّه موضوع له - کما هو واضح - ، فلو کان العلم به موقوفاً علیه لدار ؟</w:t>
      </w:r>
    </w:p>
    <w:p>
      <w:pPr>
        <w:pStyle w:val="BookText"/>
      </w:pPr>
      <w:r>
        <w:rPr>
          <w:rFonts w:ascii="IRNazanin" w:hAnsi="IRNazanin" w:eastAsia="IRNazanin" w:cs="IRNazanin"/>
          <w:lang w:bidi="fa-IR"/>
          <w:color w:val="111111"/>
          <w:sz w:val="28"/>
          <w:szCs w:val="28"/>
          <w:rtl/>
        </w:rPr>
        <w:t xml:space="preserve">فإنّه یقال: الموقوف علیه غیر الموقوف علیه ؛ فإنّ العلم التفصیلیّ بکونه موضوعاً له موقوفٌ علی التبادر ، وهو موقوف علی العلم الإجمالیّ الارتکازیّ به ، لا التفصیلیّ ، فلا دور .</w:t>
      </w:r>
    </w:p>
    <w:p>
      <w:pPr>
        <w:pStyle w:val="BookText"/>
      </w:pPr>
      <w:r>
        <w:rPr>
          <w:rFonts w:ascii="IRNazanin" w:hAnsi="IRNazanin" w:eastAsia="IRNazanin" w:cs="IRNazanin"/>
          <w:lang w:bidi="fa-IR"/>
          <w:color w:val="111111"/>
          <w:sz w:val="28"/>
          <w:szCs w:val="28"/>
          <w:rtl/>
        </w:rPr>
        <w:t xml:space="preserve">هذا إذا کان المراد به : التبادر عند المستعلم . وأمّا إذا کان المراد به :</w:t>
      </w:r>
    </w:p>
    <w:p>
      <w:pPr>
        <w:pStyle w:val="BookText"/>
      </w:pPr>
      <w:r>
        <w:rPr>
          <w:rFonts w:ascii="IRNazanin" w:hAnsi="IRNazanin" w:eastAsia="IRNazanin" w:cs="IRNazanin"/>
          <w:lang w:bidi="fa-IR"/>
          <w:color w:val="111111"/>
          <w:sz w:val="28"/>
          <w:szCs w:val="28"/>
          <w:rtl/>
        </w:rPr>
        <w:t xml:space="preserve">التبادر عند أهل المحاورة فالتغایر أوضح من أن یخفی .</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4419_166735"/>
    <w:bookmarkEnd w:id="1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هذا فی ما لو علم استناد الانسباق إلی نفس اللفظ ، وأمّا فی ما احتمل استناده إلی قرینةٍ فلا یجدی أصالةُ عدم القرینة فی إحراز کون الاستناد إلیه ، لا إلیها - کما قیل </w:t>
      </w:r>
      <w:r>
        <w:rPr>
          <w:rStyle w:val="FootnoteReference"/>
        </w:rPr>
        <w:footnoteReference w:id="40"/>
      </w:r>
      <w:r>
        <w:rPr>
          <w:rFonts w:ascii="IRNazanin" w:hAnsi="IRNazanin" w:eastAsia="IRNazanin" w:cs="IRNazanin"/>
          <w:lang w:bidi="fa-IR"/>
          <w:color w:val="111111"/>
          <w:sz w:val="28"/>
          <w:szCs w:val="28"/>
          <w:rtl/>
        </w:rPr>
        <w:t xml:space="preserve">- ؛ لعدم الدلیل علی اعتبارها إلّافی إحراز المراد ؛ لا الاستناد .</w:t>
      </w:r>
    </w:p>
    <w:p>
      <w:pPr>
        <w:pStyle w:val="Heading6"/>
      </w:pPr>
      <w:bookmarkStart w:id="605" w:name="_Toc45"/>
      <w:r>
        <w:t>2 - عدم صحّةالسلب</w:t>
      </w:r>
      <w:bookmarkEnd w:id="605"/>
    </w:p>
    <w:p>
      <w:pPr>
        <w:pStyle w:val="BookText"/>
      </w:pPr>
      <w:r>
        <w:rPr>
          <w:rFonts w:ascii="IRNazanin" w:hAnsi="IRNazanin" w:eastAsia="IRNazanin" w:cs="IRNazanin"/>
          <w:lang w:bidi="fa-IR"/>
          <w:color w:val="111111"/>
          <w:sz w:val="28"/>
          <w:szCs w:val="28"/>
          <w:rtl/>
        </w:rPr>
        <w:t xml:space="preserve">ثمّ إنّ عدم صحّة سلب اللفظ - بمعناه المعلوم المرتکز فی الذهن إجمالاً کذلک </w:t>
      </w:r>
      <w:r>
        <w:rPr>
          <w:rStyle w:val="FootnoteReference"/>
        </w:rPr>
        <w:footnoteReference w:id="41"/>
      </w:r>
      <w:r>
        <w:rPr>
          <w:rFonts w:ascii="IRNazanin" w:hAnsi="IRNazanin" w:eastAsia="IRNazanin" w:cs="IRNazanin"/>
          <w:lang w:bidi="fa-IR"/>
          <w:color w:val="111111"/>
          <w:sz w:val="28"/>
          <w:szCs w:val="28"/>
          <w:rtl/>
        </w:rPr>
        <w:t xml:space="preserve">- عن معنی تکون علامةَ کونه حقیقةً فیه ، کما أنّ صحّة سلبه عنه علامةُ کونه مجازاً فی الجملة .</w:t>
      </w:r>
    </w:p>
    <w:p>
      <w:pPr>
        <w:pStyle w:val="BookText"/>
      </w:pPr>
      <w:r>
        <w:rPr>
          <w:rFonts w:ascii="IRNazanin" w:hAnsi="IRNazanin" w:eastAsia="IRNazanin" w:cs="IRNazanin"/>
          <w:lang w:bidi="fa-IR"/>
          <w:color w:val="111111"/>
          <w:sz w:val="28"/>
          <w:szCs w:val="28"/>
          <w:rtl/>
        </w:rPr>
        <w:t xml:space="preserve">والتفصیل: أنّ عدم صحّة السلب عنه، وصحّةَ الحمل علیه بالحمل الأوّلی الذاتیّ - الّذی کان ملاکه الاتّحاد مفهوماً - علامةُ کونه نفسَ المعنی ، وبالحمل الشائع الصناعیّ - الّذی ملاکه الاتّحاد وجوداً بنحو من أنحاء الاتّحاد - علامةُ کونه من مصادیقه وأفراده الحقیقیّة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 صحّة سلبه کذلک ، علامة أنّه لیس منها </w:t>
      </w:r>
      <w:r>
        <w:rPr>
          <w:rStyle w:val="FootnoteReference"/>
        </w:rPr>
        <w:footnoteReference w:id="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لم نقل بأنّ إطلاقه علیه من باب المجاز فی الکلمة ، بل من باب الحقیقة ، وأنّ التصرّف فیه فی أمر عقلیّ - کما صار إلیه السکّاکیّ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واستعلام حال اللفظ وأنّه حقیقة أو مجاز فی هذا المعنی بهما ، لیس علی وجهٍ دائر ؛ لما عرفت فی التبادر من التغایر بین الموقوف والموقوف</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4419_166736"/>
    <w:bookmarkEnd w:id="19"/>
    <w:p>
      <w:pPr>
        <w:pStyle w:val="BookText"/>
      </w:pPr>
      <w:r>
        <w:rPr>
          <w:rFonts w:ascii="IRNazanin" w:hAnsi="IRNazanin" w:eastAsia="IRNazanin" w:cs="IRNazanin"/>
          <w:lang w:bidi="fa-IR"/>
          <w:color w:val="111111"/>
          <w:sz w:val="28"/>
          <w:szCs w:val="28"/>
          <w:rtl/>
        </w:rPr>
        <w:t xml:space="preserve">علیه بالإجمال والتفصیل ، أو الإضافة إلی المستعلم والعالم ، فتأمّل جیّداً .</w:t>
      </w:r>
    </w:p>
    <w:p>
      <w:pPr>
        <w:pStyle w:val="Heading6"/>
      </w:pPr>
      <w:bookmarkStart w:id="606" w:name="_Toc46"/>
      <w:r>
        <w:t>3 - الاطّراد</w:t>
      </w:r>
      <w:bookmarkEnd w:id="606"/>
    </w:p>
    <w:p>
      <w:pPr>
        <w:pStyle w:val="BookText"/>
      </w:pPr>
      <w:r>
        <w:rPr>
          <w:rFonts w:ascii="Amiri" w:hAnsi="Amiri" w:eastAsia="Amiri" w:cs="Amiri"/>
          <w:lang w:bidi="ar-SA"/>
          <w:color w:val="111111"/>
          <w:sz w:val="28"/>
          <w:szCs w:val="28"/>
          <w:rtl/>
        </w:rPr>
        <w:t xml:space="preserve">ثمّ إنّه قد ذُکر </w:t>
      </w:r>
      <w:r>
        <w:rPr>
          <w:rStyle w:val="FootnoteReference"/>
        </w:rPr>
        <w:footnoteReference w:id="45"/>
      </w:r>
      <w:r>
        <w:rPr>
          <w:rFonts w:ascii="IRNazanin" w:hAnsi="IRNazanin" w:eastAsia="IRNazanin" w:cs="IRNazanin"/>
          <w:lang w:bidi="fa-IR"/>
          <w:color w:val="111111"/>
          <w:sz w:val="28"/>
          <w:szCs w:val="28"/>
          <w:rtl/>
        </w:rPr>
        <w:t xml:space="preserve">الإطّراد وعدمُه علامةً للحقیقة والمجاز أیضاً . ولعلّه بملاحظة نوع العلائق المذکورة فی المجازات ، حیث لا یطّرد صحّة استعمال اللفظ معها ، وإلّا فبملاحظة خصوص ما یصحّ معه الاستعمال فالمجاز مطّردٌ کالحقیقة .</w:t>
      </w:r>
    </w:p>
    <w:p>
      <w:pPr>
        <w:pStyle w:val="BookText"/>
      </w:pPr>
      <w:r>
        <w:rPr>
          <w:rFonts w:ascii="IRNazanin" w:hAnsi="IRNazanin" w:eastAsia="IRNazanin" w:cs="IRNazanin"/>
          <w:lang w:bidi="fa-IR"/>
          <w:color w:val="111111"/>
          <w:sz w:val="28"/>
          <w:szCs w:val="28"/>
          <w:rtl/>
        </w:rPr>
        <w:t xml:space="preserve">وزیادة قید : « من غیر تأویل » أو : « علی وجه الحقیقة » </w:t>
      </w:r>
      <w:r>
        <w:rPr>
          <w:rStyle w:val="FootnoteReference"/>
        </w:rPr>
        <w:footnoteReference w:id="46"/>
      </w:r>
      <w:r>
        <w:rPr>
          <w:rFonts w:ascii="IRNazanin" w:hAnsi="IRNazanin" w:eastAsia="IRNazanin" w:cs="IRNazanin"/>
          <w:lang w:bidi="fa-IR"/>
          <w:color w:val="111111"/>
          <w:sz w:val="28"/>
          <w:szCs w:val="28"/>
          <w:rtl/>
        </w:rPr>
        <w:t xml:space="preserve">وإن کان موجباً لاختصاص الإطّراد کذلک بالحقیقة ، إلّا أنّه حینئذٍ لا یکون علامةً لها إلّا علی وجهٍ دائر .</w:t>
      </w:r>
    </w:p>
    <w:p>
      <w:pPr>
        <w:pStyle w:val="BookText"/>
      </w:pPr>
      <w:r>
        <w:rPr>
          <w:rFonts w:ascii="IRNazanin" w:hAnsi="IRNazanin" w:eastAsia="IRNazanin" w:cs="IRNazanin"/>
          <w:lang w:bidi="fa-IR"/>
          <w:color w:val="111111"/>
          <w:sz w:val="28"/>
          <w:szCs w:val="28"/>
          <w:rtl/>
        </w:rPr>
        <w:t xml:space="preserve">ولا یتأتّی التفصّی عن الدور بما ذکر فی التبادر هاهنا ؛ ضرورة أنّه مع العلم بکون الاستعمال علی نحو الحقیقة لا یبقی مجالٌ لاستعلام حال الاستعمال بالاطّراد أو بغیره .</w:t>
      </w:r>
    </w:p>
    <w:p>
      <w:pPr>
        <w:pStyle w:val="Heading6"/>
      </w:pPr>
      <w:bookmarkStart w:id="607" w:name="_Toc47"/>
      <w:r>
        <w:t>الثامن : أحوال اللفظ</w:t>
      </w:r>
      <w:bookmarkEnd w:id="607"/>
    </w:p>
    <w:p>
      <w:pPr>
        <w:pStyle w:val="Heading6"/>
      </w:pPr>
      <w:bookmarkStart w:id="608" w:name="_Toc48"/>
      <w:r>
        <w:t>اشارة</w:t>
      </w:r>
      <w:bookmarkEnd w:id="6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أنّه للّفظ أحوال خمسة ، وهی: التجوّز ، والاشتراک ، والتخصیص ، والنقل ، والإضمار . لا یکاد یصار إلی أحدها فی ما إذا دار الأمر بینه وبین المعنی الحقیقیّ </w:t>
      </w:r>
      <w:r>
        <w:rPr>
          <w:rStyle w:val="FootnoteReference"/>
        </w:rPr>
        <w:footnoteReference w:id="47"/>
      </w:r>
      <w:r>
        <w:rPr>
          <w:rFonts w:ascii="IRNazanin" w:hAnsi="IRNazanin" w:eastAsia="IRNazanin" w:cs="IRNazanin"/>
          <w:lang w:bidi="fa-IR"/>
          <w:color w:val="111111"/>
          <w:sz w:val="28"/>
          <w:szCs w:val="28"/>
          <w:rtl/>
        </w:rPr>
        <w:t xml:space="preserve">إلّابقرینة صارفة عنه إلیه .</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4419_166737"/>
    <w:bookmarkEnd w:id="20"/>
    <w:p>
      <w:pPr>
        <w:pStyle w:val="Heading6"/>
      </w:pPr>
      <w:bookmarkStart w:id="609" w:name="_Toc49"/>
      <w:r>
        <w:t>تعارض الأحوال</w:t>
      </w:r>
      <w:bookmarkEnd w:id="609"/>
    </w:p>
    <w:p>
      <w:pPr>
        <w:pStyle w:val="BookText"/>
      </w:pPr>
      <w:r>
        <w:rPr>
          <w:rFonts w:ascii="IRNazanin" w:hAnsi="IRNazanin" w:eastAsia="IRNazanin" w:cs="IRNazanin"/>
          <w:lang w:bidi="fa-IR"/>
          <w:color w:val="111111"/>
          <w:sz w:val="28"/>
          <w:szCs w:val="28"/>
          <w:rtl/>
        </w:rPr>
        <w:t xml:space="preserve">وأمّا إذا دار الأمرُ بینها ، فالاُصولیّون وإن ذکروا لترجیح بعضها علی بعض وجوهاً </w:t>
      </w:r>
      <w:r>
        <w:rPr>
          <w:rStyle w:val="FootnoteReference"/>
        </w:rPr>
        <w:footnoteReference w:id="48"/>
      </w:r>
      <w:r>
        <w:rPr>
          <w:rFonts w:ascii="IRNazanin" w:hAnsi="IRNazanin" w:eastAsia="IRNazanin" w:cs="IRNazanin"/>
          <w:lang w:bidi="fa-IR"/>
          <w:color w:val="111111"/>
          <w:sz w:val="28"/>
          <w:szCs w:val="28"/>
          <w:rtl/>
        </w:rPr>
        <w:t xml:space="preserve">، إلّاأنّها استحسانیّة ، لا اعتبار بها إلّاإذا کانت موجبةً لظهور اللفظ فی المعنی ؛ لعدم مساعدة دلیل علی اعتبارها بدون ذلک ، کما لا یخفی .</w:t>
      </w:r>
    </w:p>
    <w:p>
      <w:pPr>
        <w:pStyle w:val="Heading6"/>
      </w:pPr>
      <w:bookmarkStart w:id="610" w:name="_Toc50"/>
      <w:r>
        <w:t>التاسع‌ : الحقیقة الشرعیّة</w:t>
      </w:r>
      <w:bookmarkEnd w:id="610"/>
    </w:p>
    <w:p>
      <w:pPr>
        <w:pStyle w:val="Heading6"/>
      </w:pPr>
      <w:bookmarkStart w:id="611" w:name="_Toc51"/>
      <w:r>
        <w:t>اشارة</w:t>
      </w:r>
      <w:bookmarkEnd w:id="611"/>
    </w:p>
    <w:p>
      <w:pPr>
        <w:pStyle w:val="BookText"/>
      </w:pPr>
      <w:r>
        <w:rPr>
          <w:rFonts w:ascii="IRNazanin" w:hAnsi="IRNazanin" w:eastAsia="IRNazanin" w:cs="IRNazanin"/>
          <w:lang w:bidi="fa-IR"/>
          <w:color w:val="111111"/>
          <w:sz w:val="28"/>
          <w:szCs w:val="28"/>
          <w:rtl/>
        </w:rPr>
        <w:t xml:space="preserve">أنّه اختلفوا فی ثبوت الحقیقة الشرعیّة وعدمه علی أقوال .</w:t>
      </w:r>
    </w:p>
    <w:p>
      <w:pPr>
        <w:pStyle w:val="Heading6"/>
      </w:pPr>
      <w:bookmarkStart w:id="612" w:name="_Toc52"/>
      <w:r>
        <w:t>أقسام الوضع‌التعیینی</w:t>
      </w:r>
      <w:bookmarkEnd w:id="612"/>
    </w:p>
    <w:p>
      <w:pPr>
        <w:pStyle w:val="BookText"/>
      </w:pPr>
      <w:r>
        <w:rPr>
          <w:rFonts w:ascii="IRNazanin" w:hAnsi="IRNazanin" w:eastAsia="IRNazanin" w:cs="IRNazanin"/>
          <w:lang w:bidi="fa-IR"/>
          <w:color w:val="111111"/>
          <w:sz w:val="28"/>
          <w:szCs w:val="28"/>
          <w:rtl/>
        </w:rPr>
        <w:t xml:space="preserve">وقبل الخوض فی تحقیق الحال لا بأس بتمهید مقالٍ ، وهو: أنّ الوضع التعیینیّ کما یحصل بالتصریح بإنشائه ، کذلک یحصل باستعمال اللفظ فی غیر ما وضع له کما إذا وضع له ، بأن یقصد الحکایة عنه والدلالة علیه بنفسه لا بالقرینة ، وإن کان لابدّ حینئذٍ من نصب قرینةٍ ، إلّاأنّه للدلالة علی ذلک ، لا علی إرادة المعنی کما فی المجاز ، فافهم .</w:t>
      </w:r>
    </w:p>
    <w:p>
      <w:pPr>
        <w:pStyle w:val="BookText"/>
      </w:pPr>
      <w:r>
        <w:rPr>
          <w:rFonts w:ascii="IRNazanin" w:hAnsi="IRNazanin" w:eastAsia="IRNazanin" w:cs="IRNazanin"/>
          <w:lang w:bidi="fa-IR"/>
          <w:color w:val="111111"/>
          <w:sz w:val="28"/>
          <w:szCs w:val="28"/>
          <w:rtl/>
        </w:rPr>
        <w:t xml:space="preserve">وکون استعمال اللفظ فیه کذلک فی غیر ما وضع له - بلا مراعاة ما اعتبر فی المجاز فلا یکون بحقیقة ولا مجاز - غیرُ ضائرٍ ، بعدَ ما کان ممّا یقبله الطبع ولا یستنکره . وقد عرفت سابقاً </w:t>
      </w:r>
      <w:r>
        <w:rPr>
          <w:rStyle w:val="FootnoteReference"/>
        </w:rPr>
        <w:footnoteReference w:id="49"/>
      </w:r>
      <w:r>
        <w:rPr>
          <w:rFonts w:ascii="IRNazanin" w:hAnsi="IRNazanin" w:eastAsia="IRNazanin" w:cs="IRNazanin"/>
          <w:lang w:bidi="fa-IR"/>
          <w:color w:val="111111"/>
          <w:sz w:val="28"/>
          <w:szCs w:val="28"/>
          <w:rtl/>
        </w:rPr>
        <w:t xml:space="preserve">أنّه فی الاستعمالات الشائعة فی المحاورات ما لیس بحقیقة ولا مجاز .</w:t>
      </w:r>
    </w:p>
    <w:p>
      <w:pPr>
        <w:pStyle w:val="Heading6"/>
      </w:pPr>
      <w:bookmarkStart w:id="613" w:name="_Toc53"/>
      <w:r>
        <w:t>ثبوت الحقیقةالشرعیّة</w:t>
      </w:r>
      <w:bookmarkEnd w:id="6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هذا ، فدعوی الوضع التعیینیّ فی الألفاظ المتداولة فی لسان الشارع هکذا قریبةٌ جدّاً ، ومدّعی القطع به غیر مجازف قطعاً .</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علیه تبادر المعانی الشرعیّة منها فی محاوراته .</w:t>
      </w:r>
    </w:p>
    <w:p>
      <w:pPr>
        <w:pStyle w:val="BookText"/>
      </w:pPr>
      <w:r>
        <w:rPr>
          <w:rFonts w:ascii="IRNazanin" w:hAnsi="IRNazanin" w:eastAsia="IRNazanin" w:cs="IRNazanin"/>
          <w:lang w:bidi="fa-IR"/>
          <w:color w:val="111111"/>
          <w:sz w:val="28"/>
          <w:szCs w:val="28"/>
          <w:rtl/>
        </w:rPr>
        <w:t xml:space="preserve">ویؤیّد ذلک : أنّه ربما لا تکون علاقة معتبرة بین المعانی الشرعیّة واللغویّة ، فأیّ علاقة بین الصّلاة شرعاً والصّلاة بمعنی الدعاء </w:t>
      </w:r>
      <w:r>
        <w:rPr>
          <w:rStyle w:val="FootnoteReference"/>
        </w:rPr>
        <w:footnoteReference w:id="50"/>
      </w:r>
      <w:r>
        <w:rPr>
          <w:rFonts w:ascii="IRNazanin" w:hAnsi="IRNazanin" w:eastAsia="IRNazanin" w:cs="IRNazanin"/>
          <w:lang w:bidi="fa-IR"/>
          <w:color w:val="111111"/>
          <w:sz w:val="28"/>
          <w:szCs w:val="28"/>
          <w:rtl/>
        </w:rPr>
        <w:t xml:space="preserve">؟ ومجرّد اشتمال الصّلاة علی الدعاء لا یوجب ثبوت ما یعتبر من علاقة الجزء والکلّ بینهما ، کما لا یخفی .</w:t>
      </w:r>
    </w:p>
    <w:p>
      <w:pPr>
        <w:pStyle w:val="BookText"/>
      </w:pPr>
      <w:r>
        <w:rPr>
          <w:rFonts w:ascii="IRNazanin" w:hAnsi="IRNazanin" w:eastAsia="IRNazanin" w:cs="IRNazanin"/>
          <w:lang w:bidi="fa-IR"/>
          <w:color w:val="111111"/>
          <w:sz w:val="28"/>
          <w:szCs w:val="28"/>
          <w:rtl/>
        </w:rPr>
        <w:t xml:space="preserve">هذا کلّه بناءً علی کون معانیها مستحدثة فی شرعنا .</w:t>
      </w:r>
    </w:p>
    <w:p>
      <w:pPr>
        <w:pStyle w:val="BookText"/>
      </w:pPr>
      <w:r>
        <w:rPr>
          <w:rFonts w:ascii="Amiri" w:hAnsi="Amiri" w:eastAsia="Amiri" w:cs="Amiri"/>
          <w:lang w:bidi="ar-SA"/>
          <w:color w:val="111111"/>
          <w:sz w:val="28"/>
          <w:szCs w:val="28"/>
          <w:rtl/>
        </w:rPr>
        <w:t xml:space="preserve">وأمّا بناءً علی کونها ثابتة فی الشرائع السابقة - کما هو قضیّة غیر واحدٍ من الآیات ، مثل قوله تعالی : «کُتِبَ عَلَیْکُمُ الصِّیٰامُ کَمٰا کُتِبَ عَلَی الَّذِینَ مِنْ قَبْلِکُمْ » </w:t>
      </w:r>
      <w:r>
        <w:rPr>
          <w:rStyle w:val="FootnoteReference"/>
        </w:rPr>
        <w:footnoteReference w:id="51"/>
      </w:r>
      <w:r>
        <w:rPr>
          <w:rFonts w:ascii="Amiri" w:hAnsi="Amiri" w:eastAsia="Amiri" w:cs="Amiri"/>
          <w:lang w:bidi="ar-SA"/>
          <w:color w:val="111111"/>
          <w:sz w:val="28"/>
          <w:szCs w:val="28"/>
          <w:rtl/>
        </w:rPr>
        <w:t xml:space="preserve">، وقوله تعالی : «وَ أَذِّنْ فِی النّٰاسِ بِالْحَجِّ » </w:t>
      </w:r>
      <w:r>
        <w:rPr>
          <w:rStyle w:val="FootnoteReference"/>
        </w:rPr>
        <w:footnoteReference w:id="52"/>
      </w:r>
      <w:r>
        <w:rPr>
          <w:rFonts w:ascii="Amiri" w:hAnsi="Amiri" w:eastAsia="Amiri" w:cs="Amiri"/>
          <w:lang w:bidi="ar-SA"/>
          <w:color w:val="111111"/>
          <w:sz w:val="28"/>
          <w:szCs w:val="28"/>
          <w:rtl/>
        </w:rPr>
        <w:t xml:space="preserve">، وقوله تعالی: « وَ أَوْصٰانِی بِالصَّلاٰةِ وَ الزَّکٰاةِ مٰا دُمْتُ حَیًّا » </w:t>
      </w:r>
      <w:r>
        <w:rPr>
          <w:rStyle w:val="FootnoteReference"/>
        </w:rPr>
        <w:footnoteReference w:id="53"/>
      </w:r>
      <w:r>
        <w:rPr>
          <w:rFonts w:ascii="IRNazanin" w:hAnsi="IRNazanin" w:eastAsia="IRNazanin" w:cs="IRNazanin"/>
          <w:lang w:bidi="fa-IR"/>
          <w:color w:val="111111"/>
          <w:sz w:val="28"/>
          <w:szCs w:val="28"/>
          <w:rtl/>
        </w:rPr>
        <w:t xml:space="preserve">... إلی غیر ذلک - فألفاظها حقائق لغویّة لا شرعیّة .</w:t>
      </w:r>
    </w:p>
    <w:p>
      <w:pPr>
        <w:pStyle w:val="BookText"/>
      </w:pPr>
      <w:r>
        <w:rPr>
          <w:rFonts w:ascii="IRNazanin" w:hAnsi="IRNazanin" w:eastAsia="IRNazanin" w:cs="IRNazanin"/>
          <w:lang w:bidi="fa-IR"/>
          <w:color w:val="111111"/>
          <w:sz w:val="28"/>
          <w:szCs w:val="28"/>
          <w:rtl/>
        </w:rPr>
        <w:t xml:space="preserve">واختلاف الشرائع فیها جزءاً وشرطاً لا یوجب اختلافها فی الحقیقة والماهیّة ؛ إذ لعلّه کان من قبیل الاختلاف فی المصادیق والمحقّقات ، کاختلافها بحسب الحالات فی شَرْعِنا ، کما لا یخفی .</w:t>
      </w:r>
    </w:p>
    <w:p>
      <w:pPr>
        <w:pStyle w:val="BookText"/>
      </w:pPr>
      <w:r>
        <w:rPr>
          <w:rFonts w:ascii="IRNazanin" w:hAnsi="IRNazanin" w:eastAsia="IRNazanin" w:cs="IRNazanin"/>
          <w:lang w:bidi="fa-IR"/>
          <w:color w:val="111111"/>
          <w:sz w:val="28"/>
          <w:szCs w:val="28"/>
          <w:rtl/>
        </w:rPr>
        <w:t xml:space="preserve">ثمّ لا یذهب علیک أنّه مع هذا الاحتمال لا مجال لدعوی الوثوق - فضلاً عن القطع - بکونها حقائق شرعیّة ، ولا لتوهُّم دلالة الوجوه التی ذکروها علی ثبوتها ، لو سلِّم دلالتها علی الثبوت لولاه .</w:t>
      </w:r>
    </w:p>
    <w:p>
      <w:pPr>
        <w:pStyle w:val="BookText"/>
      </w:pPr>
      <w:r>
        <w:rPr>
          <w:rFonts w:ascii="IRNazanin" w:hAnsi="IRNazanin" w:eastAsia="IRNazanin" w:cs="IRNazanin"/>
          <w:lang w:bidi="fa-IR"/>
          <w:color w:val="111111"/>
          <w:sz w:val="28"/>
          <w:szCs w:val="28"/>
          <w:rtl/>
        </w:rPr>
        <w:t xml:space="preserve">ومنه قد انقدح حال دعوی الوضع التعیّنیّ معه .</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4419_166739"/>
    <w:bookmarkEnd w:id="21"/>
    <w:p>
      <w:pPr>
        <w:pStyle w:val="BookText"/>
      </w:pPr>
      <w:r>
        <w:rPr>
          <w:rFonts w:ascii="IRNazanin" w:hAnsi="IRNazanin" w:eastAsia="IRNazanin" w:cs="IRNazanin"/>
          <w:lang w:bidi="fa-IR"/>
          <w:color w:val="111111"/>
          <w:sz w:val="28"/>
          <w:szCs w:val="28"/>
          <w:rtl/>
        </w:rPr>
        <w:t xml:space="preserve">ومع الغضّ عنه ، فالإنصاف : أنّ منع حصوله فی زمان الشارع فی لسانه ولسان تابعیه مکابرةٌ . نعم ، حصوله فی خصوص لسانه ممنوع ، فتأمّل .</w:t>
      </w:r>
    </w:p>
    <w:p>
      <w:pPr>
        <w:pStyle w:val="Heading6"/>
      </w:pPr>
      <w:bookmarkStart w:id="614" w:name="_Toc54"/>
      <w:r>
        <w:t>ثمرة البحث</w:t>
      </w:r>
      <w:bookmarkEnd w:id="6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الثمرة بین القولین ، فتظهر فی لزوم حمل الألفاظ الواقعة فی کلام الشارع - بلا قرینة - ، علی معانیها اللغویّة مع عدم الثبوت ، وعلی معانیها الشرعیّة علی الثبوت ، فی ما إذا علم تأخّر الاستعمال .</w:t>
      </w:r>
    </w:p>
    <w:p>
      <w:pPr>
        <w:pStyle w:val="BookText"/>
      </w:pPr>
      <w:r>
        <w:rPr>
          <w:rFonts w:ascii="IRNazanin" w:hAnsi="IRNazanin" w:eastAsia="IRNazanin" w:cs="IRNazanin"/>
          <w:lang w:bidi="fa-IR"/>
          <w:color w:val="111111"/>
          <w:sz w:val="28"/>
          <w:szCs w:val="28"/>
          <w:rtl/>
        </w:rPr>
        <w:t xml:space="preserve">وفی ما إذا جهل التأریخ ففیه إشکال . وأصالة تأخّر الاستعمال - مع معارضتها بأصالة تأخّر الوضع - لا دلیل علی اعتبارها تعبّداً إلّاعلی القول بالأصل المثبت . ولم یثبت بناءٌ من العقلاء علی التأخّر مع الشّک . وأصالةُ عدم النقل إنّما کانت معتبرة فی ما إذا شکّ فی أصل النقل ، لا فی تأخّره ، فتأمّل .</w:t>
      </w:r>
    </w:p>
    <w:p>
      <w:pPr>
        <w:pStyle w:val="Heading6"/>
      </w:pPr>
      <w:bookmarkStart w:id="615" w:name="_Toc55"/>
      <w:r>
        <w:t>العاشر : الصحیح والأعمّ</w:t>
      </w:r>
      <w:bookmarkEnd w:id="615"/>
    </w:p>
    <w:p>
      <w:pPr>
        <w:pStyle w:val="Heading6"/>
      </w:pPr>
      <w:bookmarkStart w:id="616" w:name="_Toc56"/>
      <w:r>
        <w:t>اشارة</w:t>
      </w:r>
      <w:bookmarkEnd w:id="616"/>
    </w:p>
    <w:p>
      <w:pPr>
        <w:pStyle w:val="BookText"/>
      </w:pPr>
      <w:r>
        <w:rPr>
          <w:rFonts w:ascii="IRNazanin" w:hAnsi="IRNazanin" w:eastAsia="IRNazanin" w:cs="IRNazanin"/>
          <w:lang w:bidi="fa-IR"/>
          <w:color w:val="111111"/>
          <w:sz w:val="28"/>
          <w:szCs w:val="28"/>
          <w:rtl/>
        </w:rPr>
        <w:t xml:space="preserve">أنّه وقع الخلاف فی أنّ ألفاظ العبادات أسامٍ لخصوص الصحیحة ، أو للأعمّ منها ؟</w:t>
      </w:r>
    </w:p>
    <w:p>
      <w:pPr>
        <w:pStyle w:val="Heading6"/>
      </w:pPr>
      <w:bookmarkStart w:id="617" w:name="_Toc57"/>
      <w:r>
        <w:t>تقدیم أُمور :</w:t>
      </w:r>
      <w:bookmarkEnd w:id="617"/>
    </w:p>
    <w:p>
      <w:pPr>
        <w:pStyle w:val="Heading6"/>
      </w:pPr>
      <w:bookmarkStart w:id="618" w:name="_Toc58"/>
      <w:r>
        <w:t>اشارة</w:t>
      </w:r>
      <w:bookmarkEnd w:id="618"/>
    </w:p>
    <w:p>
      <w:pPr>
        <w:pStyle w:val="BookText"/>
      </w:pPr>
      <w:r>
        <w:rPr>
          <w:rFonts w:ascii="IRNazanin" w:hAnsi="IRNazanin" w:eastAsia="IRNazanin" w:cs="IRNazanin"/>
          <w:lang w:bidi="fa-IR"/>
          <w:color w:val="111111"/>
          <w:sz w:val="28"/>
          <w:szCs w:val="28"/>
          <w:rtl/>
        </w:rPr>
        <w:t xml:space="preserve">وقبل الخوض فی ذکر أدلّة القولین یذکر أُمور:</w:t>
      </w:r>
    </w:p>
    <w:p>
      <w:pPr>
        <w:pStyle w:val="Heading6"/>
      </w:pPr>
      <w:bookmarkStart w:id="619" w:name="_Toc59"/>
      <w:r>
        <w:t>الأمر الأول :تصویر النزاع‌علی القول‌بثبوت الحقیقةالشرعیة وعدمه</w:t>
      </w:r>
      <w:bookmarkEnd w:id="619"/>
    </w:p>
    <w:p>
      <w:pPr>
        <w:pStyle w:val="Heading6"/>
      </w:pPr>
      <w:bookmarkStart w:id="620" w:name="_Toc60"/>
      <w:r>
        <w:t>اشارة</w:t>
      </w:r>
      <w:bookmarkEnd w:id="620"/>
    </w:p>
    <w:p>
      <w:pPr>
        <w:pStyle w:val="BookText"/>
      </w:pPr>
      <w:r>
        <w:rPr>
          <w:rFonts w:ascii="IRNazanin" w:hAnsi="IRNazanin" w:eastAsia="IRNazanin" w:cs="IRNazanin"/>
          <w:lang w:bidi="fa-IR"/>
          <w:color w:val="111111"/>
          <w:sz w:val="28"/>
          <w:szCs w:val="28"/>
          <w:rtl/>
        </w:rPr>
        <w:t xml:space="preserve">منها: أنّه لا شبهة فی تأتّی الخلاف علی القول بثبوت الحقیقة الشرعیّة .</w:t>
      </w:r>
    </w:p>
    <w:p>
      <w:pPr>
        <w:pStyle w:val="BookText"/>
      </w:pPr>
      <w:r>
        <w:rPr>
          <w:rFonts w:ascii="IRNazanin" w:hAnsi="IRNazanin" w:eastAsia="IRNazanin" w:cs="IRNazanin"/>
          <w:lang w:bidi="fa-IR"/>
          <w:color w:val="111111"/>
          <w:sz w:val="28"/>
          <w:szCs w:val="28"/>
          <w:rtl/>
        </w:rPr>
        <w:t xml:space="preserve">وفی جریانه علی القول بالعدم إشکالٌ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وغایة ما یمکن أن یقال فی تصویره </w:t>
      </w:r>
      <w:r>
        <w:rPr>
          <w:rStyle w:val="FootnoteReference"/>
        </w:rPr>
        <w:footnoteReference w:id="54"/>
      </w:r>
      <w:r>
        <w:rPr>
          <w:rFonts w:ascii="IRNazanin" w:hAnsi="IRNazanin" w:eastAsia="IRNazanin" w:cs="IRNazanin"/>
          <w:lang w:bidi="fa-IR"/>
          <w:color w:val="111111"/>
          <w:sz w:val="28"/>
          <w:szCs w:val="28"/>
          <w:rtl/>
        </w:rPr>
        <w:t xml:space="preserve">: أنّ النزاع وقع - علی هذا - فی أنّ الأصل فی هذه الألفاظ المستعملة مجازاً فی کلام الشارع ، هو استعمالها فی</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4419_166740"/>
    <w:bookmarkEnd w:id="22"/>
    <w:p>
      <w:pPr>
        <w:pStyle w:val="BookText"/>
      </w:pPr>
      <w:r>
        <w:rPr>
          <w:rFonts w:ascii="IRNazanin" w:hAnsi="IRNazanin" w:eastAsia="IRNazanin" w:cs="IRNazanin"/>
          <w:lang w:bidi="fa-IR"/>
          <w:color w:val="111111"/>
          <w:sz w:val="28"/>
          <w:szCs w:val="28"/>
          <w:rtl/>
        </w:rPr>
        <w:t xml:space="preserve">خصوص الصحیحة أو الأعمّ ، بمعنی أنّ أیّهما قد اعتبرت العلاقة بینه وبین المعانی اللغویّة ابتداءً ، وقد استعمل فی الآخر بتبعه ومناسبته ، کی ینزّل کلامِه علیه مع القرینة الصارفة عن المعانی اللغویّة ، وعدم قرینةٍ أُخری معیّنةٍ للآخَر</w:t>
      </w:r>
    </w:p>
    <w:p>
      <w:pPr>
        <w:pStyle w:val="Heading6"/>
      </w:pPr>
      <w:bookmarkStart w:id="621" w:name="_Toc61"/>
      <w:r>
        <w:t>الإشکال إثباتاًفی تصویرالنزاع بناءًعلی عدم القول بالحقیقة الشرعیة</w:t>
      </w:r>
      <w:bookmarkEnd w:id="621"/>
    </w:p>
    <w:p>
      <w:pPr>
        <w:pStyle w:val="BookText"/>
      </w:pPr>
      <w:r>
        <w:rPr>
          <w:rFonts w:ascii="IRNazanin" w:hAnsi="IRNazanin" w:eastAsia="IRNazanin" w:cs="IRNazanin"/>
          <w:lang w:bidi="fa-IR"/>
          <w:color w:val="111111"/>
          <w:sz w:val="28"/>
          <w:szCs w:val="28"/>
          <w:rtl/>
        </w:rPr>
        <w:t xml:space="preserve">وأنت خبیر بأنّه لا یکاد یصحّ هذا إلّاإذا علم أنّ العلاقة إنّما اعتبرت کذلک ، وأنّ بناء الشارع فی محاوراته استقرّ - عند عدم نصب قرینة أُخری - علی إرادته ، بحیث کان هذا قرینة علیه من غیر حاجة إلی قرینة معیّنة أُخری </w:t>
      </w:r>
      <w:r>
        <w:rPr>
          <w:rStyle w:val="FootnoteReference"/>
        </w:rPr>
        <w:footnoteReference w:id="55"/>
      </w:r>
      <w:r>
        <w:rPr>
          <w:rFonts w:ascii="Amiri" w:hAnsi="Amiri" w:eastAsia="Amiri" w:cs="Amiri"/>
          <w:lang w:bidi="ar-SA"/>
          <w:color w:val="111111"/>
          <w:sz w:val="28"/>
          <w:szCs w:val="28"/>
          <w:rtl/>
        </w:rPr>
        <w:t xml:space="preserve">، وأ نّیٰ لهم بإثبات ذلک ؟</w:t>
      </w:r>
    </w:p>
    <w:p>
      <w:pPr>
        <w:pStyle w:val="Heading6"/>
      </w:pPr>
      <w:bookmarkStart w:id="622" w:name="_Toc62"/>
      <w:r>
        <w:t>تصویر النزاع‌علی مسلک‌الباقلّانی</w:t>
      </w:r>
      <w:bookmarkEnd w:id="622"/>
    </w:p>
    <w:p>
      <w:pPr>
        <w:pStyle w:val="BookText"/>
      </w:pPr>
      <w:r>
        <w:rPr>
          <w:rFonts w:ascii="IRNazanin" w:hAnsi="IRNazanin" w:eastAsia="IRNazanin" w:cs="IRNazanin"/>
          <w:lang w:bidi="fa-IR"/>
          <w:color w:val="111111"/>
          <w:sz w:val="28"/>
          <w:szCs w:val="28"/>
          <w:rtl/>
        </w:rPr>
        <w:t xml:space="preserve">وقد انقدح بما ذکرنا تصویرُ النزاع علی ما نُسب إلی الباقلّانیّ </w:t>
      </w:r>
      <w:r>
        <w:rPr>
          <w:rStyle w:val="FootnoteReference"/>
        </w:rPr>
        <w:footnoteReference w:id="56"/>
      </w:r>
      <w:r>
        <w:rPr>
          <w:rFonts w:ascii="IRNazanin" w:hAnsi="IRNazanin" w:eastAsia="IRNazanin" w:cs="IRNazanin"/>
          <w:lang w:bidi="fa-IR"/>
          <w:color w:val="111111"/>
          <w:sz w:val="28"/>
          <w:szCs w:val="28"/>
          <w:rtl/>
        </w:rPr>
        <w:t xml:space="preserve">، وذلک بأن یکون النزاع فی أنّ قضیّة القرینة المضبوطة - الّتی لا یتعدّی عنها إلّا بالاُخری ، الدالّة علی أجزاء المأمور به وشرائطه - هو تمام الأجزاء والشرائط ، أو هما فی الجملة ، فلا تغفل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6"/>
      </w:pPr>
      <w:bookmarkStart w:id="623" w:name="_Toc63"/>
      <w:r>
        <w:t>الأمر الثانی :معنی الصحّة</w:t>
      </w:r>
      <w:bookmarkEnd w:id="623"/>
    </w:p>
    <w:p>
      <w:pPr>
        <w:pStyle w:val="BookText"/>
      </w:pPr>
      <w:r>
        <w:rPr>
          <w:rFonts w:ascii="IRNazanin" w:hAnsi="IRNazanin" w:eastAsia="IRNazanin" w:cs="IRNazanin"/>
          <w:lang w:bidi="fa-IR"/>
          <w:color w:val="111111"/>
          <w:sz w:val="28"/>
          <w:szCs w:val="28"/>
          <w:rtl/>
        </w:rPr>
        <w:t xml:space="preserve">ومنها: أنّ الظاهر أنّ الصحّة عند الکلّ بمعنی واحد ، وهو التمامیّة .</w:t>
      </w:r>
    </w:p>
    <w:p>
      <w:pPr>
        <w:pStyle w:val="BookText"/>
      </w:pPr>
      <w:r>
        <w:rPr>
          <w:rFonts w:ascii="IRNazanin" w:hAnsi="IRNazanin" w:eastAsia="IRNazanin" w:cs="IRNazanin"/>
          <w:lang w:bidi="fa-IR"/>
          <w:color w:val="111111"/>
          <w:sz w:val="28"/>
          <w:szCs w:val="28"/>
          <w:rtl/>
        </w:rPr>
        <w:t xml:space="preserve">وتفسیرها بإسقاط القضاء - کما عن الفقهاء - ، أو بموافقة الشریعة - کما عن المتکلّمین - ، أو غیر ذلک ، إنّما هو بالمهمّ من لوازمها </w:t>
      </w:r>
      <w:r>
        <w:rPr>
          <w:rStyle w:val="FootnoteReference"/>
        </w:rPr>
        <w:footnoteReference w:id="58"/>
      </w:r>
      <w:r>
        <w:rPr>
          <w:rFonts w:ascii="IRNazanin" w:hAnsi="IRNazanin" w:eastAsia="IRNazanin" w:cs="IRNazanin"/>
          <w:lang w:bidi="fa-IR"/>
          <w:color w:val="111111"/>
          <w:sz w:val="28"/>
          <w:szCs w:val="28"/>
          <w:rtl/>
        </w:rPr>
        <w:t xml:space="preserve">؛ لوضوح اختلافه بحسب اختلاف الأنظار . وهذا لا یوجب تعدُّدَ المعنی ، کما لا یوجبه اختلافها بحسب الحالات من السفر والحضر ، والاختیار والاضطرار إلی غیر ذلک ، کما لا یخفی .</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4419_166741"/>
    <w:bookmarkEnd w:id="23"/>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ومنه ینقدح: أنّ الصحّة والفساد أمران إضافیّان ، فیختلف شیءٌ واحدٌ صحّةً وفساداً بحسب الحالات ، فیکون تامّاً بحسب حالةٍ ، وفاسداً بحسب أُخری ، فتدبّر جیّداً .</w:t>
      </w:r>
    </w:p>
    <w:p>
      <w:pPr>
        <w:pStyle w:val="Heading6"/>
      </w:pPr>
      <w:bookmarkStart w:id="624" w:name="_Toc64"/>
      <w:r>
        <w:t>الأمر الثالث : لزوم</w:t>
      </w:r>
      <w:bookmarkEnd w:id="624"/>
    </w:p>
    <w:p>
      <w:pPr>
        <w:pStyle w:val="Heading6"/>
      </w:pPr>
      <w:bookmarkStart w:id="625" w:name="_Toc65"/>
      <w:r>
        <w:t>تصویر الجامع‌علی القولین</w:t>
      </w:r>
      <w:bookmarkEnd w:id="625"/>
    </w:p>
    <w:p>
      <w:pPr>
        <w:pStyle w:val="BookText"/>
      </w:pPr>
      <w:r>
        <w:rPr>
          <w:rFonts w:ascii="IRNazanin" w:hAnsi="IRNazanin" w:eastAsia="IRNazanin" w:cs="IRNazanin"/>
          <w:lang w:bidi="fa-IR"/>
          <w:color w:val="111111"/>
          <w:sz w:val="28"/>
          <w:szCs w:val="28"/>
          <w:rtl/>
        </w:rPr>
        <w:t xml:space="preserve">ومنها: أنّه لابدّ علی کلا القولین من قدر جامع فی البین ، کان هو المسمّی بلفظ کذا .</w:t>
      </w:r>
    </w:p>
    <w:p>
      <w:pPr>
        <w:pStyle w:val="Heading6"/>
      </w:pPr>
      <w:bookmarkStart w:id="626" w:name="_Toc66"/>
      <w:r>
        <w:t>تصویر الجامع‌علی القول‌بالصحیح</w:t>
      </w:r>
      <w:bookmarkEnd w:id="626"/>
    </w:p>
    <w:p>
      <w:pPr>
        <w:pStyle w:val="BookText"/>
      </w:pPr>
      <w:r>
        <w:rPr>
          <w:rFonts w:ascii="IRNazanin" w:hAnsi="IRNazanin" w:eastAsia="IRNazanin" w:cs="IRNazanin"/>
          <w:lang w:bidi="fa-IR"/>
          <w:color w:val="111111"/>
          <w:sz w:val="28"/>
          <w:szCs w:val="28"/>
          <w:rtl/>
        </w:rPr>
        <w:t xml:space="preserve">ولا إشکال فی وجوده بین الأفراد الصحیحة ، وإمکان الإشارة إلیه بخواصّها وآثارها ؛ فإنّ الاشتراک فی الأثر کاشفٌ عن الاشتراک فی جامعٍ واحدٍ ، یؤثّر الکلُّ فیه بذاک الجامع ، فیصحّ تصویر المسمّی بلفظ الصلاة - مثلاً - ب « الناهیة عن الفحشاء » وما هو « معراج المؤمن » ونحوهما .</w:t>
      </w:r>
    </w:p>
    <w:p>
      <w:pPr>
        <w:pStyle w:val="Heading6"/>
      </w:pPr>
      <w:bookmarkStart w:id="627" w:name="_Toc67"/>
      <w:r>
        <w:t>إشکال الشیخ‌الأعظم علی‌تصویر الجامع</w:t>
      </w:r>
      <w:bookmarkEnd w:id="627"/>
    </w:p>
    <w:p>
      <w:pPr>
        <w:pStyle w:val="BookText"/>
      </w:pPr>
      <w:r>
        <w:rPr>
          <w:rFonts w:ascii="IRNazanin" w:hAnsi="IRNazanin" w:eastAsia="IRNazanin" w:cs="IRNazanin"/>
          <w:lang w:bidi="fa-IR"/>
          <w:color w:val="111111"/>
          <w:sz w:val="28"/>
          <w:szCs w:val="28"/>
          <w:rtl/>
        </w:rPr>
        <w:t xml:space="preserve">والإشکال فیه </w:t>
      </w:r>
      <w:r>
        <w:rPr>
          <w:rStyle w:val="FootnoteReference"/>
        </w:rPr>
        <w:footnoteReference w:id="59"/>
      </w:r>
      <w:r>
        <w:rPr>
          <w:rFonts w:ascii="Amiri" w:hAnsi="Amiri" w:eastAsia="Amiri" w:cs="Amiri"/>
          <w:lang w:bidi="ar-SA"/>
          <w:color w:val="111111"/>
          <w:sz w:val="28"/>
          <w:szCs w:val="28"/>
          <w:rtl/>
        </w:rPr>
        <w:t xml:space="preserve">: بأنّ الجامع لا یکاد یکون أمراً مرکّباً ؛ إذ کلّ ما فُرض جامعاً ، یمکن أن یکون صحیحاً وفاسداً ؛ لما عرفت </w:t>
      </w:r>
      <w:r>
        <w:rPr>
          <w:rStyle w:val="FootnoteReference"/>
        </w:rPr>
        <w:footnoteReference w:id="60"/>
      </w:r>
      <w:r>
        <w:rPr>
          <w:rFonts w:ascii="IRNazanin" w:hAnsi="IRNazanin" w:eastAsia="IRNazanin" w:cs="IRNazanin"/>
          <w:lang w:bidi="fa-IR"/>
          <w:color w:val="111111"/>
          <w:sz w:val="28"/>
          <w:szCs w:val="28"/>
          <w:rtl/>
        </w:rPr>
        <w:t xml:space="preserve">، ولا أمراً بسیطاً ؛ لأنّه لا یخلو : إمّا أن یکون هو عنوان المطلوب ، أو ملزوماً مساویاً له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والأوّل غیر معقول ؛ لبداهة استحالة أخذ ما لا یتأ تّی إلّامن قِبَل الطلب فی متعلّقه ، مع لزوم الترادف بین لفظة « الصّلاة » و « المطلوب » ، وعدمِ جریان البراءة مع الشّک فی أجزاء العبادات وشرائطها ؛ لعدم الإجمال حینئذٍ فی المأمور به فیها ، وإنّما الإجمال فی ما یتحقّق به ، وفی مثله لا مجال لها - کما حقّق فی محلّه - مع أنّ المشهور القائلین بالصحیح قائلون بها فی الشکّ فیها .</w:t>
      </w:r>
    </w:p>
    <w:p>
      <w:pPr>
        <w:pStyle w:val="BookText"/>
      </w:pPr>
      <w:r>
        <w:rPr>
          <w:rFonts w:ascii="IRNazanin" w:hAnsi="IRNazanin" w:eastAsia="IRNazanin" w:cs="IRNazanin"/>
          <w:lang w:bidi="fa-IR"/>
          <w:color w:val="111111"/>
          <w:sz w:val="28"/>
          <w:szCs w:val="28"/>
          <w:rtl/>
        </w:rPr>
        <w:t xml:space="preserve">و بهذا یشکل لو کان البسیط هو ملزوم المطلوب أیضاً .</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4419_166742"/>
    <w:bookmarkEnd w:id="24"/>
    <w:p>
      <w:pPr>
        <w:pStyle w:val="Heading6"/>
      </w:pPr>
      <w:bookmarkStart w:id="628" w:name="_Toc68"/>
      <w:r>
        <w:t>الجواب عن‌الإشکال</w:t>
      </w:r>
      <w:bookmarkEnd w:id="628"/>
    </w:p>
    <w:p>
      <w:pPr>
        <w:pStyle w:val="BookText"/>
      </w:pPr>
      <w:r>
        <w:rPr>
          <w:rFonts w:ascii="Amiri" w:hAnsi="Amiri" w:eastAsia="Amiri" w:cs="Amiri"/>
          <w:lang w:bidi="ar-SA"/>
          <w:color w:val="111111"/>
          <w:sz w:val="28"/>
          <w:szCs w:val="28"/>
          <w:rtl/>
        </w:rPr>
        <w:t xml:space="preserve">مدفوع : بأنّ الجامع إنّما هو مفهومٌ واحدٌ منتزعٌ عن هذه المرکّبات المختلفة - زیادةً ونقیصةً بحسب اختلاف الحالات - ، متّحدٌ معها نحوَ اتّحادٍ ، وفی مثله تجری البراءة ، وإنّما لا تجری فی ما إذا کان المأمور به أمراً واحداً خارجیّاً ، مسبّباً عن مرکّبٍ مردّدٍ بین الأقلّ والأکثر ، کالطهارة المسبَّبة عن الغُسل والوضوء فی ما إذا شُکّ فی أجزائهما .</w:t>
      </w:r>
    </w:p>
    <w:p>
      <w:pPr>
        <w:pStyle w:val="BookText"/>
      </w:pPr>
      <w:r>
        <w:rPr>
          <w:rFonts w:ascii="IRNazanin" w:hAnsi="IRNazanin" w:eastAsia="IRNazanin" w:cs="IRNazanin"/>
          <w:lang w:bidi="fa-IR"/>
          <w:color w:val="111111"/>
          <w:sz w:val="28"/>
          <w:szCs w:val="28"/>
          <w:rtl/>
        </w:rPr>
        <w:t xml:space="preserve">هذا علی الصحیح .</w:t>
      </w:r>
    </w:p>
    <w:p>
      <w:pPr>
        <w:pStyle w:val="Heading6"/>
      </w:pPr>
      <w:bookmarkStart w:id="629" w:name="_Toc69"/>
      <w:r>
        <w:t>وجوه تصویرالجامع علی‌القول بالأعم‌والمناقشة فیها</w:t>
      </w:r>
      <w:bookmarkEnd w:id="629"/>
    </w:p>
    <w:p>
      <w:pPr>
        <w:pStyle w:val="Heading6"/>
      </w:pPr>
      <w:bookmarkStart w:id="630" w:name="_Toc70"/>
      <w:r>
        <w:t>اشارة</w:t>
      </w:r>
      <w:bookmarkEnd w:id="6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علی الأعمّ ، فتصویر الجامع فی غایة الإشکال ، فما قیل فی تصویره أو یقال وجوه:</w:t>
      </w:r>
    </w:p>
    <w:p>
      <w:pPr>
        <w:pStyle w:val="Heading6"/>
      </w:pPr>
      <w:bookmarkStart w:id="631" w:name="_Toc71"/>
      <w:r>
        <w:t>1 - الجامع هوجملة من أجزاءالعبادة</w:t>
      </w:r>
      <w:bookmarkEnd w:id="631"/>
    </w:p>
    <w:p>
      <w:pPr>
        <w:pStyle w:val="BookText"/>
      </w:pPr>
      <w:r>
        <w:rPr>
          <w:rFonts w:ascii="IRNazanin" w:hAnsi="IRNazanin" w:eastAsia="IRNazanin" w:cs="IRNazanin"/>
          <w:lang w:bidi="fa-IR"/>
          <w:color w:val="111111"/>
          <w:sz w:val="28"/>
          <w:szCs w:val="28"/>
          <w:rtl/>
        </w:rPr>
        <w:t xml:space="preserve">أحدها: أن یکون عبارة عن جملةٍ من أجزاء العبادة ، کالأرکان فی الصّلاة - مثلاً - ، وکان الزائد علیها معتبراً فی المأمور به ، لا فی المسمّی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ما لا یخفی ، فإنّ التسمیة بها حقیقةً لا تدور مدارها ؛ ضرورةَ صدق الصّلاة مع الإخلال ببعض الأرکان ، بل وعدم الصدق علیها مع الإخلال بسائر الأجزاء والشرائط عند الأعمیّ ، مع أنّه یلزم أن یکون الاستعمال فی ما هو المأمور به - بأجزائه وشرائطه - مجازاً عنده ، وکان من باب استعمال اللفظ الموضوع للجزء فی الکلّ ، لا من باب إطلاق الکلّیّ علی الفرد والجزئیّ - کما هو واضح - ، ولا یلتزم به القائل بالأعمّ ، فافهم .</w:t>
      </w:r>
    </w:p>
    <w:p>
      <w:pPr>
        <w:pStyle w:val="Heading6"/>
      </w:pPr>
      <w:bookmarkStart w:id="632" w:name="_Toc72"/>
      <w:r>
        <w:t>2 - الجامع هومعظم الأجزاء</w:t>
      </w:r>
      <w:bookmarkEnd w:id="632"/>
    </w:p>
    <w:p>
      <w:pPr>
        <w:pStyle w:val="BookText"/>
      </w:pPr>
      <w:r>
        <w:rPr>
          <w:rFonts w:ascii="IRNazanin" w:hAnsi="IRNazanin" w:eastAsia="IRNazanin" w:cs="IRNazanin"/>
          <w:lang w:bidi="fa-IR"/>
          <w:color w:val="111111"/>
          <w:sz w:val="28"/>
          <w:szCs w:val="28"/>
          <w:rtl/>
        </w:rPr>
        <w:t xml:space="preserve">ثانیها: أن تکون موضوعةً لمعظم الأجزاء التی تدور مدارها التسمیة عرفاً؛ فصدق الاسم کذلک یکشف عن وجود المسمّی، وعدم صدقه عن عدمه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4419_166743"/>
    <w:bookmarkEnd w:id="25"/>
    <w:p>
      <w:pPr>
        <w:pStyle w:val="BookText"/>
      </w:pPr>
      <w:r>
        <w:rPr>
          <w:rFonts w:ascii="IRNazanin" w:hAnsi="IRNazanin" w:eastAsia="IRNazanin" w:cs="IRNazanin"/>
          <w:lang w:bidi="fa-IR"/>
          <w:color w:val="111111"/>
          <w:sz w:val="28"/>
          <w:szCs w:val="28"/>
          <w:rtl/>
        </w:rPr>
        <w:t xml:space="preserve">وفیه : - مضافاً إلی ما أُورد علی الأوّل أخیراً - أنّه علیه یتبادل ما هو المعتبر فی المسمّی ؛ فکان شیءٌ واحدٌ داخلاً فیه تارةً ، وخارجاً عنه أُخری ، بل مردّداً بین أن یکون هو الخارج أو غیره عند اجتماع تمام الأجزاء ، وهو کما تری ، سیّما إذا لوحظ هذا مع ما علیه العبادات من الاختلاف الفاحش بحسب الحالات .</w:t>
      </w:r>
    </w:p>
    <w:p>
      <w:pPr>
        <w:pStyle w:val="Heading6"/>
      </w:pPr>
      <w:bookmarkStart w:id="633" w:name="_Toc73"/>
      <w:r>
        <w:t>3 - أن یکون‌وضع العبادات‌کوضع الأعلام‌الشخصیة</w:t>
      </w:r>
      <w:bookmarkEnd w:id="6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ثالثها: أن یکون وضعها کوضع الأعلام الشخصیّة ک « زید » ، فکما لا یضرّ فی التسمیة فیها تبادل الحالات المختلفة من الصِغَر والکِبَر ، ونقصِ بعض الأجزاء وزیادته ، کذلک فیها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الأعلام إنّما تکون موضوعة للأشخاص ، والتشخّص إنّما یکون بالوجود الخاصّ ، ویکون الشخص حقیقةً باقیاً مادام وجوده باقیاً ، وإن تغیّرت عوارضه من الزیادة والنقصان وغیرهما من الحالات والکیفیّات ، فکما لا یضرّ اختلافها فی التشخّص ، لا یضرّ اختلافها فی التسمیة .</w:t>
      </w:r>
    </w:p>
    <w:p>
      <w:pPr>
        <w:pStyle w:val="BookText"/>
      </w:pPr>
      <w:r>
        <w:rPr>
          <w:rFonts w:ascii="IRNazanin" w:hAnsi="IRNazanin" w:eastAsia="IRNazanin" w:cs="IRNazanin"/>
          <w:lang w:bidi="fa-IR"/>
          <w:color w:val="111111"/>
          <w:sz w:val="28"/>
          <w:szCs w:val="28"/>
          <w:rtl/>
        </w:rPr>
        <w:t xml:space="preserve">وهذا بخلاف مثل ألفاظ العبادات ممّا کانت موضوعة للمرکّبات والمقیّدات ، ولا یکاد یکون موضوعاً له إلّاما کان جامعاً لشتاتها وحاویاً لمتفرّقاتها ، کما عرفت فی الصحیح منها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6"/>
      </w:pPr>
      <w:bookmarkStart w:id="634" w:name="_Toc74"/>
      <w:r>
        <w:t>4 - أن یکون‌الموضوع له هوالصحیح التام‌والتوسعة تتمّ بتسامح العرف</w:t>
      </w:r>
      <w:bookmarkEnd w:id="634"/>
    </w:p>
    <w:p>
      <w:pPr>
        <w:pStyle w:val="BookText"/>
      </w:pPr>
      <w:r>
        <w:rPr>
          <w:rFonts w:ascii="IRNazanin" w:hAnsi="IRNazanin" w:eastAsia="IRNazanin" w:cs="IRNazanin"/>
          <w:lang w:bidi="fa-IR"/>
          <w:color w:val="111111"/>
          <w:sz w:val="28"/>
          <w:szCs w:val="28"/>
          <w:rtl/>
        </w:rPr>
        <w:t xml:space="preserve">رابعها: أنّ ما وضعت له الألفاظ ابتداءً هو الصحیح التامّ الواجد لتمام الأجزاء والشرائط ، إلّاأنّ العرف یتسامحون - کما هو دیدنهم - ویطلقون تلک الألفاظ علی الفاقد للبعض ، تنزیلاً له منزلة الواجد ، فلا یکون مجازاً</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4419_166744"/>
    <w:bookmarkEnd w:id="26"/>
    <w:p>
      <w:pPr>
        <w:pStyle w:val="BookText"/>
      </w:pPr>
      <w:r>
        <w:rPr>
          <w:rFonts w:ascii="IRNazanin" w:hAnsi="IRNazanin" w:eastAsia="IRNazanin" w:cs="IRNazanin"/>
          <w:lang w:bidi="fa-IR"/>
          <w:color w:val="111111"/>
          <w:sz w:val="28"/>
          <w:szCs w:val="28"/>
          <w:rtl/>
        </w:rPr>
        <w:t xml:space="preserve">فی الکلمة - علی ما ذهب إلیه السکّاکی فی الاستعارة </w:t>
      </w:r>
      <w:r>
        <w:rPr>
          <w:rStyle w:val="FootnoteReference"/>
        </w:rPr>
        <w:footnoteReference w:id="65"/>
      </w:r>
      <w:r>
        <w:rPr>
          <w:rFonts w:ascii="IRNazanin" w:hAnsi="IRNazanin" w:eastAsia="IRNazanin" w:cs="IRNazanin"/>
          <w:lang w:bidi="fa-IR"/>
          <w:color w:val="111111"/>
          <w:sz w:val="28"/>
          <w:szCs w:val="28"/>
          <w:rtl/>
        </w:rPr>
        <w:t xml:space="preserve">- ، بل یمکن دعوی صیرورته حقیقةً فیه بعد الاستعمال فیه کذلک دفعةً أو دفعات ، من دون حاجةٍ إلی الکثرة والشهرة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للاُنس الحاصل من جهة المشابهة فی الصورة ، أو المشارکة فی التأثیر ، کما فی أسامی المعاجین الموضوعة ابتداءً لخصوص مرکّبات واجدة لأجزاء خاصّة ، حیث یصحّ إطلاقها علی الفاقد لبعض الأجزاء المشابه له </w:t>
      </w:r>
      <w:r>
        <w:rPr>
          <w:rStyle w:val="FootnoteReference"/>
        </w:rPr>
        <w:footnoteReference w:id="66"/>
      </w:r>
      <w:r>
        <w:rPr>
          <w:rFonts w:ascii="Amiri" w:hAnsi="Amiri" w:eastAsia="Amiri" w:cs="Amiri"/>
          <w:lang w:bidi="ar-SA"/>
          <w:color w:val="111111"/>
          <w:sz w:val="28"/>
          <w:szCs w:val="28"/>
          <w:rtl/>
        </w:rPr>
        <w:t xml:space="preserve">صورةً ، والمشارک فی المهمّ أثراً ، تنزیلاً أو حقیقةً .</w:t>
      </w:r>
    </w:p>
    <w:p>
      <w:pPr>
        <w:pStyle w:val="BookText"/>
      </w:pPr>
      <w:r>
        <w:rPr>
          <w:rFonts w:ascii="IRNazanin" w:hAnsi="IRNazanin" w:eastAsia="IRNazanin" w:cs="IRNazanin"/>
          <w:lang w:bidi="fa-IR"/>
          <w:color w:val="111111"/>
          <w:sz w:val="28"/>
          <w:szCs w:val="28"/>
          <w:rtl/>
        </w:rPr>
        <w:t xml:space="preserve">وفیه: أنّه إنّما یتمّ فی مثل أسامی المعاجین وسائر المرکّبات الخارجیّة ، ممّا یکون الموضوع له فیها ابتداءً مرکّباً خاصّاً . ولا یکاد یتمّ فی مثل العبادات الّتی عرفت أنّ الصحیح منها یختلف حَسَب اختلاف الحالات ، وکون الصحیح بحسب حالةٍ فاسداً بحسب حالةٍ أُخری ، کما لا یخفی ، فتأمّل جیّداً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6"/>
      </w:pPr>
      <w:bookmarkStart w:id="635" w:name="_Toc75"/>
      <w:r>
        <w:t>5 - أن یکون حال‌أسامی العبادات حال أسامی المقادیر والأوزان</w:t>
      </w:r>
      <w:bookmarkEnd w:id="635"/>
    </w:p>
    <w:p>
      <w:pPr>
        <w:pStyle w:val="BookText"/>
      </w:pPr>
      <w:r>
        <w:rPr>
          <w:rFonts w:ascii="IRNazanin" w:hAnsi="IRNazanin" w:eastAsia="IRNazanin" w:cs="IRNazanin"/>
          <w:lang w:bidi="fa-IR"/>
          <w:color w:val="111111"/>
          <w:sz w:val="28"/>
          <w:szCs w:val="28"/>
          <w:rtl/>
        </w:rPr>
        <w:t xml:space="preserve">خامسها: أن یکون حالها حال أسامی المقادیر والأوزان ، مثل المثقال ، والحُقّة ، والوزنة ، إلی غیر ذلک ممّا لا شبهة فی کونها حقیقةً فی الزائد والناقص فی الجملة ، فإنّ الواضع وإن لاحظ مقداراً خاصّاً إلّاأنّه لم یضع له بخصوصه ، بل للأعمّ منه ومن الزائد والناقص ، أو أنّه وإن خصّ به أوّلاً إلّاأنّه بالاستعمال کثیراً فیهما - بعنایة أنّهما منه - قد صار حقیقةً فی الأعمّ ثانیاً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الصحیح - کما عرفت فی الوجه السابق - یختلف زیادةً</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4419_166745"/>
    <w:bookmarkEnd w:id="27"/>
    <w:p>
      <w:pPr>
        <w:pStyle w:val="BookText"/>
      </w:pPr>
      <w:r>
        <w:rPr>
          <w:rFonts w:ascii="Amiri" w:hAnsi="Amiri" w:eastAsia="Amiri" w:cs="Amiri"/>
          <w:lang w:bidi="ar-SA"/>
          <w:color w:val="111111"/>
          <w:sz w:val="28"/>
          <w:szCs w:val="28"/>
          <w:rtl/>
        </w:rPr>
        <w:t xml:space="preserve">ونقیصةً </w:t>
      </w:r>
      <w:r>
        <w:rPr>
          <w:rStyle w:val="FootnoteReference"/>
        </w:rPr>
        <w:footnoteReference w:id="69"/>
      </w:r>
      <w:r>
        <w:rPr>
          <w:rFonts w:ascii="IRNazanin" w:hAnsi="IRNazanin" w:eastAsia="IRNazanin" w:cs="IRNazanin"/>
          <w:lang w:bidi="fa-IR"/>
          <w:color w:val="111111"/>
          <w:sz w:val="28"/>
          <w:szCs w:val="28"/>
          <w:rtl/>
        </w:rPr>
        <w:t xml:space="preserve">، فلا یکون هناک ما یلحظ </w:t>
      </w:r>
      <w:r>
        <w:rPr>
          <w:rStyle w:val="FootnoteReference"/>
        </w:rPr>
        <w:footnoteReference w:id="70"/>
      </w:r>
      <w:r>
        <w:rPr>
          <w:rFonts w:ascii="IRNazanin" w:hAnsi="IRNazanin" w:eastAsia="IRNazanin" w:cs="IRNazanin"/>
          <w:lang w:bidi="fa-IR"/>
          <w:color w:val="111111"/>
          <w:sz w:val="28"/>
          <w:szCs w:val="28"/>
          <w:rtl/>
        </w:rPr>
        <w:t xml:space="preserve">الزائد والناقص بالقیاس إلیه </w:t>
      </w:r>
      <w:r>
        <w:rPr>
          <w:rStyle w:val="FootnoteReference"/>
        </w:rPr>
        <w:footnoteReference w:id="71"/>
      </w:r>
      <w:r>
        <w:rPr>
          <w:rFonts w:ascii="Amiri" w:hAnsi="Amiri" w:eastAsia="Amiri" w:cs="Amiri"/>
          <w:lang w:bidi="ar-SA"/>
          <w:color w:val="111111"/>
          <w:sz w:val="28"/>
          <w:szCs w:val="28"/>
          <w:rtl/>
        </w:rPr>
        <w:t xml:space="preserve">کی یوضع اللفظ لما هو الأعمّ ، فتدبّر جیّداً .</w:t>
      </w:r>
    </w:p>
    <w:p>
      <w:pPr>
        <w:pStyle w:val="Heading6"/>
      </w:pPr>
      <w:bookmarkStart w:id="636" w:name="_Toc76"/>
      <w:r>
        <w:t>الأمر الرابع :عمومیّة الوضع‌والموضوع له‌فی ألفاظ‌العبادات</w:t>
      </w:r>
      <w:bookmarkEnd w:id="636"/>
    </w:p>
    <w:p>
      <w:pPr>
        <w:pStyle w:val="BookText"/>
      </w:pPr>
      <w:r>
        <w:rPr>
          <w:rFonts w:ascii="Amiri" w:hAnsi="Amiri" w:eastAsia="Amiri" w:cs="Amiri"/>
          <w:lang w:bidi="ar-SA"/>
          <w:color w:val="111111"/>
          <w:sz w:val="28"/>
          <w:szCs w:val="28"/>
          <w:rtl/>
        </w:rPr>
        <w:t xml:space="preserve">ومنها: أنّ الظاهر أن یکون الوضع والموضوع له فی ألفاظ العبادات عامّین . واحتمالُ کون الموضوع له خاصّاً بعیدٌ جدّاً ؛ لاستلزامه کَوْنَ استعمالها فی الجامع - فی مثل: « الصَّلاٰةَ تَنْهیٰ عَنِ الْفَحْشٰاءِ » و « الصّلاة معراج المؤمن » و « عمود الدین » و « الصوم جُنّة من النار » - مجازاً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مَنْعَ استعمالها فیه فی مثلها . وکلٌّ منهما بعیدٌ إلی الغایة ، کما لا یخفی علی اولی النهایة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637" w:name="_Toc77"/>
      <w:r>
        <w:t>الأمر الخامس :</w:t>
      </w:r>
      <w:bookmarkEnd w:id="637"/>
    </w:p>
    <w:p>
      <w:pPr>
        <w:pStyle w:val="Heading6"/>
      </w:pPr>
      <w:bookmarkStart w:id="638" w:name="_Toc78"/>
      <w:r>
        <w:t>اشارة</w:t>
      </w:r>
      <w:bookmarkEnd w:id="638"/>
    </w:p>
    <w:p>
      <w:pPr>
        <w:pStyle w:val="BookText"/>
      </w:pPr>
      <w:r>
        <w:rPr>
          <w:rFonts w:ascii="Amiri" w:hAnsi="Amiri" w:eastAsia="Amiri" w:cs="Amiri"/>
          <w:lang w:bidi="ar-SA"/>
          <w:color w:val="111111"/>
          <w:sz w:val="28"/>
          <w:szCs w:val="28"/>
          <w:rtl/>
        </w:rPr>
        <w:t xml:space="preserve">ثمرة النزاع</w:t>
      </w:r>
    </w:p>
    <w:p>
      <w:pPr>
        <w:pStyle w:val="BookText"/>
      </w:pPr>
      <w:r>
        <w:rPr>
          <w:rFonts w:ascii="IRNazanin" w:hAnsi="IRNazanin" w:eastAsia="IRNazanin" w:cs="IRNazanin"/>
          <w:lang w:bidi="fa-IR"/>
          <w:color w:val="111111"/>
          <w:sz w:val="28"/>
          <w:szCs w:val="28"/>
          <w:rtl/>
        </w:rPr>
        <w:t xml:space="preserve">ومنها: أنّ ثمرة النزاع إجمال الخطاب علی قول الصحیحیّ </w:t>
      </w:r>
      <w:r>
        <w:rPr>
          <w:rStyle w:val="FootnoteReference"/>
        </w:rPr>
        <w:footnoteReference w:id="73"/>
      </w:r>
      <w:r>
        <w:rPr>
          <w:rFonts w:ascii="IRNazanin" w:hAnsi="IRNazanin" w:eastAsia="IRNazanin" w:cs="IRNazanin"/>
          <w:lang w:bidi="fa-IR"/>
          <w:color w:val="111111"/>
          <w:sz w:val="28"/>
          <w:szCs w:val="28"/>
          <w:rtl/>
        </w:rPr>
        <w:t xml:space="preserve">، وعدمُ جواز الرجوع إلی إطلاقه فی رفع ما إذا شُکّ </w:t>
      </w:r>
      <w:r>
        <w:rPr>
          <w:rStyle w:val="FootnoteReference"/>
        </w:rPr>
        <w:footnoteReference w:id="74"/>
      </w:r>
      <w:r>
        <w:rPr>
          <w:rFonts w:ascii="IRNazanin" w:hAnsi="IRNazanin" w:eastAsia="IRNazanin" w:cs="IRNazanin"/>
          <w:lang w:bidi="fa-IR"/>
          <w:color w:val="111111"/>
          <w:sz w:val="28"/>
          <w:szCs w:val="28"/>
          <w:rtl/>
        </w:rPr>
        <w:t xml:space="preserve">فی جزئیّة شیءٍ للمأمور به أو شرطیّته أصلاً ؛ لاحتمال دخوله فی المسمّی کما لا یخفی ، وجوازُ الرجوع إلیه فی ذلک علی قول </w:t>
      </w:r>
      <w:r>
        <w:rPr>
          <w:rStyle w:val="FootnoteReference"/>
        </w:rPr>
        <w:footnoteReference w:id="75"/>
      </w:r>
      <w:r>
        <w:rPr>
          <w:rFonts w:ascii="Amiri" w:hAnsi="Amiri" w:eastAsia="Amiri" w:cs="Amiri"/>
          <w:lang w:bidi="ar-SA"/>
          <w:color w:val="111111"/>
          <w:sz w:val="28"/>
          <w:szCs w:val="28"/>
          <w:rtl/>
        </w:rPr>
        <w:t xml:space="preserve">الأعمّیّ </w:t>
      </w:r>
      <w:r>
        <w:rPr>
          <w:rStyle w:val="FootnoteReference"/>
        </w:rPr>
        <w:footnoteReference w:id="76"/>
      </w:r>
      <w:r>
        <w:rPr>
          <w:rFonts w:ascii="Amiri" w:hAnsi="Amiri" w:eastAsia="Amiri" w:cs="Amiri"/>
          <w:lang w:bidi="ar-SA"/>
          <w:color w:val="111111"/>
          <w:sz w:val="28"/>
          <w:szCs w:val="28"/>
          <w:rtl/>
        </w:rPr>
        <w:t xml:space="preserve">فی غیر ما احتمل دخوله فیه ممّا شُکَّ فی جزئیّته أو شرطیّته .</w:t>
      </w:r>
    </w:p>
    <w:p>
      <w:pPr>
        <w:pStyle w:val="BookText"/>
      </w:pPr>
      <w:r>
        <w:rPr>
          <w:rFonts w:ascii="IRNazanin" w:hAnsi="IRNazanin" w:eastAsia="IRNazanin" w:cs="IRNazanin"/>
          <w:lang w:bidi="fa-IR"/>
          <w:color w:val="111111"/>
          <w:sz w:val="28"/>
          <w:szCs w:val="28"/>
          <w:rtl/>
        </w:rPr>
        <w:t xml:space="preserve">نعم ، لابدّ فی الرجوع إلیه فی ما ذکر من کونه وارداً مورد البیان ،</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4419_166746"/>
    <w:bookmarkEnd w:id="28"/>
    <w:p>
      <w:pPr>
        <w:pStyle w:val="BookText"/>
      </w:pPr>
      <w:r>
        <w:rPr>
          <w:rFonts w:ascii="IRNazanin" w:hAnsi="IRNazanin" w:eastAsia="IRNazanin" w:cs="IRNazanin"/>
          <w:lang w:bidi="fa-IR"/>
          <w:color w:val="111111"/>
          <w:sz w:val="28"/>
          <w:szCs w:val="28"/>
          <w:rtl/>
        </w:rPr>
        <w:t xml:space="preserve">کما لابدّ منه فی الرجوع إلی سائر المطلقات ، وبدونه لا مرجع أیضاً إلّا البراءة أو الاشتغال ، علی الخلاف فی مسألة دوران الأمر بین الأقلّ والأکثر الارتباطیّین .</w:t>
      </w:r>
    </w:p>
    <w:p>
      <w:pPr>
        <w:pStyle w:val="BookText"/>
      </w:pPr>
      <w:r>
        <w:rPr>
          <w:rFonts w:ascii="IRNazanin" w:hAnsi="IRNazanin" w:eastAsia="IRNazanin" w:cs="IRNazanin"/>
          <w:lang w:bidi="fa-IR"/>
          <w:color w:val="111111"/>
          <w:sz w:val="28"/>
          <w:szCs w:val="28"/>
          <w:rtl/>
        </w:rPr>
        <w:t xml:space="preserve">وقد انقدح بذلک : أنّ الرجوع إلی البراءة أو الاشتغال فی موارد إجمال الخطاب أو إهماله علی القولین ؛ فلا وجه لجعل الثمرة هو الرجوع إلی البراءة علی الأعمّ ، والاشتغال علی الصحیح </w:t>
      </w:r>
      <w:r>
        <w:rPr>
          <w:rStyle w:val="FootnoteReference"/>
        </w:rPr>
        <w:footnoteReference w:id="77"/>
      </w:r>
      <w:r>
        <w:rPr>
          <w:rFonts w:ascii="IRNazanin" w:hAnsi="IRNazanin" w:eastAsia="IRNazanin" w:cs="IRNazanin"/>
          <w:lang w:bidi="fa-IR"/>
          <w:color w:val="111111"/>
          <w:sz w:val="28"/>
          <w:szCs w:val="28"/>
          <w:rtl/>
        </w:rPr>
        <w:t xml:space="preserve">، ولذا ذهب المشهور إلی البراءة مع ذهابهم إلی الصحیح .</w:t>
      </w:r>
    </w:p>
    <w:p>
      <w:pPr>
        <w:pStyle w:val="BookText"/>
      </w:pPr>
      <w:r>
        <w:rPr>
          <w:rFonts w:ascii="IRNazanin" w:hAnsi="IRNazanin" w:eastAsia="IRNazanin" w:cs="IRNazanin"/>
          <w:lang w:bidi="fa-IR"/>
          <w:color w:val="111111"/>
          <w:sz w:val="28"/>
          <w:szCs w:val="28"/>
          <w:rtl/>
        </w:rPr>
        <w:t xml:space="preserve">وربما قیل </w:t>
      </w:r>
      <w:r>
        <w:rPr>
          <w:rStyle w:val="FootnoteReference"/>
        </w:rPr>
        <w:footnoteReference w:id="78"/>
      </w:r>
      <w:r>
        <w:rPr>
          <w:rFonts w:ascii="IRNazanin" w:hAnsi="IRNazanin" w:eastAsia="IRNazanin" w:cs="IRNazanin"/>
          <w:lang w:bidi="fa-IR"/>
          <w:color w:val="111111"/>
          <w:sz w:val="28"/>
          <w:szCs w:val="28"/>
          <w:rtl/>
        </w:rPr>
        <w:t xml:space="preserve">بظهور الثمرة فی النذر أیضاً .</w:t>
      </w:r>
    </w:p>
    <w:p>
      <w:pPr>
        <w:pStyle w:val="BookText"/>
      </w:pPr>
      <w:r>
        <w:rPr>
          <w:rFonts w:ascii="IRNazanin" w:hAnsi="IRNazanin" w:eastAsia="IRNazanin" w:cs="IRNazanin"/>
          <w:lang w:bidi="fa-IR"/>
          <w:color w:val="111111"/>
          <w:sz w:val="28"/>
          <w:szCs w:val="28"/>
          <w:rtl/>
        </w:rPr>
        <w:t xml:space="preserve">قلت: وإن کان تظهر فی ما لو نذر لمن صلّی إعطاءَ درهم ، فی البُرء </w:t>
      </w:r>
      <w:r>
        <w:rPr>
          <w:rStyle w:val="FootnoteReference"/>
        </w:rPr>
        <w:footnoteReference w:id="79"/>
      </w:r>
      <w:r>
        <w:rPr>
          <w:rFonts w:ascii="IRNazanin" w:hAnsi="IRNazanin" w:eastAsia="IRNazanin" w:cs="IRNazanin"/>
          <w:lang w:bidi="fa-IR"/>
          <w:color w:val="111111"/>
          <w:sz w:val="28"/>
          <w:szCs w:val="28"/>
          <w:rtl/>
        </w:rPr>
        <w:t xml:space="preserve">، فی ما لو أعطاه لمن صلّی ولو علم بفساد صلاته - لإخلاله بما لا یعتبر فی الاسم - علی الأعمّ ، وعدم البرء علی الصحیح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إلّاأنّه لیس بثمرة لمثل هذه المسألة ؛ لما عرفت من أنّ ثمرة </w:t>
      </w:r>
      <w:r>
        <w:rPr>
          <w:rStyle w:val="FootnoteReference"/>
        </w:rPr>
        <w:footnoteReference w:id="80"/>
      </w:r>
      <w:r>
        <w:rPr>
          <w:rFonts w:ascii="IRNazanin" w:hAnsi="IRNazanin" w:eastAsia="IRNazanin" w:cs="IRNazanin"/>
          <w:lang w:bidi="fa-IR"/>
          <w:color w:val="111111"/>
          <w:sz w:val="28"/>
          <w:szCs w:val="28"/>
          <w:rtl/>
        </w:rPr>
        <w:t xml:space="preserve">المسألة الاُصولیّة هی أن تکون نتیجتها واقعة فی طریق استنباط الأحکام الفرعیّة ، فافهم .</w:t>
      </w:r>
    </w:p>
    <w:p>
      <w:pPr>
        <w:pStyle w:val="Heading6"/>
      </w:pPr>
      <w:bookmarkStart w:id="639" w:name="_Toc79"/>
      <w:r>
        <w:t>وجوه القول‌بالصحیح :</w:t>
      </w:r>
      <w:bookmarkEnd w:id="639"/>
    </w:p>
    <w:p>
      <w:pPr>
        <w:pStyle w:val="BookText"/>
      </w:pPr>
      <w:r>
        <w:rPr>
          <w:rFonts w:ascii="Amiri" w:hAnsi="Amiri" w:eastAsia="Amiri" w:cs="Amiri"/>
          <w:lang w:bidi="ar-SA"/>
          <w:color w:val="111111"/>
          <w:sz w:val="28"/>
          <w:szCs w:val="28"/>
          <w:rtl/>
        </w:rPr>
        <w:t xml:space="preserve">وکیف کان فقد استُدلّ للصحیحیّ بوجوه:</w:t>
      </w:r>
    </w:p>
    <w:p>
      <w:pPr>
        <w:pStyle w:val="BookText"/>
      </w:pPr>
      <w:r>
        <w:rPr>
          <w:rFonts w:ascii="IRNazanin" w:hAnsi="IRNazanin" w:eastAsia="IRNazanin" w:cs="IRNazanin"/>
          <w:lang w:bidi="fa-IR"/>
          <w:color w:val="111111"/>
          <w:sz w:val="28"/>
          <w:szCs w:val="28"/>
          <w:rtl/>
        </w:rPr>
        <w:t xml:space="preserve">1 - التبادر</w:t>
      </w:r>
    </w:p>
    <w:p>
      <w:pPr>
        <w:pStyle w:val="BookText"/>
      </w:pPr>
      <w:r>
        <w:rPr>
          <w:rFonts w:ascii="IRNazanin" w:hAnsi="IRNazanin" w:eastAsia="IRNazanin" w:cs="IRNazanin"/>
          <w:lang w:bidi="fa-IR"/>
          <w:color w:val="111111"/>
          <w:sz w:val="28"/>
          <w:szCs w:val="28"/>
          <w:rtl/>
        </w:rPr>
        <w:t xml:space="preserve">أحدها: التبادر ، ودعوی أنّ المنسبق إلی الأذهان منها هو الصحیح .</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منافاة بین دعوی ذلک ، وبین کون الألفاظ علی هذا القول مجملات ؛ فإنّ المنافاة إنّما تکون فی ما إذا لم تکن معانیها علی هذا </w:t>
      </w:r>
      <w:r>
        <w:rPr>
          <w:rStyle w:val="FootnoteReference"/>
        </w:rPr>
        <w:footnoteReference w:id="81"/>
      </w:r>
      <w:r>
        <w:rPr>
          <w:rFonts w:ascii="Amiri" w:hAnsi="Amiri" w:eastAsia="Amiri" w:cs="Amiri"/>
          <w:lang w:bidi="ar-SA"/>
          <w:color w:val="111111"/>
          <w:sz w:val="28"/>
          <w:szCs w:val="28"/>
          <w:rtl/>
        </w:rPr>
        <w:t xml:space="preserve">مبیَّنةً بوجهٍ ، وقد عرفت </w:t>
      </w:r>
      <w:r>
        <w:rPr>
          <w:rStyle w:val="FootnoteReference"/>
        </w:rPr>
        <w:footnoteReference w:id="82"/>
      </w:r>
      <w:r>
        <w:rPr>
          <w:rFonts w:ascii="Amiri" w:hAnsi="Amiri" w:eastAsia="Amiri" w:cs="Amiri"/>
          <w:lang w:bidi="ar-SA"/>
          <w:color w:val="111111"/>
          <w:sz w:val="28"/>
          <w:szCs w:val="28"/>
          <w:rtl/>
        </w:rPr>
        <w:t xml:space="preserve">کونها مبیّنةً بغیر وجهٍ .</w:t>
      </w:r>
    </w:p>
    <w:p>
      <w:pPr>
        <w:pStyle w:val="BookText"/>
      </w:pPr>
      <w:r>
        <w:rPr>
          <w:rFonts w:ascii="Amiri" w:hAnsi="Amiri" w:eastAsia="Amiri" w:cs="Amiri"/>
          <w:lang w:bidi="ar-SA"/>
          <w:color w:val="111111"/>
          <w:sz w:val="28"/>
          <w:szCs w:val="28"/>
          <w:rtl/>
        </w:rPr>
        <w:t xml:space="preserve">2 - صحّة السلب‌عن الفاسد</w:t>
      </w:r>
    </w:p>
    <w:p>
      <w:pPr>
        <w:pStyle w:val="BookText"/>
      </w:pPr>
      <w:r>
        <w:rPr>
          <w:rFonts w:ascii="IRNazanin" w:hAnsi="IRNazanin" w:eastAsia="IRNazanin" w:cs="IRNazanin"/>
          <w:lang w:bidi="fa-IR"/>
          <w:color w:val="111111"/>
          <w:sz w:val="28"/>
          <w:szCs w:val="28"/>
          <w:rtl/>
        </w:rPr>
        <w:t xml:space="preserve">ثانیها: صحّة السلب عن الفاسد بسبب الإخلال ببعض أجزائه أو شرائطه بالمداقّة ، وإن صحّ الإطلاق علیه بالعنایة .</w:t>
      </w:r>
    </w:p>
    <w:p>
      <w:pPr>
        <w:pStyle w:val="BookText"/>
      </w:pPr>
      <w:r>
        <w:rPr>
          <w:rFonts w:ascii="IRNazanin" w:hAnsi="IRNazanin" w:eastAsia="IRNazanin" w:cs="IRNazanin"/>
          <w:lang w:bidi="fa-IR"/>
          <w:color w:val="111111"/>
          <w:sz w:val="28"/>
          <w:szCs w:val="28"/>
          <w:rtl/>
        </w:rPr>
        <w:t xml:space="preserve">3 - الأخبار</w:t>
      </w:r>
    </w:p>
    <w:p>
      <w:pPr>
        <w:pStyle w:val="BookText"/>
      </w:pPr>
      <w:r>
        <w:rPr>
          <w:rFonts w:ascii="IRNazanin" w:hAnsi="IRNazanin" w:eastAsia="IRNazanin" w:cs="IRNazanin"/>
          <w:lang w:bidi="fa-IR"/>
          <w:color w:val="111111"/>
          <w:sz w:val="28"/>
          <w:szCs w:val="28"/>
          <w:rtl/>
        </w:rPr>
        <w:t xml:space="preserve">ثالثها: الأخبار الظاهرة فی إثبات بعض الخواصّ والآثار للمسمّیات ، مثل: « الصّلاة عمود الدین » </w:t>
      </w:r>
      <w:r>
        <w:rPr>
          <w:rStyle w:val="FootnoteReference"/>
        </w:rPr>
        <w:footnoteReference w:id="83"/>
      </w:r>
      <w:r>
        <w:rPr>
          <w:rFonts w:ascii="IRNazanin" w:hAnsi="IRNazanin" w:eastAsia="IRNazanin" w:cs="IRNazanin"/>
          <w:lang w:bidi="fa-IR"/>
          <w:color w:val="111111"/>
          <w:sz w:val="28"/>
          <w:szCs w:val="28"/>
          <w:rtl/>
        </w:rPr>
        <w:t xml:space="preserve">أو « معراج المؤمن » </w:t>
      </w:r>
      <w:r>
        <w:rPr>
          <w:rStyle w:val="FootnoteReference"/>
        </w:rPr>
        <w:footnoteReference w:id="84"/>
      </w:r>
      <w:r>
        <w:rPr>
          <w:rFonts w:ascii="Amiri" w:hAnsi="Amiri" w:eastAsia="Amiri" w:cs="Amiri"/>
          <w:lang w:bidi="ar-SA"/>
          <w:color w:val="111111"/>
          <w:sz w:val="28"/>
          <w:szCs w:val="28"/>
          <w:rtl/>
        </w:rPr>
        <w:t xml:space="preserve">و « الصوم جُنّة من النار » </w:t>
      </w:r>
      <w:r>
        <w:rPr>
          <w:rStyle w:val="FootnoteReference"/>
        </w:rPr>
        <w:footnoteReference w:id="85"/>
      </w:r>
      <w:r>
        <w:rPr>
          <w:rFonts w:ascii="IRNazanin" w:hAnsi="IRNazanin" w:eastAsia="IRNazanin" w:cs="IRNazanin"/>
          <w:lang w:bidi="fa-IR"/>
          <w:color w:val="111111"/>
          <w:sz w:val="28"/>
          <w:szCs w:val="28"/>
          <w:rtl/>
        </w:rPr>
        <w:t xml:space="preserve">إلی غیر ذلک </w:t>
      </w:r>
      <w:r>
        <w:rPr>
          <w:rStyle w:val="FootnoteReference"/>
        </w:rPr>
        <w:footnoteReference w:id="86"/>
      </w:r>
      <w:r>
        <w:rPr>
          <w:rFonts w:ascii="IRNazanin" w:hAnsi="IRNazanin" w:eastAsia="IRNazanin" w:cs="IRNazanin"/>
          <w:lang w:bidi="fa-IR"/>
          <w:color w:val="111111"/>
          <w:sz w:val="28"/>
          <w:szCs w:val="28"/>
          <w:rtl/>
        </w:rPr>
        <w:t xml:space="preserve">، أو نفی ماهیّتها وطبائعها ، مثل: « لا صلاة إلّابفاتحة الکتاب » </w:t>
      </w:r>
      <w:r>
        <w:rPr>
          <w:rStyle w:val="FootnoteReference"/>
        </w:rPr>
        <w:footnoteReference w:id="87"/>
      </w:r>
      <w:r>
        <w:rPr>
          <w:rFonts w:ascii="IRNazanin" w:hAnsi="IRNazanin" w:eastAsia="IRNazanin" w:cs="IRNazanin"/>
          <w:lang w:bidi="fa-IR"/>
          <w:color w:val="111111"/>
          <w:sz w:val="28"/>
          <w:szCs w:val="28"/>
          <w:rtl/>
        </w:rPr>
        <w:t xml:space="preserve">، ونحوه </w:t>
      </w:r>
      <w:r>
        <w:rPr>
          <w:rStyle w:val="FootnoteReference"/>
        </w:rPr>
        <w:footnoteReference w:id="88"/>
      </w:r>
      <w:r>
        <w:rPr>
          <w:rFonts w:ascii="Amiri" w:hAnsi="Amiri" w:eastAsia="Amiri" w:cs="Amiri"/>
          <w:lang w:bidi="ar-SA"/>
          <w:color w:val="111111"/>
          <w:sz w:val="28"/>
          <w:szCs w:val="28"/>
          <w:rtl/>
        </w:rPr>
        <w:t xml:space="preserve">ممّا کان ظاهراً فی نفی الحقیقة بمجرّد فَقْد ما یعتبر فی الصحّة شطراً أو شرطاً .</w:t>
      </w:r>
    </w:p>
    <w:p>
      <w:pPr>
        <w:pStyle w:val="BookText"/>
      </w:pPr>
      <w:r>
        <w:rPr>
          <w:rFonts w:ascii="IRNazanin" w:hAnsi="IRNazanin" w:eastAsia="IRNazanin" w:cs="IRNazanin"/>
          <w:lang w:bidi="fa-IR"/>
          <w:color w:val="111111"/>
          <w:sz w:val="28"/>
          <w:szCs w:val="28"/>
          <w:rtl/>
        </w:rPr>
        <w:t xml:space="preserve">وإرادةُ خصوص الصحیح من الطائفة الأُولی ، ونفی الصحّة من الثانیة - لشیوع استعمال هذا الترکیب فی نفی مثل الصحّة أو الکمال - خلاف الظاهر ، لا یصار إلیه مع عدم نصب قرینة علیه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w:t>
      </w:r>
      <w:r>
        <w:rPr>
          <w:rStyle w:val="FootnoteReference"/>
        </w:rPr>
        <w:footnoteReference w:id="89"/>
      </w:r>
      <w:r>
        <w:rPr>
          <w:rFonts w:ascii="IRNazanin" w:hAnsi="IRNazanin" w:eastAsia="IRNazanin" w:cs="IRNazanin"/>
          <w:lang w:bidi="fa-IR"/>
          <w:color w:val="111111"/>
          <w:sz w:val="28"/>
          <w:szCs w:val="28"/>
          <w:rtl/>
        </w:rPr>
        <w:t xml:space="preserve">واستعمال : هذا الترکیب فی نفی الصفة ممکن المنع ، حتّی فی</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4419_166748"/>
    <w:bookmarkEnd w:id="29"/>
    <w:p>
      <w:pPr>
        <w:pStyle w:val="BookText"/>
      </w:pPr>
      <w:r>
        <w:rPr>
          <w:rFonts w:ascii="IRNazanin" w:hAnsi="IRNazanin" w:eastAsia="IRNazanin" w:cs="IRNazanin"/>
          <w:lang w:bidi="fa-IR"/>
          <w:color w:val="111111"/>
          <w:sz w:val="28"/>
          <w:szCs w:val="28"/>
          <w:rtl/>
        </w:rPr>
        <w:t xml:space="preserve">مثل « لا صلاة لجار المسجد إلّافی المسجد » </w:t>
      </w:r>
      <w:r>
        <w:rPr>
          <w:rStyle w:val="FootnoteReference"/>
        </w:rPr>
        <w:footnoteReference w:id="90"/>
      </w:r>
      <w:r>
        <w:rPr>
          <w:rFonts w:ascii="IRNazanin" w:hAnsi="IRNazanin" w:eastAsia="IRNazanin" w:cs="IRNazanin"/>
          <w:lang w:bidi="fa-IR"/>
          <w:color w:val="111111"/>
          <w:sz w:val="28"/>
          <w:szCs w:val="28"/>
          <w:rtl/>
        </w:rPr>
        <w:t xml:space="preserve">ممّا یعلم أنّ المراد: نفیُ الکمال ، بدعوی استعماله فی نفی الحقیقة فی مثله أیضاً بنحوٍ من العنایة ، لا علی الحقیقة ، وإلّا لما دلّ علی المبالغة ، فافهم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طریقةالواضعین هی‌الوضع للصحیح،والشارع لم‌یتخطَّ عنها</w:t>
      </w:r>
    </w:p>
    <w:p>
      <w:pPr>
        <w:pStyle w:val="BookText"/>
      </w:pPr>
      <w:r>
        <w:rPr>
          <w:rFonts w:ascii="IRNazanin" w:hAnsi="IRNazanin" w:eastAsia="IRNazanin" w:cs="IRNazanin"/>
          <w:lang w:bidi="fa-IR"/>
          <w:color w:val="111111"/>
          <w:sz w:val="28"/>
          <w:szCs w:val="28"/>
          <w:rtl/>
        </w:rPr>
        <w:t xml:space="preserve">رابعها: دعوی القطع بأنّ طریقة الواضعین ودیدنَهم : وضعُ الألفاظ للمرکّبات التامّة - کما هو قضیّة الحکمة الداعیة إلیه - والحاجةُ وإن دعت أحیاناً إلی استعمالها فی الناقص أیضاً ، إلّاأنّه لا یقتضی </w:t>
      </w:r>
      <w:r>
        <w:rPr>
          <w:rStyle w:val="FootnoteReference"/>
        </w:rPr>
        <w:footnoteReference w:id="92"/>
      </w:r>
      <w:r>
        <w:rPr>
          <w:rFonts w:ascii="IRNazanin" w:hAnsi="IRNazanin" w:eastAsia="IRNazanin" w:cs="IRNazanin"/>
          <w:lang w:bidi="fa-IR"/>
          <w:color w:val="111111"/>
          <w:sz w:val="28"/>
          <w:szCs w:val="28"/>
          <w:rtl/>
        </w:rPr>
        <w:t xml:space="preserve">أن یکون بنحو الحقیقة ، بل ولو کان مسامحة ، تنزیلاً للفاقد منزلة الواجد . والظاهر : أنّ الشارع غیر متخطٍّ عن هذه الطریقة .</w:t>
      </w:r>
    </w:p>
    <w:p>
      <w:pPr>
        <w:pStyle w:val="BookText"/>
      </w:pPr>
      <w:r>
        <w:rPr>
          <w:rFonts w:ascii="IRNazanin" w:hAnsi="IRNazanin" w:eastAsia="IRNazanin" w:cs="IRNazanin"/>
          <w:lang w:bidi="fa-IR"/>
          <w:color w:val="111111"/>
          <w:sz w:val="28"/>
          <w:szCs w:val="28"/>
          <w:rtl/>
        </w:rPr>
        <w:t xml:space="preserve">ولا یخفی : أنّ هذه الدعوی وإن کانت غیرَ بعیدة إلّاأنّها قابلة للمنع ، فتأمّل .</w:t>
      </w:r>
    </w:p>
    <w:p>
      <w:pPr>
        <w:pStyle w:val="Heading6"/>
      </w:pPr>
      <w:bookmarkStart w:id="640" w:name="_Toc80"/>
      <w:r>
        <w:t>وجوه القول‌بالأعم :</w:t>
      </w:r>
      <w:bookmarkEnd w:id="640"/>
    </w:p>
    <w:p>
      <w:pPr>
        <w:pStyle w:val="BookText"/>
      </w:pPr>
      <w:r>
        <w:rPr>
          <w:rFonts w:ascii="Amiri" w:hAnsi="Amiri" w:eastAsia="Amiri" w:cs="Amiri"/>
          <w:lang w:bidi="ar-SA"/>
          <w:color w:val="111111"/>
          <w:sz w:val="28"/>
          <w:szCs w:val="28"/>
          <w:rtl/>
        </w:rPr>
        <w:t xml:space="preserve">وقد استُدلّ للأعمّیّ أیضاً بوجوه:</w:t>
      </w:r>
    </w:p>
    <w:p>
      <w:pPr>
        <w:pStyle w:val="BookText"/>
      </w:pPr>
      <w:r>
        <w:rPr>
          <w:rFonts w:ascii="IRNazanin" w:hAnsi="IRNazanin" w:eastAsia="IRNazanin" w:cs="IRNazanin"/>
          <w:lang w:bidi="fa-IR"/>
          <w:color w:val="111111"/>
          <w:sz w:val="28"/>
          <w:szCs w:val="28"/>
          <w:rtl/>
        </w:rPr>
        <w:t xml:space="preserve">1 - التبادر</w:t>
      </w:r>
    </w:p>
    <w:p>
      <w:pPr>
        <w:pStyle w:val="BookText"/>
      </w:pPr>
      <w:r>
        <w:rPr>
          <w:rFonts w:ascii="Amiri" w:hAnsi="Amiri" w:eastAsia="Amiri" w:cs="Amiri"/>
          <w:lang w:bidi="ar-SA"/>
          <w:color w:val="111111"/>
          <w:sz w:val="28"/>
          <w:szCs w:val="28"/>
          <w:rtl/>
        </w:rPr>
        <w:t xml:space="preserve">منها: تبادُر الأعمّ .</w:t>
      </w:r>
    </w:p>
    <w:p>
      <w:pPr>
        <w:pStyle w:val="BookText"/>
      </w:pPr>
      <w:r>
        <w:rPr>
          <w:rFonts w:ascii="IRNazanin" w:hAnsi="IRNazanin" w:eastAsia="IRNazanin" w:cs="IRNazanin"/>
          <w:lang w:bidi="fa-IR"/>
          <w:color w:val="111111"/>
          <w:sz w:val="28"/>
          <w:szCs w:val="28"/>
          <w:rtl/>
        </w:rPr>
        <w:t xml:space="preserve">وفیه: أنّه قد عرفت الإشکال فی تصویر الجامع الّذی لابدّ منه ، فکیف یصحّ معه دعوی التبادر؟</w:t>
      </w:r>
    </w:p>
    <w:p>
      <w:pPr>
        <w:pStyle w:val="BookText"/>
      </w:pPr>
      <w:r>
        <w:rPr>
          <w:rFonts w:ascii="Amiri" w:hAnsi="Amiri" w:eastAsia="Amiri" w:cs="Amiri"/>
          <w:lang w:bidi="ar-SA"/>
          <w:color w:val="111111"/>
          <w:sz w:val="28"/>
          <w:szCs w:val="28"/>
          <w:rtl/>
        </w:rPr>
        <w:t xml:space="preserve">2 - عدم صحّة</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السلب</w:t>
      </w:r>
    </w:p>
    <w:p>
      <w:pPr>
        <w:pStyle w:val="BookText"/>
      </w:pPr>
      <w:r>
        <w:rPr>
          <w:rFonts w:ascii="Amiri" w:hAnsi="Amiri" w:eastAsia="Amiri" w:cs="Amiri"/>
          <w:lang w:bidi="ar-SA"/>
          <w:color w:val="111111"/>
          <w:sz w:val="28"/>
          <w:szCs w:val="28"/>
          <w:rtl/>
        </w:rPr>
        <w:t xml:space="preserve">ومنها: عدم صحّة السلب عن الفاسد .</w:t>
      </w:r>
    </w:p>
    <w:p>
      <w:pPr>
        <w:pStyle w:val="BookText"/>
      </w:pPr>
      <w:r>
        <w:rPr>
          <w:rFonts w:ascii="IRNazanin" w:hAnsi="IRNazanin" w:eastAsia="IRNazanin" w:cs="IRNazanin"/>
          <w:lang w:bidi="fa-IR"/>
          <w:color w:val="111111"/>
          <w:sz w:val="28"/>
          <w:szCs w:val="28"/>
          <w:rtl/>
        </w:rPr>
        <w:t xml:space="preserve">وفیه منعٌ ؛ لما عرفت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صحّةالتقسیم إلی الصحیح والفاسد</w:t>
      </w:r>
    </w:p>
    <w:p>
      <w:pPr>
        <w:pStyle w:val="BookText"/>
      </w:pPr>
      <w:r>
        <w:rPr>
          <w:rFonts w:ascii="IRNazanin" w:hAnsi="IRNazanin" w:eastAsia="IRNazanin" w:cs="IRNazanin"/>
          <w:lang w:bidi="fa-IR"/>
          <w:color w:val="111111"/>
          <w:sz w:val="28"/>
          <w:szCs w:val="28"/>
          <w:rtl/>
        </w:rPr>
        <w:t xml:space="preserve">ومنها: صحّة التقسیم إلی الصحیح والسقیم .</w:t>
      </w:r>
    </w:p>
    <w:p>
      <w:pPr>
        <w:pStyle w:val="BookText"/>
      </w:pPr>
      <w:r>
        <w:rPr>
          <w:rFonts w:ascii="IRNazanin" w:hAnsi="IRNazanin" w:eastAsia="IRNazanin" w:cs="IRNazanin"/>
          <w:lang w:bidi="fa-IR"/>
          <w:color w:val="111111"/>
          <w:sz w:val="28"/>
          <w:szCs w:val="28"/>
          <w:rtl/>
        </w:rPr>
        <w:t xml:space="preserve">وفیه: أنّه إنّما یشهد علی أنّها للأعمّ لو لم تکن هناک دلالة علی کونها موضوعة للصحیح ، وقد عرفتها ؛ فلابدّ أن یکون التقسیم بملاحظة ما یستعمل فیه اللفظ ولو بالعنایة .</w:t>
      </w:r>
    </w:p>
    <w:p>
      <w:pPr>
        <w:pStyle w:val="BookText"/>
      </w:pPr>
      <w:r>
        <w:rPr>
          <w:rFonts w:ascii="IRNazanin" w:hAnsi="IRNazanin" w:eastAsia="IRNazanin" w:cs="IRNazanin"/>
          <w:lang w:bidi="fa-IR"/>
          <w:color w:val="111111"/>
          <w:sz w:val="28"/>
          <w:szCs w:val="28"/>
          <w:rtl/>
        </w:rPr>
        <w:t xml:space="preserve">4 - الأخبار</w:t>
      </w:r>
    </w:p>
    <w:p>
      <w:pPr>
        <w:pStyle w:val="BookText"/>
      </w:pPr>
      <w:r>
        <w:rPr>
          <w:rFonts w:ascii="IRNazanin" w:hAnsi="IRNazanin" w:eastAsia="IRNazanin" w:cs="IRNazanin"/>
          <w:lang w:bidi="fa-IR"/>
          <w:color w:val="111111"/>
          <w:sz w:val="28"/>
          <w:szCs w:val="28"/>
          <w:rtl/>
        </w:rPr>
        <w:t xml:space="preserve">ومنها: استعمال الصّلاة وغیرها فی غیر واحدٍ من الأخبار فی الفاسدة :</w:t>
      </w:r>
    </w:p>
    <w:p>
      <w:pPr>
        <w:pStyle w:val="BookText"/>
      </w:pPr>
      <w:r>
        <w:rPr>
          <w:rFonts w:ascii="IRNazanin" w:hAnsi="IRNazanin" w:eastAsia="IRNazanin" w:cs="IRNazanin"/>
          <w:lang w:bidi="fa-IR"/>
          <w:color w:val="111111"/>
          <w:sz w:val="28"/>
          <w:szCs w:val="28"/>
          <w:rtl/>
        </w:rPr>
        <w:t xml:space="preserve">کقوله علیه السلام : « بُنی الإسلام علی خمس: الصّلاة والزکاة والحجّ والصوم والولایة ، ولم ینادَ أحدٌ بشیءٍ کما نودی بالولایة ، فأخذ الناسُ بأربع وترکوا هذه » </w:t>
      </w:r>
      <w:r>
        <w:rPr>
          <w:rStyle w:val="FootnoteReference"/>
        </w:rPr>
        <w:footnoteReference w:id="94"/>
      </w:r>
      <w:r>
        <w:rPr>
          <w:rFonts w:ascii="IRNazanin" w:hAnsi="IRNazanin" w:eastAsia="IRNazanin" w:cs="IRNazanin"/>
          <w:lang w:bidi="fa-IR"/>
          <w:color w:val="111111"/>
          <w:sz w:val="28"/>
          <w:szCs w:val="28"/>
          <w:rtl/>
        </w:rPr>
        <w:t xml:space="preserve">؛ « فلو أنّ أحداً صام نهاره وقام لیله ومات بغیر ولایة ، لم یُقبل له صوم ولا صلاة » </w:t>
      </w:r>
      <w:r>
        <w:rPr>
          <w:rStyle w:val="FootnoteReference"/>
        </w:rPr>
        <w:footnoteReference w:id="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الأخذ بالأربع لا یکون - بناءً علی بطلان عبادات تارکی الولایة - إلّاإذا کانت أسامیَ للأعمّ .</w:t>
      </w:r>
    </w:p>
    <w:p>
      <w:pPr>
        <w:pStyle w:val="BookText"/>
      </w:pPr>
      <w:r>
        <w:rPr>
          <w:rFonts w:ascii="IRNazanin" w:hAnsi="IRNazanin" w:eastAsia="IRNazanin" w:cs="IRNazanin"/>
          <w:lang w:bidi="fa-IR"/>
          <w:color w:val="111111"/>
          <w:sz w:val="28"/>
          <w:szCs w:val="28"/>
          <w:rtl/>
        </w:rPr>
        <w:t xml:space="preserve">وقوله علیه السلام : « دَعی الصّلاة أیّام أقرائک » </w:t>
      </w:r>
      <w:r>
        <w:rPr>
          <w:rStyle w:val="FootnoteReference"/>
        </w:rPr>
        <w:footnoteReference w:id="96"/>
      </w:r>
      <w:r>
        <w:rPr>
          <w:rFonts w:ascii="IRNazanin" w:hAnsi="IRNazanin" w:eastAsia="IRNazanin" w:cs="IRNazanin"/>
          <w:lang w:bidi="fa-IR"/>
          <w:color w:val="111111"/>
          <w:sz w:val="28"/>
          <w:szCs w:val="28"/>
          <w:rtl/>
        </w:rPr>
        <w:t xml:space="preserve">؛ ضرورة أنّه لو لم یکن المراد منها الفاسدة لزم عدم صحّة النهی عنها ؛ لعدم قدرة الحائض علی الصحیحة منها .</w:t>
      </w:r>
    </w:p>
    <w:p>
      <w:pPr>
        <w:pStyle w:val="BookText"/>
      </w:pPr>
      <w:r>
        <w:rPr>
          <w:rFonts w:ascii="IRNazanin" w:hAnsi="IRNazanin" w:eastAsia="IRNazanin" w:cs="IRNazanin"/>
          <w:lang w:bidi="fa-IR"/>
          <w:color w:val="111111"/>
          <w:sz w:val="28"/>
          <w:szCs w:val="28"/>
          <w:rtl/>
        </w:rPr>
        <w:t xml:space="preserve">وفیه: أنّ الاستعمال أعمّ من الحقیقة .</w:t>
      </w:r>
    </w:p>
    <w:p>
      <w:pPr>
        <w:pStyle w:val="BookText"/>
      </w:pPr>
      <w:r>
        <w:rPr>
          <w:rFonts w:ascii="IRNazanin" w:hAnsi="IRNazanin" w:eastAsia="IRNazanin" w:cs="IRNazanin"/>
          <w:lang w:bidi="fa-IR"/>
          <w:color w:val="111111"/>
          <w:sz w:val="28"/>
          <w:szCs w:val="28"/>
          <w:rtl/>
        </w:rPr>
        <w:t xml:space="preserve">مع أنّ المراد فی الروایة الأُولی هو خصوص الصحیح ، بقرینة أنّها ممّا بُنی علیها الإسلام .</w:t>
      </w:r>
    </w:p>
    <w:p>
      <w:pPr>
        <w:pStyle w:val="BookText"/>
      </w:pPr>
      <w:r>
        <w:rPr>
          <w:rFonts w:ascii="IRNazanin" w:hAnsi="IRNazanin" w:eastAsia="IRNazanin" w:cs="IRNazanin"/>
          <w:lang w:bidi="fa-IR"/>
          <w:color w:val="111111"/>
          <w:sz w:val="28"/>
          <w:szCs w:val="28"/>
          <w:rtl/>
        </w:rPr>
        <w:t xml:space="preserve">ولا ینافی ذلک بطلان عبادة منکری الولایة ؛ إذ لعلّ أخذهم بها إنّما کان بحسب اعتقادهم ، لا حقیقةً ، وذلک لا یقتضی استعمالها فی الفاسد أو</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 . والاستعمالُ فی قوله علیه السلام : « فلو أنّ أحداً صام نهاره ... » کان کذلک - أی‌بحسب اعتقادهم - أو للمشابهة و المشاکلة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الروایة الثانیة ، النهی للإرشاد </w:t>
      </w:r>
      <w:r>
        <w:rPr>
          <w:rStyle w:val="FootnoteReference"/>
        </w:rPr>
        <w:footnoteReference w:id="98"/>
      </w:r>
      <w:r>
        <w:rPr>
          <w:rFonts w:ascii="IRNazanin" w:hAnsi="IRNazanin" w:eastAsia="IRNazanin" w:cs="IRNazanin"/>
          <w:lang w:bidi="fa-IR"/>
          <w:color w:val="111111"/>
          <w:sz w:val="28"/>
          <w:szCs w:val="28"/>
          <w:rtl/>
        </w:rPr>
        <w:t xml:space="preserve">إلی عدم القدرة علی الصّلاة </w:t>
      </w:r>
      <w:r>
        <w:rPr>
          <w:rStyle w:val="FootnoteReference"/>
        </w:rPr>
        <w:footnoteReference w:id="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وإلّا کان الإتیان بالأرکان وسائر ما یعتبر فی الصّلاة ، بل بما یسمّی فی العرف بها - ولو أخلّ بما لا یضرّ الإخلال به بالتسمیة عرفاً - محرّماً علی الحائض ذاتاً ، وإن لم تقصد به القربة . ولا أظنّ أن یلتزم به المستدلّ بالروایة ، فتأمّل جیّداً .</w:t>
      </w:r>
    </w:p>
    <w:p>
      <w:pPr>
        <w:pStyle w:val="BookText"/>
      </w:pPr>
      <w:r>
        <w:rPr>
          <w:rFonts w:ascii="Amiri" w:hAnsi="Amiri" w:eastAsia="Amiri" w:cs="Amiri"/>
          <w:lang w:bidi="ar-SA"/>
          <w:color w:val="111111"/>
          <w:sz w:val="28"/>
          <w:szCs w:val="28"/>
          <w:rtl/>
        </w:rPr>
        <w:t xml:space="preserve">5 - صحّة تعلّق‌النذر بترک‌الصّلاة فی‌مکان تُکره فیه</w:t>
      </w:r>
    </w:p>
    <w:p>
      <w:pPr>
        <w:pStyle w:val="BookText"/>
      </w:pPr>
      <w:r>
        <w:rPr>
          <w:rFonts w:ascii="IRNazanin" w:hAnsi="IRNazanin" w:eastAsia="IRNazanin" w:cs="IRNazanin"/>
          <w:lang w:bidi="fa-IR"/>
          <w:color w:val="111111"/>
          <w:sz w:val="28"/>
          <w:szCs w:val="28"/>
          <w:rtl/>
        </w:rPr>
        <w:t xml:space="preserve">ومنها: أنّه لا اشکال </w:t>
      </w:r>
      <w:r>
        <w:rPr>
          <w:rStyle w:val="FootnoteReference"/>
        </w:rPr>
        <w:footnoteReference w:id="100"/>
      </w:r>
      <w:r>
        <w:rPr>
          <w:rFonts w:ascii="IRNazanin" w:hAnsi="IRNazanin" w:eastAsia="IRNazanin" w:cs="IRNazanin"/>
          <w:lang w:bidi="fa-IR"/>
          <w:color w:val="111111"/>
          <w:sz w:val="28"/>
          <w:szCs w:val="28"/>
          <w:rtl/>
        </w:rPr>
        <w:t xml:space="preserve">فی صحّة تعلّق النذر وشبهه بترک الصّلاة فی مکانٍ تکره فیه ، وحصولِ الحنث بفعلها ، ولو کانت الصّلاة المنذور ترکُها خصوصَ الصحیحة لا یکاد یحصل به الحنث أصلاً ؛ لفساد الصّلاة المأتیّ بها ؛ لحرمتها ، کما لا یخفی .</w:t>
      </w:r>
    </w:p>
    <w:p>
      <w:pPr>
        <w:pStyle w:val="BookText"/>
      </w:pPr>
      <w:r>
        <w:rPr>
          <w:rFonts w:ascii="IRNazanin" w:hAnsi="IRNazanin" w:eastAsia="IRNazanin" w:cs="IRNazanin"/>
          <w:lang w:bidi="fa-IR"/>
          <w:color w:val="111111"/>
          <w:sz w:val="28"/>
          <w:szCs w:val="28"/>
          <w:rtl/>
        </w:rPr>
        <w:t xml:space="preserve">بل یلزم المحال ؛ فإنّ النذر - حسب الفرض - قد تعلّق بالصحیح منها ، ولاتکاد تکون معه صحیحة ، وما یلزم من فرض وجودِهِ عدمُهُ محالٌ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لا یخفی أنّه لو صحّ ذلک لا یقتضی إلّاعدمَ صحّة تعلّق النذر بالصحیح ، لا عدم وضع اللفظ له شرعاً ، مع أنّ الفساد من قِبَل النذر لا ینافی صحّة متعلّقه ، فلا یلزم من فرض وجودها عدمُها .</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14419_166751"/>
    <w:bookmarkEnd w:id="30"/>
    <w:p>
      <w:pPr>
        <w:pStyle w:val="BookText"/>
      </w:pPr>
      <w:r>
        <w:rPr>
          <w:rFonts w:ascii="IRNazanin" w:hAnsi="IRNazanin" w:eastAsia="IRNazanin" w:cs="IRNazanin"/>
          <w:lang w:bidi="fa-IR"/>
          <w:color w:val="111111"/>
          <w:sz w:val="28"/>
          <w:szCs w:val="28"/>
          <w:rtl/>
        </w:rPr>
        <w:t xml:space="preserve">ومن هنا انقدح : أنّ حصول الحنث إنّما یکون لأجل الصحّة لولا تعلّقه .</w:t>
      </w:r>
    </w:p>
    <w:p>
      <w:pPr>
        <w:pStyle w:val="BookText"/>
      </w:pPr>
      <w:r>
        <w:rPr>
          <w:rFonts w:ascii="IRNazanin" w:hAnsi="IRNazanin" w:eastAsia="IRNazanin" w:cs="IRNazanin"/>
          <w:lang w:bidi="fa-IR"/>
          <w:color w:val="111111"/>
          <w:sz w:val="28"/>
          <w:szCs w:val="28"/>
          <w:rtl/>
        </w:rPr>
        <w:t xml:space="preserve">نعم ، لو فرض تعلّقه بترک الصّلاة المطلوبة بالفعل </w:t>
      </w:r>
      <w:r>
        <w:rPr>
          <w:rStyle w:val="FootnoteReference"/>
        </w:rPr>
        <w:footnoteReference w:id="101"/>
      </w:r>
      <w:r>
        <w:rPr>
          <w:rFonts w:ascii="Amiri" w:hAnsi="Amiri" w:eastAsia="Amiri" w:cs="Amiri"/>
          <w:lang w:bidi="ar-SA"/>
          <w:color w:val="111111"/>
          <w:sz w:val="28"/>
          <w:szCs w:val="28"/>
          <w:rtl/>
        </w:rPr>
        <w:t xml:space="preserve"> لکان مَنْعُ حصول الحنث بفعلها بمکانٍ من الإمکان .</w:t>
      </w:r>
    </w:p>
    <w:p>
      <w:pPr>
        <w:pStyle w:val="BookText"/>
      </w:pPr>
      <w:r>
        <w:rPr>
          <w:rFonts w:ascii="Amiri" w:hAnsi="Amiri" w:eastAsia="Amiri" w:cs="Amiri"/>
          <w:lang w:bidi="ar-SA"/>
          <w:color w:val="111111"/>
          <w:sz w:val="28"/>
          <w:szCs w:val="28"/>
          <w:rtl/>
        </w:rPr>
        <w:t xml:space="preserve">بقی أُمور :</w:t>
      </w:r>
    </w:p>
    <w:p>
      <w:pPr>
        <w:pStyle w:val="Heading6"/>
      </w:pPr>
      <w:bookmarkStart w:id="641" w:name="_Toc81"/>
      <w:r>
        <w:t>- الکلام فی أسامی المعاملات</w:t>
      </w:r>
      <w:bookmarkEnd w:id="641"/>
    </w:p>
    <w:p>
      <w:pPr>
        <w:pStyle w:val="BookText"/>
      </w:pPr>
      <w:r>
        <w:rPr>
          <w:rFonts w:ascii="IRNazanin" w:hAnsi="IRNazanin" w:eastAsia="IRNazanin" w:cs="IRNazanin"/>
          <w:lang w:bidi="fa-IR"/>
          <w:color w:val="111111"/>
          <w:sz w:val="28"/>
          <w:szCs w:val="28"/>
          <w:rtl/>
        </w:rPr>
        <w:t xml:space="preserve">الأوّل : أنّ أسامی المعاملات إن کانت موضوعة للمسبّبات ، فلا مجال للنزاع فی کونها موضوعة للصحیحة أو للأعمّ ؛ لعدم اتّصافها بهما ، کما لا یخفی ، بل بالوجود تارةً ، وبالعدم أُخری .</w:t>
      </w:r>
    </w:p>
    <w:p>
      <w:pPr>
        <w:pStyle w:val="BookText"/>
      </w:pPr>
      <w:r>
        <w:rPr>
          <w:rFonts w:ascii="IRNazanin" w:hAnsi="IRNazanin" w:eastAsia="IRNazanin" w:cs="IRNazanin"/>
          <w:lang w:bidi="fa-IR"/>
          <w:color w:val="111111"/>
          <w:sz w:val="28"/>
          <w:szCs w:val="28"/>
          <w:rtl/>
        </w:rPr>
        <w:t xml:space="preserve">وأمّا إن کانت موضوعةً للأسباب ، فللنزاع فیه مجالٌ .</w:t>
      </w:r>
    </w:p>
    <w:p>
      <w:pPr>
        <w:pStyle w:val="BookText"/>
      </w:pPr>
      <w:r>
        <w:rPr>
          <w:rFonts w:ascii="IRNazanin" w:hAnsi="IRNazanin" w:eastAsia="IRNazanin" w:cs="IRNazanin"/>
          <w:lang w:bidi="fa-IR"/>
          <w:color w:val="111111"/>
          <w:sz w:val="28"/>
          <w:szCs w:val="28"/>
          <w:rtl/>
        </w:rPr>
        <w:t xml:space="preserve">لکنّه لا یبعد دعوی کونها موضوعة للصحیحة أیضاً ، وأنّ الموضوع له هو العقد المؤثّر لأثر کذا شرعاً وعرفاً .</w:t>
      </w:r>
    </w:p>
    <w:p>
      <w:pPr>
        <w:pStyle w:val="BookText"/>
      </w:pPr>
      <w:r>
        <w:rPr>
          <w:rFonts w:ascii="IRNazanin" w:hAnsi="IRNazanin" w:eastAsia="IRNazanin" w:cs="IRNazanin"/>
          <w:lang w:bidi="fa-IR"/>
          <w:color w:val="111111"/>
          <w:sz w:val="28"/>
          <w:szCs w:val="28"/>
          <w:rtl/>
        </w:rPr>
        <w:t xml:space="preserve">والاختلافُ بین الشرع والعرف فی ما یعتبر فی تأثیر العقد ، لا یوجب الاختلاف بینهما فی المعنی ، بل الاختلافَ فی المحقّقات والمصادیق ، وتخطئةَ الشرع العرفَ فی تخیّل کون العقد - بدون ما اعتبره فی تأثیره - محقِّقاً لما هو المؤثّر ، کما لا یخفی ، فافهم .</w:t>
      </w:r>
    </w:p>
    <w:p>
      <w:pPr>
        <w:pStyle w:val="Heading6"/>
      </w:pPr>
      <w:bookmarkStart w:id="642" w:name="_Toc82"/>
      <w:r>
        <w:t>- عدم الإجمال‌فی أسامی‌المعاملات بناءًعلی وضعهاللصحیح</w:t>
      </w:r>
      <w:bookmarkEnd w:id="6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 أنّ کون ألفاظ المعاملات أسامیَ للصحیحة لا یوجب إجمالها کألفاظ العبادات ، کی لا یصحّ التمسک بإطلاقها عند الشکّ فی اعتبار شیءٍ فی تأثیرها شرعاً ؛ وذلک لأنّ إطلاقها - لو کان مسوقاً فی مقام البیان - یُنزّل علی أنّ المؤثّر عند الشارع هو المؤثّر عند العرف </w:t>
      </w:r>
      <w:r>
        <w:rPr>
          <w:rStyle w:val="FootnoteReference"/>
        </w:rPr>
        <w:footnoteReference w:id="102"/>
      </w:r>
      <w:r>
        <w:rPr>
          <w:rFonts w:ascii="IRNazanin" w:hAnsi="IRNazanin" w:eastAsia="IRNazanin" w:cs="IRNazanin"/>
          <w:lang w:bidi="fa-IR"/>
          <w:color w:val="111111"/>
          <w:sz w:val="28"/>
          <w:szCs w:val="28"/>
          <w:rtl/>
        </w:rPr>
        <w:t xml:space="preserve">، ولم یعتبر فی تأثیره عنده غیرَ</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14419_166752"/>
    <w:bookmarkEnd w:id="31"/>
    <w:p>
      <w:pPr>
        <w:pStyle w:val="BookText"/>
      </w:pPr>
      <w:r>
        <w:rPr>
          <w:rFonts w:ascii="IRNazanin" w:hAnsi="IRNazanin" w:eastAsia="IRNazanin" w:cs="IRNazanin"/>
          <w:lang w:bidi="fa-IR"/>
          <w:color w:val="111111"/>
          <w:sz w:val="28"/>
          <w:szCs w:val="28"/>
          <w:rtl/>
        </w:rPr>
        <w:t xml:space="preserve">ما اعتبر فیه عندهم ، کما ینزّل علیه إطلاق کلام غیره ، حیث إنّه منهم ، ولو اعتبر فی تأثیره ما شُکّ فی اعتباره کان علیه البیان ونصبُ القرینة علیه ، وحیث لم ینصب بان عدَمُ اعتباره عنده أیضاً ؛ ولذا یتمسّکون بالإطلاق فی أبواب المعاملات مع ذهابهم إلی کون ألفاظها موضوعةً للصحیح .</w:t>
      </w:r>
    </w:p>
    <w:p>
      <w:pPr>
        <w:pStyle w:val="BookText"/>
      </w:pPr>
      <w:r>
        <w:rPr>
          <w:rFonts w:ascii="IRNazanin" w:hAnsi="IRNazanin" w:eastAsia="IRNazanin" w:cs="IRNazanin"/>
          <w:lang w:bidi="fa-IR"/>
          <w:color w:val="111111"/>
          <w:sz w:val="28"/>
          <w:szCs w:val="28"/>
          <w:rtl/>
        </w:rPr>
        <w:t xml:space="preserve">نعم ، لو شُکّ فی اعتبار شیءٍ فیها عرفاً ، فلا مجال للتمسّک بإطلاقها فی عدم اعتباره ، بل لابدّ من اعتباره ؛ لأصالة عدم الأثر بدونه ، فتأمّل جیّداً .</w:t>
      </w:r>
    </w:p>
    <w:p>
      <w:pPr>
        <w:pStyle w:val="Heading6"/>
      </w:pPr>
      <w:bookmarkStart w:id="643" w:name="_Toc83"/>
      <w:r>
        <w:t>- أنحاء دخل‌الشیء فی‌المأمور به</w:t>
      </w:r>
      <w:bookmarkEnd w:id="643"/>
    </w:p>
    <w:p>
      <w:pPr>
        <w:pStyle w:val="BookText"/>
      </w:pPr>
      <w:r>
        <w:rPr>
          <w:rFonts w:ascii="Amiri" w:hAnsi="Amiri" w:eastAsia="Amiri" w:cs="Amiri"/>
          <w:lang w:bidi="ar-SA"/>
          <w:color w:val="111111"/>
          <w:sz w:val="28"/>
          <w:szCs w:val="28"/>
          <w:rtl/>
        </w:rPr>
        <w:t xml:space="preserve">الثالث : أنّ دَخْلَ شیءٍ وجودیٍّ أو عدمیٍّ فی المأمور به :</w:t>
      </w:r>
    </w:p>
    <w:p>
      <w:pPr>
        <w:pStyle w:val="BookText"/>
      </w:pPr>
      <w:r>
        <w:rPr>
          <w:rFonts w:ascii="IRNazanin" w:hAnsi="IRNazanin" w:eastAsia="IRNazanin" w:cs="IRNazanin"/>
          <w:lang w:bidi="fa-IR"/>
          <w:color w:val="111111"/>
          <w:sz w:val="28"/>
          <w:szCs w:val="28"/>
          <w:rtl/>
        </w:rPr>
        <w:t xml:space="preserve">تارةً : بأن یکون داخلاً فی ما یأتلف منه ومن غیره ، وجُعل جملته متعلّقاً للأمر ، فیکون جزءاً له وداخلاً فی قوامه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أُخری : بأن یکون خارجاً عنه ، لکنّه کان ممّا لا تحصل الخصوصیّة المأخوذة فیه بدونه ، کما إذا أُخذ شیءٌ - مسبوقاً أو ملحوقاً به أو مقارناً له - متعلّقاً للأمر ، فیکون من مقدّماته لا مقوّماته .</w:t>
      </w:r>
    </w:p>
    <w:p>
      <w:pPr>
        <w:pStyle w:val="BookText"/>
      </w:pPr>
      <w:r>
        <w:rPr>
          <w:rFonts w:ascii="IRNazanin" w:hAnsi="IRNazanin" w:eastAsia="IRNazanin" w:cs="IRNazanin"/>
          <w:lang w:bidi="fa-IR"/>
          <w:color w:val="111111"/>
          <w:sz w:val="28"/>
          <w:szCs w:val="28"/>
          <w:rtl/>
        </w:rPr>
        <w:t xml:space="preserve">و ثالثةً : بأن یکون ممّا یتشخّص به المأمور به ، بحیث یصدق علی المتشخّص به عنوانُه ، وربما یحصل له بسببه مزیّةٌ أو نقیصة .</w:t>
      </w:r>
    </w:p>
    <w:p>
      <w:pPr>
        <w:pStyle w:val="BookText"/>
      </w:pPr>
      <w:r>
        <w:rPr>
          <w:rFonts w:ascii="IRNazanin" w:hAnsi="IRNazanin" w:eastAsia="IRNazanin" w:cs="IRNazanin"/>
          <w:lang w:bidi="fa-IR"/>
          <w:color w:val="111111"/>
          <w:sz w:val="28"/>
          <w:szCs w:val="28"/>
          <w:rtl/>
        </w:rPr>
        <w:t xml:space="preserve">ودخلُ هذا فیه أیضاً طوراً بنحو الشطریّة ، وآخَر بنحو الشرطیّة ، فیکون الإخلال بما له دَخْلٌ - بأحد النحوین - فی حقیقة المأمور به وماهیّته موجباً لفساده لا محالة ، بخلاف ما له الدخل فی تشخّصه وتحقّقه مطلقاً ، - شطراً کان أو شرطاً - حیث لا یکون الإخلال به إلّاإخلالاً بتلک الخصوصیّة ، مع تحقّق الماهیّة بخصوصیّة أُخری غیرِ موجبة لتلک المزیّة ، بل کانت موجبة لنقصانها ، کما أشرنا إلیه </w:t>
      </w:r>
      <w:r>
        <w:rPr>
          <w:rStyle w:val="FootnoteReference"/>
        </w:rPr>
        <w:footnoteReference w:id="103"/>
      </w:r>
      <w:r>
        <w:rPr>
          <w:rFonts w:ascii="IRNazanin" w:hAnsi="IRNazanin" w:eastAsia="IRNazanin" w:cs="IRNazanin"/>
          <w:lang w:bidi="fa-IR"/>
          <w:color w:val="111111"/>
          <w:sz w:val="28"/>
          <w:szCs w:val="28"/>
          <w:rtl/>
        </w:rPr>
        <w:t xml:space="preserve">، کالصلاة فی الحمّام .</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4419_166753"/>
    <w:bookmarkEnd w:id="32"/>
    <w:p>
      <w:pPr>
        <w:pStyle w:val="BookText"/>
      </w:pPr>
      <w:r>
        <w:rPr>
          <w:rFonts w:ascii="IRNazanin" w:hAnsi="IRNazanin" w:eastAsia="IRNazanin" w:cs="IRNazanin"/>
          <w:lang w:bidi="fa-IR"/>
          <w:color w:val="111111"/>
          <w:sz w:val="28"/>
          <w:szCs w:val="28"/>
          <w:rtl/>
        </w:rPr>
        <w:t xml:space="preserve">ثمّ إنّه ربما یکون الشیء ممّا یندب إلیه فیه ، بلا دخل له أصلاً - لا شطراً ولا شرطاً - فی حقیقته ، ولا فی خصوصیّته وتشخّصه ، بل له دَخْلٌ ظرفاً فی مطلوبیّته ، بحیث لا یکون مطلوباً إلّاإذا وقع فی أثنائه ، فیکون مطلوباً نفسیّاً فی واجب أو مستحبّ ، کما إذا کان مطلوباً کذلک قبل أحدهما أو بعده ، فلا یکون الإخلال به موجباً للإخلال به ماهیّةً ، ولا تشخّصاً وخصوصیّة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هذا کلّه ، فلا شبهة فی عدم دخل ما ندب إلیه فی العبادات نفسیّاً فی التسمیة بأسامیها ، وکذا فی ما له </w:t>
      </w:r>
      <w:r>
        <w:rPr>
          <w:rStyle w:val="FootnoteReference"/>
        </w:rPr>
        <w:footnoteReference w:id="104"/>
      </w:r>
      <w:r>
        <w:rPr>
          <w:rFonts w:ascii="Amiri" w:hAnsi="Amiri" w:eastAsia="Amiri" w:cs="Amiri"/>
          <w:lang w:bidi="ar-SA"/>
          <w:color w:val="111111"/>
          <w:sz w:val="28"/>
          <w:szCs w:val="28"/>
          <w:rtl/>
        </w:rPr>
        <w:t xml:space="preserve">دَخْلٌ فی تشخّصها مطلقاً .</w:t>
      </w:r>
    </w:p>
    <w:p>
      <w:pPr>
        <w:pStyle w:val="BookText"/>
      </w:pPr>
      <w:r>
        <w:rPr>
          <w:rFonts w:ascii="IRNazanin" w:hAnsi="IRNazanin" w:eastAsia="IRNazanin" w:cs="IRNazanin"/>
          <w:lang w:bidi="fa-IR"/>
          <w:color w:val="111111"/>
          <w:sz w:val="28"/>
          <w:szCs w:val="28"/>
          <w:rtl/>
        </w:rPr>
        <w:t xml:space="preserve">وأمّا ما له الدخل شرطاً فی أصل ماهیّتها ، فیمکن الذهاب أیضاً إلی عدم دخله فی التسمیة بها ، مع الذهاب إلی دخل ما له الدخل جزءاً فیها </w:t>
      </w:r>
      <w:r>
        <w:rPr>
          <w:rStyle w:val="FootnoteReference"/>
        </w:rPr>
        <w:footnoteReference w:id="105"/>
      </w:r>
      <w:r>
        <w:rPr>
          <w:rFonts w:ascii="IRNazanin" w:hAnsi="IRNazanin" w:eastAsia="IRNazanin" w:cs="IRNazanin"/>
          <w:lang w:bidi="fa-IR"/>
          <w:color w:val="111111"/>
          <w:sz w:val="28"/>
          <w:szCs w:val="28"/>
          <w:rtl/>
        </w:rPr>
        <w:t xml:space="preserve">، فیکون الإخلال بالجزء مخلاًّ بها ، دون الإخلال بالشرط ، لکنّک عرفت </w:t>
      </w:r>
      <w:r>
        <w:rPr>
          <w:rStyle w:val="FootnoteReference"/>
        </w:rPr>
        <w:footnoteReference w:id="106"/>
      </w:r>
      <w:r>
        <w:rPr>
          <w:rFonts w:ascii="IRNazanin" w:hAnsi="IRNazanin" w:eastAsia="IRNazanin" w:cs="IRNazanin"/>
          <w:lang w:bidi="fa-IR"/>
          <w:color w:val="111111"/>
          <w:sz w:val="28"/>
          <w:szCs w:val="28"/>
          <w:rtl/>
        </w:rPr>
        <w:t xml:space="preserve">أنّ الصحیح اعتبارهما فیها .</w:t>
      </w:r>
    </w:p>
    <w:p>
      <w:pPr>
        <w:pStyle w:val="Heading6"/>
      </w:pPr>
      <w:bookmarkStart w:id="644" w:name="_Toc84"/>
      <w:r>
        <w:t>الحادی عشر : الاشتراک</w:t>
      </w:r>
      <w:bookmarkEnd w:id="644"/>
    </w:p>
    <w:p>
      <w:pPr>
        <w:pStyle w:val="Heading6"/>
      </w:pPr>
      <w:bookmarkStart w:id="645" w:name="_Toc85"/>
      <w:r>
        <w:t>توهّم استحالةقوع الاشتراک‌والجواب عنه</w:t>
      </w:r>
      <w:bookmarkEnd w:id="645"/>
    </w:p>
    <w:p>
      <w:pPr>
        <w:pStyle w:val="BookText"/>
      </w:pPr>
      <w:r>
        <w:rPr>
          <w:rFonts w:ascii="IRNazanin" w:hAnsi="IRNazanin" w:eastAsia="IRNazanin" w:cs="IRNazanin"/>
          <w:lang w:bidi="fa-IR"/>
          <w:color w:val="111111"/>
          <w:sz w:val="28"/>
          <w:szCs w:val="28"/>
          <w:rtl/>
        </w:rPr>
        <w:t xml:space="preserve">الحقّ : وقوع الاشتراک ؛ للنقل ، والتبادر ، وعدم صحّة السلب بالنسبة إلی معنیین أو أکثر للفظٍ واحد ، وإن أحاله بعض </w:t>
      </w:r>
      <w:r>
        <w:rPr>
          <w:rStyle w:val="FootnoteReference"/>
        </w:rPr>
        <w:footnoteReference w:id="107"/>
      </w:r>
      <w:r>
        <w:rPr>
          <w:rFonts w:ascii="IRNazanin" w:hAnsi="IRNazanin" w:eastAsia="IRNazanin" w:cs="IRNazanin"/>
          <w:lang w:bidi="fa-IR"/>
          <w:color w:val="111111"/>
          <w:sz w:val="28"/>
          <w:szCs w:val="28"/>
          <w:rtl/>
        </w:rPr>
        <w:t xml:space="preserve">؛ لإخلاله بالتفهّم المقصود</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14419_166754"/>
    <w:bookmarkEnd w:id="33"/>
    <w:p>
      <w:pPr>
        <w:pStyle w:val="BookText"/>
      </w:pPr>
      <w:r>
        <w:rPr>
          <w:rFonts w:ascii="IRNazanin" w:hAnsi="IRNazanin" w:eastAsia="IRNazanin" w:cs="IRNazanin"/>
          <w:lang w:bidi="fa-IR"/>
          <w:color w:val="111111"/>
          <w:sz w:val="28"/>
          <w:szCs w:val="28"/>
          <w:rtl/>
        </w:rPr>
        <w:t xml:space="preserve">من الوضع ؛ لخفاء القرائن .</w:t>
      </w:r>
    </w:p>
    <w:p>
      <w:pPr>
        <w:pStyle w:val="BookText"/>
      </w:pPr>
      <w:r>
        <w:rPr>
          <w:rFonts w:ascii="IRNazanin" w:hAnsi="IRNazanin" w:eastAsia="IRNazanin" w:cs="IRNazanin"/>
          <w:lang w:bidi="fa-IR"/>
          <w:color w:val="111111"/>
          <w:sz w:val="28"/>
          <w:szCs w:val="28"/>
          <w:rtl/>
        </w:rPr>
        <w:t xml:space="preserve">لمنع الإخلال </w:t>
      </w:r>
      <w:r>
        <w:rPr>
          <w:rStyle w:val="FootnoteReference"/>
        </w:rPr>
        <w:footnoteReference w:id="108"/>
      </w:r>
      <w:r>
        <w:rPr>
          <w:rFonts w:ascii="Amiri" w:hAnsi="Amiri" w:eastAsia="Amiri" w:cs="Amiri"/>
          <w:lang w:bidi="ar-SA"/>
          <w:color w:val="111111"/>
          <w:sz w:val="28"/>
          <w:szCs w:val="28"/>
          <w:rtl/>
        </w:rPr>
        <w:t xml:space="preserve">أوّلاً ؛ لإمکان الاتّکال علی القرائن الواضحة ، ومَنْعِ کونه مخلّاً بالحکمة ثانیاً ؛ لتعلّق الغرض بالإجمال أحیاناً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646" w:name="_Toc86"/>
      <w:r>
        <w:t>توهّم منع استعمال المشترک فی القرآن والجواب عنه</w:t>
      </w:r>
      <w:bookmarkEnd w:id="646"/>
    </w:p>
    <w:p>
      <w:pPr>
        <w:pStyle w:val="BookText"/>
      </w:pPr>
      <w:r>
        <w:rPr>
          <w:rFonts w:ascii="IRNazanin" w:hAnsi="IRNazanin" w:eastAsia="IRNazanin" w:cs="IRNazanin"/>
          <w:lang w:bidi="fa-IR"/>
          <w:color w:val="111111"/>
          <w:sz w:val="28"/>
          <w:szCs w:val="28"/>
          <w:rtl/>
        </w:rPr>
        <w:t xml:space="preserve">کما أنّ استعمال المشترک فی القرآن لیس بمحال کما تُوُهّم </w:t>
      </w:r>
      <w:r>
        <w:rPr>
          <w:rStyle w:val="FootnoteReference"/>
        </w:rPr>
        <w:footnoteReference w:id="110"/>
      </w:r>
      <w:r>
        <w:rPr>
          <w:rFonts w:ascii="IRNazanin" w:hAnsi="IRNazanin" w:eastAsia="IRNazanin" w:cs="IRNazanin"/>
          <w:lang w:bidi="fa-IR"/>
          <w:color w:val="111111"/>
          <w:sz w:val="28"/>
          <w:szCs w:val="28"/>
          <w:rtl/>
        </w:rPr>
        <w:t xml:space="preserve">؛ لأجل لزوم التطویل بلا طائل مع الاتّکال علی القرائن ، والإجمال فی المقال لولا الاتّکال علیها ، وکلاهما غیر لائقٍ بکلامه - تعالی - ، کما لا یخفی .</w:t>
      </w:r>
    </w:p>
    <w:p>
      <w:pPr>
        <w:pStyle w:val="BookText"/>
      </w:pPr>
      <w:r>
        <w:rPr>
          <w:rFonts w:ascii="IRNazanin" w:hAnsi="IRNazanin" w:eastAsia="IRNazanin" w:cs="IRNazanin"/>
          <w:lang w:bidi="fa-IR"/>
          <w:color w:val="111111"/>
          <w:sz w:val="28"/>
          <w:szCs w:val="28"/>
          <w:rtl/>
        </w:rPr>
        <w:t xml:space="preserve">وذلک لعدم لزوم التطویل فی ما کان الاتّکال علی حالٍ أو مقالٍ أُتی به لغرضٍ آخر </w:t>
      </w:r>
      <w:r>
        <w:rPr>
          <w:rStyle w:val="FootnoteReference"/>
        </w:rPr>
        <w:footnoteReference w:id="111"/>
      </w:r>
      <w:r>
        <w:rPr>
          <w:rFonts w:ascii="Amiri" w:hAnsi="Amiri" w:eastAsia="Amiri" w:cs="Amiri"/>
          <w:lang w:bidi="ar-SA"/>
          <w:color w:val="111111"/>
          <w:sz w:val="28"/>
          <w:szCs w:val="28"/>
          <w:rtl/>
        </w:rPr>
        <w:t xml:space="preserve">، ومَنْعِ کون الإجمال غیرَ لائقٍ بکلامه - تعالی - ، مع کونه ممّا یتعلّق به الغرض ، وإلّا لما وقع المشتبه فی کلامه ، وقد أخبر فی کتابه بوقوعه فیه ، قال اللّٰه - تعالی - : «مِنْهُ آیٰاتٌ مُحْکَمٰاتٌ هُنَّ أُمُّ الْکِتٰابِ وَ أُخَرُ مُتَشٰابِهٰاتٌ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647" w:name="_Toc87"/>
      <w:r>
        <w:t>توهّم لزوم وقوع الاشتراک فی اللغات والجواب عنه</w:t>
      </w:r>
      <w:bookmarkEnd w:id="64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وربما تُوُهّم </w:t>
      </w:r>
      <w:r>
        <w:rPr>
          <w:rStyle w:val="FootnoteReference"/>
        </w:rPr>
        <w:footnoteReference w:id="113"/>
      </w:r>
      <w:r>
        <w:rPr>
          <w:rFonts w:ascii="IRNazanin" w:hAnsi="IRNazanin" w:eastAsia="IRNazanin" w:cs="IRNazanin"/>
          <w:lang w:bidi="fa-IR"/>
          <w:color w:val="111111"/>
          <w:sz w:val="28"/>
          <w:szCs w:val="28"/>
          <w:rtl/>
        </w:rPr>
        <w:t xml:space="preserve">وجوبُ وقوع الاشتراک فی اللغات </w:t>
      </w:r>
      <w:r>
        <w:rPr>
          <w:rStyle w:val="FootnoteReference"/>
        </w:rPr>
        <w:footnoteReference w:id="114"/>
      </w:r>
      <w:r>
        <w:rPr>
          <w:rFonts w:ascii="IRNazanin" w:hAnsi="IRNazanin" w:eastAsia="IRNazanin" w:cs="IRNazanin"/>
          <w:lang w:bidi="fa-IR"/>
          <w:color w:val="111111"/>
          <w:sz w:val="28"/>
          <w:szCs w:val="28"/>
          <w:rtl/>
        </w:rPr>
        <w:t xml:space="preserve">؛ لأجل عدم تناهی المعانی ، وتناهی الألفاظ المرکّبات ، فلابدّ من الاشتراک فیها .</w:t>
      </w:r>
    </w:p>
    <w:p>
      <w:pPr>
        <w:pStyle w:val="BookText"/>
      </w:pPr>
      <w:r>
        <w:rPr>
          <w:rFonts w:ascii="IRNazanin" w:hAnsi="IRNazanin" w:eastAsia="IRNazanin" w:cs="IRNazanin"/>
          <w:lang w:bidi="fa-IR"/>
          <w:color w:val="111111"/>
          <w:sz w:val="28"/>
          <w:szCs w:val="28"/>
          <w:rtl/>
        </w:rPr>
        <w:t xml:space="preserve">وهو فاسد ؛ لوضوح امتناع الاشتراک فی هذه المعانی ؛ لاستدعائه</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4419_166755"/>
    <w:bookmarkEnd w:id="34"/>
    <w:p>
      <w:pPr>
        <w:pStyle w:val="BookText"/>
      </w:pPr>
      <w:r>
        <w:rPr>
          <w:rFonts w:ascii="IRNazanin" w:hAnsi="IRNazanin" w:eastAsia="IRNazanin" w:cs="IRNazanin"/>
          <w:lang w:bidi="fa-IR"/>
          <w:color w:val="111111"/>
          <w:sz w:val="28"/>
          <w:szCs w:val="28"/>
          <w:rtl/>
        </w:rPr>
        <w:t xml:space="preserve">الأوضاع غیر المتناهیة ، ولو سلّم لم یکَد یُجدی إلّافی مقدارٍ متناهٍ ، مضافاً إلی تناهی المعانی الکلّیّة ، وجزئیّاتها وإن کانت غیر متناهیة إلّاأنّ وضع الألفاظ بإزاء کلّیّاتها یغنی عن وضع لفظٍ بإزائها ، کما لا یخفی ، مع أنّ المجاز بابٌ واسعٌ </w:t>
      </w:r>
      <w:r>
        <w:rPr>
          <w:rStyle w:val="FootnoteReference"/>
        </w:rPr>
        <w:footnoteReference w:id="115"/>
      </w:r>
      <w:r>
        <w:rPr>
          <w:rFonts w:ascii="IRNazanin" w:hAnsi="IRNazanin" w:eastAsia="IRNazanin" w:cs="IRNazanin"/>
          <w:lang w:bidi="fa-IR"/>
          <w:color w:val="111111"/>
          <w:sz w:val="28"/>
          <w:szCs w:val="28"/>
          <w:rtl/>
        </w:rPr>
        <w:t xml:space="preserve">، فافهم .</w:t>
      </w:r>
    </w:p>
    <w:p>
      <w:pPr>
        <w:pStyle w:val="Heading6"/>
      </w:pPr>
      <w:bookmarkStart w:id="648" w:name="_Toc88"/>
      <w:r>
        <w:t>الثانی عشر : استعمال اللفظ فی أکثر من معنی</w:t>
      </w:r>
      <w:bookmarkEnd w:id="648"/>
    </w:p>
    <w:p>
      <w:pPr>
        <w:pStyle w:val="Heading6"/>
      </w:pPr>
      <w:bookmarkStart w:id="649" w:name="_Toc89"/>
      <w:r>
        <w:t>اشارة</w:t>
      </w:r>
      <w:bookmarkEnd w:id="6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أنّه قد اختلفوا فی جواز استعمال اللفظ فی أکثر من معنی ، علی سبیل الانفراد والاستقلال - بأن یراد منه کلُّ واحدٍ کما إذا لم یستعمل إلّافیه - علی أقوال :</w:t>
      </w:r>
    </w:p>
    <w:p>
      <w:pPr>
        <w:pStyle w:val="BookText"/>
      </w:pPr>
      <w:r>
        <w:rPr>
          <w:rFonts w:ascii="IRNazanin" w:hAnsi="IRNazanin" w:eastAsia="IRNazanin" w:cs="IRNazanin"/>
          <w:lang w:bidi="fa-IR"/>
          <w:color w:val="111111"/>
          <w:sz w:val="28"/>
          <w:szCs w:val="28"/>
          <w:rtl/>
        </w:rPr>
        <w:t xml:space="preserve">أظهرها : عدم جواز الاستعمال فی الأکثر عقلاً .</w:t>
      </w:r>
    </w:p>
    <w:p>
      <w:pPr>
        <w:pStyle w:val="Heading6"/>
      </w:pPr>
      <w:bookmarkStart w:id="650" w:name="_Toc90"/>
      <w:r>
        <w:t>الأظهر : عدم جواز الاستعمال فی الأکثر عقلاً</w:t>
      </w:r>
      <w:bookmarkEnd w:id="650"/>
    </w:p>
    <w:p>
      <w:pPr>
        <w:pStyle w:val="BookText"/>
      </w:pPr>
      <w:r>
        <w:rPr>
          <w:rFonts w:ascii="Amiri" w:hAnsi="Amiri" w:eastAsia="Amiri" w:cs="Amiri"/>
          <w:lang w:bidi="ar-SA"/>
          <w:color w:val="111111"/>
          <w:sz w:val="28"/>
          <w:szCs w:val="28"/>
          <w:rtl/>
        </w:rPr>
        <w:t xml:space="preserve">وبیانه : أنّ حقیقة الاستعمال لیس مجرّدُ جَعْلِ اللفظ علامةً لإرادة المعنی </w:t>
      </w:r>
      <w:r>
        <w:rPr>
          <w:rStyle w:val="FootnoteReference"/>
        </w:rPr>
        <w:footnoteReference w:id="116"/>
      </w:r>
      <w:r>
        <w:rPr>
          <w:rFonts w:ascii="Amiri" w:hAnsi="Amiri" w:eastAsia="Amiri" w:cs="Amiri"/>
          <w:lang w:bidi="ar-SA"/>
          <w:color w:val="111111"/>
          <w:sz w:val="28"/>
          <w:szCs w:val="28"/>
          <w:rtl/>
        </w:rPr>
        <w:t xml:space="preserve">، بل جَعْلُه وجهاً وعنواناً له ، بل بوجهٍ نفسُهُ کأنّه الملقی ، ولذا یسری إلیه قُبْحُه أو حُسْنُه ، کما لا یخفی .</w:t>
      </w:r>
    </w:p>
    <w:p>
      <w:pPr>
        <w:pStyle w:val="BookText"/>
      </w:pPr>
      <w:r>
        <w:rPr>
          <w:rFonts w:ascii="IRNazanin" w:hAnsi="IRNazanin" w:eastAsia="IRNazanin" w:cs="IRNazanin"/>
          <w:lang w:bidi="fa-IR"/>
          <w:color w:val="111111"/>
          <w:sz w:val="28"/>
          <w:szCs w:val="28"/>
          <w:rtl/>
        </w:rPr>
        <w:t xml:space="preserve">ولا یکاد یمکن جعل اللفظ کذلک إلّالمعنی واحد ؛ ضرورةَ أنّ لحاظه هکذا فی إرادة معنی ینافی لحاظه کذلک فی إرادة الآخر ؛ حیث إنّ لحاظه کذلک لا یکاد یکون إلّابتبع لحاظ المعنی فانیاً فیه ، فناءَ الوجه فی ذی الوجه ، والعنوان فی المعنون ، ومعه کیف یمکن إرادة معنی آخر معه کذلک فی استعمال</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4419_166756"/>
    <w:bookmarkEnd w:id="35"/>
    <w:p>
      <w:pPr>
        <w:pStyle w:val="BookText"/>
      </w:pPr>
      <w:r>
        <w:rPr>
          <w:rFonts w:ascii="IRNazanin" w:hAnsi="IRNazanin" w:eastAsia="IRNazanin" w:cs="IRNazanin"/>
          <w:lang w:bidi="fa-IR"/>
          <w:color w:val="111111"/>
          <w:sz w:val="28"/>
          <w:szCs w:val="28"/>
          <w:rtl/>
        </w:rPr>
        <w:t xml:space="preserve">واحد؟ مع </w:t>
      </w:r>
      <w:r>
        <w:rPr>
          <w:rStyle w:val="FootnoteReference"/>
        </w:rPr>
        <w:footnoteReference w:id="117"/>
      </w:r>
      <w:r>
        <w:rPr>
          <w:rFonts w:ascii="IRNazanin" w:hAnsi="IRNazanin" w:eastAsia="IRNazanin" w:cs="IRNazanin"/>
          <w:lang w:bidi="fa-IR"/>
          <w:color w:val="111111"/>
          <w:sz w:val="28"/>
          <w:szCs w:val="28"/>
          <w:rtl/>
        </w:rPr>
        <w:t xml:space="preserve">استلزامه </w:t>
      </w:r>
      <w:r>
        <w:rPr>
          <w:rStyle w:val="FootnoteReference"/>
        </w:rPr>
        <w:footnoteReference w:id="118"/>
      </w:r>
      <w:r>
        <w:rPr>
          <w:rFonts w:ascii="IRNazanin" w:hAnsi="IRNazanin" w:eastAsia="IRNazanin" w:cs="IRNazanin"/>
          <w:lang w:bidi="fa-IR"/>
          <w:color w:val="111111"/>
          <w:sz w:val="28"/>
          <w:szCs w:val="28"/>
          <w:rtl/>
        </w:rPr>
        <w:t xml:space="preserve">للحاظ آخر غیر لحاظه کذلک فی هذا الحال .</w:t>
      </w:r>
    </w:p>
    <w:p>
      <w:pPr>
        <w:pStyle w:val="BookText"/>
      </w:pPr>
      <w:r>
        <w:rPr>
          <w:rFonts w:ascii="IRNazanin" w:hAnsi="IRNazanin" w:eastAsia="IRNazanin" w:cs="IRNazanin"/>
          <w:lang w:bidi="fa-IR"/>
          <w:color w:val="111111"/>
          <w:sz w:val="28"/>
          <w:szCs w:val="28"/>
          <w:rtl/>
        </w:rPr>
        <w:t xml:space="preserve">وبالجملة : لا یکاد یمکن - فی حال استعمال واحد - لحاظُهُ وجهاً لمعنیین وفانیاً فی الاثنین ، إلّاأن یکون اللاحظ أحْوَلَ العینین .</w:t>
      </w:r>
    </w:p>
    <w:p>
      <w:pPr>
        <w:pStyle w:val="BookText"/>
      </w:pPr>
      <w:r>
        <w:rPr>
          <w:rFonts w:ascii="IRNazanin" w:hAnsi="IRNazanin" w:eastAsia="IRNazanin" w:cs="IRNazanin"/>
          <w:lang w:bidi="fa-IR"/>
          <w:color w:val="111111"/>
          <w:sz w:val="28"/>
          <w:szCs w:val="28"/>
          <w:rtl/>
        </w:rPr>
        <w:t xml:space="preserve">فانقدح بذلک : امتناع استعمال اللفظ مطلقاً - مفرداً کان أو غیره - فی أکثر من معنی ، بنحو الحقیقة أو المجاز .</w:t>
      </w:r>
    </w:p>
    <w:p>
      <w:pPr>
        <w:pStyle w:val="BookText"/>
      </w:pPr>
      <w:r>
        <w:rPr>
          <w:rFonts w:ascii="IRNazanin" w:hAnsi="IRNazanin" w:eastAsia="IRNazanin" w:cs="IRNazanin"/>
          <w:lang w:bidi="fa-IR"/>
          <w:color w:val="111111"/>
          <w:sz w:val="28"/>
          <w:szCs w:val="28"/>
          <w:rtl/>
        </w:rPr>
        <w:t xml:space="preserve">ولولا امتناعه فلا وجه لعدم جوازه ؛ فإنّ اعتبار الوحدة فی الموضوع له </w:t>
      </w:r>
      <w:r>
        <w:rPr>
          <w:rStyle w:val="FootnoteReference"/>
        </w:rPr>
        <w:footnoteReference w:id="119"/>
      </w:r>
      <w:r>
        <w:rPr>
          <w:rFonts w:ascii="IRNazanin" w:hAnsi="IRNazanin" w:eastAsia="IRNazanin" w:cs="IRNazanin"/>
          <w:lang w:bidi="fa-IR"/>
          <w:color w:val="111111"/>
          <w:sz w:val="28"/>
          <w:szCs w:val="28"/>
          <w:rtl/>
        </w:rPr>
        <w:t xml:space="preserve">واضح المنع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وکون الوضع فی حال وحدة المعنی وتوقیفیّته </w:t>
      </w:r>
      <w:r>
        <w:rPr>
          <w:rStyle w:val="FootnoteReference"/>
        </w:rPr>
        <w:footnoteReference w:id="120"/>
      </w:r>
      <w:r>
        <w:rPr>
          <w:rFonts w:ascii="IRNazanin" w:hAnsi="IRNazanin" w:eastAsia="IRNazanin" w:cs="IRNazanin"/>
          <w:lang w:bidi="fa-IR"/>
          <w:color w:val="111111"/>
          <w:sz w:val="28"/>
          <w:szCs w:val="28"/>
          <w:rtl/>
        </w:rPr>
        <w:t xml:space="preserve">لا یقتضی عدم الجواز ، بعد ما لم تکن الوحدة قیداً للوضع ولا للموضوع له ، کما لا یخفی .</w:t>
      </w:r>
    </w:p>
    <w:p>
      <w:pPr>
        <w:pStyle w:val="Heading6"/>
      </w:pPr>
      <w:bookmarkStart w:id="651" w:name="_Toc91"/>
      <w:r>
        <w:t>القول بالتفصیل بین التثنیة والجمع وبین المفرد والمناقشة فیه</w:t>
      </w:r>
      <w:bookmarkEnd w:id="651"/>
    </w:p>
    <w:p>
      <w:pPr>
        <w:pStyle w:val="BookText"/>
      </w:pPr>
      <w:r>
        <w:rPr>
          <w:rFonts w:ascii="IRNazanin" w:hAnsi="IRNazanin" w:eastAsia="IRNazanin" w:cs="IRNazanin"/>
          <w:lang w:bidi="fa-IR"/>
          <w:color w:val="111111"/>
          <w:sz w:val="28"/>
          <w:szCs w:val="28"/>
          <w:rtl/>
        </w:rPr>
        <w:t xml:space="preserve">ثمّ لو تنزّلنا عن ذلک ، فلا وجه للتفصیل بالجواز علی نحو الحقیقة فی التثنیة والجمع ، وعلی نحو المجاز فی المفرد ، مستدلّاً علی کونه بنحو الحقیقة فیهما ؛ لکونهما </w:t>
      </w:r>
      <w:r>
        <w:rPr>
          <w:rStyle w:val="FootnoteReference"/>
        </w:rPr>
        <w:footnoteReference w:id="121"/>
      </w:r>
      <w:r>
        <w:rPr>
          <w:rFonts w:ascii="IRNazanin" w:hAnsi="IRNazanin" w:eastAsia="IRNazanin" w:cs="IRNazanin"/>
          <w:lang w:bidi="fa-IR"/>
          <w:color w:val="111111"/>
          <w:sz w:val="28"/>
          <w:szCs w:val="28"/>
          <w:rtl/>
        </w:rPr>
        <w:t xml:space="preserve">بمنزلة تکرار اللفظ ، وبنحو المجاز فیه ؛ لکونه </w:t>
      </w:r>
      <w:r>
        <w:rPr>
          <w:rStyle w:val="FootnoteReference"/>
        </w:rPr>
        <w:footnoteReference w:id="122"/>
      </w:r>
      <w:r>
        <w:rPr>
          <w:rFonts w:ascii="IRNazanin" w:hAnsi="IRNazanin" w:eastAsia="IRNazanin" w:cs="IRNazanin"/>
          <w:lang w:bidi="fa-IR"/>
          <w:color w:val="111111"/>
          <w:sz w:val="28"/>
          <w:szCs w:val="28"/>
          <w:rtl/>
        </w:rPr>
        <w:t xml:space="preserve">موضوعاً للمعنی بقید الوحدة ، فإذا استعمل فی الأکثر لزم إلغاء قید الوحدة ، فیکون مستعملاً فی جزء المعنی بعلاقة الکلّ والجزء ، فیکون مجازاً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لوضوح </w:t>
      </w:r>
      <w:r>
        <w:rPr>
          <w:rStyle w:val="FootnoteReference"/>
        </w:rPr>
        <w:footnoteReference w:id="124"/>
      </w:r>
      <w:r>
        <w:rPr>
          <w:rFonts w:ascii="IRNazanin" w:hAnsi="IRNazanin" w:eastAsia="IRNazanin" w:cs="IRNazanin"/>
          <w:lang w:bidi="fa-IR"/>
          <w:color w:val="111111"/>
          <w:sz w:val="28"/>
          <w:szCs w:val="28"/>
          <w:rtl/>
        </w:rPr>
        <w:t xml:space="preserve">أنّ الألفاظ لا تکون موضوعة إلّالنفس المعانی بلا ملاحظة قید الوحدة ، وإلّا لما جاز الاستعمال فی الأکثر ؛ لأنّ الأکثر لیس جزءَ المقیّد بالوحدة ، بل یباینه مباینةَ الشیء بشرط شیءٍ والشیء بشرط لا ، کما لا یخفی .</w:t>
      </w:r>
    </w:p>
    <w:p>
      <w:pPr>
        <w:pStyle w:val="BookText"/>
      </w:pPr>
      <w:r>
        <w:rPr>
          <w:rFonts w:ascii="IRNazanin" w:hAnsi="IRNazanin" w:eastAsia="IRNazanin" w:cs="IRNazanin"/>
          <w:lang w:bidi="fa-IR"/>
          <w:color w:val="111111"/>
          <w:sz w:val="28"/>
          <w:szCs w:val="28"/>
          <w:rtl/>
        </w:rPr>
        <w:t xml:space="preserve">والتثنیة والجمع وإن کانا بمنزلة التکرار فی اللفظ ، إلّاأنّ الظاهر أنّ اللفظ فیهما کأنّه کرّر ، وأُرید من کلّ لفظٍ فردٌ من أفراد معناه ، لا أنّه أُرید منه معنی من معانیه . فإذا قیل مثلاً: « جئنی بعینین » أُرید فردان من العین الجاریة ، لا العین الجاریة والعین الباکیة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والتثنیة والجمع فی الأعلام إنّما هو بتأویل المفرد إلی المسمّی بها .</w:t>
      </w:r>
    </w:p>
    <w:p>
      <w:pPr>
        <w:pStyle w:val="BookText"/>
      </w:pPr>
      <w:r>
        <w:rPr>
          <w:rFonts w:ascii="IRNazanin" w:hAnsi="IRNazanin" w:eastAsia="IRNazanin" w:cs="IRNazanin"/>
          <w:lang w:bidi="fa-IR"/>
          <w:color w:val="111111"/>
          <w:sz w:val="28"/>
          <w:szCs w:val="28"/>
          <w:rtl/>
        </w:rPr>
        <w:t xml:space="preserve">مع أنّه لو قیل بعدم التأویل ، وکفایة الاتّحاد فی اللفظ فی استعمالهما حقیقةً ، بحیث جاز إرادة عین جاریة وعین باکیة من تثنیة « العین » حقیقةً ، لما کان هذا من باب استعمال اللفظ فی الأکثر ؛ لأنّ هیئتهما إنّما تدلّ علی إرادة المتعدّد ممّا یراد من مفردهما ، فیکون استعمالهما وإرادة المتعدّد من معانیه استعمالهما فی معنی واحد ، کما إذا استعملا وأُرید المتعدّد من معنی واحد منهما ، کما لا یخفی .</w:t>
      </w:r>
    </w:p>
    <w:p>
      <w:pPr>
        <w:pStyle w:val="BookText"/>
      </w:pPr>
      <w:r>
        <w:rPr>
          <w:rFonts w:ascii="IRNazanin" w:hAnsi="IRNazanin" w:eastAsia="IRNazanin" w:cs="IRNazanin"/>
          <w:lang w:bidi="fa-IR"/>
          <w:color w:val="111111"/>
          <w:sz w:val="28"/>
          <w:szCs w:val="28"/>
          <w:rtl/>
        </w:rPr>
        <w:t xml:space="preserve">نعم ، لو أُرید - مثلاً - من « عینین » : فردان من الجاریة ، وفردان من الباکیة کان من استعمال العینین فی المعنیین ، إلّاأنّ حدیث التکرار لا یکاد یجدی فی ذلک أصلاً ؛ فإنّ فیه إلغاء قید الوحدة المعتبرة أیضاً ؛ ضرورةَ أنّ</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14419_166758"/>
    <w:bookmarkEnd w:id="36"/>
    <w:p>
      <w:pPr>
        <w:pStyle w:val="BookText"/>
      </w:pPr>
      <w:r>
        <w:rPr>
          <w:rFonts w:ascii="IRNazanin" w:hAnsi="IRNazanin" w:eastAsia="IRNazanin" w:cs="IRNazanin"/>
          <w:lang w:bidi="fa-IR"/>
          <w:color w:val="111111"/>
          <w:sz w:val="28"/>
          <w:szCs w:val="28"/>
          <w:rtl/>
        </w:rPr>
        <w:t xml:space="preserve">التثنیة عنده إنّما یکون لمعنیین أو لفردین بقید الوحدة . والفرق بینها </w:t>
      </w:r>
      <w:r>
        <w:rPr>
          <w:rStyle w:val="FootnoteReference"/>
        </w:rPr>
        <w:footnoteReference w:id="125"/>
      </w:r>
      <w:r>
        <w:rPr>
          <w:rFonts w:ascii="IRNazanin" w:hAnsi="IRNazanin" w:eastAsia="IRNazanin" w:cs="IRNazanin"/>
          <w:lang w:bidi="fa-IR"/>
          <w:color w:val="111111"/>
          <w:sz w:val="28"/>
          <w:szCs w:val="28"/>
          <w:rtl/>
        </w:rPr>
        <w:t xml:space="preserve">وبین المفرد إنّما یکون فی أنّه موضوع للطبیعة ، وهی موضوعة لفردین منها أو معنیین ، کما هو أوضح من أن یخفی .</w:t>
      </w:r>
    </w:p>
    <w:p>
      <w:pPr>
        <w:pStyle w:val="BookText"/>
      </w:pPr>
      <w:r>
        <w:rPr>
          <w:rFonts w:ascii="Amiri" w:hAnsi="Amiri" w:eastAsia="Amiri" w:cs="Amiri"/>
          <w:lang w:bidi="ar-SA"/>
          <w:color w:val="111111"/>
          <w:sz w:val="28"/>
          <w:szCs w:val="28"/>
          <w:rtl/>
        </w:rPr>
        <w:t xml:space="preserve">وهمٌ ودفعٌ :</w:t>
      </w:r>
    </w:p>
    <w:p>
      <w:pPr>
        <w:pStyle w:val="Heading6"/>
      </w:pPr>
      <w:bookmarkStart w:id="652" w:name="_Toc92"/>
      <w:r>
        <w:t>المقصود من بطون القرآن</w:t>
      </w:r>
      <w:bookmarkEnd w:id="65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لعلّک تتوهّم: أنّ الأخبار الدالّة علی أنّ للقرآن بطوناً - سبعة </w:t>
      </w:r>
      <w:r>
        <w:rPr>
          <w:rStyle w:val="FootnoteReference"/>
        </w:rPr>
        <w:footnoteReference w:id="126"/>
      </w:r>
      <w:r>
        <w:rPr>
          <w:rFonts w:ascii="IRNazanin" w:hAnsi="IRNazanin" w:eastAsia="IRNazanin" w:cs="IRNazanin"/>
          <w:lang w:bidi="fa-IR"/>
          <w:color w:val="111111"/>
          <w:sz w:val="28"/>
          <w:szCs w:val="28"/>
          <w:rtl/>
        </w:rPr>
        <w:t xml:space="preserve">أو سبعین </w:t>
      </w:r>
      <w:r>
        <w:rPr>
          <w:rStyle w:val="FootnoteReference"/>
        </w:rPr>
        <w:footnoteReference w:id="127"/>
      </w:r>
      <w:r>
        <w:rPr>
          <w:rFonts w:ascii="IRNazanin" w:hAnsi="IRNazanin" w:eastAsia="IRNazanin" w:cs="IRNazanin"/>
          <w:lang w:bidi="fa-IR"/>
          <w:color w:val="111111"/>
          <w:sz w:val="28"/>
          <w:szCs w:val="28"/>
          <w:rtl/>
        </w:rPr>
        <w:t xml:space="preserve">- تدلّ علی وقوع استعمال اللفظ فی أکثر من معنی واحد ، فضلاً عن جوازه .</w:t>
      </w:r>
    </w:p>
    <w:p>
      <w:pPr>
        <w:pStyle w:val="BookText"/>
      </w:pPr>
      <w:r>
        <w:rPr>
          <w:rFonts w:ascii="IRNazanin" w:hAnsi="IRNazanin" w:eastAsia="IRNazanin" w:cs="IRNazanin"/>
          <w:lang w:bidi="fa-IR"/>
          <w:color w:val="111111"/>
          <w:sz w:val="28"/>
          <w:szCs w:val="28"/>
          <w:rtl/>
        </w:rPr>
        <w:t xml:space="preserve">ولکنّک غفلت عن أنّه لا دلالة لها أصلاً علی أنّ إرادتها کان </w:t>
      </w:r>
      <w:r>
        <w:rPr>
          <w:rStyle w:val="FootnoteReference"/>
        </w:rPr>
        <w:footnoteReference w:id="128"/>
      </w:r>
      <w:r>
        <w:rPr>
          <w:rFonts w:ascii="IRNazanin" w:hAnsi="IRNazanin" w:eastAsia="IRNazanin" w:cs="IRNazanin"/>
          <w:lang w:bidi="fa-IR"/>
          <w:color w:val="111111"/>
          <w:sz w:val="28"/>
          <w:szCs w:val="28"/>
          <w:rtl/>
        </w:rPr>
        <w:t xml:space="preserve">من باب إرادة المعنی من اللفظ ، فلعلّه کان </w:t>
      </w:r>
      <w:r>
        <w:rPr>
          <w:rStyle w:val="FootnoteReference"/>
        </w:rPr>
        <w:footnoteReference w:id="129"/>
      </w:r>
      <w:r>
        <w:rPr>
          <w:rFonts w:ascii="IRNazanin" w:hAnsi="IRNazanin" w:eastAsia="IRNazanin" w:cs="IRNazanin"/>
          <w:lang w:bidi="fa-IR"/>
          <w:color w:val="111111"/>
          <w:sz w:val="28"/>
          <w:szCs w:val="28"/>
          <w:rtl/>
        </w:rPr>
        <w:t xml:space="preserve">بإرادتها فی أنفسها حال الاستعمال فی المعنی ، لا من اللفظ کما إذا استعمل فیها ، أو کان المراد من البطون : لوازم معناه المستعمل فیه اللفظ ، وإن کان أفهامنا قاصرةً عن إدراکها .</w:t>
      </w:r>
    </w:p>
    <w:p>
      <w:pPr>
        <w:pStyle w:val="Heading6"/>
      </w:pPr>
      <w:bookmarkStart w:id="653" w:name="_Toc93"/>
      <w:r>
        <w:t>الثالث عشر : فی المشتقّ</w:t>
      </w:r>
      <w:bookmarkEnd w:id="653"/>
    </w:p>
    <w:p>
      <w:pPr>
        <w:pStyle w:val="Heading6"/>
      </w:pPr>
      <w:bookmarkStart w:id="654" w:name="_Toc94"/>
      <w:r>
        <w:t>تحریر محلّ‌النزاع</w:t>
      </w:r>
      <w:bookmarkEnd w:id="654"/>
    </w:p>
    <w:p>
      <w:pPr>
        <w:pStyle w:val="BookText"/>
      </w:pPr>
      <w:r>
        <w:rPr>
          <w:rFonts w:ascii="IRNazanin" w:hAnsi="IRNazanin" w:eastAsia="IRNazanin" w:cs="IRNazanin"/>
          <w:lang w:bidi="fa-IR"/>
          <w:color w:val="111111"/>
          <w:sz w:val="28"/>
          <w:szCs w:val="28"/>
          <w:rtl/>
        </w:rPr>
        <w:t xml:space="preserve">إنّه اختلفوا فی أنّ المشتقّ حقیقةٌ فی خصوص ما تلبّس بالمبدأ فی الحال ، أو فی ما یعمّه وما انقضی </w:t>
      </w:r>
      <w:r>
        <w:rPr>
          <w:rStyle w:val="FootnoteReference"/>
        </w:rPr>
        <w:footnoteReference w:id="130"/>
      </w:r>
      <w:r>
        <w:rPr>
          <w:rFonts w:ascii="IRNazanin" w:hAnsi="IRNazanin" w:eastAsia="IRNazanin" w:cs="IRNazanin"/>
          <w:lang w:bidi="fa-IR"/>
          <w:color w:val="111111"/>
          <w:sz w:val="28"/>
          <w:szCs w:val="28"/>
          <w:rtl/>
        </w:rPr>
        <w:t xml:space="preserve">عنه علی أقوال ، بعد الاتّفاق علی کونه مجازاً فی ما یتلبّس به فی الاستقبال .</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14419_166759"/>
    <w:bookmarkEnd w:id="37"/>
    <w:p>
      <w:pPr>
        <w:pStyle w:val="BookText"/>
      </w:pPr>
      <w:r>
        <w:rPr>
          <w:rFonts w:ascii="IRNazanin" w:hAnsi="IRNazanin" w:eastAsia="IRNazanin" w:cs="IRNazanin"/>
          <w:lang w:bidi="fa-IR"/>
          <w:color w:val="111111"/>
          <w:sz w:val="28"/>
          <w:szCs w:val="28"/>
          <w:rtl/>
        </w:rPr>
        <w:t xml:space="preserve">وقبل الخوض فی المسألة ، وتفصیل الأقوال فیها ، وبیان الاستدلال علیها</w:t>
      </w:r>
    </w:p>
    <w:p>
      <w:pPr>
        <w:pStyle w:val="Heading6"/>
      </w:pPr>
      <w:bookmarkStart w:id="655" w:name="_Toc95"/>
      <w:r>
        <w:t>تقدیم أُمور</w:t>
      </w:r>
      <w:bookmarkEnd w:id="655"/>
    </w:p>
    <w:p>
      <w:pPr>
        <w:pStyle w:val="Heading6"/>
      </w:pPr>
      <w:bookmarkStart w:id="656" w:name="_Toc96"/>
      <w:r>
        <w:t>اشارة</w:t>
      </w:r>
      <w:bookmarkEnd w:id="656"/>
    </w:p>
    <w:p>
      <w:pPr>
        <w:pStyle w:val="BookText"/>
      </w:pPr>
      <w:r>
        <w:rPr>
          <w:rFonts w:ascii="IRNazanin" w:hAnsi="IRNazanin" w:eastAsia="IRNazanin" w:cs="IRNazanin"/>
          <w:lang w:bidi="fa-IR"/>
          <w:color w:val="111111"/>
          <w:sz w:val="28"/>
          <w:szCs w:val="28"/>
          <w:rtl/>
        </w:rPr>
        <w:t xml:space="preserve">ینبغی تقدیم أُمور:</w:t>
      </w:r>
    </w:p>
    <w:p>
      <w:pPr>
        <w:pStyle w:val="Heading6"/>
      </w:pPr>
      <w:bookmarkStart w:id="657" w:name="_Toc97"/>
      <w:r>
        <w:t>1 - المراد من‌المشتقّ</w:t>
      </w:r>
      <w:bookmarkEnd w:id="657"/>
    </w:p>
    <w:p>
      <w:pPr>
        <w:pStyle w:val="Heading6"/>
      </w:pPr>
      <w:bookmarkStart w:id="658" w:name="_Toc98"/>
      <w:r>
        <w:t>اشارة</w:t>
      </w:r>
      <w:bookmarkEnd w:id="658"/>
    </w:p>
    <w:p>
      <w:pPr>
        <w:pStyle w:val="BookText"/>
      </w:pPr>
      <w:r>
        <w:rPr>
          <w:rFonts w:ascii="IRNazanin" w:hAnsi="IRNazanin" w:eastAsia="IRNazanin" w:cs="IRNazanin"/>
          <w:lang w:bidi="fa-IR"/>
          <w:color w:val="111111"/>
          <w:sz w:val="28"/>
          <w:szCs w:val="28"/>
          <w:rtl/>
        </w:rPr>
        <w:t xml:space="preserve">أحدها: أنّ المراد بالمشتقّ هاهنا لیس مطلق المشتقّات ، بل خصوص ما یجری منها علی الذوات ، ممّا یکون مفهومه منتزعاً عن الذات بملاحظة اتّصافها بالمبدأ ، واتّحادها معه بنحوٍ من الاتّحاد ، کان بنحو الحلول ، أو الانتزاع ، أو الصدور والإیجاد </w:t>
      </w:r>
      <w:r>
        <w:rPr>
          <w:rStyle w:val="FootnoteReference"/>
        </w:rPr>
        <w:footnoteReference w:id="131"/>
      </w:r>
      <w:r>
        <w:rPr>
          <w:rFonts w:ascii="IRNazanin" w:hAnsi="IRNazanin" w:eastAsia="IRNazanin" w:cs="IRNazanin"/>
          <w:lang w:bidi="fa-IR"/>
          <w:color w:val="111111"/>
          <w:sz w:val="28"/>
          <w:szCs w:val="28"/>
          <w:rtl/>
        </w:rPr>
        <w:t xml:space="preserve">، کأسماء الفاعلین والمفعولین والصفات المشبّهات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w:t>
      </w:r>
      <w:r>
        <w:rPr>
          <w:rStyle w:val="FootnoteReference"/>
        </w:rPr>
        <w:footnoteReference w:id="132"/>
      </w:r>
      <w:r>
        <w:rPr>
          <w:rFonts w:ascii="IRNazanin" w:hAnsi="IRNazanin" w:eastAsia="IRNazanin" w:cs="IRNazanin"/>
          <w:lang w:bidi="fa-IR"/>
          <w:color w:val="111111"/>
          <w:sz w:val="28"/>
          <w:szCs w:val="28"/>
          <w:rtl/>
        </w:rPr>
        <w:t xml:space="preserve">وصیَغ المبالغة وأسماء الأزمنة والأمکنة والآلات ، کما هو ظاهر العنوانات ، وصریح بعض المحقّقین </w:t>
      </w:r>
      <w:r>
        <w:rPr>
          <w:rStyle w:val="FootnoteReference"/>
        </w:rPr>
        <w:footnoteReference w:id="133"/>
      </w:r>
      <w:r>
        <w:rPr>
          <w:rFonts w:ascii="IRNazanin" w:hAnsi="IRNazanin" w:eastAsia="IRNazanin" w:cs="IRNazanin"/>
          <w:lang w:bidi="fa-IR"/>
          <w:color w:val="111111"/>
          <w:sz w:val="28"/>
          <w:szCs w:val="28"/>
          <w:rtl/>
        </w:rPr>
        <w:t xml:space="preserve">. مع عدم صلاحیّة ما یوجب اختصاص النزاع بالبعض إلّاالتمثیل به ، وهو غیر صالح ، کما هو واضح .</w:t>
      </w:r>
    </w:p>
    <w:p>
      <w:pPr>
        <w:pStyle w:val="Heading6"/>
      </w:pPr>
      <w:bookmarkStart w:id="659" w:name="_Toc99"/>
      <w:r>
        <w:t>عدم اختصاص‌النزاع باسم‌الفاعل ومابمعناه</w:t>
      </w:r>
      <w:bookmarkEnd w:id="659"/>
    </w:p>
    <w:p>
      <w:pPr>
        <w:pStyle w:val="BookText"/>
      </w:pPr>
      <w:r>
        <w:rPr>
          <w:rFonts w:ascii="Amiri" w:hAnsi="Amiri" w:eastAsia="Amiri" w:cs="Amiri"/>
          <w:lang w:bidi="ar-SA"/>
          <w:color w:val="111111"/>
          <w:sz w:val="28"/>
          <w:szCs w:val="28"/>
          <w:rtl/>
        </w:rPr>
        <w:t xml:space="preserve">فلا وجه لما زعمه بعض الأجلّة </w:t>
      </w:r>
      <w:r>
        <w:rPr>
          <w:rStyle w:val="FootnoteReference"/>
        </w:rPr>
        <w:footnoteReference w:id="134"/>
      </w:r>
      <w:r>
        <w:rPr>
          <w:rFonts w:ascii="IRNazanin" w:hAnsi="IRNazanin" w:eastAsia="IRNazanin" w:cs="IRNazanin"/>
          <w:lang w:bidi="fa-IR"/>
          <w:color w:val="111111"/>
          <w:sz w:val="28"/>
          <w:szCs w:val="28"/>
          <w:rtl/>
        </w:rPr>
        <w:t xml:space="preserve">من الاختصاص باسم الفاعل وما بمعناه من الصفات المشبّهة وما یلحق بها ، وخروج سائر الصفات .</w:t>
      </w:r>
    </w:p>
    <w:p>
      <w:pPr>
        <w:pStyle w:val="BookText"/>
      </w:pPr>
      <w:r>
        <w:rPr>
          <w:rFonts w:ascii="Amiri" w:hAnsi="Amiri" w:eastAsia="Amiri" w:cs="Amiri"/>
          <w:lang w:bidi="ar-SA"/>
          <w:color w:val="111111"/>
          <w:sz w:val="28"/>
          <w:szCs w:val="28"/>
          <w:rtl/>
        </w:rPr>
        <w:t xml:space="preserve">ولعلّ منشأه توهُّم کونِ ما ذکره لکلّ منها - من المعنی - ممّا اتّفق</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4419_166760"/>
    <w:bookmarkEnd w:id="38"/>
    <w:p>
      <w:pPr>
        <w:pStyle w:val="BookText"/>
      </w:pPr>
      <w:r>
        <w:rPr>
          <w:rFonts w:ascii="Amiri" w:hAnsi="Amiri" w:eastAsia="Amiri" w:cs="Amiri"/>
          <w:lang w:bidi="ar-SA"/>
          <w:color w:val="111111"/>
          <w:sz w:val="28"/>
          <w:szCs w:val="28"/>
          <w:rtl/>
        </w:rPr>
        <w:t xml:space="preserve">علیه الکلّ </w:t>
      </w:r>
      <w:r>
        <w:rPr>
          <w:rStyle w:val="FootnoteReference"/>
        </w:rPr>
        <w:footnoteReference w:id="135"/>
      </w:r>
      <w:r>
        <w:rPr>
          <w:rFonts w:ascii="IRNazanin" w:hAnsi="IRNazanin" w:eastAsia="IRNazanin" w:cs="IRNazanin"/>
          <w:lang w:bidi="fa-IR"/>
          <w:color w:val="111111"/>
          <w:sz w:val="28"/>
          <w:szCs w:val="28"/>
          <w:rtl/>
        </w:rPr>
        <w:t xml:space="preserve">، وهو کما تری .</w:t>
      </w:r>
    </w:p>
    <w:p>
      <w:pPr>
        <w:pStyle w:val="BookText"/>
      </w:pPr>
      <w:r>
        <w:rPr>
          <w:rFonts w:ascii="IRNazanin" w:hAnsi="IRNazanin" w:eastAsia="IRNazanin" w:cs="IRNazanin"/>
          <w:lang w:bidi="fa-IR"/>
          <w:color w:val="111111"/>
          <w:sz w:val="28"/>
          <w:szCs w:val="28"/>
          <w:rtl/>
        </w:rPr>
        <w:t xml:space="preserve">واختلاف أنحاء التلبّسات حَسَبَ تفاوت مبادئ المشتقّات ، بحسب الفعلیّة والشأنیّة والصناعة والملکة - حسب ما یشیر إلیه </w:t>
      </w:r>
      <w:r>
        <w:rPr>
          <w:rStyle w:val="FootnoteReference"/>
        </w:rPr>
        <w:footnoteReference w:id="136"/>
      </w:r>
      <w:r>
        <w:rPr>
          <w:rFonts w:ascii="IRNazanin" w:hAnsi="IRNazanin" w:eastAsia="IRNazanin" w:cs="IRNazanin"/>
          <w:lang w:bidi="fa-IR"/>
          <w:color w:val="111111"/>
          <w:sz w:val="28"/>
          <w:szCs w:val="28"/>
          <w:rtl/>
        </w:rPr>
        <w:t xml:space="preserve">- لا یوجب تفاوتاً فی المهمّ من محلّ النزاع هاهنا </w:t>
      </w:r>
      <w:r>
        <w:rPr>
          <w:rStyle w:val="FootnoteReference"/>
        </w:rPr>
        <w:footnoteReference w:id="137"/>
      </w:r>
      <w:r>
        <w:rPr>
          <w:rFonts w:ascii="IRNazanin" w:hAnsi="IRNazanin" w:eastAsia="IRNazanin" w:cs="IRNazanin"/>
          <w:lang w:bidi="fa-IR"/>
          <w:color w:val="111111"/>
          <w:sz w:val="28"/>
          <w:szCs w:val="28"/>
          <w:rtl/>
        </w:rPr>
        <w:t xml:space="preserve">، کما لا یخفی .</w:t>
      </w:r>
    </w:p>
    <w:p>
      <w:pPr>
        <w:pStyle w:val="Heading6"/>
      </w:pPr>
      <w:bookmarkStart w:id="660" w:name="_Toc100"/>
      <w:r>
        <w:t>شمول النزاع لبعض الجوامد</w:t>
      </w:r>
      <w:bookmarkEnd w:id="660"/>
    </w:p>
    <w:p>
      <w:pPr>
        <w:pStyle w:val="BookText"/>
      </w:pPr>
      <w:r>
        <w:rPr>
          <w:rFonts w:ascii="IRNazanin" w:hAnsi="IRNazanin" w:eastAsia="IRNazanin" w:cs="IRNazanin"/>
          <w:lang w:bidi="fa-IR"/>
          <w:color w:val="111111"/>
          <w:sz w:val="28"/>
          <w:szCs w:val="28"/>
          <w:rtl/>
        </w:rPr>
        <w:t xml:space="preserve">ثمّ إنّه لا یبعد أن یراد بالمشتقّ فی محلّ النزاع مطلق ما کان مفهومه ومعناه جاریاً علی الذات ومنتزعاً عنها ، بملاحظة اتّصافها بعَرَضٍ أو عرضیٍّ ولو کان جامداً ، کالزوج والزوجة والرقّ والحرّ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أبیت إلّاعن اختصاص النزاع المعروف بالمشتقّ - کما هو قضیّة الجمود علی ظاهر لفظه - فهذا القسم من الجوامد أیضاً محلّ النزاع </w:t>
      </w:r>
      <w:r>
        <w:rPr>
          <w:rStyle w:val="FootnoteReference"/>
        </w:rPr>
        <w:footnoteReference w:id="138"/>
      </w:r>
      <w:r>
        <w:rPr>
          <w:rFonts w:ascii="IRNazanin" w:hAnsi="IRNazanin" w:eastAsia="IRNazanin" w:cs="IRNazanin"/>
          <w:lang w:bidi="fa-IR"/>
          <w:color w:val="111111"/>
          <w:sz w:val="28"/>
          <w:szCs w:val="28"/>
          <w:rtl/>
        </w:rPr>
        <w:t xml:space="preserve">. کما یشهد به ما عن الإیضاح فی باب الرضاع ، فی مسألة من کانت له زوجتان کبیرتان أرضعتا زوجتَه الصغیرة ، ما هذا لفظه:</w:t>
      </w:r>
    </w:p>
    <w:p>
      <w:pPr>
        <w:pStyle w:val="BookText"/>
      </w:pPr>
      <w:r>
        <w:rPr>
          <w:rFonts w:ascii="IRNazanin" w:hAnsi="IRNazanin" w:eastAsia="IRNazanin" w:cs="IRNazanin"/>
          <w:lang w:bidi="fa-IR"/>
          <w:color w:val="111111"/>
          <w:sz w:val="28"/>
          <w:szCs w:val="28"/>
          <w:rtl/>
        </w:rPr>
        <w:t xml:space="preserve">« تحرم المرضعة الأُولی والصغیرة مع الدخول بالکبیرتین </w:t>
      </w:r>
      <w:r>
        <w:rPr>
          <w:rStyle w:val="FootnoteReference"/>
        </w:rPr>
        <w:footnoteReference w:id="139"/>
      </w:r>
      <w:r>
        <w:rPr>
          <w:rFonts w:ascii="IRNazanin" w:hAnsi="IRNazanin" w:eastAsia="IRNazanin" w:cs="IRNazanin"/>
          <w:lang w:bidi="fa-IR"/>
          <w:color w:val="111111"/>
          <w:sz w:val="28"/>
          <w:szCs w:val="28"/>
          <w:rtl/>
        </w:rPr>
        <w:t xml:space="preserve">. وأمّا المرضعة الآخرة ففی تحریمها خلاف ، فاختار والدی المصنّف رحمه الله وابن إدریس</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4419_166761"/>
    <w:bookmarkEnd w:id="39"/>
    <w:p>
      <w:pPr>
        <w:pStyle w:val="BookText"/>
      </w:pPr>
      <w:r>
        <w:rPr>
          <w:rFonts w:ascii="IRNazanin" w:hAnsi="IRNazanin" w:eastAsia="IRNazanin" w:cs="IRNazanin"/>
          <w:lang w:bidi="fa-IR"/>
          <w:color w:val="111111"/>
          <w:sz w:val="28"/>
          <w:szCs w:val="28"/>
          <w:rtl/>
        </w:rPr>
        <w:t xml:space="preserve">تحریمها ؛ لأنّ هذه یصدق علیها امُّ زوجته ؛ لأنّه لا یشترط فی المشتقّ بقاءُ المشتقّ منه ، هکذا هنا » </w:t>
      </w:r>
      <w:r>
        <w:rPr>
          <w:rStyle w:val="FootnoteReference"/>
        </w:rPr>
        <w:footnoteReference w:id="140"/>
      </w:r>
      <w:r>
        <w:rPr>
          <w:rFonts w:ascii="IRNazanin" w:hAnsi="IRNazanin" w:eastAsia="IRNazanin" w:cs="IRNazanin"/>
          <w:lang w:bidi="fa-IR"/>
          <w:color w:val="111111"/>
          <w:sz w:val="28"/>
          <w:szCs w:val="28"/>
          <w:rtl/>
        </w:rPr>
        <w:t xml:space="preserve">. وما عن المسالک فی هذه المسألة: من ابتناء الحکم فیها علی الخلاف فی مسألة المشتقّ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فعلیه کلُّ ما کان مفهومه منتزعاً من الذات بملاحظة اتّصافها بالصفات الخارجة عن الذاتیّات - کانت عرضاً أو عرضیّاً ، کالزوجیّة والرقیّة والحرّیة وغیرها من الاعتبارات والإضافات - کان محلَّ النزاع وإن کان جامداً .</w:t>
      </w:r>
    </w:p>
    <w:p>
      <w:pPr>
        <w:pStyle w:val="BookText"/>
      </w:pPr>
      <w:r>
        <w:rPr>
          <w:rFonts w:ascii="IRNazanin" w:hAnsi="IRNazanin" w:eastAsia="IRNazanin" w:cs="IRNazanin"/>
          <w:lang w:bidi="fa-IR"/>
          <w:color w:val="111111"/>
          <w:sz w:val="28"/>
          <w:szCs w:val="28"/>
          <w:rtl/>
        </w:rPr>
        <w:t xml:space="preserve">وهذا بخلاف ما کان مفهومه منتزعاً عن مقام الذات والذاتیّات ، فإنّه لا نزاع فی کونه حقیقة فی خصوص ما إذا کانت الذات باقیة بذاتیّاتها .</w:t>
      </w:r>
    </w:p>
    <w:p>
      <w:pPr>
        <w:pStyle w:val="Heading6"/>
      </w:pPr>
      <w:bookmarkStart w:id="661" w:name="_Toc101"/>
      <w:r>
        <w:t>2 - الإشکال فی‌جریان النزاع‌فی اسم الزمان</w:t>
      </w:r>
      <w:bookmarkEnd w:id="6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ثانیها: قد عرفت </w:t>
      </w:r>
      <w:r>
        <w:rPr>
          <w:rStyle w:val="FootnoteReference"/>
        </w:rPr>
        <w:footnoteReference w:id="142"/>
      </w:r>
      <w:r>
        <w:rPr>
          <w:rFonts w:ascii="IRNazanin" w:hAnsi="IRNazanin" w:eastAsia="IRNazanin" w:cs="IRNazanin"/>
          <w:lang w:bidi="fa-IR"/>
          <w:color w:val="111111"/>
          <w:sz w:val="28"/>
          <w:szCs w:val="28"/>
          <w:rtl/>
        </w:rPr>
        <w:t xml:space="preserve">أنّه لا وجه لتخصیص النزاع ببعض المشتقّات الجاریة علی الذوات ، إلّاأنّه ربما یشکل بعدم إمکان جریانه فی اسم الزمان ؛ لأنّ الذات فیه - وهی الزمان بنفسه - ینقضی ویتصرّم </w:t>
      </w:r>
      <w:r>
        <w:rPr>
          <w:rStyle w:val="FootnoteReference"/>
        </w:rPr>
        <w:footnoteReference w:id="143"/>
      </w:r>
      <w:r>
        <w:rPr>
          <w:rFonts w:ascii="IRNazanin" w:hAnsi="IRNazanin" w:eastAsia="IRNazanin" w:cs="IRNazanin"/>
          <w:lang w:bidi="fa-IR"/>
          <w:color w:val="111111"/>
          <w:sz w:val="28"/>
          <w:szCs w:val="28"/>
          <w:rtl/>
        </w:rPr>
        <w:t xml:space="preserve">، فکیف یمکن أن یقع النزاع فی أنّ الوصف الجاری علیه حقیقةٌ فی خصوص المتلبّس بالمبدأ فی الحال ، أو فی ما یعمّ المتلبّس به فی المضیّ؟</w:t>
      </w:r>
    </w:p>
    <w:p>
      <w:pPr>
        <w:pStyle w:val="BookText"/>
      </w:pPr>
      <w:r>
        <w:rPr>
          <w:rFonts w:ascii="IRNazanin" w:hAnsi="IRNazanin" w:eastAsia="IRNazanin" w:cs="IRNazanin"/>
          <w:lang w:bidi="fa-IR"/>
          <w:color w:val="111111"/>
          <w:sz w:val="28"/>
          <w:szCs w:val="28"/>
          <w:rtl/>
        </w:rPr>
        <w:t xml:space="preserve">الجواب عن‌الإشکال ویمکن حلّ الإشکال بأنّ انحصار مفهوم عامّ بفردٍ - کما فی المقام - لا یوجب أن یکون وضع اللفظ بإزاء الفرد ، دون العامّ ، وإلّا لما وقع الخلاف فی ما وضع له لفظ الجلالة ، مع أنّ الواجب موضوع للمفهوم العامّ ، مع انحصاره فیه تبارک وتعالی .</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4419_166762"/>
    <w:bookmarkEnd w:id="40"/>
    <w:p>
      <w:pPr>
        <w:pStyle w:val="Heading6"/>
      </w:pPr>
      <w:bookmarkStart w:id="662" w:name="_Toc102"/>
      <w:r>
        <w:t>3 - خروج الأفعال والمصادر عن النزاع</w:t>
      </w:r>
      <w:bookmarkEnd w:id="662"/>
    </w:p>
    <w:p>
      <w:pPr>
        <w:pStyle w:val="Heading6"/>
      </w:pPr>
      <w:bookmarkStart w:id="663" w:name="_Toc103"/>
      <w:r>
        <w:t>اشارة</w:t>
      </w:r>
      <w:bookmarkEnd w:id="663"/>
    </w:p>
    <w:p>
      <w:pPr>
        <w:pStyle w:val="BookText"/>
      </w:pPr>
      <w:r>
        <w:rPr>
          <w:rFonts w:ascii="IRNazanin" w:hAnsi="IRNazanin" w:eastAsia="IRNazanin" w:cs="IRNazanin"/>
          <w:lang w:bidi="fa-IR"/>
          <w:color w:val="111111"/>
          <w:sz w:val="28"/>
          <w:szCs w:val="28"/>
          <w:rtl/>
        </w:rPr>
        <w:t xml:space="preserve">ثالثها: انّه من الواضح خروج الأفعال والمصادر المزید فیها </w:t>
      </w:r>
      <w:r>
        <w:rPr>
          <w:rStyle w:val="FootnoteReference"/>
        </w:rPr>
        <w:footnoteReference w:id="144"/>
      </w:r>
      <w:r>
        <w:rPr>
          <w:rFonts w:ascii="IRNazanin" w:hAnsi="IRNazanin" w:eastAsia="IRNazanin" w:cs="IRNazanin"/>
          <w:lang w:bidi="fa-IR"/>
          <w:color w:val="111111"/>
          <w:sz w:val="28"/>
          <w:szCs w:val="28"/>
          <w:rtl/>
        </w:rPr>
        <w:t xml:space="preserve">عن حریم النزاع ؛ لکونها غیرَ جاریة علی الذوات ؛ ضرورةَ أنّ المصادر المزید فیها کالمجرّدة فی الدلالة علی ما یتّصف به الذوات ویقوم بها ، کما لا یخفی . وأنّ الأفعال إنّما تدلّ علی قیام المبادئ بها قیامَ صدور أو حلول ، أو طلب فعلها أو ترکها منها علی اختلافها .</w:t>
      </w:r>
    </w:p>
    <w:p>
      <w:pPr>
        <w:pStyle w:val="Heading6"/>
      </w:pPr>
      <w:bookmarkStart w:id="664" w:name="_Toc104"/>
      <w:r>
        <w:t>عدم دلالة الفعل‌علی الزمان</w:t>
      </w:r>
      <w:bookmarkEnd w:id="6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إزاحة شبهة :</w:t>
      </w:r>
    </w:p>
    <w:p>
      <w:pPr>
        <w:pStyle w:val="BookText"/>
      </w:pPr>
      <w:r>
        <w:rPr>
          <w:rFonts w:ascii="IRNazanin" w:hAnsi="IRNazanin" w:eastAsia="IRNazanin" w:cs="IRNazanin"/>
          <w:lang w:bidi="fa-IR"/>
          <w:color w:val="111111"/>
          <w:sz w:val="28"/>
          <w:szCs w:val="28"/>
          <w:rtl/>
        </w:rPr>
        <w:t xml:space="preserve">قد اشتهر فی ألسنة النحاة : دلالةُ الفعل علی الزمان ، حتّی أخذوا الاقتران بها فی تعریفه .</w:t>
      </w:r>
    </w:p>
    <w:p>
      <w:pPr>
        <w:pStyle w:val="BookText"/>
      </w:pPr>
      <w:r>
        <w:rPr>
          <w:rFonts w:ascii="IRNazanin" w:hAnsi="IRNazanin" w:eastAsia="IRNazanin" w:cs="IRNazanin"/>
          <w:lang w:bidi="fa-IR"/>
          <w:color w:val="111111"/>
          <w:sz w:val="28"/>
          <w:szCs w:val="28"/>
          <w:rtl/>
        </w:rPr>
        <w:t xml:space="preserve">وهو اشتباه ؛ ضرورةَ عدم دلالة الأمر ولا النهی علیه ، بل علی إنشاء طلب الفعل أو الترک ، غایة الأمر نفس الإنشاء بهما فی الحال ، کما هو الحال فی الإخبار بالماضی أو المستقبل أو بغیرهما ، کما لا یخفی .</w:t>
      </w:r>
    </w:p>
    <w:p>
      <w:pPr>
        <w:pStyle w:val="BookText"/>
      </w:pPr>
      <w:r>
        <w:rPr>
          <w:rFonts w:ascii="IRNazanin" w:hAnsi="IRNazanin" w:eastAsia="IRNazanin" w:cs="IRNazanin"/>
          <w:lang w:bidi="fa-IR"/>
          <w:color w:val="111111"/>
          <w:sz w:val="28"/>
          <w:szCs w:val="28"/>
          <w:rtl/>
        </w:rPr>
        <w:t xml:space="preserve">بل یمکن منع دلالة غیرهما من الأفعال علی الزمان إلّابالإطلاق والإسناد إلی الزمانیّات ، وإلّا لزم القول بالمجاز والتجرید عند الإسناد إلی غیرها من نفس الزمان والمجرّدات .</w:t>
      </w:r>
    </w:p>
    <w:p>
      <w:pPr>
        <w:pStyle w:val="Heading6"/>
      </w:pPr>
      <w:bookmarkStart w:id="665" w:name="_Toc105"/>
      <w:r>
        <w:t>دلالة الماضی والمضارع علی الزمان التزاماً</w:t>
      </w:r>
      <w:bookmarkEnd w:id="665"/>
    </w:p>
    <w:p>
      <w:pPr>
        <w:pStyle w:val="BookText"/>
      </w:pPr>
      <w:r>
        <w:rPr>
          <w:rFonts w:ascii="IRNazanin" w:hAnsi="IRNazanin" w:eastAsia="IRNazanin" w:cs="IRNazanin"/>
          <w:lang w:bidi="fa-IR"/>
          <w:color w:val="111111"/>
          <w:sz w:val="28"/>
          <w:szCs w:val="28"/>
          <w:rtl/>
        </w:rPr>
        <w:t xml:space="preserve">نعم ، لا یبعد أن یکون لکلّ من الماضی والمضارع - بحسب المعنی - خصوصیّةٌ أُخری موجبةٌ للدلالة علی وقوع النسبة فی الزمان الماضی فی الماضی ، وفی الحال أو الاستقبال فی المضارع ، فی ما کان الفاعل من الزمانیّات .</w:t>
      </w:r>
    </w:p>
    <w:p>
      <w:pPr>
        <w:pStyle w:val="Heading6"/>
      </w:pPr>
      <w:bookmarkStart w:id="666" w:name="_Toc106"/>
      <w:r>
        <w:t>ما یؤیّد عدم دلالة الفعل علی الزمان</w:t>
      </w:r>
      <w:bookmarkEnd w:id="6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ویؤیّده : أنّ المضارع یکون مشترکاً معنویّاً بین الحال والاستقبال ، ولا معنی له إلّاأن یکون له خصوص معنی صحّ انطباقه علی کلٍّ منهما ، لا أنّه یدلّ علی مفهومِ زمانٍ یعمّهما ، کما أنّ الجملة الاسمیّة ک « زیدٌ ضاربٌ » یکون</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4419_166763"/>
    <w:bookmarkEnd w:id="41"/>
    <w:p>
      <w:pPr>
        <w:pStyle w:val="BookText"/>
      </w:pPr>
      <w:r>
        <w:rPr>
          <w:rFonts w:ascii="IRNazanin" w:hAnsi="IRNazanin" w:eastAsia="IRNazanin" w:cs="IRNazanin"/>
          <w:lang w:bidi="fa-IR"/>
          <w:color w:val="111111"/>
          <w:sz w:val="28"/>
          <w:szCs w:val="28"/>
          <w:rtl/>
        </w:rPr>
        <w:t xml:space="preserve">لها معنی صحّ انطباقه علی کلّ واحد من الأزمنة ، مع عدم دلالتها علی واحدٍ منها أصلاً ، فکانت الجملة الفعلیّة مثلها .</w:t>
      </w:r>
    </w:p>
    <w:p>
      <w:pPr>
        <w:pStyle w:val="BookText"/>
      </w:pPr>
      <w:r>
        <w:rPr>
          <w:rFonts w:ascii="IRNazanin" w:hAnsi="IRNazanin" w:eastAsia="IRNazanin" w:cs="IRNazanin"/>
          <w:lang w:bidi="fa-IR"/>
          <w:color w:val="111111"/>
          <w:sz w:val="28"/>
          <w:szCs w:val="28"/>
          <w:rtl/>
        </w:rPr>
        <w:t xml:space="preserve">وربما یؤیِّد ذلک : أنّ الزمان الماضی فی فعله ، وزمان الحال أو الاستقبال فی المضارع لا یکون ماضیاً أو مستقبلاً حقیقةً لا محالة ، بل ربما یکون فی الماضی مستقبلاً حقیقة ، وفی المضارع ماضیاً کذلک ، وإنّما یکون ماضیاً أو مستقبلاً فی فعلهما بالإضافة ، کما یظهر من مثل قوله : « یجی زیدٌ بعد عام وقد ضرب قبلَه بأیّام » ، وقوله: « جاء زیدٌ فی شهر کذا وهو یضرب فی ذلک الوقت ، أو فی ما بعده ممّا مضی » ، فتأمّل جیّداً .</w:t>
      </w:r>
    </w:p>
    <w:p>
      <w:pPr>
        <w:pStyle w:val="Heading6"/>
      </w:pPr>
      <w:bookmarkStart w:id="667" w:name="_Toc107"/>
      <w:r>
        <w:t>الفرق بین المعنی الحرفی والاسمی</w:t>
      </w:r>
      <w:bookmarkEnd w:id="667"/>
    </w:p>
    <w:p>
      <w:pPr>
        <w:pStyle w:val="BookText"/>
      </w:pPr>
      <w:r>
        <w:rPr>
          <w:rFonts w:ascii="IRNazanin" w:hAnsi="IRNazanin" w:eastAsia="IRNazanin" w:cs="IRNazanin"/>
          <w:lang w:bidi="fa-IR"/>
          <w:color w:val="111111"/>
          <w:sz w:val="28"/>
          <w:szCs w:val="28"/>
          <w:rtl/>
        </w:rPr>
        <w:t xml:space="preserve">ثمّ لا بأس بصرف عَنٰانِ الکلام إلی بیان ما به یمتاز الحرف عمّا عداه بما یناسب المقام ؛ لأجل الاطّراد فی الاستطراد فی تمام الأقسام :</w:t>
      </w:r>
    </w:p>
    <w:p>
      <w:pPr>
        <w:pStyle w:val="BookText"/>
      </w:pPr>
      <w:r>
        <w:rPr>
          <w:rFonts w:ascii="IRNazanin" w:hAnsi="IRNazanin" w:eastAsia="IRNazanin" w:cs="IRNazanin"/>
          <w:lang w:bidi="fa-IR"/>
          <w:color w:val="111111"/>
          <w:sz w:val="28"/>
          <w:szCs w:val="28"/>
          <w:rtl/>
        </w:rPr>
        <w:t xml:space="preserve">فاعلم : أنّه وإن اشتهر بین الأعلام : أنّ الحرف ما دلّ علی معنی فی غیره - وقد بیّنّاه فی الفوائد </w:t>
      </w:r>
      <w:r>
        <w:rPr>
          <w:rStyle w:val="FootnoteReference"/>
        </w:rPr>
        <w:footnoteReference w:id="145"/>
      </w:r>
      <w:r>
        <w:rPr>
          <w:rFonts w:ascii="IRNazanin" w:hAnsi="IRNazanin" w:eastAsia="IRNazanin" w:cs="IRNazanin"/>
          <w:lang w:bidi="fa-IR"/>
          <w:color w:val="111111"/>
          <w:sz w:val="28"/>
          <w:szCs w:val="28"/>
          <w:rtl/>
        </w:rPr>
        <w:t xml:space="preserve">بما لا مزید علیه - ، إلّا أنّک عرفت فی ما تقدّم </w:t>
      </w:r>
      <w:r>
        <w:rPr>
          <w:rStyle w:val="FootnoteReference"/>
        </w:rPr>
        <w:footnoteReference w:id="146"/>
      </w:r>
      <w:r>
        <w:rPr>
          <w:rFonts w:ascii="IRNazanin" w:hAnsi="IRNazanin" w:eastAsia="IRNazanin" w:cs="IRNazanin"/>
          <w:lang w:bidi="fa-IR"/>
          <w:color w:val="111111"/>
          <w:sz w:val="28"/>
          <w:szCs w:val="28"/>
          <w:rtl/>
        </w:rPr>
        <w:t xml:space="preserve">عدمَ الفرق بینه وبین الاسم بحسب المعنی ، وأنّه فیهما ما </w:t>
      </w:r>
      <w:r>
        <w:rPr>
          <w:rStyle w:val="FootnoteReference"/>
        </w:rPr>
        <w:footnoteReference w:id="147"/>
      </w:r>
      <w:r>
        <w:rPr>
          <w:rFonts w:ascii="IRNazanin" w:hAnsi="IRNazanin" w:eastAsia="IRNazanin" w:cs="IRNazanin"/>
          <w:lang w:bidi="fa-IR"/>
          <w:color w:val="111111"/>
          <w:sz w:val="28"/>
          <w:szCs w:val="28"/>
          <w:rtl/>
        </w:rPr>
        <w:t xml:space="preserve">لم یلحظ فیه الاستقلال بالمفهومیّة ، ولا عدم الاستقلال بها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وإنّما الفرق هو أنّه وُضِع لیُستعمل وأُرید منه معناه حالةً لغیره ، وبما هو فی الغیر ، ووُضِعَ غیره لیستعمل وأُرید منه معناه بما هو هو .</w:t>
      </w:r>
    </w:p>
    <w:p>
      <w:pPr>
        <w:pStyle w:val="BookText"/>
      </w:pPr>
      <w:r>
        <w:rPr>
          <w:rFonts w:ascii="IRNazanin" w:hAnsi="IRNazanin" w:eastAsia="IRNazanin" w:cs="IRNazanin"/>
          <w:lang w:bidi="fa-IR"/>
          <w:color w:val="111111"/>
          <w:sz w:val="28"/>
          <w:szCs w:val="28"/>
          <w:rtl/>
        </w:rPr>
        <w:t xml:space="preserve">وعلیه ، یکون کلٌّ من الاستقلال بالمفهومیّة وعدم الاستقلال بها إنّما اعتبر فی جانب الاستعمال ، لا فی المستعمل فیه ، لیکون بینهما تفاوتٌ بحسب المعنی ،</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فلفظ « الابتداء » لو استعمل فی المعنی الآلیّ ، ولفظة « من » فی المعنی الاستقلالیّ لما کان مجازاً واستعمالاً له فی غیر ما وضع له ، وإن کان بغیر ما وضع له .</w:t>
      </w:r>
    </w:p>
    <w:p>
      <w:pPr>
        <w:pStyle w:val="BookText"/>
      </w:pPr>
      <w:r>
        <w:rPr>
          <w:rFonts w:ascii="Amiri" w:hAnsi="Amiri" w:eastAsia="Amiri" w:cs="Amiri"/>
          <w:lang w:bidi="ar-SA"/>
          <w:color w:val="111111"/>
          <w:sz w:val="28"/>
          <w:szCs w:val="28"/>
          <w:rtl/>
        </w:rPr>
        <w:t xml:space="preserve">فالمعنی فی کلیهما فی نفسه کلیٌّ طبیعیٌّ یصدق علی کثیرین ، ومقیّداً باللحاظ الاستقلالیّ أو الآلیّ کلیٌّ </w:t>
      </w:r>
      <w:r>
        <w:rPr>
          <w:rStyle w:val="FootnoteReference"/>
        </w:rPr>
        <w:footnoteReference w:id="148"/>
      </w:r>
      <w:r>
        <w:rPr>
          <w:rFonts w:ascii="Amiri" w:hAnsi="Amiri" w:eastAsia="Amiri" w:cs="Amiri"/>
          <w:lang w:bidi="ar-SA"/>
          <w:color w:val="111111"/>
          <w:sz w:val="28"/>
          <w:szCs w:val="28"/>
          <w:rtl/>
        </w:rPr>
        <w:t xml:space="preserve">عقلیٌّ </w:t>
      </w:r>
      <w:r>
        <w:rPr>
          <w:rStyle w:val="FootnoteReference"/>
        </w:rPr>
        <w:footnoteReference w:id="149"/>
      </w:r>
      <w:r>
        <w:rPr>
          <w:rFonts w:ascii="Amiri" w:hAnsi="Amiri" w:eastAsia="Amiri" w:cs="Amiri"/>
          <w:lang w:bidi="ar-SA"/>
          <w:color w:val="111111"/>
          <w:sz w:val="28"/>
          <w:szCs w:val="28"/>
          <w:rtl/>
        </w:rPr>
        <w:t xml:space="preserve">، وإن کان بملاحظة أنّ لحاظَهُ وجودُهُ ذهناً کان </w:t>
      </w:r>
      <w:r>
        <w:rPr>
          <w:rStyle w:val="FootnoteReference"/>
        </w:rPr>
        <w:footnoteReference w:id="150"/>
      </w:r>
      <w:r>
        <w:rPr>
          <w:rFonts w:ascii="Amiri" w:hAnsi="Amiri" w:eastAsia="Amiri" w:cs="Amiri"/>
          <w:lang w:bidi="ar-SA"/>
          <w:color w:val="111111"/>
          <w:sz w:val="28"/>
          <w:szCs w:val="28"/>
          <w:rtl/>
        </w:rPr>
        <w:t xml:space="preserve">جزئیّاً ذهنیّاً ؛ فإنّ الشیء ما لم یتشخّص لم یوجد وإن کان بالوجود الذهنیّ .</w:t>
      </w:r>
    </w:p>
    <w:p>
      <w:pPr>
        <w:pStyle w:val="BookText"/>
      </w:pPr>
      <w:r>
        <w:rPr>
          <w:rFonts w:ascii="IRNazanin" w:hAnsi="IRNazanin" w:eastAsia="IRNazanin" w:cs="IRNazanin"/>
          <w:lang w:bidi="fa-IR"/>
          <w:color w:val="111111"/>
          <w:sz w:val="28"/>
          <w:szCs w:val="28"/>
          <w:rtl/>
        </w:rPr>
        <w:t xml:space="preserve">فافهم وتأمّل فی ما وقع فی المقام من الأعلام من الخلط والاشتباه ، وتوهُّمِ کون الموضوع له أو المستعمل فیه فی الحروف خاصّاً ، بخلاف ما عداه </w:t>
      </w:r>
      <w:r>
        <w:rPr>
          <w:rStyle w:val="FootnoteReference"/>
        </w:rPr>
        <w:footnoteReference w:id="151"/>
      </w:r>
      <w:r>
        <w:rPr>
          <w:rFonts w:ascii="Amiri" w:hAnsi="Amiri" w:eastAsia="Amiri" w:cs="Amiri"/>
          <w:lang w:bidi="ar-SA"/>
          <w:color w:val="111111"/>
          <w:sz w:val="28"/>
          <w:szCs w:val="28"/>
          <w:rtl/>
        </w:rPr>
        <w:t xml:space="preserve">، فإنّه عامّ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ولیت شعری ، إن کان قصد الآلیّة فیها موجباً لکون المعنی جزئیّاً ،</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4419_166765"/>
    <w:bookmarkEnd w:id="42"/>
    <w:p>
      <w:pPr>
        <w:pStyle w:val="BookText"/>
      </w:pPr>
      <w:r>
        <w:rPr>
          <w:rFonts w:ascii="IRNazanin" w:hAnsi="IRNazanin" w:eastAsia="IRNazanin" w:cs="IRNazanin"/>
          <w:lang w:bidi="fa-IR"/>
          <w:color w:val="111111"/>
          <w:sz w:val="28"/>
          <w:szCs w:val="28"/>
          <w:rtl/>
        </w:rPr>
        <w:t xml:space="preserve">فلِمَ لا یکون قصد الاستقلالیّة فیه موجباً له؟ وهل یکون ذلک إلّالکون هذا القصد لیس ممّا یعتبر فی الموضوع له ولا المستعمل فیه ، بل فی الاستعمال ؟ فلِمَ لا یکون فیها کذلک؟ کیف؟ وإلّا لزم أن یکون معانی المتعلّقات غیر منطبقة علی الجزئیّات الخارجیّة ؛ لکونها - علی هذا - کلّیّات عقلیّة ، والکلّیّ العقلیّ لا موطن له إلّاالذهن ، فالسیر والبصرة والکوفة فی : « سرت من البصرة إلی الکوفة » لا یکاد یصدق علی السیر والبصرة والکوفة ، لتقیُّدِها بما اعتبر فیه القصد ، فتصیر عقلیّة ، فیستحیل انطباقها علی الاُمور الخارجیّة .</w:t>
      </w:r>
    </w:p>
    <w:p>
      <w:pPr>
        <w:pStyle w:val="BookText"/>
      </w:pPr>
      <w:r>
        <w:rPr>
          <w:rFonts w:ascii="IRNazanin" w:hAnsi="IRNazanin" w:eastAsia="IRNazanin" w:cs="IRNazanin"/>
          <w:lang w:bidi="fa-IR"/>
          <w:color w:val="111111"/>
          <w:sz w:val="28"/>
          <w:szCs w:val="28"/>
          <w:rtl/>
        </w:rPr>
        <w:t xml:space="preserve">وبما حقّقناه </w:t>
      </w:r>
      <w:r>
        <w:rPr>
          <w:rStyle w:val="FootnoteReference"/>
        </w:rPr>
        <w:footnoteReference w:id="152"/>
      </w:r>
      <w:r>
        <w:rPr>
          <w:rFonts w:ascii="Amiri" w:hAnsi="Amiri" w:eastAsia="Amiri" w:cs="Amiri"/>
          <w:lang w:bidi="ar-SA"/>
          <w:color w:val="111111"/>
          <w:sz w:val="28"/>
          <w:szCs w:val="28"/>
          <w:rtl/>
        </w:rPr>
        <w:t xml:space="preserve">یوفّق بین جزئیّة المعنی الحرفیّ - بل الاسمیّ - والصدْقِ علی الکثیرین ، وأنّ الجزئیّة باعتبار تقیُّد المعنی باللحاظ فی موارد الاستعمالات - آلیّاً أو استقلالیّاً - ، والکلّیة </w:t>
      </w:r>
      <w:r>
        <w:rPr>
          <w:rStyle w:val="FootnoteReference"/>
        </w:rPr>
        <w:footnoteReference w:id="153"/>
      </w:r>
      <w:r>
        <w:rPr>
          <w:rFonts w:ascii="IRNazanin" w:hAnsi="IRNazanin" w:eastAsia="IRNazanin" w:cs="IRNazanin"/>
          <w:lang w:bidi="fa-IR"/>
          <w:color w:val="111111"/>
          <w:sz w:val="28"/>
          <w:szCs w:val="28"/>
          <w:rtl/>
        </w:rPr>
        <w:t xml:space="preserve">بلحاظ نفس المعنی .</w:t>
      </w:r>
    </w:p>
    <w:p>
      <w:pPr>
        <w:pStyle w:val="BookText"/>
      </w:pPr>
      <w:r>
        <w:rPr>
          <w:rFonts w:ascii="IRNazanin" w:hAnsi="IRNazanin" w:eastAsia="IRNazanin" w:cs="IRNazanin"/>
          <w:lang w:bidi="fa-IR"/>
          <w:color w:val="111111"/>
          <w:sz w:val="28"/>
          <w:szCs w:val="28"/>
          <w:rtl/>
        </w:rPr>
        <w:t xml:space="preserve">ومنه ظهر عدمُ اختصاص الإشکال والدفع بالحرف ، بل یعمّ غیرَه .</w:t>
      </w:r>
    </w:p>
    <w:p>
      <w:pPr>
        <w:pStyle w:val="BookText"/>
      </w:pPr>
      <w:r>
        <w:rPr>
          <w:rFonts w:ascii="IRNazanin" w:hAnsi="IRNazanin" w:eastAsia="IRNazanin" w:cs="IRNazanin"/>
          <w:lang w:bidi="fa-IR"/>
          <w:color w:val="111111"/>
          <w:sz w:val="28"/>
          <w:szCs w:val="28"/>
          <w:rtl/>
        </w:rPr>
        <w:t xml:space="preserve">فتأمّل فی المقام ، فإنّه دقیق ومزالّ الأقدام للأعلام ، وقد سبق فی بعض الاُمور </w:t>
      </w:r>
      <w:r>
        <w:rPr>
          <w:rStyle w:val="FootnoteReference"/>
        </w:rPr>
        <w:footnoteReference w:id="154"/>
      </w:r>
      <w:r>
        <w:rPr>
          <w:rFonts w:ascii="IRNazanin" w:hAnsi="IRNazanin" w:eastAsia="IRNazanin" w:cs="IRNazanin"/>
          <w:lang w:bidi="fa-IR"/>
          <w:color w:val="111111"/>
          <w:sz w:val="28"/>
          <w:szCs w:val="28"/>
          <w:rtl/>
        </w:rPr>
        <w:t xml:space="preserve">بعض الکلام ، والإعادة مع ذلک لما فیها من الفائدة والإفادة ، فافهم .</w:t>
      </w:r>
    </w:p>
    <w:p>
      <w:pPr>
        <w:pStyle w:val="Heading6"/>
      </w:pPr>
      <w:bookmarkStart w:id="668" w:name="_Toc108"/>
      <w:r>
        <w:t>4 - اختلاف‌المبادئ‌لا یوجب‌اختلافاً فی‌دلالة المشتقّ</w:t>
      </w:r>
      <w:bookmarkEnd w:id="668"/>
    </w:p>
    <w:p>
      <w:pPr>
        <w:pStyle w:val="BookText"/>
      </w:pPr>
      <w:r>
        <w:rPr>
          <w:rFonts w:ascii="IRNazanin" w:hAnsi="IRNazanin" w:eastAsia="IRNazanin" w:cs="IRNazanin"/>
          <w:lang w:bidi="fa-IR"/>
          <w:color w:val="111111"/>
          <w:sz w:val="28"/>
          <w:szCs w:val="28"/>
          <w:rtl/>
        </w:rPr>
        <w:t xml:space="preserve">رابعها: أنّ اختلاف المشتقّات فی المبادئ - وکونَ المبدأ فی بعضها حرفةً وصناعةً ، وفی بعضها قوةً وملکةً ، وفی بعضها فعلیّاً - لا یوجب اختلافاً فی دلالتها بحسب الهیئة أصلاً ، ولا تفاوتاً فی الجهة المبحوث عنها </w:t>
      </w:r>
      <w:r>
        <w:rPr>
          <w:rStyle w:val="FootnoteReference"/>
        </w:rPr>
        <w:footnoteReference w:id="155"/>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4419_166766"/>
    <w:bookmarkEnd w:id="43"/>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غایة الأمر أنّه یختلف التلبّس به فی المضیّ أو الحال ، فیکون التلبّس به فعلاً لو أُخذ حرفةً أو ملکةً ، ولو لم یتلبّس به إلی الحال أو انقضی عنه ، ویکون ممّا مضی أو یأتی لو أُخذ فعلیّاً ، فلا یتفاوت فیها أنحاء التلبّسات وأنواع التعلّقات ، کما أشرنا إلیه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6"/>
      </w:pPr>
      <w:bookmarkStart w:id="669" w:name="_Toc109"/>
      <w:r>
        <w:t>5 - المراد ب « الحال » فی عنوان المسألة</w:t>
      </w:r>
      <w:bookmarkEnd w:id="669"/>
    </w:p>
    <w:p>
      <w:pPr>
        <w:pStyle w:val="BookText"/>
      </w:pPr>
      <w:r>
        <w:rPr>
          <w:rFonts w:ascii="IRNazanin" w:hAnsi="IRNazanin" w:eastAsia="IRNazanin" w:cs="IRNazanin"/>
          <w:lang w:bidi="fa-IR"/>
          <w:color w:val="111111"/>
          <w:sz w:val="28"/>
          <w:szCs w:val="28"/>
          <w:rtl/>
        </w:rPr>
        <w:t xml:space="preserve">خامسها: أنّ المراد بالحال - فی عنوان المسألة - هو حال التلبّس </w:t>
      </w:r>
      <w:r>
        <w:rPr>
          <w:rStyle w:val="FootnoteReference"/>
        </w:rPr>
        <w:footnoteReference w:id="157"/>
      </w:r>
      <w:r>
        <w:rPr>
          <w:rFonts w:ascii="IRNazanin" w:hAnsi="IRNazanin" w:eastAsia="IRNazanin" w:cs="IRNazanin"/>
          <w:lang w:bidi="fa-IR"/>
          <w:color w:val="111111"/>
          <w:sz w:val="28"/>
          <w:szCs w:val="28"/>
          <w:rtl/>
        </w:rPr>
        <w:t xml:space="preserve">، لا حال النطق ؛ ضرورةَ أنّ مثل: « کان زیدٌ ضارباً أمس » ، أو « سیکون غداً ضارباً » حقیقةٌ إذا کان متلبّساً بالضرب فی الأمس فی المثال الأوّل ، ومتلبّساً به فی الغد فی الثانی ، فجرْیُ المشتقّ حیث کان بلحاظ حال التلبّس - وإن مضی زمانه فی أحدهما ، ولم یأت بعدُ فی الآخر </w:t>
      </w:r>
      <w:r>
        <w:rPr>
          <w:rStyle w:val="FootnoteReference"/>
        </w:rPr>
        <w:footnoteReference w:id="158"/>
      </w:r>
      <w:r>
        <w:rPr>
          <w:rFonts w:ascii="IRNazanin" w:hAnsi="IRNazanin" w:eastAsia="IRNazanin" w:cs="IRNazanin"/>
          <w:lang w:bidi="fa-IR"/>
          <w:color w:val="111111"/>
          <w:sz w:val="28"/>
          <w:szCs w:val="28"/>
          <w:rtl/>
        </w:rPr>
        <w:t xml:space="preserve">- کان حقیقةً بلا خلاف .</w:t>
      </w:r>
    </w:p>
    <w:p>
      <w:pPr>
        <w:pStyle w:val="BookText"/>
      </w:pPr>
      <w:r>
        <w:rPr>
          <w:rFonts w:ascii="IRNazanin" w:hAnsi="IRNazanin" w:eastAsia="IRNazanin" w:cs="IRNazanin"/>
          <w:lang w:bidi="fa-IR"/>
          <w:color w:val="111111"/>
          <w:sz w:val="28"/>
          <w:szCs w:val="28"/>
          <w:rtl/>
        </w:rPr>
        <w:t xml:space="preserve">ولا ینافیه الاتّفاق علی أنّ مثل « زیدٌ ضاربٌ غداً » مجازٌ ؛ فإنّ الظاهر أنّه فی ما إذا کان الجریُ فی الحال - کما هو قضیّة الإطلاق - ، والغد إنّما یکون لبیان زمان التلبّس ، فیکون الجریُ والاتّصاف فی الحال ، والتلبّسُ فی الاستقبال .</w:t>
      </w:r>
    </w:p>
    <w:p>
      <w:pPr>
        <w:pStyle w:val="BookText"/>
      </w:pPr>
      <w:r>
        <w:rPr>
          <w:rFonts w:ascii="IRNazanin" w:hAnsi="IRNazanin" w:eastAsia="IRNazanin" w:cs="IRNazanin"/>
          <w:lang w:bidi="fa-IR"/>
          <w:color w:val="111111"/>
          <w:sz w:val="28"/>
          <w:szCs w:val="28"/>
          <w:rtl/>
        </w:rPr>
        <w:t xml:space="preserve">ومن هنا ظهر الحال فی مثل: « زیدٌ ضاربٌ أمس » وأنّه داخلٌ فی محلّ الخلاف والإشکال . ولو کانت لفظة « أمس » أو « غد » قرینةً علی تعیین زمان النسبة والجری أیضاً کان المثالان حقیقةً .</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4419_166767"/>
    <w:bookmarkEnd w:id="44"/>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لا ینبغی الإشکالُ فی کون المشتقّ حقیقةً فی ما إذا جری علی الذات بلحاظ حال التلبّس ، ولو کان فی المضیّ أو الاستقبال . وإنّما الخلاف فی کونه حقیقةً فی خصوصه ، أو فی ما یعمّ ما إذا جری علیها فی الحال ، بعد ما انقضی عنها </w:t>
      </w:r>
      <w:r>
        <w:rPr>
          <w:rStyle w:val="FootnoteReference"/>
        </w:rPr>
        <w:footnoteReference w:id="159"/>
      </w:r>
      <w:r>
        <w:rPr>
          <w:rFonts w:ascii="IRNazanin" w:hAnsi="IRNazanin" w:eastAsia="IRNazanin" w:cs="IRNazanin"/>
          <w:lang w:bidi="fa-IR"/>
          <w:color w:val="111111"/>
          <w:sz w:val="28"/>
          <w:szCs w:val="28"/>
          <w:rtl/>
        </w:rPr>
        <w:t xml:space="preserve">التلبّس ، بعد الفراغ عن کونه مجازاً فی ما إذا جری علیها فعلاً بلحاظ التلبّس فی الاستقبال .</w:t>
      </w:r>
    </w:p>
    <w:p>
      <w:pPr>
        <w:pStyle w:val="BookText"/>
      </w:pPr>
      <w:r>
        <w:rPr>
          <w:rFonts w:ascii="IRNazanin" w:hAnsi="IRNazanin" w:eastAsia="IRNazanin" w:cs="IRNazanin"/>
          <w:lang w:bidi="fa-IR"/>
          <w:color w:val="111111"/>
          <w:sz w:val="28"/>
          <w:szCs w:val="28"/>
          <w:rtl/>
        </w:rPr>
        <w:t xml:space="preserve">ویؤیِّد ذلک : اتّفاق أهل العربیّة علی عدم دلالة الاسم علی الزمان ، ومنه الصفات الجاریة علی الذوات .</w:t>
      </w:r>
    </w:p>
    <w:p>
      <w:pPr>
        <w:pStyle w:val="BookText"/>
      </w:pPr>
      <w:r>
        <w:rPr>
          <w:rFonts w:ascii="IRNazanin" w:hAnsi="IRNazanin" w:eastAsia="IRNazanin" w:cs="IRNazanin"/>
          <w:lang w:bidi="fa-IR"/>
          <w:color w:val="111111"/>
          <w:sz w:val="28"/>
          <w:szCs w:val="28"/>
          <w:rtl/>
        </w:rPr>
        <w:t xml:space="preserve">ولا ینافیه اشتراط العمل فی بعضها بکونه بمعنی الحال أو الاستقبال ؛ ضرورةَ أنّ المراد : الدلالة علی أحدهما بقرینةٍ ، کیف لا ، وقد اتّفقوا علی کونه مجازاً فی الاستقبال؟</w:t>
      </w:r>
    </w:p>
    <w:p>
      <w:pPr>
        <w:pStyle w:val="BookText"/>
      </w:pPr>
      <w:r>
        <w:rPr>
          <w:rFonts w:ascii="IRNazanin" w:hAnsi="IRNazanin" w:eastAsia="IRNazanin" w:cs="IRNazanin"/>
          <w:lang w:bidi="fa-IR"/>
          <w:color w:val="111111"/>
          <w:sz w:val="28"/>
          <w:szCs w:val="28"/>
          <w:rtl/>
        </w:rPr>
        <w:t xml:space="preserve">لا یقال: یمکن أن یکون المراد بالحال فی العنوان زمانه ، کما هو الظاهر منه عند إطلاقه ، وادّعی </w:t>
      </w:r>
      <w:r>
        <w:rPr>
          <w:rStyle w:val="FootnoteReference"/>
        </w:rPr>
        <w:footnoteReference w:id="160"/>
      </w:r>
      <w:r>
        <w:rPr>
          <w:rFonts w:ascii="IRNazanin" w:hAnsi="IRNazanin" w:eastAsia="IRNazanin" w:cs="IRNazanin"/>
          <w:lang w:bidi="fa-IR"/>
          <w:color w:val="111111"/>
          <w:sz w:val="28"/>
          <w:szCs w:val="28"/>
          <w:rtl/>
        </w:rPr>
        <w:t xml:space="preserve">أنّه الظاهرُ فی المشتقّات ، إمّا لدعوی الانسباق من الإطلاق ، أو بمعونة قرینة الحکمة .</w:t>
      </w:r>
    </w:p>
    <w:p>
      <w:pPr>
        <w:pStyle w:val="BookText"/>
      </w:pPr>
      <w:r>
        <w:rPr>
          <w:rFonts w:ascii="IRNazanin" w:hAnsi="IRNazanin" w:eastAsia="IRNazanin" w:cs="IRNazanin"/>
          <w:lang w:bidi="fa-IR"/>
          <w:color w:val="111111"/>
          <w:sz w:val="28"/>
          <w:szCs w:val="28"/>
          <w:rtl/>
        </w:rPr>
        <w:t xml:space="preserve">لأنّا نقول: هذا الانسباق وإن کان ممّا لا ینکر ، إلّاأنّهم فی هذا العنوان بصدد تعیین ما وضع له المشتقّ ، لا تعیین ما یراد بالقرینة منه .</w:t>
      </w:r>
    </w:p>
    <w:p>
      <w:pPr>
        <w:pStyle w:val="Heading6"/>
      </w:pPr>
      <w:bookmarkStart w:id="670" w:name="_Toc110"/>
      <w:r>
        <w:t>6 - لا أصل لفظیّ فی المسألة</w:t>
      </w:r>
      <w:bookmarkEnd w:id="670"/>
    </w:p>
    <w:p>
      <w:pPr>
        <w:pStyle w:val="Heading6"/>
      </w:pPr>
      <w:bookmarkStart w:id="671" w:name="_Toc111"/>
      <w:r>
        <w:t>اشارة</w:t>
      </w:r>
      <w:bookmarkEnd w:id="6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سادسها: انّه لا أصل فی نفس هذه المسألة یعوّل علیه عند الشکّ .</w:t>
      </w:r>
    </w:p>
    <w:p>
      <w:pPr>
        <w:pStyle w:val="BookText"/>
      </w:pPr>
      <w:r>
        <w:rPr>
          <w:rFonts w:ascii="IRNazanin" w:hAnsi="IRNazanin" w:eastAsia="IRNazanin" w:cs="IRNazanin"/>
          <w:lang w:bidi="fa-IR"/>
          <w:color w:val="111111"/>
          <w:sz w:val="28"/>
          <w:szCs w:val="28"/>
          <w:rtl/>
        </w:rPr>
        <w:t xml:space="preserve">وأصالة عدم ملاحظة الخصوصیّة - مع معارضتها بأصالة عدم ملاحظة العموم - لا دلیل علی اعتبارها فی تعیین الموضوع له .</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4419_166768"/>
    <w:bookmarkEnd w:id="45"/>
    <w:p>
      <w:pPr>
        <w:pStyle w:val="BookText"/>
      </w:pPr>
      <w:r>
        <w:rPr>
          <w:rFonts w:ascii="IRNazanin" w:hAnsi="IRNazanin" w:eastAsia="IRNazanin" w:cs="IRNazanin"/>
          <w:lang w:bidi="fa-IR"/>
          <w:color w:val="111111"/>
          <w:sz w:val="28"/>
          <w:szCs w:val="28"/>
          <w:rtl/>
        </w:rPr>
        <w:t xml:space="preserve">وأمّا ترجیح الاشتراک المعنویّ علی الحقیقة والمجاز - إذا دار الأمر بینهما - لأجل الغلبة ، فممنوعٌ ؛ لمنع الغلبة أوّلاً ، ومنعِ نهوض حجّة علی الترجیح بها ثانیاً .</w:t>
      </w:r>
    </w:p>
    <w:p>
      <w:pPr>
        <w:pStyle w:val="Heading6"/>
      </w:pPr>
      <w:bookmarkStart w:id="672" w:name="_Toc112"/>
      <w:r>
        <w:t>مقتضی الأصل‌العملی فی‌المسألة</w:t>
      </w:r>
      <w:bookmarkEnd w:id="672"/>
    </w:p>
    <w:p>
      <w:pPr>
        <w:pStyle w:val="BookText"/>
      </w:pPr>
      <w:r>
        <w:rPr>
          <w:rFonts w:ascii="IRNazanin" w:hAnsi="IRNazanin" w:eastAsia="IRNazanin" w:cs="IRNazanin"/>
          <w:lang w:bidi="fa-IR"/>
          <w:color w:val="111111"/>
          <w:sz w:val="28"/>
          <w:szCs w:val="28"/>
          <w:rtl/>
        </w:rPr>
        <w:t xml:space="preserve">وأمّا الأصل العملیّ فیختلف فی الموارد ، فأصالة البراءة فی مثل: « أکرم کلَّ عالم » ، یقتضی عدمَ وجوب إکرام ما انقضی عنه المبدأ قبل الإیجاب ، کما أنّ قضیّة الاستصحاب وجوبُه لو کان الإیجاب قبل الانقضاء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6"/>
      </w:pPr>
      <w:bookmarkStart w:id="673" w:name="_Toc113"/>
      <w:r>
        <w:t>الأقوال فی مسألة المشتقّ</w:t>
      </w:r>
      <w:bookmarkEnd w:id="673"/>
    </w:p>
    <w:p>
      <w:pPr>
        <w:pStyle w:val="BookText"/>
      </w:pPr>
      <w:r>
        <w:rPr>
          <w:rFonts w:ascii="IRNazanin" w:hAnsi="IRNazanin" w:eastAsia="IRNazanin" w:cs="IRNazanin"/>
          <w:lang w:bidi="fa-IR"/>
          <w:color w:val="111111"/>
          <w:sz w:val="28"/>
          <w:szCs w:val="28"/>
          <w:rtl/>
        </w:rPr>
        <w:t xml:space="preserve">فإذا عرفت ما تلوناه علیک ، فاعلم : أنّ الأقوال فی المسألة وإن کثُرت ، إلّا أنّها حدثت بین المتأخّرین - بعدما کانت ذات قولین بین المتقدّمین - ، لأجل توهُّمِ اختلاف المشتقّ باختلاف مبادئه فی المعنی ، أو بتفاوت ما یعتریه من الأحوال .</w:t>
      </w:r>
    </w:p>
    <w:p>
      <w:pPr>
        <w:pStyle w:val="Heading6"/>
      </w:pPr>
      <w:bookmarkStart w:id="674" w:name="_Toc114"/>
      <w:r>
        <w:t>مختار المصنّف:</w:t>
      </w:r>
      <w:bookmarkEnd w:id="674"/>
    </w:p>
    <w:p>
      <w:pPr>
        <w:pStyle w:val="BookText"/>
      </w:pPr>
      <w:r>
        <w:rPr>
          <w:rFonts w:ascii="IRNazanin" w:hAnsi="IRNazanin" w:eastAsia="IRNazanin" w:cs="IRNazanin"/>
          <w:lang w:bidi="fa-IR"/>
          <w:color w:val="111111"/>
          <w:sz w:val="28"/>
          <w:szCs w:val="28"/>
          <w:rtl/>
        </w:rPr>
        <w:t xml:space="preserve">اشتراط التلبّس</w:t>
      </w:r>
    </w:p>
    <w:p>
      <w:pPr>
        <w:pStyle w:val="BookText"/>
      </w:pPr>
      <w:r>
        <w:rPr>
          <w:rFonts w:ascii="Amiri" w:hAnsi="Amiri" w:eastAsia="Amiri" w:cs="Amiri"/>
          <w:lang w:bidi="ar-SA"/>
          <w:color w:val="111111"/>
          <w:sz w:val="28"/>
          <w:szCs w:val="28"/>
          <w:rtl/>
        </w:rPr>
        <w:t xml:space="preserve">وقد مرّت الإشارة </w:t>
      </w:r>
      <w:r>
        <w:rPr>
          <w:rStyle w:val="FootnoteReference"/>
        </w:rPr>
        <w:footnoteReference w:id="162"/>
      </w:r>
      <w:r>
        <w:rPr>
          <w:rFonts w:ascii="IRNazanin" w:hAnsi="IRNazanin" w:eastAsia="IRNazanin" w:cs="IRNazanin"/>
          <w:lang w:bidi="fa-IR"/>
          <w:color w:val="111111"/>
          <w:sz w:val="28"/>
          <w:szCs w:val="28"/>
          <w:rtl/>
        </w:rPr>
        <w:t xml:space="preserve">إلی أنّه لا یوجب التفاوت فی ما نحن بصدده ، ویأتی له مزید بیانٍ فی أثناء الاستدلال علی ما هو المختار ، وهو اعتبار التلبّس فی الحال ، وفاقاً لمتأخّری الأصحاب والأشاعرة ، وخلافاً لمتقدّمیهم والمعتزلة .</w:t>
      </w:r>
    </w:p>
    <w:p>
      <w:pPr>
        <w:pStyle w:val="Heading6"/>
      </w:pPr>
      <w:bookmarkStart w:id="675" w:name="_Toc115"/>
      <w:r>
        <w:t>حجّة القول بالاشتراط :</w:t>
      </w:r>
      <w:bookmarkEnd w:id="675"/>
    </w:p>
    <w:p>
      <w:pPr>
        <w:pStyle w:val="BookText"/>
      </w:pPr>
      <w:r>
        <w:rPr>
          <w:rFonts w:ascii="IRNazanin" w:hAnsi="IRNazanin" w:eastAsia="IRNazanin" w:cs="IRNazanin"/>
          <w:lang w:bidi="fa-IR"/>
          <w:color w:val="111111"/>
          <w:sz w:val="28"/>
          <w:szCs w:val="28"/>
          <w:rtl/>
        </w:rPr>
        <w:t xml:space="preserve">تبادر خصوص المتلبّس وصحّة السلب عن المنقضی</w:t>
      </w:r>
    </w:p>
    <w:p>
      <w:pPr>
        <w:pStyle w:val="BookText"/>
      </w:pPr>
      <w:r>
        <w:rPr>
          <w:rFonts w:ascii="Amiri" w:hAnsi="Amiri" w:eastAsia="Amiri" w:cs="Amiri"/>
          <w:lang w:bidi="ar-SA"/>
          <w:color w:val="111111"/>
          <w:sz w:val="28"/>
          <w:szCs w:val="28"/>
          <w:rtl/>
        </w:rPr>
        <w:t xml:space="preserve">ویدلّ علیه:</w:t>
      </w:r>
    </w:p>
    <w:p>
      <w:pPr>
        <w:pStyle w:val="BookText"/>
      </w:pPr>
      <w:r>
        <w:rPr>
          <w:rFonts w:ascii="IRNazanin" w:hAnsi="IRNazanin" w:eastAsia="IRNazanin" w:cs="IRNazanin"/>
          <w:lang w:bidi="fa-IR"/>
          <w:color w:val="111111"/>
          <w:sz w:val="28"/>
          <w:szCs w:val="28"/>
          <w:rtl/>
        </w:rPr>
        <w:t xml:space="preserve">تبادُرُ خصوص المتلبّس بالمبدأ فی الحال .</w:t>
      </w:r>
    </w:p>
    <w:p>
      <w:pPr>
        <w:pStyle w:val="BookText"/>
      </w:pPr>
      <w:r>
        <w:rPr>
          <w:rFonts w:ascii="IRNazanin" w:hAnsi="IRNazanin" w:eastAsia="IRNazanin" w:cs="IRNazanin"/>
          <w:lang w:bidi="fa-IR"/>
          <w:color w:val="111111"/>
          <w:sz w:val="28"/>
          <w:szCs w:val="28"/>
          <w:rtl/>
        </w:rPr>
        <w:t xml:space="preserve">وصحّةُ السلب مطلقاً عمّا انقضی عنه - کالمتلبّس به فی الاستقبال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لوضوح أنّ مثل القائم والضارب والعالم - وما یرادفها من سائر اللغات -</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4419_166769"/>
    <w:bookmarkEnd w:id="46"/>
    <w:p>
      <w:pPr>
        <w:pStyle w:val="BookText"/>
      </w:pPr>
      <w:r>
        <w:rPr>
          <w:rFonts w:ascii="IRNazanin" w:hAnsi="IRNazanin" w:eastAsia="IRNazanin" w:cs="IRNazanin"/>
          <w:lang w:bidi="fa-IR"/>
          <w:color w:val="111111"/>
          <w:sz w:val="28"/>
          <w:szCs w:val="28"/>
          <w:rtl/>
        </w:rPr>
        <w:t xml:space="preserve">لا یصدق علی من لم یکن </w:t>
      </w:r>
      <w:r>
        <w:rPr>
          <w:rStyle w:val="FootnoteReference"/>
        </w:rPr>
        <w:footnoteReference w:id="163"/>
      </w:r>
      <w:r>
        <w:rPr>
          <w:rFonts w:ascii="IRNazanin" w:hAnsi="IRNazanin" w:eastAsia="IRNazanin" w:cs="IRNazanin"/>
          <w:lang w:bidi="fa-IR"/>
          <w:color w:val="111111"/>
          <w:sz w:val="28"/>
          <w:szCs w:val="28"/>
          <w:rtl/>
        </w:rPr>
        <w:t xml:space="preserve">متلبّساً بالمبادئ ، وإن کان متلبّساً بها قبل الجری والانتساب ، ویصحّ سلبها عنه ، کیف؟ وما یضادّها بحسب ما ارتکز من معناها فی الأذهان یصدق علیه ؛ ضرورةَ صدق القاعد علیه فی حال تلبّسه بالقعود بعد انقضاء تلبُّسه بالقیام ، مع وضوح التضادّ بین القاعد والقائم بحسب ما ارتکز لهما من المعنی ، کما لا یخفی .</w:t>
      </w:r>
    </w:p>
    <w:p>
      <w:pPr>
        <w:pStyle w:val="Heading6"/>
      </w:pPr>
      <w:bookmarkStart w:id="676" w:name="_Toc116"/>
      <w:r>
        <w:t>حجّة أُخری علی الاشتراط :</w:t>
      </w:r>
      <w:bookmarkEnd w:id="676"/>
    </w:p>
    <w:p>
      <w:pPr>
        <w:pStyle w:val="BookText"/>
      </w:pPr>
      <w:r>
        <w:rPr>
          <w:rFonts w:ascii="Amiri" w:hAnsi="Amiri" w:eastAsia="Amiri" w:cs="Amiri"/>
          <w:lang w:bidi="ar-SA"/>
          <w:color w:val="111111"/>
          <w:sz w:val="28"/>
          <w:szCs w:val="28"/>
          <w:rtl/>
        </w:rPr>
        <w:t xml:space="preserve">مضادّة الصفات</w:t>
      </w:r>
    </w:p>
    <w:p>
      <w:pPr>
        <w:pStyle w:val="BookText"/>
      </w:pPr>
      <w:r>
        <w:rPr>
          <w:rFonts w:ascii="IRNazanin" w:hAnsi="IRNazanin" w:eastAsia="IRNazanin" w:cs="IRNazanin"/>
          <w:lang w:bidi="fa-IR"/>
          <w:color w:val="111111"/>
          <w:sz w:val="28"/>
          <w:szCs w:val="28"/>
          <w:rtl/>
        </w:rPr>
        <w:t xml:space="preserve">وقد یقرّر هذا وجهاً علی حدة ، ویقال: لا ریب فی مضادّة الصفات المتقابلة المأخوذة من المبادئ المتضادّة علی ما ارتکز لها من المعانی ، فلو کان المشتقّ حقیقةً فی الأعمّ لما کان بینها مضادّة ، بل مخالفة ؛ لتصادقها فی ما انقضی عنه المبدأ وتلبَّسَ بالمبدأ الآخر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علی دلیل مضادّة الصفات والجواب عنه ولا یرد علی هذا التقریر ما أورده بعضُ الأجلّة من المعاصرین </w:t>
      </w:r>
      <w:r>
        <w:rPr>
          <w:rStyle w:val="FootnoteReference"/>
        </w:rPr>
        <w:footnoteReference w:id="1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عدم التضادّ علی القول بعدم الاشتراط ؛ لما عرفت من ارتکازه بینها ، کما فی مبادئها .</w:t>
      </w:r>
    </w:p>
    <w:p>
      <w:pPr>
        <w:pStyle w:val="BookText"/>
      </w:pPr>
      <w:r>
        <w:rPr>
          <w:rFonts w:ascii="IRNazanin" w:hAnsi="IRNazanin" w:eastAsia="IRNazanin" w:cs="IRNazanin"/>
          <w:lang w:bidi="fa-IR"/>
          <w:color w:val="111111"/>
          <w:sz w:val="28"/>
          <w:szCs w:val="28"/>
          <w:rtl/>
        </w:rPr>
        <w:t xml:space="preserve">إن قلت: لعلّ ارتکازها لأجل السبق من الإطلاق ، لا الاشتراط .</w:t>
      </w:r>
    </w:p>
    <w:p>
      <w:pPr>
        <w:pStyle w:val="BookText"/>
      </w:pPr>
      <w:r>
        <w:rPr>
          <w:rFonts w:ascii="IRNazanin" w:hAnsi="IRNazanin" w:eastAsia="IRNazanin" w:cs="IRNazanin"/>
          <w:lang w:bidi="fa-IR"/>
          <w:color w:val="111111"/>
          <w:sz w:val="28"/>
          <w:szCs w:val="28"/>
          <w:rtl/>
        </w:rPr>
        <w:t xml:space="preserve">قلت: لا یکاد یکون لذلک ؛ لکثرة استعمال المشتقّ فی موارد الانقضاء ، لو لم یکن بأکثر .</w:t>
      </w:r>
    </w:p>
    <w:p>
      <w:pPr>
        <w:pStyle w:val="BookText"/>
      </w:pPr>
      <w:r>
        <w:rPr>
          <w:rFonts w:ascii="IRNazanin" w:hAnsi="IRNazanin" w:eastAsia="IRNazanin" w:cs="IRNazanin"/>
          <w:lang w:bidi="fa-IR"/>
          <w:color w:val="111111"/>
          <w:sz w:val="28"/>
          <w:szCs w:val="28"/>
          <w:rtl/>
        </w:rPr>
        <w:t xml:space="preserve">إن قلت: علی هذا ، یلزم أن یکون فی الغالب أو الأغلب مجازاً، وهذا بعید ربما لا یلائمه حکمة الوضع . لا یقال: کیف؟ وقد قیل بأنّ أکثر المحاورات</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4419_166770"/>
    <w:bookmarkEnd w:id="47"/>
    <w:p>
      <w:pPr>
        <w:pStyle w:val="BookText"/>
      </w:pPr>
      <w:r>
        <w:rPr>
          <w:rFonts w:ascii="IRNazanin" w:hAnsi="IRNazanin" w:eastAsia="IRNazanin" w:cs="IRNazanin"/>
          <w:lang w:bidi="fa-IR"/>
          <w:color w:val="111111"/>
          <w:sz w:val="28"/>
          <w:szCs w:val="28"/>
          <w:rtl/>
        </w:rPr>
        <w:t xml:space="preserve">مجازات ؛ فإنّ ذلک - لو سلّم - فإنّما هو لأجل تعدّد المعانی المجازیّة بالنسبة إلی المعنی الحقیقیّ الواحد . نعم ، ربما یتّفق ذلک بالنسبة إلی معنی مجازیّ ، لکثرة الحاجة إلی التعبیر عنه ، لکن أین هذا ممّا إذا کان دائماً کذلک؟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 مضافاً إلی أنّ مجرّد الاستبعاد غیرُ ضائرٍ بالمراد بعدَ مساعدة الوجوه المتقدّمة علیه - إنّ ذلک إنّما یلزم لو لم یکن استعماله فی ما انقضی بلحاظ حال التلبّس ، مع أنّه بمکان من الإمکان ، فیراد من « جاء الضاربُ » ، أو « الشارب » - وقد انقضی عنه الضرب والشرب - : جاء الّذی کان ضارباً وشارباً قبل مجیئه حالَ التلبّس بالمبدأ ، لا حینه بعد الانقضاء ، کی یکون الاستعمال بلحاظ هذا الحال ، وجعلُهُ معنوناً بهذا العنوان فعلاً بمجرّد تلبّسه قبل مجیئه ؛ ضرورةَ أنّه لو کان للأعمّ لصحّ استعماله بلحاظ کلا الحالین .</w:t>
      </w:r>
    </w:p>
    <w:p>
      <w:pPr>
        <w:pStyle w:val="BookText"/>
      </w:pPr>
      <w:r>
        <w:rPr>
          <w:rFonts w:ascii="IRNazanin" w:hAnsi="IRNazanin" w:eastAsia="IRNazanin" w:cs="IRNazanin"/>
          <w:lang w:bidi="fa-IR"/>
          <w:color w:val="111111"/>
          <w:sz w:val="28"/>
          <w:szCs w:val="28"/>
          <w:rtl/>
        </w:rPr>
        <w:t xml:space="preserve">وبالجملة: کثرة الاستعمال فی حال الانقضاء یمنع عن دعوی سبق خصوص حال التلبّس من الإطلاق ؛ إذ مع عموم المعنی وقابلیّة کونه حقیقة فی المورد - ولو بالانطباق - لا وجه لملاحظة حالةٍ أُخری ، کما لا یخفی .</w:t>
      </w:r>
    </w:p>
    <w:p>
      <w:pPr>
        <w:pStyle w:val="BookText"/>
      </w:pPr>
      <w:r>
        <w:rPr>
          <w:rFonts w:ascii="IRNazanin" w:hAnsi="IRNazanin" w:eastAsia="IRNazanin" w:cs="IRNazanin"/>
          <w:lang w:bidi="fa-IR"/>
          <w:color w:val="111111"/>
          <w:sz w:val="28"/>
          <w:szCs w:val="28"/>
          <w:rtl/>
        </w:rPr>
        <w:t xml:space="preserve">بخلاف ما إذا لم یکن له العموم ، فإنّ استعماله حینئذٍ مجازاً بلحاظ حال الانقضاء وإن کان ممکناً ، إلّاأنّه لمّا کان بلحاظ حال التلبّس علی نحو الحقیقة بمکانٍ من الإمکان ، فلا وجه لاستعماله وجریه علی الذات مجازاً وبالعنایة وملاحظة العلاقة ، وهذا غیر استعمال اللفظ فی ما لا یصحّ استعماله فیه حقیقةً ، کما لا یخفی ، فافهم .</w:t>
      </w:r>
    </w:p>
    <w:p>
      <w:pPr>
        <w:pStyle w:val="Heading6"/>
      </w:pPr>
      <w:bookmarkStart w:id="677" w:name="_Toc117"/>
      <w:r>
        <w:t>الإشکال علی دلیل صحّةالسلب‌والجواب عنه</w:t>
      </w:r>
      <w:bookmarkEnd w:id="6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ربما أُورد علی الاستدلال بصحّة السلب بما حاصله: أنّه إن أُرید بصحّة السلب صحّتُه مطلقاً ، فغیر سدید ، وإن أُرید مقیّداً ، فغیر مفید ؛ لأنّ علامة المجاز هی صحّة السلب المطلق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4419_166771"/>
    <w:bookmarkEnd w:id="48"/>
    <w:p>
      <w:pPr>
        <w:pStyle w:val="BookText"/>
      </w:pPr>
      <w:r>
        <w:rPr>
          <w:rFonts w:ascii="IRNazanin" w:hAnsi="IRNazanin" w:eastAsia="IRNazanin" w:cs="IRNazanin"/>
          <w:lang w:bidi="fa-IR"/>
          <w:color w:val="111111"/>
          <w:sz w:val="28"/>
          <w:szCs w:val="28"/>
          <w:rtl/>
        </w:rPr>
        <w:t xml:space="preserve">وفیه: أنّه إن أُرید بالتقیید تقییدُ المسلوب - الّذی یکون سلبُهُ أعمَّ من سلب المطلق ، کما هو واضح - فصحّة سلبه وإن لم تکن علامةً علی کون المطلق مجازاً فیه ، إلّاأنّ تقییده ممنوع .</w:t>
      </w:r>
    </w:p>
    <w:p>
      <w:pPr>
        <w:pStyle w:val="BookText"/>
      </w:pPr>
      <w:r>
        <w:rPr>
          <w:rFonts w:ascii="IRNazanin" w:hAnsi="IRNazanin" w:eastAsia="IRNazanin" w:cs="IRNazanin"/>
          <w:lang w:bidi="fa-IR"/>
          <w:color w:val="111111"/>
          <w:sz w:val="28"/>
          <w:szCs w:val="28"/>
          <w:rtl/>
        </w:rPr>
        <w:t xml:space="preserve">وإن أُرید تقیید السلب ، فغیر ضائر بکونها علامة ؛ ضرورةَ صدق المطلق علی أفراده علی کلّ حال ، مع إمکان منع تقییده أیضاً ، بأن یلحظ حال الانقضاء فی طرف الذات الجاری علیها المشتقّ ، فیصحّ سلبه مطلقاً بلحاظ هذا الحال ، کما لا یصحّ سلبه بلحاظ حال التلبّس ، فتدبّر جیّداً .</w:t>
      </w:r>
    </w:p>
    <w:p>
      <w:pPr>
        <w:pStyle w:val="Heading6"/>
      </w:pPr>
      <w:bookmarkStart w:id="678" w:name="_Toc118"/>
      <w:r>
        <w:t>عدم الفرق بین‌المشتق اللازم‌ و المتعدّی</w:t>
      </w:r>
      <w:bookmarkEnd w:id="6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 أنّه لا یتفاوت فی صحّة السلب عمّا انقضی عنه المبدأ ، بین کون المشتقّ لازماً وکونه متعدّیاً </w:t>
      </w:r>
      <w:r>
        <w:rPr>
          <w:rStyle w:val="FootnoteReference"/>
        </w:rPr>
        <w:footnoteReference w:id="167"/>
      </w:r>
      <w:r>
        <w:rPr>
          <w:rFonts w:ascii="Amiri" w:hAnsi="Amiri" w:eastAsia="Amiri" w:cs="Amiri"/>
          <w:lang w:bidi="ar-SA"/>
          <w:color w:val="111111"/>
          <w:sz w:val="28"/>
          <w:szCs w:val="28"/>
          <w:rtl/>
        </w:rPr>
        <w:t xml:space="preserve">؛ لصحّة سلب الضارب عمّن یکون فعلاً غیرَ ملتبّس بالضرب ، وکان متلبّساً به سابقاً .</w:t>
      </w:r>
    </w:p>
    <w:p>
      <w:pPr>
        <w:pStyle w:val="BookText"/>
      </w:pPr>
      <w:r>
        <w:rPr>
          <w:rFonts w:ascii="IRNazanin" w:hAnsi="IRNazanin" w:eastAsia="IRNazanin" w:cs="IRNazanin"/>
          <w:lang w:bidi="fa-IR"/>
          <w:color w:val="111111"/>
          <w:sz w:val="28"/>
          <w:szCs w:val="28"/>
          <w:rtl/>
        </w:rPr>
        <w:t xml:space="preserve">وأمّا إطلاقه علیه فی الحال ، فإن کان بلحاظ حال التلبّس فلا إشکال کما عرفت </w:t>
      </w:r>
      <w:r>
        <w:rPr>
          <w:rStyle w:val="FootnoteReference"/>
        </w:rPr>
        <w:footnoteReference w:id="168"/>
      </w:r>
      <w:r>
        <w:rPr>
          <w:rFonts w:ascii="IRNazanin" w:hAnsi="IRNazanin" w:eastAsia="IRNazanin" w:cs="IRNazanin"/>
          <w:lang w:bidi="fa-IR"/>
          <w:color w:val="111111"/>
          <w:sz w:val="28"/>
          <w:szCs w:val="28"/>
          <w:rtl/>
        </w:rPr>
        <w:t xml:space="preserve">، وإن کان بلحاظ الحال فهو وإن کان صحیحاً ، إلّاأنّه لا دلالة علی کونه بنحو الحقیقة ؛ لکون الاستعمال أعمَّ منها ، کما لا یخفی .</w:t>
      </w:r>
    </w:p>
    <w:p>
      <w:pPr>
        <w:pStyle w:val="BookText"/>
      </w:pPr>
      <w:r>
        <w:rPr>
          <w:rFonts w:ascii="IRNazanin" w:hAnsi="IRNazanin" w:eastAsia="IRNazanin" w:cs="IRNazanin"/>
          <w:lang w:bidi="fa-IR"/>
          <w:color w:val="111111"/>
          <w:sz w:val="28"/>
          <w:szCs w:val="28"/>
          <w:rtl/>
        </w:rPr>
        <w:t xml:space="preserve">عدم الفرق بین‌المتلبّس بضدّالمبدأ وغیرِالمتلبّس کما لا یتفاوت فی صحّة السلب عنه بین تلبّسه بضدّ المبدأ وعدم تلبّسه </w:t>
      </w:r>
      <w:r>
        <w:rPr>
          <w:rStyle w:val="FootnoteReference"/>
        </w:rPr>
        <w:footnoteReference w:id="169"/>
      </w:r>
      <w:r>
        <w:rPr>
          <w:rFonts w:ascii="IRNazanin" w:hAnsi="IRNazanin" w:eastAsia="IRNazanin" w:cs="IRNazanin"/>
          <w:lang w:bidi="fa-IR"/>
          <w:color w:val="111111"/>
          <w:sz w:val="28"/>
          <w:szCs w:val="28"/>
          <w:rtl/>
        </w:rPr>
        <w:t xml:space="preserve">؛ لما عرفت من وضوح صحّته مع عدم التلبّس أیضاً ، وإن کان معه أوضح .</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4419_166772"/>
    <w:bookmarkEnd w:id="49"/>
    <w:p>
      <w:pPr>
        <w:pStyle w:val="BookText"/>
      </w:pPr>
      <w:r>
        <w:rPr>
          <w:rFonts w:ascii="IRNazanin" w:hAnsi="IRNazanin" w:eastAsia="IRNazanin" w:cs="IRNazanin"/>
          <w:lang w:bidi="fa-IR"/>
          <w:color w:val="111111"/>
          <w:sz w:val="28"/>
          <w:szCs w:val="28"/>
          <w:rtl/>
        </w:rPr>
        <w:t xml:space="preserve">وممّا ذکرنا ظهر حال کثیر من التفاصیل ، فلا نطیل بذکرها علی التفصیل.</w:t>
      </w:r>
    </w:p>
    <w:p>
      <w:pPr>
        <w:pStyle w:val="Heading6"/>
      </w:pPr>
      <w:bookmarkStart w:id="679" w:name="_Toc119"/>
      <w:r>
        <w:t>حجّة القول‌بعدم الاشتراط :</w:t>
      </w:r>
      <w:bookmarkEnd w:id="679"/>
    </w:p>
    <w:p>
      <w:pPr>
        <w:pStyle w:val="BookText"/>
      </w:pPr>
      <w:r>
        <w:rPr>
          <w:rFonts w:ascii="Amiri" w:hAnsi="Amiri" w:eastAsia="Amiri" w:cs="Amiri"/>
          <w:lang w:bidi="ar-SA"/>
          <w:color w:val="111111"/>
          <w:sz w:val="28"/>
          <w:szCs w:val="28"/>
          <w:rtl/>
        </w:rPr>
        <w:t xml:space="preserve">حجّة القول بعدم الاشتراط وجوه:</w:t>
      </w:r>
    </w:p>
    <w:p>
      <w:pPr>
        <w:pStyle w:val="BookText"/>
      </w:pPr>
      <w:r>
        <w:rPr>
          <w:rFonts w:ascii="IRNazanin" w:hAnsi="IRNazanin" w:eastAsia="IRNazanin" w:cs="IRNazanin"/>
          <w:lang w:bidi="fa-IR"/>
          <w:color w:val="111111"/>
          <w:sz w:val="28"/>
          <w:szCs w:val="28"/>
          <w:rtl/>
        </w:rPr>
        <w:t xml:space="preserve">1 - التبادر ومایرد علیه</w:t>
      </w:r>
    </w:p>
    <w:p>
      <w:pPr>
        <w:pStyle w:val="BookText"/>
      </w:pPr>
      <w:r>
        <w:rPr>
          <w:rFonts w:ascii="IRNazanin" w:hAnsi="IRNazanin" w:eastAsia="IRNazanin" w:cs="IRNazanin"/>
          <w:lang w:bidi="fa-IR"/>
          <w:color w:val="111111"/>
          <w:sz w:val="28"/>
          <w:szCs w:val="28"/>
          <w:rtl/>
        </w:rPr>
        <w:t xml:space="preserve">الأوّل: التبادر .</w:t>
      </w:r>
    </w:p>
    <w:p>
      <w:pPr>
        <w:pStyle w:val="BookText"/>
      </w:pPr>
      <w:r>
        <w:rPr>
          <w:rFonts w:ascii="IRNazanin" w:hAnsi="IRNazanin" w:eastAsia="IRNazanin" w:cs="IRNazanin"/>
          <w:lang w:bidi="fa-IR"/>
          <w:color w:val="111111"/>
          <w:sz w:val="28"/>
          <w:szCs w:val="28"/>
          <w:rtl/>
        </w:rPr>
        <w:t xml:space="preserve">وقد عرفت أنّ المتبادر هو خصوص حال التلبّس .</w:t>
      </w:r>
    </w:p>
    <w:p>
      <w:pPr>
        <w:pStyle w:val="BookText"/>
      </w:pPr>
      <w:r>
        <w:rPr>
          <w:rFonts w:ascii="IRNazanin" w:hAnsi="IRNazanin" w:eastAsia="IRNazanin" w:cs="IRNazanin"/>
          <w:lang w:bidi="fa-IR"/>
          <w:color w:val="111111"/>
          <w:sz w:val="28"/>
          <w:szCs w:val="28"/>
          <w:rtl/>
        </w:rPr>
        <w:t xml:space="preserve">2 - عدم صحةالسلب ومایرد علیه</w:t>
      </w:r>
    </w:p>
    <w:p>
      <w:pPr>
        <w:pStyle w:val="BookText"/>
      </w:pPr>
      <w:r>
        <w:rPr>
          <w:rFonts w:ascii="IRNazanin" w:hAnsi="IRNazanin" w:eastAsia="IRNazanin" w:cs="IRNazanin"/>
          <w:lang w:bidi="fa-IR"/>
          <w:color w:val="111111"/>
          <w:sz w:val="28"/>
          <w:szCs w:val="28"/>
          <w:rtl/>
        </w:rPr>
        <w:t xml:space="preserve">الثانی: عدم صحّة السلب فی « مضروب » و « مقتول » عمّن انقضی عنه المبدأ .</w:t>
      </w:r>
    </w:p>
    <w:p>
      <w:pPr>
        <w:pStyle w:val="BookText"/>
      </w:pPr>
      <w:r>
        <w:rPr>
          <w:rFonts w:ascii="IRNazanin" w:hAnsi="IRNazanin" w:eastAsia="IRNazanin" w:cs="IRNazanin"/>
          <w:lang w:bidi="fa-IR"/>
          <w:color w:val="111111"/>
          <w:sz w:val="28"/>
          <w:szCs w:val="28"/>
          <w:rtl/>
        </w:rPr>
        <w:t xml:space="preserve">وفیه: أنّ عدم صحّته فی مثلهما إنّما هو لأجل أنّه أُرید من المبدأ معنی یکون التلبّس به باقیاً فی الحال ولو مجازاً ، وقد انقدح من بعض المقدّمات </w:t>
      </w:r>
      <w:r>
        <w:rPr>
          <w:rStyle w:val="FootnoteReference"/>
        </w:rPr>
        <w:footnoteReference w:id="170"/>
      </w:r>
      <w:r>
        <w:rPr>
          <w:rFonts w:ascii="IRNazanin" w:hAnsi="IRNazanin" w:eastAsia="IRNazanin" w:cs="IRNazanin"/>
          <w:lang w:bidi="fa-IR"/>
          <w:color w:val="111111"/>
          <w:sz w:val="28"/>
          <w:szCs w:val="28"/>
          <w:rtl/>
        </w:rPr>
        <w:t xml:space="preserve">: أنّه لا یتفاوت الحال فی ما هو المهمّ فی محلّ البحث والکلام ، ومورد النقض والإبرام اختلاف </w:t>
      </w:r>
      <w:r>
        <w:rPr>
          <w:rStyle w:val="FootnoteReference"/>
        </w:rPr>
        <w:footnoteReference w:id="171"/>
      </w:r>
      <w:r>
        <w:rPr>
          <w:rFonts w:ascii="IRNazanin" w:hAnsi="IRNazanin" w:eastAsia="IRNazanin" w:cs="IRNazanin"/>
          <w:lang w:bidi="fa-IR"/>
          <w:color w:val="111111"/>
          <w:sz w:val="28"/>
          <w:szCs w:val="28"/>
          <w:rtl/>
        </w:rPr>
        <w:t xml:space="preserve">ما یراد من المبدأ فی کونه حقیقةً أو مجازاً .</w:t>
      </w:r>
    </w:p>
    <w:p>
      <w:pPr>
        <w:pStyle w:val="BookText"/>
      </w:pPr>
      <w:r>
        <w:rPr>
          <w:rFonts w:ascii="IRNazanin" w:hAnsi="IRNazanin" w:eastAsia="IRNazanin" w:cs="IRNazanin"/>
          <w:lang w:bidi="fa-IR"/>
          <w:color w:val="111111"/>
          <w:sz w:val="28"/>
          <w:szCs w:val="28"/>
          <w:rtl/>
        </w:rPr>
        <w:t xml:space="preserve">وأمّا لو أُرید منه نفس ما وقع علی الذات ممّا صدر عن الفاعل ، فإنّما لا یصحّ السلب فی ما لو کان بلحاظ حال التلبّس والوقوع - کما عرفت </w:t>
      </w:r>
      <w:r>
        <w:rPr>
          <w:rStyle w:val="FootnoteReference"/>
        </w:rPr>
        <w:footnoteReference w:id="172"/>
      </w:r>
      <w:r>
        <w:rPr>
          <w:rFonts w:ascii="IRNazanin" w:hAnsi="IRNazanin" w:eastAsia="IRNazanin" w:cs="IRNazanin"/>
          <w:lang w:bidi="fa-IR"/>
          <w:color w:val="111111"/>
          <w:sz w:val="28"/>
          <w:szCs w:val="28"/>
          <w:rtl/>
        </w:rPr>
        <w:t xml:space="preserve">- ، لا بلحاظ الحال أیضاً؛ لوضوح صحّة أن یقال: «إنّه لیس بمضروب الآن، بل کان».</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3 - استدلال‌الإمام علیه السلام بالآیة الشریفة</w:t>
      </w:r>
    </w:p>
    <w:p>
      <w:pPr>
        <w:pStyle w:val="BookText"/>
      </w:pPr>
      <w:r>
        <w:rPr>
          <w:rFonts w:ascii="IRNazanin" w:hAnsi="IRNazanin" w:eastAsia="IRNazanin" w:cs="IRNazanin"/>
          <w:lang w:bidi="fa-IR"/>
          <w:color w:val="111111"/>
          <w:sz w:val="28"/>
          <w:szCs w:val="28"/>
          <w:rtl/>
        </w:rPr>
        <w:t xml:space="preserve">الثالث: استدلال الإمام علیه السلام </w:t>
      </w:r>
      <w:r>
        <w:rPr>
          <w:rStyle w:val="FootnoteReference"/>
        </w:rPr>
        <w:footnoteReference w:id="173"/>
      </w:r>
      <w:r>
        <w:rPr>
          <w:rFonts w:ascii="Amiri" w:hAnsi="Amiri" w:eastAsia="Amiri" w:cs="Amiri"/>
          <w:lang w:bidi="ar-SA"/>
          <w:color w:val="111111"/>
          <w:sz w:val="28"/>
          <w:szCs w:val="28"/>
          <w:rtl/>
        </w:rPr>
        <w:t xml:space="preserve">- تأسّیاً بالنبیّ صلی الله علیه و آله </w:t>
      </w:r>
      <w:r>
        <w:rPr>
          <w:rStyle w:val="FootnoteReference"/>
        </w:rPr>
        <w:footnoteReference w:id="174"/>
      </w:r>
      <w:r>
        <w:rPr>
          <w:rFonts w:ascii="IRNazanin" w:hAnsi="IRNazanin" w:eastAsia="IRNazanin" w:cs="IRNazanin"/>
          <w:lang w:bidi="fa-IR"/>
          <w:color w:val="111111"/>
          <w:sz w:val="28"/>
          <w:szCs w:val="28"/>
          <w:rtl/>
        </w:rPr>
        <w:t xml:space="preserve">- کما عن غیر واحد من</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بقوله - تعالی - : «لاٰ یَنٰالُ عَهْدِی الظّٰالِمِینَ » </w:t>
      </w:r>
      <w:r>
        <w:rPr>
          <w:rStyle w:val="FootnoteReference"/>
        </w:rPr>
        <w:footnoteReference w:id="175"/>
      </w:r>
      <w:r>
        <w:rPr>
          <w:rFonts w:ascii="IRNazanin" w:hAnsi="IRNazanin" w:eastAsia="IRNazanin" w:cs="IRNazanin"/>
          <w:lang w:bidi="fa-IR"/>
          <w:color w:val="111111"/>
          <w:sz w:val="28"/>
          <w:szCs w:val="28"/>
          <w:rtl/>
        </w:rPr>
        <w:t xml:space="preserve">علی عدم لیاقة مَنْ عَبَدَ صنماً أو وثناً لمنصب الإمامة والخلافة ، تعریضاً بمن تصدّی لها ممّن عبد الصنم مدّة مدیدة . ومن الواضح توقّفُ ذلک علی کون المشتقّ موضوعاً للأعمّ ، وإلّا لما صحّ التعریض؛ لانقضاء تلبّسهم بالظلم وعبادتهم للصنم حین التصدّی للخلافة.</w:t>
      </w:r>
    </w:p>
    <w:p>
      <w:pPr>
        <w:pStyle w:val="BookText"/>
      </w:pPr>
      <w:r>
        <w:rPr>
          <w:rFonts w:ascii="IRNazanin" w:hAnsi="IRNazanin" w:eastAsia="IRNazanin" w:cs="IRNazanin"/>
          <w:lang w:bidi="fa-IR"/>
          <w:color w:val="111111"/>
          <w:sz w:val="28"/>
          <w:szCs w:val="28"/>
          <w:rtl/>
        </w:rPr>
        <w:t xml:space="preserve">الجواب عن‌الدلیل الثالث</w:t>
      </w:r>
    </w:p>
    <w:p>
      <w:pPr>
        <w:pStyle w:val="BookText"/>
      </w:pPr>
      <w:r>
        <w:rPr>
          <w:rFonts w:ascii="IRNazanin" w:hAnsi="IRNazanin" w:eastAsia="IRNazanin" w:cs="IRNazanin"/>
          <w:lang w:bidi="fa-IR"/>
          <w:color w:val="111111"/>
          <w:sz w:val="28"/>
          <w:szCs w:val="28"/>
          <w:rtl/>
        </w:rPr>
        <w:t xml:space="preserve">والجواب: منع التوقّف علی ذلک ، بل یتمّ الاستدلال ولو کان موضوعاً لخصوص المتلبّس .</w:t>
      </w:r>
    </w:p>
    <w:p>
      <w:pPr>
        <w:pStyle w:val="BookText"/>
      </w:pPr>
      <w:r>
        <w:rPr>
          <w:rFonts w:ascii="IRNazanin" w:hAnsi="IRNazanin" w:eastAsia="IRNazanin" w:cs="IRNazanin"/>
          <w:lang w:bidi="fa-IR"/>
          <w:color w:val="111111"/>
          <w:sz w:val="28"/>
          <w:szCs w:val="28"/>
          <w:rtl/>
        </w:rPr>
        <w:t xml:space="preserve">وتوضیح ذلک یتوقّف علی تمهید مقدّمة ، وهی: أنّ الأوصاف العنوانیّة - الّتی تؤخذ فی موضوعات الأحکام - تکون علی أقسام:</w:t>
      </w:r>
    </w:p>
    <w:p>
      <w:pPr>
        <w:pStyle w:val="BookText"/>
      </w:pPr>
      <w:r>
        <w:rPr>
          <w:rFonts w:ascii="IRNazanin" w:hAnsi="IRNazanin" w:eastAsia="IRNazanin" w:cs="IRNazanin"/>
          <w:lang w:bidi="fa-IR"/>
          <w:color w:val="111111"/>
          <w:sz w:val="28"/>
          <w:szCs w:val="28"/>
          <w:rtl/>
        </w:rPr>
        <w:t xml:space="preserve">أحدها: أن یکون أخذ العنوان لمجرّد الإشارة إلی ما هو فی الحقیقة موضوعٌ للحکم ؛ لمعه‌دیّته بهذا العنوان ، من دون دَخْلٍ لاتّصافه به فی الحکم أصلاً .</w:t>
      </w:r>
    </w:p>
    <w:p>
      <w:pPr>
        <w:pStyle w:val="BookText"/>
      </w:pPr>
      <w:r>
        <w:rPr>
          <w:rFonts w:ascii="IRNazanin" w:hAnsi="IRNazanin" w:eastAsia="IRNazanin" w:cs="IRNazanin"/>
          <w:lang w:bidi="fa-IR"/>
          <w:color w:val="111111"/>
          <w:sz w:val="28"/>
          <w:szCs w:val="28"/>
          <w:rtl/>
        </w:rPr>
        <w:t xml:space="preserve">ثانیها: أن یکون لأجل الإشارة إلی علّیّة المبدأ للحکم ، مع کفایة مجرّد صحّة جری المشتقّ علیه ولو فی ما مضی .</w:t>
      </w:r>
    </w:p>
    <w:p>
      <w:pPr>
        <w:pStyle w:val="BookText"/>
      </w:pPr>
      <w:r>
        <w:rPr>
          <w:rFonts w:ascii="IRNazanin" w:hAnsi="IRNazanin" w:eastAsia="IRNazanin" w:cs="IRNazanin"/>
          <w:lang w:bidi="fa-IR"/>
          <w:color w:val="111111"/>
          <w:sz w:val="28"/>
          <w:szCs w:val="28"/>
          <w:rtl/>
        </w:rPr>
        <w:t xml:space="preserve">ثالثها: أن یکون لذلک مع عدم الکفایة ، بل کان الحکم دائراً مدار صحّةِ الجری علیه ، واتّصافه به حدوثاً وبقاءً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هذا فنقول: إنّ الاستدلال بهذا الوجه إنّما یتمّ لو کان أخذ العنوان فی الآیة الشریفة علی النحو الأخیر ؛ ضرورة أنّه لو لم یکن المشتقّ للأعمّ لما تمّ ، بعد عدم التلبّس بالمبدأ ظاهراً حین التصدّی ، فلابدّ أن یکون للأعمّ ، لیکون حین التصدّی حقیقةً من الظالمین ، ولو انقضی عنهم التلبّس بالظلم ، وأمّا إذا کان علی النحو الثانی ، فلا ، کما لا یخفی .</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4419_166774"/>
    <w:bookmarkEnd w:id="50"/>
    <w:p>
      <w:pPr>
        <w:pStyle w:val="BookText"/>
      </w:pPr>
      <w:r>
        <w:rPr>
          <w:rFonts w:ascii="IRNazanin" w:hAnsi="IRNazanin" w:eastAsia="IRNazanin" w:cs="IRNazanin"/>
          <w:lang w:bidi="fa-IR"/>
          <w:color w:val="111111"/>
          <w:sz w:val="28"/>
          <w:szCs w:val="28"/>
          <w:rtl/>
        </w:rPr>
        <w:t xml:space="preserve">ولا قرینة علی أنّه علی النحو الأوّل </w:t>
      </w:r>
      <w:r>
        <w:rPr>
          <w:rStyle w:val="FootnoteReference"/>
        </w:rPr>
        <w:footnoteReference w:id="176"/>
      </w:r>
      <w:r>
        <w:rPr>
          <w:rFonts w:ascii="IRNazanin" w:hAnsi="IRNazanin" w:eastAsia="IRNazanin" w:cs="IRNazanin"/>
          <w:lang w:bidi="fa-IR"/>
          <w:color w:val="111111"/>
          <w:sz w:val="28"/>
          <w:szCs w:val="28"/>
          <w:rtl/>
        </w:rPr>
        <w:t xml:space="preserve">، لو لم نقل بنهوضها علی النحو الثانی ؛ فإنّ الآیة الشریفة فی مقام بیان جلالة قدر الإمامة والخلافة ، وعِظَمِ خَطَرِها ، ورفعة محلّها ، وأنّ لها خصوصیّة من بین المناصب الإلهیّة ، ومن المعلوم أنّ المناسب لذلک هو أن لا یکون المتقمّص بها متلبّساً بالظلم أصلاً،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قلت: نعم ، ولکن الظاهر أنّ الإمام علیه السلام إنّما استدلّ بما هو قضیّة ظاهر العنوان وضعاً ، لا بقرینة المقام مجازاً ، فلابدّ أن یکون للأعمّ ، وإلّا لما تمّ .</w:t>
      </w:r>
    </w:p>
    <w:p>
      <w:pPr>
        <w:pStyle w:val="BookText"/>
      </w:pPr>
      <w:r>
        <w:rPr>
          <w:rFonts w:ascii="IRNazanin" w:hAnsi="IRNazanin" w:eastAsia="IRNazanin" w:cs="IRNazanin"/>
          <w:lang w:bidi="fa-IR"/>
          <w:color w:val="111111"/>
          <w:sz w:val="28"/>
          <w:szCs w:val="28"/>
          <w:rtl/>
        </w:rPr>
        <w:t xml:space="preserve">قلت: لو سلّم ، لم یکن یستلزم جری المشتقّ علی النحو الثانی کونَهُ مجازاً ، بل یکون حقیقةً لو کان بلحاظ حال التلبّس - کما عرفت - فیکون معنی الآیة - واللّٰه العالم - : من کان ظالماً ولو آناً فی زمان سابق لا ینال عهدی أبداً .</w:t>
      </w:r>
    </w:p>
    <w:p>
      <w:pPr>
        <w:pStyle w:val="BookText"/>
      </w:pPr>
      <w:r>
        <w:rPr>
          <w:rFonts w:ascii="IRNazanin" w:hAnsi="IRNazanin" w:eastAsia="IRNazanin" w:cs="IRNazanin"/>
          <w:lang w:bidi="fa-IR"/>
          <w:color w:val="111111"/>
          <w:sz w:val="28"/>
          <w:szCs w:val="28"/>
          <w:rtl/>
        </w:rPr>
        <w:t xml:space="preserve">ومن الواضح أنّ إرادة هذا المعنی لا تستلزم الاستعمال لا بلحاظ حال التلبّس .</w:t>
      </w:r>
    </w:p>
    <w:p>
      <w:pPr>
        <w:pStyle w:val="Heading6"/>
      </w:pPr>
      <w:bookmarkStart w:id="680" w:name="_Toc120"/>
      <w:r>
        <w:t>التفصیل بین‌المشتقّ المحکوم علیه والمحکوم به والجواب عنه</w:t>
      </w:r>
      <w:bookmarkEnd w:id="680"/>
    </w:p>
    <w:p>
      <w:pPr>
        <w:pStyle w:val="BookText"/>
      </w:pPr>
      <w:r>
        <w:rPr>
          <w:rFonts w:ascii="IRNazanin" w:hAnsi="IRNazanin" w:eastAsia="IRNazanin" w:cs="IRNazanin"/>
          <w:lang w:bidi="fa-IR"/>
          <w:color w:val="111111"/>
          <w:sz w:val="28"/>
          <w:szCs w:val="28"/>
          <w:rtl/>
        </w:rPr>
        <w:t xml:space="preserve">ومنه قد انقدح ما فی الاستدلال علی التفصیل بین المحکوم علیه والمحکوم به - باختیار عدم الاشتراط فی الأوّل - بآیة حدّ السارق والسارقة </w:t>
      </w:r>
      <w:r>
        <w:rPr>
          <w:rStyle w:val="FootnoteReference"/>
        </w:rPr>
        <w:footnoteReference w:id="177"/>
      </w:r>
      <w:r>
        <w:rPr>
          <w:rFonts w:ascii="IRNazanin" w:hAnsi="IRNazanin" w:eastAsia="IRNazanin" w:cs="IRNazanin"/>
          <w:lang w:bidi="fa-IR"/>
          <w:color w:val="111111"/>
          <w:sz w:val="28"/>
          <w:szCs w:val="28"/>
          <w:rtl/>
        </w:rPr>
        <w:t xml:space="preserve">، والزانی والزانیة </w:t>
      </w:r>
      <w:r>
        <w:rPr>
          <w:rStyle w:val="FootnoteReference"/>
        </w:rPr>
        <w:footnoteReference w:id="178"/>
      </w:r>
      <w:r>
        <w:rPr>
          <w:rFonts w:ascii="IRNazanin" w:hAnsi="IRNazanin" w:eastAsia="IRNazanin" w:cs="IRNazanin"/>
          <w:lang w:bidi="fa-IR"/>
          <w:color w:val="111111"/>
          <w:sz w:val="28"/>
          <w:szCs w:val="28"/>
          <w:rtl/>
        </w:rPr>
        <w:t xml:space="preserve">. وذلک حیث ظهر أنّه لا ینافی إرادةُ خصوص حال التلبّس دلالَتها علی ثبوت القطع والجلد مطلقاً ولو بعد انقضاء المبدأ ، مضافاً إلی وضوح بطلان تعدّد الوضع حسب وقوعه محکوماً علیه أو به ، کما لا یخفی .</w:t>
      </w:r>
    </w:p>
    <w:p>
      <w:pPr>
        <w:pStyle w:val="BookText"/>
      </w:pPr>
      <w:r>
        <w:rPr>
          <w:rFonts w:ascii="IRNazanin" w:hAnsi="IRNazanin" w:eastAsia="IRNazanin" w:cs="IRNazanin"/>
          <w:lang w:bidi="fa-IR"/>
          <w:color w:val="111111"/>
          <w:sz w:val="28"/>
          <w:szCs w:val="28"/>
          <w:rtl/>
        </w:rPr>
        <w:t xml:space="preserve">ومن مطاوی ما ذکرنا - هاهنا وفی المقدّمات - ظهر حال سائر الأقوال ، وما ذکر لها من الاستدلال ، ولا یسع المجال لتفصیلها ، ومن أراد الاطّلاع علیها فعلیه بالمطوّلات .</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4419_166775"/>
    <w:bookmarkEnd w:id="51"/>
    <w:p>
      <w:pPr>
        <w:pStyle w:val="Heading6"/>
      </w:pPr>
      <w:bookmarkStart w:id="681" w:name="_Toc121"/>
      <w:r>
        <w:t>تنبیهات :</w:t>
      </w:r>
      <w:bookmarkEnd w:id="681"/>
    </w:p>
    <w:p>
      <w:pPr>
        <w:pStyle w:val="Heading6"/>
      </w:pPr>
      <w:bookmarkStart w:id="682" w:name="_Toc122"/>
      <w:r>
        <w:t>اشارة</w:t>
      </w:r>
      <w:bookmarkEnd w:id="682"/>
    </w:p>
    <w:p>
      <w:pPr>
        <w:pStyle w:val="BookText"/>
      </w:pPr>
      <w:r>
        <w:rPr>
          <w:rFonts w:ascii="Amiri" w:hAnsi="Amiri" w:eastAsia="Amiri" w:cs="Amiri"/>
          <w:lang w:bidi="ar-SA"/>
          <w:color w:val="111111"/>
          <w:sz w:val="28"/>
          <w:szCs w:val="28"/>
          <w:rtl/>
        </w:rPr>
        <w:t xml:space="preserve">بقی أُمور :</w:t>
      </w:r>
    </w:p>
    <w:p>
      <w:pPr>
        <w:pStyle w:val="Heading6"/>
      </w:pPr>
      <w:bookmarkStart w:id="683" w:name="_Toc123"/>
      <w:r>
        <w:t>1 - بساطة المشتق واستدلال المحقّق الشریف علیه</w:t>
      </w:r>
      <w:bookmarkEnd w:id="683"/>
    </w:p>
    <w:p>
      <w:pPr>
        <w:pStyle w:val="Heading6"/>
      </w:pPr>
      <w:bookmarkStart w:id="684" w:name="_Toc124"/>
      <w:r>
        <w:t>اشارة</w:t>
      </w:r>
      <w:bookmarkEnd w:id="6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الأوّل: أنّ مفهوم المشتقّ - علی ما حقّقه المحقّق الشریف فی بعض حواشیه - بسیطٌ منتزعٌ عن الذات ، باعتبار تلبُّسها بالمبدأ واتّصافها به ، غیرُ مرکّب .</w:t>
      </w:r>
    </w:p>
    <w:p>
      <w:pPr>
        <w:pStyle w:val="BookText"/>
      </w:pPr>
      <w:r>
        <w:rPr>
          <w:rFonts w:ascii="IRNazanin" w:hAnsi="IRNazanin" w:eastAsia="IRNazanin" w:cs="IRNazanin"/>
          <w:lang w:bidi="fa-IR"/>
          <w:color w:val="111111"/>
          <w:sz w:val="28"/>
          <w:szCs w:val="28"/>
          <w:rtl/>
        </w:rPr>
        <w:t xml:space="preserve">وقد أفاد فی وجه ذلک: أنّ مفهوم الشیء لا یعتبر فی مفهوم الناطق - مثلاً - ، وإلّا لکان العرض العامّ داخلاً فی الفصل ، ولو اعتبر فیه ما صدق علیه الشیء ، انقلبت مادّة الإمکان الخاصّ ضرورةً ؛ فإنّ الشیء الّذی له الضحک هو الإنسان ، وثبوت الشیء لنفسه ضروریّ .</w:t>
      </w:r>
    </w:p>
    <w:p>
      <w:pPr>
        <w:pStyle w:val="BookText"/>
      </w:pPr>
      <w:r>
        <w:rPr>
          <w:rFonts w:ascii="IRNazanin" w:hAnsi="IRNazanin" w:eastAsia="IRNazanin" w:cs="IRNazanin"/>
          <w:lang w:bidi="fa-IR"/>
          <w:color w:val="111111"/>
          <w:sz w:val="28"/>
          <w:szCs w:val="28"/>
          <w:rtl/>
        </w:rPr>
        <w:t xml:space="preserve">هذا ملخّص ما أفاده الشریف </w:t>
      </w:r>
      <w:r>
        <w:rPr>
          <w:rStyle w:val="FootnoteReference"/>
        </w:rPr>
        <w:footnoteReference w:id="179"/>
      </w:r>
      <w:r>
        <w:rPr>
          <w:rFonts w:ascii="IRNazanin" w:hAnsi="IRNazanin" w:eastAsia="IRNazanin" w:cs="IRNazanin"/>
          <w:lang w:bidi="fa-IR"/>
          <w:color w:val="111111"/>
          <w:sz w:val="28"/>
          <w:szCs w:val="28"/>
          <w:rtl/>
        </w:rPr>
        <w:t xml:space="preserve">علی ما لخّصه بعض الأعاظم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إیراد الفصول‌علی کلام‌المحقّق الشریف‌والمناقشة فیه وقد أُورد علیه فی الفصول ب : « أنّه یمکن أن یختار الشقّ الأوّل ، ویدفع الإشکال بأنّ کون الناطق - مثلاً - فصلاً مبنیٌّ علی عرف المنطقیّین ، حیث اعتبروه مجرّداً عن مفهوم الذات ، وذلک لا یوجب وضعه لغةً کذلک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أنّه من المقطوع أنّ مثل الناطق قد اعتبر فصلاً بلا تصرّف فی معناه أصلاً ، بل بما له من المعنی ، کما لا یخفی .</w:t>
      </w:r>
    </w:p>
    <w:p>
      <w:pPr>
        <w:pStyle w:val="BookText"/>
      </w:pPr>
      <w:r>
        <w:rPr>
          <w:rFonts w:ascii="IRNazanin" w:hAnsi="IRNazanin" w:eastAsia="IRNazanin" w:cs="IRNazanin"/>
          <w:lang w:bidi="fa-IR"/>
          <w:color w:val="111111"/>
          <w:sz w:val="28"/>
          <w:szCs w:val="28"/>
          <w:rtl/>
        </w:rPr>
        <w:t xml:space="preserve">إیراد المصنّف‌علی الشریف</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والتحقیق أن یقال: إنّ مثل الناطق لیس بفصلٍ حقیقیٍّ ، بل لازِمُ ما هو الفصل وأظهرُ خواصّه ، وإنّما یکون فصلاً مشهوریّاً منطقیّاً یوضع مکانه إذا لم یُعلم نفسُه ، بل لا یکاد یُعلم ، کما حُقّق فی محلّه </w:t>
      </w:r>
      <w:r>
        <w:rPr>
          <w:rStyle w:val="FootnoteReference"/>
        </w:rPr>
        <w:footnoteReference w:id="182"/>
      </w:r>
      <w:r>
        <w:rPr>
          <w:rFonts w:ascii="IRNazanin" w:hAnsi="IRNazanin" w:eastAsia="IRNazanin" w:cs="IRNazanin"/>
          <w:lang w:bidi="fa-IR"/>
          <w:color w:val="111111"/>
          <w:sz w:val="28"/>
          <w:szCs w:val="28"/>
          <w:rtl/>
        </w:rPr>
        <w:t xml:space="preserve">، ولذا ربما یجعل لازِمان مکانه إذا کانا متساویَی النسبة إلیه ، کالحسّاس والمتحرّک بالإرادة فی الحیوان .</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فلا بأس بأخذ مفهوم الشیء فی مثل الناطق ، فإنّه وإن کان عرضاً عامّاً ، لا فصلاً مقوّماً للإنسان ، إلّاأنّه بعد تقییده بالنطق واتّصافه به کان من أظهر خواصّه .</w:t>
      </w:r>
    </w:p>
    <w:p>
      <w:pPr>
        <w:pStyle w:val="BookText"/>
      </w:pPr>
      <w:r>
        <w:rPr>
          <w:rFonts w:ascii="IRNazanin" w:hAnsi="IRNazanin" w:eastAsia="IRNazanin" w:cs="IRNazanin"/>
          <w:lang w:bidi="fa-IR"/>
          <w:color w:val="111111"/>
          <w:sz w:val="28"/>
          <w:szCs w:val="28"/>
          <w:rtl/>
        </w:rPr>
        <w:t xml:space="preserve">وبالجملة: لا یلزم من أخذ مفهوم الشیء فی معنی المشتقّ إلّادخول العرض فی الخاصّة الّتی هی من العرضیّ ، لا فی الفصل الحقیقیّ الّذی هو من الذاتیّ ، فتدبّر جیّداً .</w:t>
      </w:r>
    </w:p>
    <w:p>
      <w:pPr>
        <w:pStyle w:val="BookText"/>
      </w:pPr>
      <w:r>
        <w:rPr>
          <w:rFonts w:ascii="IRNazanin" w:hAnsi="IRNazanin" w:eastAsia="IRNazanin" w:cs="IRNazanin"/>
          <w:lang w:bidi="fa-IR"/>
          <w:color w:val="111111"/>
          <w:sz w:val="28"/>
          <w:szCs w:val="28"/>
          <w:rtl/>
        </w:rPr>
        <w:t xml:space="preserve">تکملة إیرادالفصول علی‌المحقّق الشریف ثمّ قال: « إنّه یمکن أن یختار الوجه الثانی أیضاً ، ویجاب بأنّ المحمول لیس مصداقَ الشیء والذات مطلقاً ، بل مقیّداً بالوصف ، ولیس ثبوته للموضوع حینئذٍ بالضرورة ؛ لجواز أن لا یکون ثبوت القید ضروریّاً» </w:t>
      </w:r>
      <w:r>
        <w:rPr>
          <w:rStyle w:val="FootnoteReference"/>
        </w:rPr>
        <w:footnoteReference w:id="183"/>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الجواب عن‌الإیراد</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ویمکن أن یقال: إنّ عدم کون ثبوت القید ضروریّاً لا یضرُّ بدعوی الانقلاب ؛ فإنّ المحمول : إن کان ذات المقیّد ، وکان القید خارجاً - وإن کان التقیّد داخلاً بما هو معنی حرفیّ - فالقضیّة لا محالة تکون ضروریّةً ؛ ضرورةَ ضروریّة ثبوت الإنسان الّذی یکون مقیّداً بالنطق للإنسان .</w:t>
      </w:r>
    </w:p>
    <w:p>
      <w:pPr>
        <w:pStyle w:val="BookText"/>
      </w:pPr>
      <w:r>
        <w:rPr>
          <w:rFonts w:ascii="IRNazanin" w:hAnsi="IRNazanin" w:eastAsia="IRNazanin" w:cs="IRNazanin"/>
          <w:lang w:bidi="fa-IR"/>
          <w:color w:val="111111"/>
          <w:sz w:val="28"/>
          <w:szCs w:val="28"/>
          <w:rtl/>
        </w:rPr>
        <w:t xml:space="preserve">وإن کان المقیّدَ به بما هو مقیّد - علی أن یکون القید داخلاً - فقضیّة « الإنسان ناطق » تنحلُّ - فی الحقیقة - إلی قضیّتین: إحداهما: قضیّة « الإنسان إنسان » ، وهی ضروریّة ، والاُخری: قضیّة « الإنسان له النطق » ، وهی ممکنة ؛ وذلک لأنّ الأوصاف قبل العلم بها أخبار ، کما أنّ الأخبار بعد العلم تکون أوصافاً ، فعقد الحمل ینحلّ إلی القضیّة ، کما أنّ عقد الوضع ینحلُّ إلی قضیّةٍ مطلقة عامّة عند الشیخ ، وقضیّةٍ ممکنة عامّة عند الفارابیّ </w:t>
      </w:r>
      <w:r>
        <w:rPr>
          <w:rStyle w:val="FootnoteReference"/>
        </w:rPr>
        <w:footnoteReference w:id="184"/>
      </w:r>
      <w:r>
        <w:rPr>
          <w:rFonts w:ascii="Amiri" w:hAnsi="Amiri" w:eastAsia="Amiri" w:cs="Amiri"/>
          <w:lang w:bidi="ar-SA"/>
          <w:color w:val="111111"/>
          <w:sz w:val="28"/>
          <w:szCs w:val="28"/>
          <w:rtl/>
        </w:rPr>
        <w:t xml:space="preserve">، فتأمّل .</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تأمّل صاحب‌الفصول فی‌ما أفاده لکنّه قدس سره تنظّر فی ما أفاده بقوله: « وفیه نظر ؛ لأنّ الذات المأخوذة مقیّدةً بالوصف - قوّةً أو فعلاً - إن کانت مقیّدةً به واقعاً صَدَقَ الإیجاب بالضرورة ، وإلّا صَدَقَ السلب بالضرورة ، مثلاً لا یصدق: زیدٌ کاتبٌ بالضرورة ، لکن یصدق: زیدٌ الکاتب بالقوة أو بالفعل بالضرورة » </w:t>
      </w:r>
      <w:r>
        <w:rPr>
          <w:rStyle w:val="FootnoteReference"/>
        </w:rPr>
        <w:footnoteReference w:id="185"/>
      </w:r>
      <w:r>
        <w:rPr>
          <w:rStyle w:val="FootnoteReference"/>
        </w:rPr>
        <w:footnoteReference w:id="186"/>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الإشکال علی‌وجه التأمّل ولا یذهب علیک : أنّ صدق الإیجاب بالضرورة - بشرط کونه </w:t>
      </w:r>
      <w:r>
        <w:rPr>
          <w:rStyle w:val="FootnoteReference"/>
        </w:rPr>
        <w:footnoteReference w:id="187"/>
      </w:r>
      <w:r>
        <w:rPr>
          <w:rFonts w:ascii="IRNazanin" w:hAnsi="IRNazanin" w:eastAsia="IRNazanin" w:cs="IRNazanin"/>
          <w:lang w:bidi="fa-IR"/>
          <w:color w:val="111111"/>
          <w:sz w:val="28"/>
          <w:szCs w:val="28"/>
          <w:rtl/>
        </w:rPr>
        <w:t xml:space="preserve">مقیّداً به واقعاً - لا یصحّح دعوی الانقلاب إلی الضروریّة ؛ ضرورةَ صدق الإیجاب بالضرورة بشرط المحمول فی کلِّ قضیّةٍ ولو کانت ممکنة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لا یکاد یضرّ بها صدق السلب کذلک بشرط عدم کونه مقیّداً به واقعاً ؛ لضرورة السلب بهذا الشرط .</w:t>
      </w:r>
    </w:p>
    <w:p>
      <w:pPr>
        <w:pStyle w:val="BookText"/>
      </w:pPr>
      <w:r>
        <w:rPr>
          <w:rFonts w:ascii="IRNazanin" w:hAnsi="IRNazanin" w:eastAsia="IRNazanin" w:cs="IRNazanin"/>
          <w:lang w:bidi="fa-IR"/>
          <w:color w:val="111111"/>
          <w:sz w:val="28"/>
          <w:szCs w:val="28"/>
          <w:rtl/>
        </w:rPr>
        <w:t xml:space="preserve">وذلک لوضوح أنّ المناط فی الجهات وموادّ القضایا إنّما هو بملاحظة أنّ نسبة هذا المحمول إلی ذلک الموضوع موجَّهةٌ بأیّة جهةٍ منها ، ومع أیّة منها فی نفسها صادقةٌ ، لا بملاحظة ثبوتها له واقعاً أو عدم ثبوتها له کذلک </w:t>
      </w:r>
      <w:r>
        <w:rPr>
          <w:rStyle w:val="FootnoteReference"/>
        </w:rPr>
        <w:footnoteReference w:id="188"/>
      </w:r>
      <w:r>
        <w:rPr>
          <w:rFonts w:ascii="Amiri" w:hAnsi="Amiri" w:eastAsia="Amiri" w:cs="Amiri"/>
          <w:lang w:bidi="ar-SA"/>
          <w:color w:val="111111"/>
          <w:sz w:val="28"/>
          <w:szCs w:val="28"/>
          <w:rtl/>
        </w:rPr>
        <w:t xml:space="preserve">، وإلّا</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الجهة منحصرةً بالضرورة؛ ضرورةَ صیرورة الإیجاب أو السلب - بلحاظ الثبوت وعدمه - واقعاً ضروریّاً ، ویکون من باب الضرورة بشرط المحمول .</w:t>
      </w:r>
    </w:p>
    <w:p>
      <w:pPr>
        <w:pStyle w:val="BookText"/>
      </w:pPr>
      <w:r>
        <w:rPr>
          <w:rFonts w:ascii="IRNazanin" w:hAnsi="IRNazanin" w:eastAsia="IRNazanin" w:cs="IRNazanin"/>
          <w:lang w:bidi="fa-IR"/>
          <w:color w:val="111111"/>
          <w:sz w:val="28"/>
          <w:szCs w:val="28"/>
          <w:rtl/>
        </w:rPr>
        <w:t xml:space="preserve">وبالجملة: الدعوی هو انقلاب مادّة الإمکان بالضرورة فی ما لیست مادّته واقعاً فی نفسه </w:t>
      </w:r>
      <w:r>
        <w:rPr>
          <w:rStyle w:val="FootnoteReference"/>
        </w:rPr>
        <w:footnoteReference w:id="189"/>
      </w:r>
      <w:r>
        <w:rPr>
          <w:rFonts w:ascii="Amiri" w:hAnsi="Amiri" w:eastAsia="Amiri" w:cs="Amiri"/>
          <w:lang w:bidi="ar-SA"/>
          <w:color w:val="111111"/>
          <w:sz w:val="28"/>
          <w:szCs w:val="28"/>
          <w:rtl/>
        </w:rPr>
        <w:t xml:space="preserve">وبلا شرطٍ غیرَ الإمکان .</w:t>
      </w:r>
    </w:p>
    <w:p>
      <w:pPr>
        <w:pStyle w:val="BookText"/>
      </w:pPr>
      <w:r>
        <w:rPr>
          <w:rFonts w:ascii="IRNazanin" w:hAnsi="IRNazanin" w:eastAsia="IRNazanin" w:cs="IRNazanin"/>
          <w:lang w:bidi="fa-IR"/>
          <w:color w:val="111111"/>
          <w:sz w:val="28"/>
          <w:szCs w:val="28"/>
          <w:rtl/>
        </w:rPr>
        <w:t xml:space="preserve">وقد انقدح بذلک عدم نهوض ما أفاده رحمه الله بإبطال الوجه الأوّل کما زعمه قدس سره </w:t>
      </w:r>
      <w:r>
        <w:rPr>
          <w:rStyle w:val="FootnoteReference"/>
        </w:rPr>
        <w:footnoteReference w:id="190"/>
      </w:r>
      <w:r>
        <w:rPr>
          <w:rFonts w:ascii="IRNazanin" w:hAnsi="IRNazanin" w:eastAsia="IRNazanin" w:cs="IRNazanin"/>
          <w:lang w:bidi="fa-IR"/>
          <w:color w:val="111111"/>
          <w:sz w:val="28"/>
          <w:szCs w:val="28"/>
          <w:rtl/>
        </w:rPr>
        <w:t xml:space="preserve">فإنّ لحوق مفهوم الشیء والذات لمصادیقهما إنّما یکون ضروریّاً مع إطلاقهما ، لا مطلقاً ولو مع التقیّد ، إلّا بشرط تقیّد المصادیق به أیضاً ، وقد عرفت </w:t>
      </w:r>
      <w:r>
        <w:rPr>
          <w:rStyle w:val="FootnoteReference"/>
        </w:rPr>
        <w:footnoteReference w:id="191"/>
      </w:r>
      <w:r>
        <w:rPr>
          <w:rFonts w:ascii="IRNazanin" w:hAnsi="IRNazanin" w:eastAsia="IRNazanin" w:cs="IRNazanin"/>
          <w:lang w:bidi="fa-IR"/>
          <w:color w:val="111111"/>
          <w:sz w:val="28"/>
          <w:szCs w:val="28"/>
          <w:rtl/>
        </w:rPr>
        <w:t xml:space="preserve">حال الشرط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لو جَعَلَ التالی فی الشرطیّة الثانیة لزومَ أخْذِ النوع فی الفصل - ضرورةَ أنّ مصداق الشیء الّذی له النطق هو الإنسان - کان ألیَق بالشرطیّة الأُولی ، بل کان أولی </w:t>
      </w:r>
      <w:r>
        <w:rPr>
          <w:rStyle w:val="FootnoteReference"/>
        </w:rPr>
        <w:footnoteReference w:id="192"/>
      </w:r>
      <w:r>
        <w:rPr>
          <w:rFonts w:ascii="IRNazanin" w:hAnsi="IRNazanin" w:eastAsia="IRNazanin" w:cs="IRNazanin"/>
          <w:lang w:bidi="fa-IR"/>
          <w:color w:val="111111"/>
          <w:sz w:val="28"/>
          <w:szCs w:val="28"/>
          <w:rtl/>
        </w:rPr>
        <w:t xml:space="preserve">لفساده مطلقاً ولو لم یکن مثل « الناطق » بفصلٍ حقیقیٍّ ؛ ضرورةَ بطلان أخذ </w:t>
      </w:r>
      <w:r>
        <w:rPr>
          <w:rStyle w:val="FootnoteReference"/>
        </w:rPr>
        <w:footnoteReference w:id="193"/>
      </w:r>
      <w:r>
        <w:rPr>
          <w:rFonts w:ascii="Amiri" w:hAnsi="Amiri" w:eastAsia="Amiri" w:cs="Amiri"/>
          <w:lang w:bidi="ar-SA"/>
          <w:color w:val="111111"/>
          <w:sz w:val="28"/>
          <w:szCs w:val="28"/>
          <w:rtl/>
        </w:rPr>
        <w:t xml:space="preserve">الشیء فی لازمه وخاصّته ، فتأمّل جیّداً .</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4419_166779"/>
    <w:bookmarkEnd w:id="52"/>
    <w:p>
      <w:pPr>
        <w:pStyle w:val="BookText"/>
      </w:pPr>
      <w:r>
        <w:rPr>
          <w:rFonts w:ascii="IRNazanin" w:hAnsi="IRNazanin" w:eastAsia="IRNazanin" w:cs="IRNazanin"/>
          <w:lang w:bidi="fa-IR"/>
          <w:color w:val="111111"/>
          <w:sz w:val="28"/>
          <w:szCs w:val="28"/>
          <w:rtl/>
        </w:rPr>
        <w:t xml:space="preserve">دلیلٌ آخر علی‌بساطة المشتق ثمّ إنّه یمکن أن یستدلّ علی البساطة بضرورة عدم تکرار الموصوف فی مثل: « زید الکاتب » ، ولزومِه من الترکّب وأخْذِ الشیء - مصداقاً أو مفهوماً - فی مفهومه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685" w:name="_Toc125"/>
      <w:r>
        <w:t>معنی بساطةالمشتق</w:t>
      </w:r>
      <w:bookmarkEnd w:id="685"/>
    </w:p>
    <w:p>
      <w:pPr>
        <w:pStyle w:val="BookText"/>
      </w:pPr>
      <w:r>
        <w:rPr>
          <w:rFonts w:ascii="IRNazanin" w:hAnsi="IRNazanin" w:eastAsia="IRNazanin" w:cs="IRNazanin"/>
          <w:lang w:bidi="fa-IR"/>
          <w:color w:val="111111"/>
          <w:sz w:val="28"/>
          <w:szCs w:val="28"/>
          <w:rtl/>
        </w:rPr>
        <w:t xml:space="preserve">إرشاد:</w:t>
      </w:r>
    </w:p>
    <w:p>
      <w:pPr>
        <w:pStyle w:val="BookText"/>
      </w:pPr>
      <w:r>
        <w:rPr>
          <w:rFonts w:ascii="IRNazanin" w:hAnsi="IRNazanin" w:eastAsia="IRNazanin" w:cs="IRNazanin"/>
          <w:lang w:bidi="fa-IR"/>
          <w:color w:val="111111"/>
          <w:sz w:val="28"/>
          <w:szCs w:val="28"/>
          <w:rtl/>
        </w:rPr>
        <w:t xml:space="preserve">لا یخفی: أنّ معنی البساطة - بحسب المفهوم - وحدتُهُ إدراکاً وتصوّراً ، بحیث لا یتصوّر عند تصوّره إلّاشیءٌ واحدٌ ، لا شیئان ، وإن انحلّ بتعمّل من العقل إلی شیئین ، کانحلال مفهوم الحجر والشجر </w:t>
      </w:r>
      <w:r>
        <w:rPr>
          <w:rStyle w:val="FootnoteReference"/>
        </w:rPr>
        <w:footnoteReference w:id="195"/>
      </w:r>
      <w:r>
        <w:rPr>
          <w:rFonts w:ascii="IRNazanin" w:hAnsi="IRNazanin" w:eastAsia="IRNazanin" w:cs="IRNazanin"/>
          <w:lang w:bidi="fa-IR"/>
          <w:color w:val="111111"/>
          <w:sz w:val="28"/>
          <w:szCs w:val="28"/>
          <w:rtl/>
        </w:rPr>
        <w:t xml:space="preserve">إلی شیءٍ له الحجریّة أو الشجریّة ، مع وضوح بساطة مفهومهما .</w:t>
      </w:r>
    </w:p>
    <w:p>
      <w:pPr>
        <w:pStyle w:val="BookText"/>
      </w:pPr>
      <w:r>
        <w:rPr>
          <w:rFonts w:ascii="IRNazanin" w:hAnsi="IRNazanin" w:eastAsia="IRNazanin" w:cs="IRNazanin"/>
          <w:lang w:bidi="fa-IR"/>
          <w:color w:val="111111"/>
          <w:sz w:val="28"/>
          <w:szCs w:val="28"/>
          <w:rtl/>
        </w:rPr>
        <w:t xml:space="preserve">وبالجملة: لا تنثلم - بالانحلال إلی الاثنینیّة بالتعمّل العقلیّ - وحدةُ المعنی وبساطةُ المفهوم ، کما لا یخفی .</w:t>
      </w:r>
    </w:p>
    <w:p>
      <w:pPr>
        <w:pStyle w:val="BookText"/>
      </w:pPr>
      <w:r>
        <w:rPr>
          <w:rFonts w:ascii="IRNazanin" w:hAnsi="IRNazanin" w:eastAsia="IRNazanin" w:cs="IRNazanin"/>
          <w:lang w:bidi="fa-IR"/>
          <w:color w:val="111111"/>
          <w:sz w:val="28"/>
          <w:szCs w:val="28"/>
          <w:rtl/>
        </w:rPr>
        <w:t xml:space="preserve">وإلی ذلک یرجع الإجمال والتفصیل الفارقان </w:t>
      </w:r>
      <w:r>
        <w:rPr>
          <w:rStyle w:val="FootnoteReference"/>
        </w:rPr>
        <w:footnoteReference w:id="196"/>
      </w:r>
      <w:r>
        <w:rPr>
          <w:rFonts w:ascii="Amiri" w:hAnsi="Amiri" w:eastAsia="Amiri" w:cs="Amiri"/>
          <w:lang w:bidi="ar-SA"/>
          <w:color w:val="111111"/>
          <w:sz w:val="28"/>
          <w:szCs w:val="28"/>
          <w:rtl/>
        </w:rPr>
        <w:t xml:space="preserve">بین المحدود والحدّ مع ما هما علیه من الاتّحاد ذاتاً ، فالعقل بالتعمّل یحلّل النوع ویفصّله إلی جنسٍ وفصلٍ ، بعدَ ما کان أمراً واحداً إدراکاً ، وشیئاً فارداً تصوّراً ، فالتحلیل یوجب فَتْقَ ما هو علیه من الجمع والرتق .</w:t>
      </w:r>
    </w:p>
    <w:p>
      <w:pPr>
        <w:pStyle w:val="Heading6"/>
      </w:pPr>
      <w:bookmarkStart w:id="686" w:name="_Toc126"/>
      <w:r>
        <w:t>2 - الفرق بین‌المشتقّ ومبدئه</w:t>
      </w:r>
      <w:bookmarkEnd w:id="6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 الفرق بین المشتقّ ومبدئه مفهوماً : أنّه بمفهومه لا یأبی عن الحمل</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4419_166780"/>
    <w:bookmarkEnd w:id="53"/>
    <w:p>
      <w:pPr>
        <w:pStyle w:val="BookText"/>
      </w:pPr>
      <w:r>
        <w:rPr>
          <w:rFonts w:ascii="IRNazanin" w:hAnsi="IRNazanin" w:eastAsia="IRNazanin" w:cs="IRNazanin"/>
          <w:lang w:bidi="fa-IR"/>
          <w:color w:val="111111"/>
          <w:sz w:val="28"/>
          <w:szCs w:val="28"/>
          <w:rtl/>
        </w:rPr>
        <w:t xml:space="preserve">علی ما تلبّس بالمبدأ ، ولا یعصی عن الجری علیه ؛ لما هما علیه من نحوٍ من الاتّحاد ، بخلاف المبدأ ، فإنّه بمعناه یأبی عن ذلک ، بل إذا قیس ونسب إلیه کان غیره ، لا هو هو ، وملاک الحمل والجری إنّما هو نحوٌ من الاتّحاد والهوهویّة .</w:t>
      </w:r>
    </w:p>
    <w:p>
      <w:pPr>
        <w:pStyle w:val="BookText"/>
      </w:pPr>
      <w:r>
        <w:rPr>
          <w:rFonts w:ascii="IRNazanin" w:hAnsi="IRNazanin" w:eastAsia="IRNazanin" w:cs="IRNazanin"/>
          <w:lang w:bidi="fa-IR"/>
          <w:color w:val="111111"/>
          <w:sz w:val="28"/>
          <w:szCs w:val="28"/>
          <w:rtl/>
        </w:rPr>
        <w:t xml:space="preserve">وإلی هذا یرجع ما ذکره أهل المعقول فی الفرق بینهما من أنّ المشتقّ یکون لا بشرط ، والمبدأ یکون بشرط لا </w:t>
      </w:r>
      <w:r>
        <w:rPr>
          <w:rStyle w:val="FootnoteReference"/>
        </w:rPr>
        <w:footnoteReference w:id="197"/>
      </w:r>
      <w:r>
        <w:rPr>
          <w:rFonts w:ascii="IRNazanin" w:hAnsi="IRNazanin" w:eastAsia="IRNazanin" w:cs="IRNazanin"/>
          <w:lang w:bidi="fa-IR"/>
          <w:color w:val="111111"/>
          <w:sz w:val="28"/>
          <w:szCs w:val="28"/>
          <w:rtl/>
        </w:rPr>
        <w:t xml:space="preserve">، أی: یکون مفهوم المشتقّ غیرَ آبٍ عن الحمل ، ومفهومُ المبدأ یکون آبیاً عنه .</w:t>
      </w:r>
    </w:p>
    <w:p>
      <w:pPr>
        <w:pStyle w:val="BookText"/>
      </w:pPr>
      <w:r>
        <w:rPr>
          <w:rFonts w:ascii="IRNazanin" w:hAnsi="IRNazanin" w:eastAsia="IRNazanin" w:cs="IRNazanin"/>
          <w:lang w:bidi="fa-IR"/>
          <w:color w:val="111111"/>
          <w:sz w:val="28"/>
          <w:szCs w:val="28"/>
          <w:rtl/>
        </w:rPr>
        <w:t xml:space="preserve">وصاحب الفصول رحمه الله - حیث توهّم أنّ مرادهم إنّما هو بیان التفرقة بهذین الاعتبارین ، بلحاظ الطوارئ والعوارض الخارجیّة مع حفظ مفهوم واحد - أورد علیهم بعدم استقامة الفرق بذلک ؛ لأجل امتناع حمل العلم والحرکة علی الذات وإن اعتبرا لا بشرط </w:t>
      </w:r>
      <w:r>
        <w:rPr>
          <w:rStyle w:val="FootnoteReference"/>
        </w:rPr>
        <w:footnoteReference w:id="198"/>
      </w:r>
      <w:r>
        <w:rPr>
          <w:rFonts w:ascii="IRNazanin" w:hAnsi="IRNazanin" w:eastAsia="IRNazanin" w:cs="IRNazanin"/>
          <w:lang w:bidi="fa-IR"/>
          <w:color w:val="111111"/>
          <w:sz w:val="28"/>
          <w:szCs w:val="28"/>
          <w:rtl/>
        </w:rPr>
        <w:t xml:space="preserve">، وغفل عن أنّ المراد ما ذکرنا </w:t>
      </w:r>
      <w:r>
        <w:rPr>
          <w:rStyle w:val="FootnoteReference"/>
        </w:rPr>
        <w:footnoteReference w:id="1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یظهر منهم من بیان الفرق بین الجنس والفصل ، وبین المادّة والصورة ، فراجع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687" w:name="_Toc127"/>
      <w:r>
        <w:t>3 - ملاک الحمل</w:t>
      </w:r>
      <w:bookmarkEnd w:id="687"/>
    </w:p>
    <w:p>
      <w:pPr>
        <w:pStyle w:val="Heading6"/>
      </w:pPr>
      <w:bookmarkStart w:id="688" w:name="_Toc128"/>
      <w:r>
        <w:t>اشارة</w:t>
      </w:r>
      <w:bookmarkEnd w:id="688"/>
    </w:p>
    <w:p>
      <w:pPr>
        <w:pStyle w:val="BookText"/>
      </w:pPr>
      <w:r>
        <w:rPr>
          <w:rFonts w:ascii="IRNazanin" w:hAnsi="IRNazanin" w:eastAsia="IRNazanin" w:cs="IRNazanin"/>
          <w:lang w:bidi="fa-IR"/>
          <w:color w:val="111111"/>
          <w:sz w:val="28"/>
          <w:szCs w:val="28"/>
          <w:rtl/>
        </w:rPr>
        <w:t xml:space="preserve">الثالث: ملاک الحمل - کما أشرنا إلیه </w:t>
      </w:r>
      <w:r>
        <w:rPr>
          <w:rStyle w:val="FootnoteReference"/>
        </w:rPr>
        <w:footnoteReference w:id="201"/>
      </w:r>
      <w:r>
        <w:rPr>
          <w:rFonts w:ascii="IRNazanin" w:hAnsi="IRNazanin" w:eastAsia="IRNazanin" w:cs="IRNazanin"/>
          <w:lang w:bidi="fa-IR"/>
          <w:color w:val="111111"/>
          <w:sz w:val="28"/>
          <w:szCs w:val="28"/>
          <w:rtl/>
        </w:rPr>
        <w:t xml:space="preserve">- هو الهوهویّة والاتّحاد من وجهٍ ، والمغایرة من وجهٍ آخر ، کما یکون بین المشتقّات والذوات .</w:t>
      </w:r>
    </w:p>
    <w:p>
      <w:pPr>
        <w:pStyle w:val="Heading6"/>
      </w:pPr>
      <w:bookmarkStart w:id="689" w:name="_Toc129"/>
      <w:r>
        <w:t>مناقشة ما أفاده الفصول فی المقام</w:t>
      </w:r>
      <w:bookmarkEnd w:id="689"/>
    </w:p>
    <w:p>
      <w:pPr>
        <w:pStyle w:val="BookText"/>
      </w:pPr>
      <w:r>
        <w:rPr>
          <w:rFonts w:ascii="IRNazanin" w:hAnsi="IRNazanin" w:eastAsia="IRNazanin" w:cs="IRNazanin"/>
          <w:lang w:bidi="fa-IR"/>
          <w:color w:val="111111"/>
          <w:sz w:val="28"/>
          <w:szCs w:val="28"/>
          <w:rtl/>
        </w:rPr>
        <w:t xml:space="preserve">ولا یعتبر معه ملاحظة الترکیب بین المتغایرین ، واعتبار کون مجموعهما - بما هو کذلک - واحداً ، بل یکون لحاظ ذلک مخلّاً ؛ لاستلزامه المغایرة بالجزئیّة والکلّیّة .</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4419_166781"/>
    <w:bookmarkEnd w:id="54"/>
    <w:p>
      <w:pPr>
        <w:pStyle w:val="BookText"/>
      </w:pPr>
      <w:r>
        <w:rPr>
          <w:rFonts w:ascii="IRNazanin" w:hAnsi="IRNazanin" w:eastAsia="IRNazanin" w:cs="IRNazanin"/>
          <w:lang w:bidi="fa-IR"/>
          <w:color w:val="111111"/>
          <w:sz w:val="28"/>
          <w:szCs w:val="28"/>
          <w:rtl/>
        </w:rPr>
        <w:t xml:space="preserve">ومن الواضح أنّ ملاک الحمل لحاظُ </w:t>
      </w:r>
      <w:r>
        <w:rPr>
          <w:rStyle w:val="FootnoteReference"/>
        </w:rPr>
        <w:footnoteReference w:id="202"/>
      </w:r>
      <w:r>
        <w:rPr>
          <w:rFonts w:ascii="Amiri" w:hAnsi="Amiri" w:eastAsia="Amiri" w:cs="Amiri"/>
          <w:lang w:bidi="ar-SA"/>
          <w:color w:val="111111"/>
          <w:sz w:val="28"/>
          <w:szCs w:val="28"/>
          <w:rtl/>
        </w:rPr>
        <w:t xml:space="preserve">نحوِ اتّحادٍ </w:t>
      </w:r>
      <w:r>
        <w:rPr>
          <w:rStyle w:val="FootnoteReference"/>
        </w:rPr>
        <w:footnoteReference w:id="203"/>
      </w:r>
      <w:r>
        <w:rPr>
          <w:rFonts w:ascii="IRNazanin" w:hAnsi="IRNazanin" w:eastAsia="IRNazanin" w:cs="IRNazanin"/>
          <w:lang w:bidi="fa-IR"/>
          <w:color w:val="111111"/>
          <w:sz w:val="28"/>
          <w:szCs w:val="28"/>
          <w:rtl/>
        </w:rPr>
        <w:t xml:space="preserve">بین الموضوع والمحمول ، مع وضوح عدم لحاظ ذلک فی التحدیدات وسائر القضایا فی طرف الموضوعات ، بل لا یُلحظ فی طرفها إلّانفس معانیها ، کما هو الحال فی طرف المحمولات ، ولا یکون حملها علیها إلّابملاحظة ما هما علیه من نحوٍ من الاتّحاد ، مع ما هما علیه من المغایرة ولو بنحوٍ من الاعتبار .</w:t>
      </w:r>
    </w:p>
    <w:p>
      <w:pPr>
        <w:pStyle w:val="BookText"/>
      </w:pPr>
      <w:r>
        <w:rPr>
          <w:rFonts w:ascii="IRNazanin" w:hAnsi="IRNazanin" w:eastAsia="IRNazanin" w:cs="IRNazanin"/>
          <w:lang w:bidi="fa-IR"/>
          <w:color w:val="111111"/>
          <w:sz w:val="28"/>
          <w:szCs w:val="28"/>
          <w:rtl/>
        </w:rPr>
        <w:t xml:space="preserve">فانقدح بذلک فساد ما جعله فی الفصول </w:t>
      </w:r>
      <w:r>
        <w:rPr>
          <w:rStyle w:val="FootnoteReference"/>
        </w:rPr>
        <w:footnoteReference w:id="204"/>
      </w:r>
      <w:r>
        <w:rPr>
          <w:rFonts w:ascii="IRNazanin" w:hAnsi="IRNazanin" w:eastAsia="IRNazanin" w:cs="IRNazanin"/>
          <w:lang w:bidi="fa-IR"/>
          <w:color w:val="111111"/>
          <w:sz w:val="28"/>
          <w:szCs w:val="28"/>
          <w:rtl/>
        </w:rPr>
        <w:t xml:space="preserve">تحقیقاً للمقام . وفی کلامه موارد للنظر تظهر بالتأمّل وإمعان النظر .</w:t>
      </w:r>
    </w:p>
    <w:p>
      <w:pPr>
        <w:pStyle w:val="Heading6"/>
      </w:pPr>
      <w:bookmarkStart w:id="690" w:name="_Toc130"/>
      <w:r>
        <w:t>4 - کفایة المغایرة المفهومیّة فی‌الحمل وکیفیّة حمل صفاته تعالی علیه</w:t>
      </w:r>
      <w:bookmarkEnd w:id="690"/>
    </w:p>
    <w:p>
      <w:pPr>
        <w:pStyle w:val="Heading6"/>
      </w:pPr>
      <w:bookmarkStart w:id="691" w:name="_Toc131"/>
      <w:r>
        <w:t>اشارة</w:t>
      </w:r>
      <w:bookmarkEnd w:id="6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205"/>
      </w:r>
      <w:r>
        <w:rPr>
          <w:rFonts w:ascii="IRNazanin" w:hAnsi="IRNazanin" w:eastAsia="IRNazanin" w:cs="IRNazanin"/>
          <w:lang w:bidi="fa-IR"/>
          <w:color w:val="111111"/>
          <w:sz w:val="28"/>
          <w:szCs w:val="28"/>
          <w:rtl/>
        </w:rPr>
        <w:t xml:space="preserve">: لا ریب فی کفایة مغایرة المبدأ مع ما یجری المشتقّ علیه مفهوماً ، وإن اتّحدا عیناً وخارجاً ، فصِدْقُ الصفات - مثل العالم والقادر والرحیم والکریم إلی غیر ذلک من صفات الکمال والجلال </w:t>
      </w:r>
      <w:r>
        <w:rPr>
          <w:rStyle w:val="FootnoteReference"/>
        </w:rPr>
        <w:footnoteReference w:id="206"/>
      </w:r>
      <w:r>
        <w:rPr>
          <w:rFonts w:ascii="IRNazanin" w:hAnsi="IRNazanin" w:eastAsia="IRNazanin" w:cs="IRNazanin"/>
          <w:lang w:bidi="fa-IR"/>
          <w:color w:val="111111"/>
          <w:sz w:val="28"/>
          <w:szCs w:val="28"/>
          <w:rtl/>
        </w:rPr>
        <w:t xml:space="preserve">- علیه تعالی</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4419_166782"/>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ما ذهب إلیه أهل الحقّ من عینیّة صفاته - یکون علی الحقیقة ؛ فإنّ المبدأ فیها وإن کان عینَ ذاته تعالی خارجاً ، إلّاأنّه غیرُ ذاته تعالی مفهوماً .</w:t>
      </w:r>
    </w:p>
    <w:p>
      <w:pPr>
        <w:pStyle w:val="Heading6"/>
      </w:pPr>
      <w:bookmarkStart w:id="692" w:name="_Toc132"/>
      <w:r>
        <w:t>مناقشة ماأفاده الفصول‌فی المقام</w:t>
      </w:r>
      <w:bookmarkEnd w:id="692"/>
    </w:p>
    <w:p>
      <w:pPr>
        <w:pStyle w:val="BookText"/>
      </w:pPr>
      <w:r>
        <w:rPr>
          <w:rFonts w:ascii="IRNazanin" w:hAnsi="IRNazanin" w:eastAsia="IRNazanin" w:cs="IRNazanin"/>
          <w:lang w:bidi="fa-IR"/>
          <w:color w:val="111111"/>
          <w:sz w:val="28"/>
          <w:szCs w:val="28"/>
          <w:rtl/>
        </w:rPr>
        <w:t xml:space="preserve">ومنه قد انقدح </w:t>
      </w:r>
      <w:r>
        <w:rPr>
          <w:rStyle w:val="FootnoteReference"/>
        </w:rPr>
        <w:footnoteReference w:id="207"/>
      </w:r>
      <w:r>
        <w:rPr>
          <w:rFonts w:ascii="IRNazanin" w:hAnsi="IRNazanin" w:eastAsia="IRNazanin" w:cs="IRNazanin"/>
          <w:lang w:bidi="fa-IR"/>
          <w:color w:val="111111"/>
          <w:sz w:val="28"/>
          <w:szCs w:val="28"/>
          <w:rtl/>
        </w:rPr>
        <w:t xml:space="preserve">ما فی الفصول </w:t>
      </w:r>
      <w:r>
        <w:rPr>
          <w:rStyle w:val="FootnoteReference"/>
        </w:rPr>
        <w:footnoteReference w:id="208"/>
      </w:r>
      <w:r>
        <w:rPr>
          <w:rFonts w:ascii="IRNazanin" w:hAnsi="IRNazanin" w:eastAsia="IRNazanin" w:cs="IRNazanin"/>
          <w:lang w:bidi="fa-IR"/>
          <w:color w:val="111111"/>
          <w:sz w:val="28"/>
          <w:szCs w:val="28"/>
          <w:rtl/>
        </w:rPr>
        <w:t xml:space="preserve">من الالتزام بالنقل أو التجوّز فی ألفاظ الصفات الجاریة علیه تعالی - بناءً علی الحقّ من العینیّة - ؛ لعدم المغایرة المعتبرة بالاتّفاق .</w:t>
      </w:r>
    </w:p>
    <w:p>
      <w:pPr>
        <w:pStyle w:val="BookText"/>
      </w:pPr>
      <w:r>
        <w:rPr>
          <w:rFonts w:ascii="IRNazanin" w:hAnsi="IRNazanin" w:eastAsia="IRNazanin" w:cs="IRNazanin"/>
          <w:lang w:bidi="fa-IR"/>
          <w:color w:val="111111"/>
          <w:sz w:val="28"/>
          <w:szCs w:val="28"/>
          <w:rtl/>
        </w:rPr>
        <w:t xml:space="preserve">وذلک لما عرفت من کفایة المغایرة مفهوماً ، ولا اتّفاق علی اعتبار غیرها إن لم نقل بحصول الاتّفاق علی عدم اعتباره ، کما لا یخفی . وقد عرفت </w:t>
      </w:r>
      <w:r>
        <w:rPr>
          <w:rStyle w:val="FootnoteReference"/>
        </w:rPr>
        <w:footnoteReference w:id="209"/>
      </w:r>
      <w:r>
        <w:rPr>
          <w:rFonts w:ascii="IRNazanin" w:hAnsi="IRNazanin" w:eastAsia="IRNazanin" w:cs="IRNazanin"/>
          <w:lang w:bidi="fa-IR"/>
          <w:color w:val="111111"/>
          <w:sz w:val="28"/>
          <w:szCs w:val="28"/>
          <w:rtl/>
        </w:rPr>
        <w:t xml:space="preserve">ثبوت المغایرة کذلک بین الذات ومبادئ الصفات .</w:t>
      </w:r>
    </w:p>
    <w:p>
      <w:pPr>
        <w:pStyle w:val="Heading6"/>
      </w:pPr>
      <w:bookmarkStart w:id="693" w:name="_Toc133"/>
      <w:r>
        <w:t>5 - الخلاف فی اعتبار قیام المبدأ بالذات</w:t>
      </w:r>
      <w:bookmarkEnd w:id="693"/>
    </w:p>
    <w:p>
      <w:pPr>
        <w:pStyle w:val="Heading6"/>
      </w:pPr>
      <w:bookmarkStart w:id="694" w:name="_Toc134"/>
      <w:r>
        <w:t>اشارة</w:t>
      </w:r>
      <w:bookmarkEnd w:id="694"/>
    </w:p>
    <w:p>
      <w:pPr>
        <w:pStyle w:val="BookText"/>
      </w:pPr>
      <w:r>
        <w:rPr>
          <w:rFonts w:ascii="IRNazanin" w:hAnsi="IRNazanin" w:eastAsia="IRNazanin" w:cs="IRNazanin"/>
          <w:lang w:bidi="fa-IR"/>
          <w:color w:val="111111"/>
          <w:sz w:val="28"/>
          <w:szCs w:val="28"/>
          <w:rtl/>
        </w:rPr>
        <w:t xml:space="preserve">الخامس: انّه وقع الخلاف - بعد الاتّفاق علی اعتبار المغایرة کما عرفت بین المبدأ وما یجری علیه المشتقّ - فی اعتبار قیام المبدأ به فی صدقه علی نحو الحقیقة .</w:t>
      </w:r>
    </w:p>
    <w:p>
      <w:pPr>
        <w:pStyle w:val="BookText"/>
      </w:pPr>
      <w:r>
        <w:rPr>
          <w:rFonts w:ascii="IRNazanin" w:hAnsi="IRNazanin" w:eastAsia="IRNazanin" w:cs="IRNazanin"/>
          <w:lang w:bidi="fa-IR"/>
          <w:color w:val="111111"/>
          <w:sz w:val="28"/>
          <w:szCs w:val="28"/>
          <w:rtl/>
        </w:rPr>
        <w:t xml:space="preserve">وقد استدلّ من قال بعدم الاعتبار بصدق « الضارب » و « المؤلِم » مع قیام الضرب والأَ لَم بالمضروب والمؤلَم - بالفتح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والتحقیق: أنّه لا ینبغی أن یرتاب من کان من أُولی الألباب ، فی أنّه یعتبر فی صدق المشتقّ علی الذات وجریه علیها من </w:t>
      </w:r>
      <w:r>
        <w:rPr>
          <w:rStyle w:val="FootnoteReference"/>
        </w:rPr>
        <w:footnoteReference w:id="210"/>
      </w:r>
      <w:r>
        <w:rPr>
          <w:rFonts w:ascii="IRNazanin" w:hAnsi="IRNazanin" w:eastAsia="IRNazanin" w:cs="IRNazanin"/>
          <w:lang w:bidi="fa-IR"/>
          <w:color w:val="111111"/>
          <w:sz w:val="28"/>
          <w:szCs w:val="28"/>
          <w:rtl/>
        </w:rPr>
        <w:t xml:space="preserve">التلبُّس بالمبدأ بنحوٍ خاصٍّ ، علی اختلاف أنحائه - الناشئة من اختلاف الموادّ تارةً ، واختلاف</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14419_166783"/>
    <w:bookmarkEnd w:id="56"/>
    <w:p>
      <w:pPr>
        <w:pStyle w:val="BookText"/>
      </w:pPr>
      <w:r>
        <w:rPr>
          <w:rFonts w:ascii="IRNazanin" w:hAnsi="IRNazanin" w:eastAsia="IRNazanin" w:cs="IRNazanin"/>
          <w:lang w:bidi="fa-IR"/>
          <w:color w:val="111111"/>
          <w:sz w:val="28"/>
          <w:szCs w:val="28"/>
          <w:rtl/>
        </w:rPr>
        <w:t xml:space="preserve">الهیئآت أُخری - من القیام صدوراً ، أو حلولاً ، أو وقوعاً علیه أو فیه ، أو انتزاعه عنه مفهوماً ، مع اتّحاده معه خارجاً ، کما فی صفاته تعالی - علی ما أشرنا إلیه آنفاً </w:t>
      </w:r>
      <w:r>
        <w:rPr>
          <w:rStyle w:val="FootnoteReference"/>
        </w:rPr>
        <w:footnoteReference w:id="211"/>
      </w:r>
      <w:r>
        <w:rPr>
          <w:rFonts w:ascii="IRNazanin" w:hAnsi="IRNazanin" w:eastAsia="IRNazanin" w:cs="IRNazanin"/>
          <w:lang w:bidi="fa-IR"/>
          <w:color w:val="111111"/>
          <w:sz w:val="28"/>
          <w:szCs w:val="28"/>
          <w:rtl/>
        </w:rPr>
        <w:t xml:space="preserve">- ، أو مع عدم تحقُّقٍ إلّاللمنتزع عنه ، کما فی الإضافات والاعتبارات الّتی لا تحقُّقَ لها ، ولا یکون بحذائها فی الخارج شیءٌ ، وتکون من الخارج المحمول </w:t>
      </w:r>
      <w:r>
        <w:rPr>
          <w:rStyle w:val="FootnoteReference"/>
        </w:rPr>
        <w:footnoteReference w:id="212"/>
      </w:r>
      <w:r>
        <w:rPr>
          <w:rFonts w:ascii="IRNazanin" w:hAnsi="IRNazanin" w:eastAsia="IRNazanin" w:cs="IRNazanin"/>
          <w:lang w:bidi="fa-IR"/>
          <w:color w:val="111111"/>
          <w:sz w:val="28"/>
          <w:szCs w:val="28"/>
          <w:rtl/>
        </w:rPr>
        <w:t xml:space="preserve">لا المحمول بالضمیمة .</w:t>
      </w:r>
    </w:p>
    <w:p>
      <w:pPr>
        <w:pStyle w:val="Heading6"/>
      </w:pPr>
      <w:bookmarkStart w:id="695" w:name="_Toc135"/>
      <w:r>
        <w:t>الکلام فی‌الصفات الجاریةعلیه تعالی</w:t>
      </w:r>
      <w:bookmarkEnd w:id="695"/>
    </w:p>
    <w:p>
      <w:pPr>
        <w:pStyle w:val="BookText"/>
      </w:pPr>
      <w:r>
        <w:rPr>
          <w:rFonts w:ascii="IRNazanin" w:hAnsi="IRNazanin" w:eastAsia="IRNazanin" w:cs="IRNazanin"/>
          <w:lang w:bidi="fa-IR"/>
          <w:color w:val="111111"/>
          <w:sz w:val="28"/>
          <w:szCs w:val="28"/>
          <w:rtl/>
        </w:rPr>
        <w:t xml:space="preserve">ففی صفاته الجاریة علیه - تعالی - یکون المبدأ مغایراً له - تعالی - مفهوماً ، وقائماً به عیناً ، لکنّه بنحوٍ من القیام ، لا بأن یکون هناک اثنینیّة ، وکان ما بحذائه غیر الذات ، بل بنحو الاتّحاد والعینیّة ، وکان ما بحذائه عین الذات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وعدم اطّلاع العرف علی مثل هذا التلبّس من الاُمور الخفیّة ، لا یضرُّ بصدقها علیه - تعالی - علی نحو الحقیقة ، إذا کان لها مفهومٌ صادقٌ علیه - تعالی - حقیقةً ، ولو بتأمّل وتعمّل من العقل . والعرف إنّما یکون مرجعاً فی تعیین المفاهیم ، لا فی تطبیقها علی مصادیقها .</w:t>
      </w:r>
    </w:p>
    <w:p>
      <w:pPr>
        <w:pStyle w:val="BookText"/>
      </w:pPr>
      <w:r>
        <w:rPr>
          <w:rFonts w:ascii="IRNazanin" w:hAnsi="IRNazanin" w:eastAsia="IRNazanin" w:cs="IRNazanin"/>
          <w:lang w:bidi="fa-IR"/>
          <w:color w:val="111111"/>
          <w:sz w:val="28"/>
          <w:szCs w:val="28"/>
          <w:rtl/>
        </w:rPr>
        <w:t xml:space="preserve">وبالجملة: یکون مثل العالم والعادل وغیرِهما من الصفات الجاریة علیه تعالی وعلی غیره ، جاریةً علیهما بمفهوم واحد ومعنی فارد ، وإن اختلفا فی ما</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14419_166784"/>
    <w:bookmarkEnd w:id="57"/>
    <w:p>
      <w:pPr>
        <w:pStyle w:val="BookText"/>
      </w:pPr>
      <w:r>
        <w:rPr>
          <w:rFonts w:ascii="IRNazanin" w:hAnsi="IRNazanin" w:eastAsia="IRNazanin" w:cs="IRNazanin"/>
          <w:lang w:bidi="fa-IR"/>
          <w:color w:val="111111"/>
          <w:sz w:val="28"/>
          <w:szCs w:val="28"/>
          <w:rtl/>
        </w:rPr>
        <w:t xml:space="preserve">یعتبر فی الجری من الاتّحاد وکیفیة التلبّس بالمبدأ ، حیث إنّه بنحو العینیّة فیه - تعالی - ، وبنحو الحلول أو الصدور فی غیره .</w:t>
      </w:r>
    </w:p>
    <w:p>
      <w:pPr>
        <w:pStyle w:val="Heading6"/>
      </w:pPr>
      <w:bookmarkStart w:id="696" w:name="_Toc136"/>
      <w:r>
        <w:t>کلام الفصول فی صفاته تعالی ومناقشته</w:t>
      </w:r>
      <w:bookmarkEnd w:id="696"/>
    </w:p>
    <w:p>
      <w:pPr>
        <w:pStyle w:val="BookText"/>
      </w:pPr>
      <w:r>
        <w:rPr>
          <w:rFonts w:ascii="IRNazanin" w:hAnsi="IRNazanin" w:eastAsia="IRNazanin" w:cs="IRNazanin"/>
          <w:lang w:bidi="fa-IR"/>
          <w:color w:val="111111"/>
          <w:sz w:val="28"/>
          <w:szCs w:val="28"/>
          <w:rtl/>
        </w:rPr>
        <w:t xml:space="preserve">فلا وجه لما التزم به فی الفصول </w:t>
      </w:r>
      <w:r>
        <w:rPr>
          <w:rStyle w:val="FootnoteReference"/>
        </w:rPr>
        <w:footnoteReference w:id="213"/>
      </w:r>
      <w:r>
        <w:rPr>
          <w:rFonts w:ascii="IRNazanin" w:hAnsi="IRNazanin" w:eastAsia="IRNazanin" w:cs="IRNazanin"/>
          <w:lang w:bidi="fa-IR"/>
          <w:color w:val="111111"/>
          <w:sz w:val="28"/>
          <w:szCs w:val="28"/>
          <w:rtl/>
        </w:rPr>
        <w:t xml:space="preserve">من نَقْلِ الصفات الجاریة علیه - تعالی - عمّا هی علیها من المعنی </w:t>
      </w:r>
      <w:r>
        <w:rPr>
          <w:rStyle w:val="FootnoteReference"/>
        </w:rPr>
        <w:footnoteReference w:id="214"/>
      </w:r>
      <w:r>
        <w:rPr>
          <w:rFonts w:ascii="IRNazanin" w:hAnsi="IRNazanin" w:eastAsia="IRNazanin" w:cs="IRNazanin"/>
          <w:lang w:bidi="fa-IR"/>
          <w:color w:val="111111"/>
          <w:sz w:val="28"/>
          <w:szCs w:val="28"/>
          <w:rtl/>
        </w:rPr>
        <w:t xml:space="preserve">، کما لا یخفی . کیف ؟ ولو کانت بغیر معانیها العامّة جاریةً علیه - تعالی - کانت صرفَ لقلقة اللسان وألفاظٍ بلا معنی ، فإنّ غیر تلک المفاهیم العامّة الجاریة علی غیره - تعالی - غیرُ مفهومٍ ولا معلومٍ إلّا بما یقابلها ، ففی مثل ما إذا قلنا: « إنّه - تعالی - عالم » إمّا أن نعنی أنّه من ینکشف لدیه الشیء ، فهو ذاک المعنی العامّ ، أو أنّه مصداق لما یقابل ذاک المعنی ، فتعالی عن ذلک علوّاً کبیراً ، وإمّا أن لا نعنی شیئاً ، فتکون کما قلناه من کونها صرفَ اللقلقة ، وکونها بلا معنی ، کما لا یخفی .</w:t>
      </w:r>
    </w:p>
    <w:p>
      <w:pPr>
        <w:pStyle w:val="BookText"/>
      </w:pPr>
      <w:r>
        <w:rPr>
          <w:rFonts w:ascii="Amiri" w:hAnsi="Amiri" w:eastAsia="Amiri" w:cs="Amiri"/>
          <w:lang w:bidi="ar-SA"/>
          <w:color w:val="111111"/>
          <w:sz w:val="28"/>
          <w:szCs w:val="28"/>
          <w:rtl/>
        </w:rPr>
        <w:t xml:space="preserve">والعجب أنّه جعل ذلک علّةً لعدم صدْقِها فی حقّ غیره ، وهو کما تری .</w:t>
      </w:r>
    </w:p>
    <w:p>
      <w:pPr>
        <w:pStyle w:val="BookText"/>
      </w:pPr>
      <w:r>
        <w:rPr>
          <w:rFonts w:ascii="IRNazanin" w:hAnsi="IRNazanin" w:eastAsia="IRNazanin" w:cs="IRNazanin"/>
          <w:lang w:bidi="fa-IR"/>
          <w:color w:val="111111"/>
          <w:sz w:val="28"/>
          <w:szCs w:val="28"/>
          <w:rtl/>
        </w:rPr>
        <w:t xml:space="preserve">وبالتأمّل فی ما ذکرنا ظهر الخَلَل فی ما استُدِلّ من الجانبین والمحاکمة بین الطرفین ، فتأمّل .</w:t>
      </w:r>
    </w:p>
    <w:p>
      <w:pPr>
        <w:pStyle w:val="Heading6"/>
      </w:pPr>
      <w:bookmarkStart w:id="697" w:name="_Toc137"/>
      <w:r>
        <w:t>6 - عدم اعتبارالتلبّس الحقیقی‌فی صدق‌المشتق</w:t>
      </w:r>
      <w:bookmarkEnd w:id="6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السادس: الظاهر أنّه لا یعتبر فی صدق المشتقّ وجریه علی الذات حقیقةً ، التلبّسُ بالمبدأ حقیقةً ، وبلا واسطة فی العروض ، کما فی الماء الجاری ، بل یکفی التلبّس به ولو مجازاً ومع هذه الواسطة ، کما فی المیزاب الجاری ، فإسناد الجریان إلی المیزاب وإن کان إسناداً إلی غیر ما هو له وبالمجاز ، إلّاأنّه فی الإسناد ، لا فی الکلمة . فالمشتقّ فی مثل المثال بما هو مشتقّ قد استعمل فی معناه الحقیقیّ ، وإن کان مبدؤه مسنداً إلی المیزاب بالإسناد المجازیّ ، ولا منافاة بینهما أصلاً ، کما لا یخفی .</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ظاهر الفصول - بل صریحه </w:t>
      </w:r>
      <w:r>
        <w:rPr>
          <w:rStyle w:val="FootnoteReference"/>
        </w:rPr>
        <w:footnoteReference w:id="215"/>
      </w:r>
      <w:r>
        <w:rPr>
          <w:rFonts w:ascii="IRNazanin" w:hAnsi="IRNazanin" w:eastAsia="IRNazanin" w:cs="IRNazanin"/>
          <w:lang w:bidi="fa-IR"/>
          <w:color w:val="111111"/>
          <w:sz w:val="28"/>
          <w:szCs w:val="28"/>
          <w:rtl/>
        </w:rPr>
        <w:t xml:space="preserve">- اعتبار الإسناد الحقیقیّ فی صدق المشتقّ حقیقةً ، وکأنّه من باب الخلط بین المجاز فی الإسناد والمجاز فی الکلمة ، قد انتهی هاهنا محلّ الکلام </w:t>
      </w:r>
      <w:r>
        <w:rPr>
          <w:rStyle w:val="FootnoteReference"/>
        </w:rPr>
        <w:footnoteReference w:id="216"/>
      </w:r>
      <w:r>
        <w:rPr>
          <w:rFonts w:ascii="IRNazanin" w:hAnsi="IRNazanin" w:eastAsia="IRNazanin" w:cs="IRNazanin"/>
          <w:lang w:bidi="fa-IR"/>
          <w:color w:val="111111"/>
          <w:sz w:val="28"/>
          <w:szCs w:val="28"/>
          <w:rtl/>
        </w:rPr>
        <w:t xml:space="preserve">بین الأعلام . والحمد للّٰه، وهو خیر ختام .</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4419_166786"/>
    <w:bookmarkEnd w:id="58"/>
    <w:p>
      <w:pPr>
        <w:pStyle w:val="Heading5"/>
      </w:pPr>
      <w:bookmarkStart w:id="698" w:name="_Toc138"/>
      <w:r>
        <w:t>المقصد الأول : فی الأوامر</w:t>
      </w:r>
      <w:bookmarkEnd w:id="698"/>
    </w:p>
    <w:p>
      <w:pPr>
        <w:pStyle w:val="Heading6"/>
      </w:pPr>
      <w:bookmarkStart w:id="699" w:name="_Toc139"/>
      <w:r>
        <w:t>اشارة</w:t>
      </w:r>
      <w:bookmarkEnd w:id="6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4419_166788"/>
    <w:bookmarkEnd w:id="59"/>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700" w:name="_Toc140"/>
      <w:r>
        <w:t>الفصل الأوّل‌ : فی ما یتعلّق بمادّة الأمر من الجهات</w:t>
      </w:r>
      <w:bookmarkEnd w:id="700"/>
    </w:p>
    <w:p>
      <w:pPr>
        <w:pStyle w:val="Heading6"/>
      </w:pPr>
      <w:bookmarkStart w:id="701" w:name="_Toc141"/>
      <w:r>
        <w:t>اشارة</w:t>
      </w:r>
      <w:bookmarkEnd w:id="701"/>
    </w:p>
    <w:p>
      <w:pPr>
        <w:pStyle w:val="BookText"/>
      </w:pPr>
      <w:r>
        <w:rPr>
          <w:rFonts w:ascii="IRNazanin" w:hAnsi="IRNazanin" w:eastAsia="IRNazanin" w:cs="IRNazanin"/>
          <w:lang w:bidi="fa-IR"/>
          <w:color w:val="111111"/>
          <w:sz w:val="28"/>
          <w:szCs w:val="28"/>
          <w:rtl/>
        </w:rPr>
        <w:t xml:space="preserve">وهی عدیدة:</w:t>
      </w:r>
    </w:p>
    <w:p>
      <w:pPr>
        <w:pStyle w:val="Heading6"/>
      </w:pPr>
      <w:bookmarkStart w:id="702" w:name="_Toc142"/>
      <w:r>
        <w:t>الجهة الأُولی : معانی لفظ« الأمر » فی‌اللغة والعرف</w:t>
      </w:r>
      <w:bookmarkEnd w:id="702"/>
    </w:p>
    <w:p>
      <w:pPr>
        <w:pStyle w:val="Heading6"/>
      </w:pPr>
      <w:bookmarkStart w:id="703" w:name="_Toc143"/>
      <w:r>
        <w:t>اشارة</w:t>
      </w:r>
      <w:bookmarkEnd w:id="703"/>
    </w:p>
    <w:p>
      <w:pPr>
        <w:pStyle w:val="BookText"/>
      </w:pPr>
      <w:r>
        <w:rPr>
          <w:rFonts w:ascii="Amiri" w:hAnsi="Amiri" w:eastAsia="Amiri" w:cs="Amiri"/>
          <w:lang w:bidi="ar-SA"/>
          <w:color w:val="111111"/>
          <w:sz w:val="28"/>
          <w:szCs w:val="28"/>
          <w:rtl/>
        </w:rPr>
        <w:t xml:space="preserve">أنّه قد ذکر للفظ « الأمر » معانٍ متعدّدة:</w:t>
      </w:r>
    </w:p>
    <w:p>
      <w:pPr>
        <w:pStyle w:val="BookText"/>
      </w:pPr>
      <w:r>
        <w:rPr>
          <w:rFonts w:ascii="IRNazanin" w:hAnsi="IRNazanin" w:eastAsia="IRNazanin" w:cs="IRNazanin"/>
          <w:lang w:bidi="fa-IR"/>
          <w:color w:val="111111"/>
          <w:sz w:val="28"/>
          <w:szCs w:val="28"/>
          <w:rtl/>
        </w:rPr>
        <w:t xml:space="preserve">منها: الطلب ، کما یقال: « أمره بکذا » .</w:t>
      </w:r>
    </w:p>
    <w:p>
      <w:pPr>
        <w:pStyle w:val="BookText"/>
      </w:pPr>
      <w:r>
        <w:rPr>
          <w:rFonts w:ascii="IRNazanin" w:hAnsi="IRNazanin" w:eastAsia="IRNazanin" w:cs="IRNazanin"/>
          <w:lang w:bidi="fa-IR"/>
          <w:color w:val="111111"/>
          <w:sz w:val="28"/>
          <w:szCs w:val="28"/>
          <w:rtl/>
        </w:rPr>
        <w:t xml:space="preserve">ومنها: الشأن ، کما یقال: « شغله أمر کذا » .</w:t>
      </w:r>
    </w:p>
    <w:p>
      <w:pPr>
        <w:pStyle w:val="BookText"/>
      </w:pPr>
      <w:r>
        <w:rPr>
          <w:rFonts w:ascii="Amiri" w:hAnsi="Amiri" w:eastAsia="Amiri" w:cs="Amiri"/>
          <w:lang w:bidi="ar-SA"/>
          <w:color w:val="111111"/>
          <w:sz w:val="28"/>
          <w:szCs w:val="28"/>
          <w:rtl/>
        </w:rPr>
        <w:t xml:space="preserve">ومنها: الفعل ، کما فی قوله تعالی: «وَ مٰا أَمْرُ فِرْعَوْنَ بِرَشِیدٍ»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الفعل العجیب ، کما فی قوله تعالی: «فَلَمّٰا جٰاءَ أَمْرُنٰا»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الشیء ، کما تقول: « رأیتُ الیوم أمراً عجیباً » .</w:t>
      </w:r>
    </w:p>
    <w:p>
      <w:pPr>
        <w:pStyle w:val="BookText"/>
      </w:pPr>
      <w:r>
        <w:rPr>
          <w:rFonts w:ascii="Amiri" w:hAnsi="Amiri" w:eastAsia="Amiri" w:cs="Amiri"/>
          <w:lang w:bidi="ar-SA"/>
          <w:color w:val="111111"/>
          <w:sz w:val="28"/>
          <w:szCs w:val="28"/>
          <w:rtl/>
        </w:rPr>
        <w:t xml:space="preserve">ومنها: الحادثة .</w:t>
      </w:r>
    </w:p>
    <w:p>
      <w:pPr>
        <w:pStyle w:val="BookText"/>
      </w:pPr>
      <w:r>
        <w:rPr>
          <w:rFonts w:ascii="IRNazanin" w:hAnsi="IRNazanin" w:eastAsia="IRNazanin" w:cs="IRNazanin"/>
          <w:lang w:bidi="fa-IR"/>
          <w:color w:val="111111"/>
          <w:sz w:val="28"/>
          <w:szCs w:val="28"/>
          <w:rtl/>
        </w:rPr>
        <w:t xml:space="preserve">ومنها: الغرض ، کما تقول: « جاء زیدٌ لأمر کذا » .</w:t>
      </w:r>
    </w:p>
    <w:p>
      <w:pPr>
        <w:pStyle w:val="BookText"/>
      </w:pPr>
      <w:r>
        <w:rPr>
          <w:rFonts w:ascii="Amiri" w:hAnsi="Amiri" w:eastAsia="Amiri" w:cs="Amiri"/>
          <w:lang w:bidi="ar-SA"/>
          <w:color w:val="111111"/>
          <w:sz w:val="28"/>
          <w:szCs w:val="28"/>
          <w:rtl/>
        </w:rPr>
        <w:t xml:space="preserve">ولا یخفی: أنّ عَدَّ بعضِها من معانیه من اشتباه المصداق بالمفهوم ؛ ضرورةَ أنّ الأمر فی « جاء زیدٌ لأمرٍ » </w:t>
      </w:r>
      <w:r>
        <w:rPr>
          <w:rStyle w:val="FootnoteReference"/>
        </w:rPr>
        <w:footnoteReference w:id="219"/>
      </w:r>
      <w:r>
        <w:rPr>
          <w:rFonts w:ascii="IRNazanin" w:hAnsi="IRNazanin" w:eastAsia="IRNazanin" w:cs="IRNazanin"/>
          <w:lang w:bidi="fa-IR"/>
          <w:color w:val="111111"/>
          <w:sz w:val="28"/>
          <w:szCs w:val="28"/>
          <w:rtl/>
        </w:rPr>
        <w:t xml:space="preserve">ما استعمل فی معنی الغرض ، بل اللام قد دلّ</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14419_166789"/>
    <w:bookmarkEnd w:id="60"/>
    <w:p>
      <w:pPr>
        <w:pStyle w:val="BookText"/>
      </w:pPr>
      <w:r>
        <w:rPr>
          <w:rFonts w:ascii="IRNazanin" w:hAnsi="IRNazanin" w:eastAsia="IRNazanin" w:cs="IRNazanin"/>
          <w:lang w:bidi="fa-IR"/>
          <w:color w:val="111111"/>
          <w:sz w:val="28"/>
          <w:szCs w:val="28"/>
          <w:rtl/>
        </w:rPr>
        <w:t xml:space="preserve">علی الغرض ، نعم یکون مدخوله مصداقه ، فافهم . وهکذا الحال فی قوله تعالی:</w:t>
      </w:r>
    </w:p>
    <w:p>
      <w:pPr>
        <w:pStyle w:val="BookText"/>
      </w:pPr>
      <w:r>
        <w:rPr>
          <w:rFonts w:ascii="Amiri" w:hAnsi="Amiri" w:eastAsia="Amiri" w:cs="Amiri"/>
          <w:lang w:bidi="ar-SA"/>
          <w:color w:val="111111"/>
          <w:sz w:val="28"/>
          <w:szCs w:val="28"/>
          <w:rtl/>
        </w:rPr>
        <w:t xml:space="preserve">«فَلَمّٰا جٰاءَ أَمْرُنٰا» ، یکون مصداقاً للتعجّب ، لا مستعملاً فی مفهومه . وکذا فی الحادثة والشأن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ظهر ما فی دعوی الفصول </w:t>
      </w:r>
      <w:r>
        <w:rPr>
          <w:rStyle w:val="FootnoteReference"/>
        </w:rPr>
        <w:footnoteReference w:id="221"/>
      </w:r>
      <w:r>
        <w:rPr>
          <w:rFonts w:ascii="IRNazanin" w:hAnsi="IRNazanin" w:eastAsia="IRNazanin" w:cs="IRNazanin"/>
          <w:lang w:bidi="fa-IR"/>
          <w:color w:val="111111"/>
          <w:sz w:val="28"/>
          <w:szCs w:val="28"/>
          <w:rtl/>
        </w:rPr>
        <w:t xml:space="preserve">من کون لفظ « الأمر » حقیقةً فی المعنیین الأوّلین .</w:t>
      </w:r>
    </w:p>
    <w:p>
      <w:pPr>
        <w:pStyle w:val="BookText"/>
      </w:pPr>
      <w:r>
        <w:rPr>
          <w:rFonts w:ascii="IRNazanin" w:hAnsi="IRNazanin" w:eastAsia="IRNazanin" w:cs="IRNazanin"/>
          <w:lang w:bidi="fa-IR"/>
          <w:color w:val="111111"/>
          <w:sz w:val="28"/>
          <w:szCs w:val="28"/>
          <w:rtl/>
        </w:rPr>
        <w:t xml:space="preserve">ولا یبعد دعوی کونه حقیقةً فی الطلب - فی الجملة - والشیء .</w:t>
      </w:r>
    </w:p>
    <w:p>
      <w:pPr>
        <w:pStyle w:val="BookText"/>
      </w:pPr>
      <w:r>
        <w:rPr>
          <w:rFonts w:ascii="Amiri" w:hAnsi="Amiri" w:eastAsia="Amiri" w:cs="Amiri"/>
          <w:lang w:bidi="ar-SA"/>
          <w:color w:val="111111"/>
          <w:sz w:val="28"/>
          <w:szCs w:val="28"/>
          <w:rtl/>
        </w:rPr>
        <w:t xml:space="preserve">هذا بحسب العرف واللغة .</w:t>
      </w:r>
    </w:p>
    <w:p>
      <w:pPr>
        <w:pStyle w:val="Heading6"/>
      </w:pPr>
      <w:bookmarkStart w:id="704" w:name="_Toc144"/>
      <w:r>
        <w:t>معنی لفظ« الأمر » فی‌الاصطلاح</w:t>
      </w:r>
      <w:bookmarkEnd w:id="704"/>
    </w:p>
    <w:p>
      <w:pPr>
        <w:pStyle w:val="BookText"/>
      </w:pPr>
      <w:r>
        <w:rPr>
          <w:rFonts w:ascii="Amiri" w:hAnsi="Amiri" w:eastAsia="Amiri" w:cs="Amiri"/>
          <w:lang w:bidi="ar-SA"/>
          <w:color w:val="111111"/>
          <w:sz w:val="28"/>
          <w:szCs w:val="28"/>
          <w:rtl/>
        </w:rPr>
        <w:t xml:space="preserve">وأمّا بحسب الاصطلاح ، فقد نُقِل </w:t>
      </w:r>
      <w:r>
        <w:rPr>
          <w:rStyle w:val="FootnoteReference"/>
        </w:rPr>
        <w:footnoteReference w:id="222"/>
      </w:r>
      <w:r>
        <w:rPr>
          <w:rFonts w:ascii="IRNazanin" w:hAnsi="IRNazanin" w:eastAsia="IRNazanin" w:cs="IRNazanin"/>
          <w:lang w:bidi="fa-IR"/>
          <w:color w:val="111111"/>
          <w:sz w:val="28"/>
          <w:szCs w:val="28"/>
          <w:rtl/>
        </w:rPr>
        <w:t xml:space="preserve">الاتّفاق علی أنّه حقیقةٌ فی القول المخصوص ، ومجازٌ فی غیره .</w:t>
      </w:r>
    </w:p>
    <w:p>
      <w:pPr>
        <w:pStyle w:val="BookText"/>
      </w:pPr>
      <w:r>
        <w:rPr>
          <w:rFonts w:ascii="IRNazanin" w:hAnsi="IRNazanin" w:eastAsia="IRNazanin" w:cs="IRNazanin"/>
          <w:lang w:bidi="fa-IR"/>
          <w:color w:val="111111"/>
          <w:sz w:val="28"/>
          <w:szCs w:val="28"/>
          <w:rtl/>
        </w:rPr>
        <w:t xml:space="preserve">ولا یخفی: أنّه علیه لا یمکن منه الاشتقاق ؛ فإنّ معناه حینئذٍ لا یکون معنیً حدثیّاً ، مع أنّ الاشتقاقات منه - ظاهراً - تکون بذلک المعنی المصطلح علیه بینهم ، لا بالمعنی الآخر ، فتدبّر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ویمکن أن یکون مرادهم به هو : الطلب بالقول </w:t>
      </w:r>
      <w:r>
        <w:rPr>
          <w:rStyle w:val="FootnoteReference"/>
        </w:rPr>
        <w:footnoteReference w:id="223"/>
      </w:r>
      <w:r>
        <w:rPr>
          <w:rFonts w:ascii="IRNazanin" w:hAnsi="IRNazanin" w:eastAsia="IRNazanin" w:cs="IRNazanin"/>
          <w:lang w:bidi="fa-IR"/>
          <w:color w:val="111111"/>
          <w:sz w:val="28"/>
          <w:szCs w:val="28"/>
          <w:rtl/>
        </w:rPr>
        <w:t xml:space="preserve">، لا نفسه - تعبیراً عنه بما یدلّ علیه - . نعم ، القول المخصوص - أی‌صیغة الأمر - إذا أراد العالی بها الطلب یکون من مصادیق الأمر ، لکنّه بما هو طلب مطلق أو مخصوص .</w:t>
      </w:r>
    </w:p>
    <w:p>
      <w:pPr>
        <w:pStyle w:val="BookText"/>
      </w:pPr>
      <w:r>
        <w:rPr>
          <w:rFonts w:ascii="IRNazanin" w:hAnsi="IRNazanin" w:eastAsia="IRNazanin" w:cs="IRNazanin"/>
          <w:lang w:bidi="fa-IR"/>
          <w:color w:val="111111"/>
          <w:sz w:val="28"/>
          <w:szCs w:val="28"/>
          <w:rtl/>
        </w:rPr>
        <w:t xml:space="preserve">وکیف کان ، فالأمر سهلٌ لو ثبت النقل ، ولا مشاحّة فی الاصطلاح ، وإنّما المهمُّ بیان ما هو معناه عرفاً ولغةً لیُحمل علیه فی ما إذا ورد بلا قرینة .</w:t>
      </w:r>
    </w:p>
    <w:p>
      <w:pPr>
        <w:pStyle w:val="Heading6"/>
      </w:pPr>
      <w:bookmarkStart w:id="705" w:name="_Toc145"/>
      <w:r>
        <w:t>تعدّد موارد استعمال « الأمر » فی الکتاب والسنّة</w:t>
      </w:r>
      <w:bookmarkEnd w:id="705"/>
    </w:p>
    <w:p>
      <w:pPr>
        <w:pStyle w:val="BookText"/>
      </w:pPr>
      <w:r>
        <w:rPr>
          <w:rFonts w:ascii="IRNazanin" w:hAnsi="IRNazanin" w:eastAsia="IRNazanin" w:cs="IRNazanin"/>
          <w:lang w:bidi="fa-IR"/>
          <w:color w:val="111111"/>
          <w:sz w:val="28"/>
          <w:szCs w:val="28"/>
          <w:rtl/>
        </w:rPr>
        <w:t xml:space="preserve">وقد استعمل فی غیر واحد من المعانی فی الکتاب والسنّة ، ولا حجّة علی</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14419_166790"/>
    <w:bookmarkEnd w:id="61"/>
    <w:p>
      <w:pPr>
        <w:pStyle w:val="BookText"/>
      </w:pPr>
      <w:r>
        <w:rPr>
          <w:rFonts w:ascii="IRNazanin" w:hAnsi="IRNazanin" w:eastAsia="IRNazanin" w:cs="IRNazanin"/>
          <w:lang w:bidi="fa-IR"/>
          <w:color w:val="111111"/>
          <w:sz w:val="28"/>
          <w:szCs w:val="28"/>
          <w:rtl/>
        </w:rPr>
        <w:t xml:space="preserve">أنّه علی نحو الاشتراک اللفظیّ أو المعنویّ أو الحقیقة والمجاز .</w:t>
      </w:r>
    </w:p>
    <w:p>
      <w:pPr>
        <w:pStyle w:val="BookText"/>
      </w:pPr>
      <w:r>
        <w:rPr>
          <w:rFonts w:ascii="IRNazanin" w:hAnsi="IRNazanin" w:eastAsia="IRNazanin" w:cs="IRNazanin"/>
          <w:lang w:bidi="fa-IR"/>
          <w:color w:val="111111"/>
          <w:sz w:val="28"/>
          <w:szCs w:val="28"/>
          <w:rtl/>
        </w:rPr>
        <w:t xml:space="preserve">وما ذُکر فی الترجیح عند تعارض هذه الأحوال - لو سلّم ، ولم یعارَض بمثله - فلا دلیل علی الترجیح به ، فلابدّ مع التعارض من الرجوع إلی الأصل فی مقام العمل .</w:t>
      </w:r>
    </w:p>
    <w:p>
      <w:pPr>
        <w:pStyle w:val="BookText"/>
      </w:pPr>
      <w:r>
        <w:rPr>
          <w:rFonts w:ascii="IRNazanin" w:hAnsi="IRNazanin" w:eastAsia="IRNazanin" w:cs="IRNazanin"/>
          <w:lang w:bidi="fa-IR"/>
          <w:color w:val="111111"/>
          <w:sz w:val="28"/>
          <w:szCs w:val="28"/>
          <w:rtl/>
        </w:rPr>
        <w:t xml:space="preserve">نعم ، لو عُلم ظهوره فی أحد معانیه - ولو احتمل أنّه کان للإنسباق من الإطلاق - فلیُحمل علیه ، وإن لم یُعلم أنّه حقیقةٌ فیه بالخصوص أو فی ما یعمّه ، کما لا یبعد أن یکون کذلک فی المعنی الأوّل .</w:t>
      </w:r>
    </w:p>
    <w:p>
      <w:pPr>
        <w:pStyle w:val="Heading6"/>
      </w:pPr>
      <w:bookmarkStart w:id="706" w:name="_Toc146"/>
      <w:r>
        <w:t>الجهة الثانیة : اعتبار العلوّ فی الأمر</w:t>
      </w:r>
      <w:bookmarkEnd w:id="7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الظاهر : اعتبار العلوّ فی معنی الأمر ، فلا یکون الطلب من السافل أو المساوی أمراً ، ولو اطلق علیه کان بنحوٍ من العنایة .</w:t>
      </w:r>
    </w:p>
    <w:p>
      <w:pPr>
        <w:pStyle w:val="BookText"/>
      </w:pPr>
      <w:r>
        <w:rPr>
          <w:rFonts w:ascii="IRNazanin" w:hAnsi="IRNazanin" w:eastAsia="IRNazanin" w:cs="IRNazanin"/>
          <w:lang w:bidi="fa-IR"/>
          <w:color w:val="111111"/>
          <w:sz w:val="28"/>
          <w:szCs w:val="28"/>
          <w:rtl/>
        </w:rPr>
        <w:t xml:space="preserve">کما أنّ الظاهر : عدم اعتبار الاستعلاء ، فیکون الطلب من العالی أمراً ولو کان مستخفضاً لجناحه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احتمال اعتبار أحدهما فضعیف ، وتقبیحُ الطالب السافِل من العالی المستعلی علیه وتوبیخُه - بمثل: أنّک لِمَ تأمره؟ - إنّما هو علی استعلائه ، لا علی أمره حقیقةً بعد استعلائه ، وإنّما یکون إطلاق الأمر علی طلبه بحسب ما هو قضیّة استعلائه .</w:t>
      </w:r>
    </w:p>
    <w:p>
      <w:pPr>
        <w:pStyle w:val="BookText"/>
      </w:pPr>
      <w:r>
        <w:rPr>
          <w:rFonts w:ascii="IRNazanin" w:hAnsi="IRNazanin" w:eastAsia="IRNazanin" w:cs="IRNazanin"/>
          <w:lang w:bidi="fa-IR"/>
          <w:color w:val="111111"/>
          <w:sz w:val="28"/>
          <w:szCs w:val="28"/>
          <w:rtl/>
        </w:rPr>
        <w:t xml:space="preserve">وکیف کان ، ففی صحّة سلب « الأمر » عن طلب السافل - ولو کان مستعلیاً - کفایةٌ .</w:t>
      </w:r>
    </w:p>
    <w:p>
      <w:pPr>
        <w:pStyle w:val="Heading6"/>
      </w:pPr>
      <w:bookmarkStart w:id="707" w:name="_Toc147"/>
      <w:r>
        <w:t>الجهة الثالثة : الأمر حقیقةٌ فی الوجوب</w:t>
      </w:r>
      <w:bookmarkEnd w:id="707"/>
    </w:p>
    <w:p>
      <w:pPr>
        <w:pStyle w:val="Heading6"/>
      </w:pPr>
      <w:bookmarkStart w:id="708" w:name="_Toc148"/>
      <w:r>
        <w:t>اشارة</w:t>
      </w:r>
      <w:bookmarkEnd w:id="708"/>
    </w:p>
    <w:p>
      <w:pPr>
        <w:pStyle w:val="BookText"/>
      </w:pPr>
      <w:r>
        <w:rPr>
          <w:rFonts w:ascii="IRNazanin" w:hAnsi="IRNazanin" w:eastAsia="IRNazanin" w:cs="IRNazanin"/>
          <w:lang w:bidi="fa-IR"/>
          <w:color w:val="111111"/>
          <w:sz w:val="28"/>
          <w:szCs w:val="28"/>
          <w:rtl/>
        </w:rPr>
        <w:t xml:space="preserve">لا یبعد کون لفظ «الأمر» حقیقةً فی الوجوب ؛ لانسباقه عنه عند إطلاقه .</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14419_166791"/>
    <w:bookmarkEnd w:id="62"/>
    <w:p>
      <w:pPr>
        <w:pStyle w:val="BookText"/>
      </w:pPr>
      <w:r>
        <w:rPr>
          <w:rFonts w:ascii="Amiri" w:hAnsi="Amiri" w:eastAsia="Amiri" w:cs="Amiri"/>
          <w:lang w:bidi="ar-SA"/>
          <w:color w:val="111111"/>
          <w:sz w:val="28"/>
          <w:szCs w:val="28"/>
          <w:rtl/>
        </w:rPr>
        <w:t xml:space="preserve">ویؤیّده قوله تعالی: «فَلْیَحْذَرِ الَّذِینَ یُخٰالِفُونَ عَنْ أَمْرِهِ » </w:t>
      </w:r>
      <w:r>
        <w:rPr>
          <w:rStyle w:val="FootnoteReference"/>
        </w:rPr>
        <w:footnoteReference w:id="225"/>
      </w:r>
      <w:r>
        <w:rPr>
          <w:rFonts w:ascii="Amiri" w:hAnsi="Amiri" w:eastAsia="Amiri" w:cs="Amiri"/>
          <w:lang w:bidi="ar-SA"/>
          <w:color w:val="111111"/>
          <w:sz w:val="28"/>
          <w:szCs w:val="28"/>
          <w:rtl/>
        </w:rPr>
        <w:t xml:space="preserve">؛ وقوله صلی الله علیه و آله : « لو لا أن أشُقَّ علی امّتی لأمرتُهم بالسِّواک » </w:t>
      </w:r>
      <w:r>
        <w:rPr>
          <w:rStyle w:val="FootnoteReference"/>
        </w:rPr>
        <w:footnoteReference w:id="226"/>
      </w:r>
      <w:r>
        <w:rPr>
          <w:rFonts w:ascii="IRNazanin" w:hAnsi="IRNazanin" w:eastAsia="IRNazanin" w:cs="IRNazanin"/>
          <w:lang w:bidi="fa-IR"/>
          <w:color w:val="111111"/>
          <w:sz w:val="28"/>
          <w:szCs w:val="28"/>
          <w:rtl/>
        </w:rPr>
        <w:t xml:space="preserve">؛ وقوله صلی الله علیه و آله لبریرة - بعد قولها: « أتأمرنی یا رسول اللّٰه؟ » - : « لا ، بل إنّما أنا شافعٌ </w:t>
      </w:r>
      <w:r>
        <w:rPr>
          <w:rStyle w:val="FootnoteReference"/>
        </w:rPr>
        <w:footnoteReference w:id="227"/>
      </w:r>
      <w:r>
        <w:rPr>
          <w:rFonts w:ascii="IRNazanin" w:hAnsi="IRNazanin" w:eastAsia="IRNazanin" w:cs="IRNazanin"/>
          <w:lang w:bidi="fa-IR"/>
          <w:color w:val="111111"/>
          <w:sz w:val="28"/>
          <w:szCs w:val="28"/>
          <w:rtl/>
        </w:rPr>
        <w:t xml:space="preserve">» ... إلی غیر ذلک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وصحّةُ الاحتجاج علی العبد ومؤاخذتِهِ بمجرّد مخالفة أمره ، وتوبیخه علی مجرّد مخالفته ، کما فی قوله تعالی: «مٰا مَنَعَکَ أَلاّٰ تَسْجُدَ إِذْ أَمَرْتُکَ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709" w:name="_Toc149"/>
      <w:r>
        <w:t>أدلّة القول‌بوضع الأمرلمطلق الطلب‌ومناقشتها</w:t>
      </w:r>
      <w:bookmarkEnd w:id="709"/>
    </w:p>
    <w:p>
      <w:pPr>
        <w:pStyle w:val="BookText"/>
      </w:pPr>
      <w:r>
        <w:rPr>
          <w:rFonts w:ascii="IRNazanin" w:hAnsi="IRNazanin" w:eastAsia="IRNazanin" w:cs="IRNazanin"/>
          <w:lang w:bidi="fa-IR"/>
          <w:color w:val="111111"/>
          <w:sz w:val="28"/>
          <w:szCs w:val="28"/>
          <w:rtl/>
        </w:rPr>
        <w:t xml:space="preserve">وتقسیمُه إلی الإیجاب والاستحباب إنّما یکون قرینةً علی إرادة المعنی الأعمّ منه فی مقام تقسیمه . وصحّةُ الاستعمال فی معنی أعمُّ من کونه علی نحو الحقیقة ، کما لا یخفی .</w:t>
      </w:r>
    </w:p>
    <w:p>
      <w:pPr>
        <w:pStyle w:val="BookText"/>
      </w:pPr>
      <w:r>
        <w:rPr>
          <w:rFonts w:ascii="IRNazanin" w:hAnsi="IRNazanin" w:eastAsia="IRNazanin" w:cs="IRNazanin"/>
          <w:lang w:bidi="fa-IR"/>
          <w:color w:val="111111"/>
          <w:sz w:val="28"/>
          <w:szCs w:val="28"/>
          <w:rtl/>
        </w:rPr>
        <w:t xml:space="preserve">وأمّا ما افید </w:t>
      </w:r>
      <w:r>
        <w:rPr>
          <w:rStyle w:val="FootnoteReference"/>
        </w:rPr>
        <w:footnoteReference w:id="229"/>
      </w:r>
      <w:r>
        <w:rPr>
          <w:rFonts w:ascii="IRNazanin" w:hAnsi="IRNazanin" w:eastAsia="IRNazanin" w:cs="IRNazanin"/>
          <w:lang w:bidi="fa-IR"/>
          <w:color w:val="111111"/>
          <w:sz w:val="28"/>
          <w:szCs w:val="28"/>
          <w:rtl/>
        </w:rPr>
        <w:t xml:space="preserve">من أنّ الاستعمال فیهما ثابت ، فلو لم یکن موضوعاً للقدر المشترک بینهما لزم الاشتراک أو المجاز ، فهو غیر مفید ؛ لما مرّت الإشارة إلیه فی الجهة الأُولی </w:t>
      </w:r>
      <w:r>
        <w:rPr>
          <w:rStyle w:val="FootnoteReference"/>
        </w:rPr>
        <w:footnoteReference w:id="230"/>
      </w:r>
      <w:r>
        <w:rPr>
          <w:rFonts w:ascii="IRNazanin" w:hAnsi="IRNazanin" w:eastAsia="IRNazanin" w:cs="IRNazanin"/>
          <w:lang w:bidi="fa-IR"/>
          <w:color w:val="111111"/>
          <w:sz w:val="28"/>
          <w:szCs w:val="28"/>
          <w:rtl/>
        </w:rPr>
        <w:t xml:space="preserve">وفی تعارض الأحوال </w:t>
      </w:r>
      <w:r>
        <w:rPr>
          <w:rStyle w:val="FootnoteReference"/>
        </w:rPr>
        <w:footnoteReference w:id="231"/>
      </w:r>
      <w:r>
        <w:rPr>
          <w:rFonts w:ascii="IRNazanin" w:hAnsi="IRNazanin" w:eastAsia="IRNazanin" w:cs="IRNazanin"/>
          <w:lang w:bidi="fa-IR"/>
          <w:color w:val="111111"/>
          <w:sz w:val="28"/>
          <w:szCs w:val="28"/>
          <w:rtl/>
        </w:rPr>
        <w:t xml:space="preserve">، فراجع .</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14419_166792"/>
    <w:bookmarkEnd w:id="63"/>
    <w:p>
      <w:pPr>
        <w:pStyle w:val="BookText"/>
      </w:pPr>
      <w:r>
        <w:rPr>
          <w:rFonts w:ascii="IRNazanin" w:hAnsi="IRNazanin" w:eastAsia="IRNazanin" w:cs="IRNazanin"/>
          <w:lang w:bidi="fa-IR"/>
          <w:color w:val="111111"/>
          <w:sz w:val="28"/>
          <w:szCs w:val="28"/>
          <w:rtl/>
        </w:rPr>
        <w:t xml:space="preserve">والاستدلال بأنّ فعل المندوب طاعة ، وکلّ طاعة فهو فعل المأمور به ، فیه ما لا یخفی ، من منع الکبری لو أُرید من المأمور به معناه الحقیقیّ ، وإلّا لایفید المدّعی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710" w:name="_Toc150"/>
      <w:r>
        <w:t>الجهة الرابعة : الأمر موضوع‌للطلب الإنشائیّ</w:t>
      </w:r>
      <w:bookmarkEnd w:id="710"/>
    </w:p>
    <w:p>
      <w:pPr>
        <w:pStyle w:val="Heading6"/>
      </w:pPr>
      <w:bookmarkStart w:id="711" w:name="_Toc151"/>
      <w:r>
        <w:t>اشارة</w:t>
      </w:r>
      <w:bookmarkEnd w:id="7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الظاهر : أنّ الطلب الّذی یکون هو معنی الأمر لیس هو الطلب الحقیقیّ - الّذی یکون طلباً بالحمل الشائع الصناعیّ </w:t>
      </w:r>
      <w:r>
        <w:rPr>
          <w:rStyle w:val="FootnoteReference"/>
        </w:rPr>
        <w:footnoteReference w:id="233"/>
      </w:r>
      <w:r>
        <w:rPr>
          <w:rFonts w:ascii="IRNazanin" w:hAnsi="IRNazanin" w:eastAsia="IRNazanin" w:cs="IRNazanin"/>
          <w:lang w:bidi="fa-IR"/>
          <w:color w:val="111111"/>
          <w:sz w:val="28"/>
          <w:szCs w:val="28"/>
          <w:rtl/>
        </w:rPr>
        <w:t xml:space="preserve">- ، بل الطلب الإنشائیّ - الّذی لا یکون بهذا الحمل طلباً مطلقاً ، بل طلباً إنشائیّاً - ، سواء انشئ بصیغة « إفعل » ، أو بمادّة الطلب ، أو بمادّة الأمر ، أو بغیرها .</w:t>
      </w:r>
    </w:p>
    <w:p>
      <w:pPr>
        <w:pStyle w:val="BookText"/>
      </w:pPr>
      <w:r>
        <w:rPr>
          <w:rFonts w:ascii="IRNazanin" w:hAnsi="IRNazanin" w:eastAsia="IRNazanin" w:cs="IRNazanin"/>
          <w:lang w:bidi="fa-IR"/>
          <w:color w:val="111111"/>
          <w:sz w:val="28"/>
          <w:szCs w:val="28"/>
          <w:rtl/>
        </w:rPr>
        <w:t xml:space="preserve">ولو أبیت إلّاعن کونه موضوعاً للطلب ، فلا أقلّ من کونه منصرفاً إلی الإنشائیّ منه عند إطلاقه ، کما هو الحال فی لفظ « الطلب » أیضاً ، وذلک لکثرة الاستعمال فی الطلب الإنشائیّ .</w:t>
      </w:r>
    </w:p>
    <w:p>
      <w:pPr>
        <w:pStyle w:val="BookText"/>
      </w:pPr>
      <w:r>
        <w:rPr>
          <w:rFonts w:ascii="IRNazanin" w:hAnsi="IRNazanin" w:eastAsia="IRNazanin" w:cs="IRNazanin"/>
          <w:lang w:bidi="fa-IR"/>
          <w:color w:val="111111"/>
          <w:sz w:val="28"/>
          <w:szCs w:val="28"/>
          <w:rtl/>
        </w:rPr>
        <w:t xml:space="preserve">کما أنّ الأمر فی لفظ « الإرادة » علی عکس لفظ « الطلب » ، والمنصرف عنها </w:t>
      </w:r>
      <w:r>
        <w:rPr>
          <w:rStyle w:val="FootnoteReference"/>
        </w:rPr>
        <w:footnoteReference w:id="234"/>
      </w:r>
      <w:r>
        <w:rPr>
          <w:rFonts w:ascii="IRNazanin" w:hAnsi="IRNazanin" w:eastAsia="IRNazanin" w:cs="IRNazanin"/>
          <w:lang w:bidi="fa-IR"/>
          <w:color w:val="111111"/>
          <w:sz w:val="28"/>
          <w:szCs w:val="28"/>
          <w:rtl/>
        </w:rPr>
        <w:t xml:space="preserve">عند إطلاقها هو الإرادة الحقیقیّة .</w:t>
      </w:r>
    </w:p>
    <w:p>
      <w:pPr>
        <w:pStyle w:val="BookText"/>
      </w:pPr>
      <w:r>
        <w:rPr>
          <w:rFonts w:ascii="IRNazanin" w:hAnsi="IRNazanin" w:eastAsia="IRNazanin" w:cs="IRNazanin"/>
          <w:lang w:bidi="fa-IR"/>
          <w:color w:val="111111"/>
          <w:sz w:val="28"/>
          <w:szCs w:val="28"/>
          <w:rtl/>
        </w:rPr>
        <w:t xml:space="preserve">واختلافُهما فی ذلک ألجأ بعضَ أصحابنا </w:t>
      </w:r>
      <w:r>
        <w:rPr>
          <w:rStyle w:val="FootnoteReference"/>
        </w:rPr>
        <w:footnoteReference w:id="235"/>
      </w:r>
      <w:r>
        <w:rPr>
          <w:rFonts w:ascii="IRNazanin" w:hAnsi="IRNazanin" w:eastAsia="IRNazanin" w:cs="IRNazanin"/>
          <w:lang w:bidi="fa-IR"/>
          <w:color w:val="111111"/>
          <w:sz w:val="28"/>
          <w:szCs w:val="28"/>
          <w:rtl/>
        </w:rPr>
        <w:t xml:space="preserve">إلی المیل إلی ما ذهب إلیه</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14419_166793"/>
    <w:bookmarkEnd w:id="64"/>
    <w:p>
      <w:pPr>
        <w:pStyle w:val="BookText"/>
      </w:pPr>
      <w:r>
        <w:rPr>
          <w:rFonts w:ascii="IRNazanin" w:hAnsi="IRNazanin" w:eastAsia="IRNazanin" w:cs="IRNazanin"/>
          <w:lang w:bidi="fa-IR"/>
          <w:color w:val="111111"/>
          <w:sz w:val="28"/>
          <w:szCs w:val="28"/>
          <w:rtl/>
        </w:rPr>
        <w:t xml:space="preserve">الأشاعرة من المغایرة بین الطلب والإرادة </w:t>
      </w:r>
      <w:r>
        <w:rPr>
          <w:rStyle w:val="FootnoteReference"/>
        </w:rPr>
        <w:footnoteReference w:id="236"/>
      </w:r>
      <w:r>
        <w:rPr>
          <w:rFonts w:ascii="Amiri" w:hAnsi="Amiri" w:eastAsia="Amiri" w:cs="Amiri"/>
          <w:lang w:bidi="ar-SA"/>
          <w:color w:val="111111"/>
          <w:sz w:val="28"/>
          <w:szCs w:val="28"/>
          <w:rtl/>
        </w:rPr>
        <w:t xml:space="preserve">، خلافاً لقاطبة أهل الحقّ </w:t>
      </w:r>
      <w:r>
        <w:rPr>
          <w:rStyle w:val="FootnoteReference"/>
        </w:rPr>
        <w:footnoteReference w:id="237"/>
      </w:r>
      <w:r>
        <w:rPr>
          <w:rFonts w:ascii="Amiri" w:hAnsi="Amiri" w:eastAsia="Amiri" w:cs="Amiri"/>
          <w:lang w:bidi="ar-SA"/>
          <w:color w:val="111111"/>
          <w:sz w:val="28"/>
          <w:szCs w:val="28"/>
          <w:rtl/>
        </w:rPr>
        <w:t xml:space="preserve">والمعتزلة </w:t>
      </w:r>
      <w:r>
        <w:rPr>
          <w:rStyle w:val="FootnoteReference"/>
        </w:rPr>
        <w:footnoteReference w:id="238"/>
      </w:r>
      <w:r>
        <w:rPr>
          <w:rFonts w:ascii="IRNazanin" w:hAnsi="IRNazanin" w:eastAsia="IRNazanin" w:cs="IRNazanin"/>
          <w:lang w:bidi="fa-IR"/>
          <w:color w:val="111111"/>
          <w:sz w:val="28"/>
          <w:szCs w:val="28"/>
          <w:rtl/>
        </w:rPr>
        <w:t xml:space="preserve">من اتّحادهما .</w:t>
      </w:r>
    </w:p>
    <w:p>
      <w:pPr>
        <w:pStyle w:val="BookText"/>
      </w:pPr>
      <w:r>
        <w:rPr>
          <w:rFonts w:ascii="IRNazanin" w:hAnsi="IRNazanin" w:eastAsia="IRNazanin" w:cs="IRNazanin"/>
          <w:lang w:bidi="fa-IR"/>
          <w:color w:val="111111"/>
          <w:sz w:val="28"/>
          <w:szCs w:val="28"/>
          <w:rtl/>
        </w:rPr>
        <w:t xml:space="preserve">فلا بأس بصرف عنان الکلام إلی بیان ما هو الحقّ فی المقام ، وإن حقّقناه فی بعض فوائدنا </w:t>
      </w:r>
      <w:r>
        <w:rPr>
          <w:rStyle w:val="FootnoteReference"/>
        </w:rPr>
        <w:footnoteReference w:id="239"/>
      </w:r>
      <w:r>
        <w:rPr>
          <w:rFonts w:ascii="IRNazanin" w:hAnsi="IRNazanin" w:eastAsia="IRNazanin" w:cs="IRNazanin"/>
          <w:lang w:bidi="fa-IR"/>
          <w:color w:val="111111"/>
          <w:sz w:val="28"/>
          <w:szCs w:val="28"/>
          <w:rtl/>
        </w:rPr>
        <w:t xml:space="preserve">إلّاأنّ الحوالة لمّا لم تکن عن المحذور خالیة ، والإعادة بلافائدة ولا إفادة </w:t>
      </w:r>
      <w:r>
        <w:rPr>
          <w:rStyle w:val="FootnoteReference"/>
        </w:rPr>
        <w:footnoteReference w:id="240"/>
      </w:r>
      <w:r>
        <w:rPr>
          <w:rFonts w:ascii="IRNazanin" w:hAnsi="IRNazanin" w:eastAsia="IRNazanin" w:cs="IRNazanin"/>
          <w:lang w:bidi="fa-IR"/>
          <w:color w:val="111111"/>
          <w:sz w:val="28"/>
          <w:szCs w:val="28"/>
          <w:rtl/>
        </w:rPr>
        <w:t xml:space="preserve">، کان المناسب هو التعرّض هاهنا أیضاً .</w:t>
      </w:r>
    </w:p>
    <w:p>
      <w:pPr>
        <w:pStyle w:val="Heading6"/>
      </w:pPr>
      <w:bookmarkStart w:id="712" w:name="_Toc152"/>
      <w:r>
        <w:t>اتحادالطلب والإرادة</w:t>
      </w:r>
      <w:bookmarkEnd w:id="712"/>
    </w:p>
    <w:p>
      <w:pPr>
        <w:pStyle w:val="BookText"/>
      </w:pPr>
      <w:r>
        <w:rPr>
          <w:rFonts w:ascii="IRNazanin" w:hAnsi="IRNazanin" w:eastAsia="IRNazanin" w:cs="IRNazanin"/>
          <w:lang w:bidi="fa-IR"/>
          <w:color w:val="111111"/>
          <w:sz w:val="28"/>
          <w:szCs w:val="28"/>
          <w:rtl/>
        </w:rPr>
        <w:t xml:space="preserve">فاعلم : أنّ الحقّ کما علیه أهله - وفاقاً للمعتزلة وخلافاً للأشاعرة - هو اتّحاد الطلب والإرادة ، بمعنی أنّ لفظیهما موضوعان بإزاء مفهوم واحد ، وما بإزاء أحدهما فی الخارج یکون بإزاء الآخر ، والطلب المُنشأ بلفظه أو بغیره عین الإرادة الإنشائیّة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هما متّحدان مفهوماً وإنشاءً وخارجاً ، لا أنّ الطلب الإنشائیّ الّذی هو المنصرف إلیه إطلاقه - کما عرفت - متّحدٌ مع الإرادة الحقیقیّة الّتی ینصرف إلیها إطلاقها أیضاً ؛ ضرورةَ أنّ المغایرة بینهما أظهرُ من الشمس وأبینُ من الأمس .</w:t>
      </w:r>
    </w:p>
    <w:p>
      <w:pPr>
        <w:pStyle w:val="Heading6"/>
      </w:pPr>
      <w:bookmarkStart w:id="713" w:name="_Toc153"/>
      <w:r>
        <w:t>لا صفة فی النفس غیر الإرادة تسمّی بالطلب</w:t>
      </w:r>
      <w:bookmarkEnd w:id="713"/>
    </w:p>
    <w:p>
      <w:pPr>
        <w:pStyle w:val="BookText"/>
      </w:pPr>
      <w:r>
        <w:rPr>
          <w:rFonts w:ascii="IRNazanin" w:hAnsi="IRNazanin" w:eastAsia="IRNazanin" w:cs="IRNazanin"/>
          <w:lang w:bidi="fa-IR"/>
          <w:color w:val="111111"/>
          <w:sz w:val="28"/>
          <w:szCs w:val="28"/>
          <w:rtl/>
        </w:rPr>
        <w:t xml:space="preserve">فإذا عرفت المراد من حدیث العینیّة والاتّحاد، ففی مراجعة الوجدان - عند طلب شیءٍ والأمر به حقیقةً - کفایةٌ ، فلا یحتاج إلی مزید بیانٍ وإقامة برهانٍ؛ فإنّ الإنسان لا یجد غیر الإرادة القائمة بالنفس صفةً أُخری قائمةً بها یکون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14419_166794"/>
    <w:bookmarkEnd w:id="65"/>
    <w:p>
      <w:pPr>
        <w:pStyle w:val="BookText"/>
      </w:pPr>
      <w:r>
        <w:rPr>
          <w:rFonts w:ascii="IRNazanin" w:hAnsi="IRNazanin" w:eastAsia="IRNazanin" w:cs="IRNazanin"/>
          <w:lang w:bidi="fa-IR"/>
          <w:color w:val="111111"/>
          <w:sz w:val="28"/>
          <w:szCs w:val="28"/>
          <w:rtl/>
        </w:rPr>
        <w:t xml:space="preserve">هو الطلب غیرها </w:t>
      </w:r>
      <w:r>
        <w:rPr>
          <w:rStyle w:val="FootnoteReference"/>
        </w:rPr>
        <w:footnoteReference w:id="242"/>
      </w:r>
      <w:r>
        <w:rPr>
          <w:rFonts w:ascii="IRNazanin" w:hAnsi="IRNazanin" w:eastAsia="IRNazanin" w:cs="IRNazanin"/>
          <w:lang w:bidi="fa-IR"/>
          <w:color w:val="111111"/>
          <w:sz w:val="28"/>
          <w:szCs w:val="28"/>
          <w:rtl/>
        </w:rPr>
        <w:t xml:space="preserve">، سوی ما هو مقدّمةُ تحقّقها عند خطور الشیء ، والمیل وهیجان الرغبة إلیه ، والتصدیق بفائدته </w:t>
      </w:r>
      <w:r>
        <w:rPr>
          <w:rStyle w:val="FootnoteReference"/>
        </w:rPr>
        <w:footnoteReference w:id="243"/>
      </w:r>
      <w:r>
        <w:rPr>
          <w:rFonts w:ascii="IRNazanin" w:hAnsi="IRNazanin" w:eastAsia="IRNazanin" w:cs="IRNazanin"/>
          <w:lang w:bidi="fa-IR"/>
          <w:color w:val="111111"/>
          <w:sz w:val="28"/>
          <w:szCs w:val="28"/>
          <w:rtl/>
        </w:rPr>
        <w:t xml:space="preserve">، وهو الجزم بدفع ما یوجب توقّفه عن طلبه لأجلها .</w:t>
      </w:r>
    </w:p>
    <w:p>
      <w:pPr>
        <w:pStyle w:val="BookText"/>
      </w:pPr>
      <w:r>
        <w:rPr>
          <w:rFonts w:ascii="IRNazanin" w:hAnsi="IRNazanin" w:eastAsia="IRNazanin" w:cs="IRNazanin"/>
          <w:lang w:bidi="fa-IR"/>
          <w:color w:val="111111"/>
          <w:sz w:val="28"/>
          <w:szCs w:val="28"/>
          <w:rtl/>
        </w:rPr>
        <w:t xml:space="preserve">وبالجملة: لا یکاد یکون غیر الصفات المعروفة والإرادة هناک صفة أُخری قائمة بها یکون هو الطلب </w:t>
      </w:r>
      <w:r>
        <w:rPr>
          <w:rStyle w:val="FootnoteReference"/>
        </w:rPr>
        <w:footnoteReference w:id="244"/>
      </w:r>
      <w:r>
        <w:rPr>
          <w:rFonts w:ascii="Amiri" w:hAnsi="Amiri" w:eastAsia="Amiri" w:cs="Amiri"/>
          <w:lang w:bidi="ar-SA"/>
          <w:color w:val="111111"/>
          <w:sz w:val="28"/>
          <w:szCs w:val="28"/>
          <w:rtl/>
        </w:rPr>
        <w:t xml:space="preserve">، فلا محیصَ </w:t>
      </w:r>
      <w:r>
        <w:rPr>
          <w:rStyle w:val="FootnoteReference"/>
        </w:rPr>
        <w:footnoteReference w:id="245"/>
      </w:r>
      <w:r>
        <w:rPr>
          <w:rFonts w:ascii="IRNazanin" w:hAnsi="IRNazanin" w:eastAsia="IRNazanin" w:cs="IRNazanin"/>
          <w:lang w:bidi="fa-IR"/>
          <w:color w:val="111111"/>
          <w:sz w:val="28"/>
          <w:szCs w:val="28"/>
          <w:rtl/>
        </w:rPr>
        <w:t xml:space="preserve">عن اتّحاد الإرادة والطلب ، وأن یکون ذلک الشوق المؤکّد - المستتبِع لتحریک العضلات فی إرادة فعله بالمباشرة ، أو المستتبع لأمر عبیده به فی ما لو أراده لا کذلک - مسمّیً ب « الطلب » و « الإرادة » ، کما یعبّر به تارةً وبها أُخری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الحال فی سائر الصیغ الإنشائیّة والجمل الخبریّة ، فإنّه لا یکون غیر الصفات المعروفة القائمة بالنفس - من الترجّی والتمنّی والعلم إلی غیر ذلک - صفة أُخری ، کانت قائمة بالنفس وقد دلّ اللفظ علیها ،</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قیل </w:t>
      </w:r>
      <w:r>
        <w:rPr>
          <w:rStyle w:val="FootnoteReference"/>
        </w:rPr>
        <w:footnoteReference w:id="246"/>
      </w:r>
      <w:r>
        <w:rPr>
          <w:rFonts w:ascii="IRNazanin" w:hAnsi="IRNazanin" w:eastAsia="IRNazanin" w:cs="IRNazanin"/>
          <w:lang w:bidi="fa-IR"/>
          <w:color w:val="111111"/>
          <w:sz w:val="28"/>
          <w:szCs w:val="28"/>
          <w:rtl/>
        </w:rPr>
        <w:t xml:space="preserve">: إنّ الکلام لفی الفؤاد وإنّما جُعل اللسان علی الفؤاد دلیلاً</w:t>
      </w:r>
    </w:p>
    <w:p>
      <w:pPr>
        <w:pStyle w:val="Heading6"/>
      </w:pPr>
      <w:bookmarkStart w:id="714" w:name="_Toc154"/>
      <w:r>
        <w:t>استدلال الأشاعرة علی مغایرة الطلب والإرادة والإشکال علیه</w:t>
      </w:r>
      <w:bookmarkEnd w:id="714"/>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14419_166795"/>
    <w:bookmarkEnd w:id="66"/>
    <w:p>
      <w:pPr>
        <w:pStyle w:val="BookText"/>
      </w:pPr>
      <w:r>
        <w:rPr>
          <w:rFonts w:ascii="IRNazanin" w:hAnsi="IRNazanin" w:eastAsia="IRNazanin" w:cs="IRNazanin"/>
          <w:lang w:bidi="fa-IR"/>
          <w:color w:val="111111"/>
          <w:sz w:val="28"/>
          <w:szCs w:val="28"/>
          <w:rtl/>
        </w:rPr>
        <w:t xml:space="preserve">وقد انقدح بما حقّقناه ما فی استدلال الأشاعرة علی المغایرة - بالأمر مع عدم الإرادة ، کما فی صورتی الاختبار والاعتذار - من الخلل ؛ فإنّه کما لا إرادة حقیقةً فی الصورتین لا طلب کذلک فیهما ، والّذی یکون فیهما إنّما هو الطلب الإنشائیّ الإیقاعیّ الّذی هو مدلول الصیغة أو المادّة ، ولم یکن بیّناً ولا مبیّناً فی الاستدلال مغایرتُهُ مع الإرادة الإنشائیّة .</w:t>
      </w:r>
    </w:p>
    <w:p>
      <w:pPr>
        <w:pStyle w:val="BookText"/>
      </w:pPr>
      <w:r>
        <w:rPr>
          <w:rFonts w:ascii="IRNazanin" w:hAnsi="IRNazanin" w:eastAsia="IRNazanin" w:cs="IRNazanin"/>
          <w:lang w:bidi="fa-IR"/>
          <w:color w:val="111111"/>
          <w:sz w:val="28"/>
          <w:szCs w:val="28"/>
          <w:rtl/>
        </w:rPr>
        <w:t xml:space="preserve">وبالجملة: الّذی یتکفّله الدلیل لیس إلّاالانفکاک بین الإرادة الحقیقیّة والطلب المنشأ بالصیغة ، الکاشف عن مغایرتهما ، وهو ممّا لا محیصَ عن الالتزام به - کما عرفت </w:t>
      </w:r>
      <w:r>
        <w:rPr>
          <w:rStyle w:val="FootnoteReference"/>
        </w:rPr>
        <w:footnoteReference w:id="247"/>
      </w:r>
      <w:r>
        <w:rPr>
          <w:rFonts w:ascii="IRNazanin" w:hAnsi="IRNazanin" w:eastAsia="IRNazanin" w:cs="IRNazanin"/>
          <w:lang w:bidi="fa-IR"/>
          <w:color w:val="111111"/>
          <w:sz w:val="28"/>
          <w:szCs w:val="28"/>
          <w:rtl/>
        </w:rPr>
        <w:t xml:space="preserve">- ، ولکنّه لا یضرّ بدعوی الاتّحاد أصلاً ؛ لمکان هذه المغایرة والانفکاک بین الطلب الحقیقیّ والإنشائیّ ، کما لا یخفی .</w:t>
      </w:r>
    </w:p>
    <w:p>
      <w:pPr>
        <w:pStyle w:val="Heading6"/>
      </w:pPr>
      <w:bookmarkStart w:id="715" w:name="_Toc155"/>
      <w:r>
        <w:t>المصالحة بین الطرفین</w:t>
      </w:r>
      <w:bookmarkEnd w:id="715"/>
    </w:p>
    <w:p>
      <w:pPr>
        <w:pStyle w:val="BookText"/>
      </w:pPr>
      <w:r>
        <w:rPr>
          <w:rFonts w:ascii="IRNazanin" w:hAnsi="IRNazanin" w:eastAsia="IRNazanin" w:cs="IRNazanin"/>
          <w:lang w:bidi="fa-IR"/>
          <w:color w:val="111111"/>
          <w:sz w:val="28"/>
          <w:szCs w:val="28"/>
          <w:rtl/>
        </w:rPr>
        <w:t xml:space="preserve">ثمّ إنّه یمکن - ممّا حقّقناه - أن یقع الصلح بین الطرفین ، ولم یکن نزاعٌ فی البین ، بأن یکون المراد بحدیث الاتّحاد ما عرفت من العینیّة مفهوماً ووجوداً ، حقیقیّاً وإنشائیّاً ، ویکون المراد بالمغایرة والاثنینیّة هو اثنینیّة الإنشائیّ من الطلب - کما هو کثیراً ما یراد من إطلاق لفظه - والحقیقیّ </w:t>
      </w:r>
      <w:r>
        <w:rPr>
          <w:rStyle w:val="FootnoteReference"/>
        </w:rPr>
        <w:footnoteReference w:id="248"/>
      </w:r>
      <w:r>
        <w:rPr>
          <w:rFonts w:ascii="IRNazanin" w:hAnsi="IRNazanin" w:eastAsia="IRNazanin" w:cs="IRNazanin"/>
          <w:lang w:bidi="fa-IR"/>
          <w:color w:val="111111"/>
          <w:sz w:val="28"/>
          <w:szCs w:val="28"/>
          <w:rtl/>
        </w:rPr>
        <w:t xml:space="preserve">من الإرادة - کما هو المراد غالباً منها حین إطلاقها - ، فیرجع النزاع لفظیّاً ، فافهم .</w:t>
      </w:r>
    </w:p>
    <w:p>
      <w:pPr>
        <w:pStyle w:val="Heading6"/>
      </w:pPr>
      <w:bookmarkStart w:id="716" w:name="_Toc156"/>
      <w:r>
        <w:t>دفع وهْم فی فهم کلام الأصحاب والمعتزلة</w:t>
      </w:r>
      <w:bookmarkEnd w:id="7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دفعُ وهمٍ :</w:t>
      </w:r>
    </w:p>
    <w:p>
      <w:pPr>
        <w:pStyle w:val="BookText"/>
      </w:pPr>
      <w:r>
        <w:rPr>
          <w:rFonts w:ascii="IRNazanin" w:hAnsi="IRNazanin" w:eastAsia="IRNazanin" w:cs="IRNazanin"/>
          <w:lang w:bidi="fa-IR"/>
          <w:color w:val="111111"/>
          <w:sz w:val="28"/>
          <w:szCs w:val="28"/>
          <w:rtl/>
        </w:rPr>
        <w:t xml:space="preserve">لا یخفی: أنّه لیس غرض الأصحاب والمعتزلة من نفی غیر الصفات المشهورة ، - وأنّه لیس صفة أُخری قائمة بالنفس ، کانت کلاماً نفسیّاً مدلولاً للکلام اللفظیّ ، کما یقول به الأشاعرة - أنّ هذه الصفات المشهورة مدلولات للکلام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فماذا یکون مدلولاً علیه عند الأصحاب والمعتزلة؟</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14419_166796"/>
    <w:bookmarkEnd w:id="67"/>
    <w:p>
      <w:pPr>
        <w:pStyle w:val="Heading6"/>
      </w:pPr>
      <w:bookmarkStart w:id="717" w:name="_Toc157"/>
      <w:r>
        <w:t>مدلول الجملات الخبریة والإنشائیة عند الأصحاب والمعتزلة</w:t>
      </w:r>
      <w:bookmarkEnd w:id="717"/>
    </w:p>
    <w:p>
      <w:pPr>
        <w:pStyle w:val="BookText"/>
      </w:pPr>
      <w:r>
        <w:rPr>
          <w:rFonts w:ascii="IRNazanin" w:hAnsi="IRNazanin" w:eastAsia="IRNazanin" w:cs="IRNazanin"/>
          <w:lang w:bidi="fa-IR"/>
          <w:color w:val="111111"/>
          <w:sz w:val="28"/>
          <w:szCs w:val="28"/>
          <w:rtl/>
        </w:rPr>
        <w:t xml:space="preserve">قلت: أمّا الجمل الخبریّة فهی دالّة علی ثبوت النسبة بین طرفیها ، أو نفیها فی نفس الأمر من ذهنٍ أو خارجٍ ، ک « الإنسان نوعٌ » أو « کاتبٌ » .</w:t>
      </w:r>
    </w:p>
    <w:p>
      <w:pPr>
        <w:pStyle w:val="BookText"/>
      </w:pPr>
      <w:r>
        <w:rPr>
          <w:rFonts w:ascii="IRNazanin" w:hAnsi="IRNazanin" w:eastAsia="IRNazanin" w:cs="IRNazanin"/>
          <w:lang w:bidi="fa-IR"/>
          <w:color w:val="111111"/>
          <w:sz w:val="28"/>
          <w:szCs w:val="28"/>
          <w:rtl/>
        </w:rPr>
        <w:t xml:space="preserve">وأمّا الصیغ الإنشائیّة فهی - علی ما حقّقناه فی بعض فوائدنا </w:t>
      </w:r>
      <w:r>
        <w:rPr>
          <w:rStyle w:val="FootnoteReference"/>
        </w:rPr>
        <w:footnoteReference w:id="250"/>
      </w:r>
      <w:r>
        <w:rPr>
          <w:rFonts w:ascii="Amiri" w:hAnsi="Amiri" w:eastAsia="Amiri" w:cs="Amiri"/>
          <w:lang w:bidi="ar-SA"/>
          <w:color w:val="111111"/>
          <w:sz w:val="28"/>
          <w:szCs w:val="28"/>
          <w:rtl/>
        </w:rPr>
        <w:t xml:space="preserve">- موجِدةٌ لمعانیها فی نفس الأمر - أی: قُصِدَ </w:t>
      </w:r>
      <w:r>
        <w:rPr>
          <w:rStyle w:val="FootnoteReference"/>
        </w:rPr>
        <w:footnoteReference w:id="251"/>
      </w:r>
      <w:r>
        <w:rPr>
          <w:rFonts w:ascii="IRNazanin" w:hAnsi="IRNazanin" w:eastAsia="IRNazanin" w:cs="IRNazanin"/>
          <w:lang w:bidi="fa-IR"/>
          <w:color w:val="111111"/>
          <w:sz w:val="28"/>
          <w:szCs w:val="28"/>
          <w:rtl/>
        </w:rPr>
        <w:t xml:space="preserve">ثبوت معانیها وتحقّقُها بها - ، وهذا نحوٌ من الوجود ، وربما یکون هذا منشأ لانتزاع اعتبارٍ مترتّب علیه - شرعاً وعرفاً - آثارٌ ، کما هو الحال فی صیغ العقود والإیقاعات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لا مضایقة فی دلالة مثل صیغة الطلب والاستفهام والترجّی والتمنّی - بالدلالة الالتزامیّة - علی ثبوت هذه الصفات حقیقةً ، إمّا لأجل وضعها لإیقاعها - فی ما إذا کان الداعی إلیه ثبوت هذه الصفات - ، أو انصرافِ إطلاقها إلی هذه الصورة ، فلو لم تکن هناک قرینةٌ کان إنشاء الطلب أو الاستفهام أو غیرهما بصیغتها لأجل کون الطلب والاستفهام وغیرهما قائمةً بالنفس وضعاً أو إطلاقاً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718" w:name="_Toc158"/>
      <w:r>
        <w:t>الإشکال علی اتحاد الطلب والإرادة ودفعه</w:t>
      </w:r>
      <w:bookmarkEnd w:id="718"/>
    </w:p>
    <w:p>
      <w:pPr>
        <w:pStyle w:val="BookText"/>
      </w:pPr>
      <w:r>
        <w:rPr>
          <w:rFonts w:ascii="Amiri" w:hAnsi="Amiri" w:eastAsia="Amiri" w:cs="Amiri"/>
          <w:lang w:bidi="ar-SA"/>
          <w:color w:val="111111"/>
          <w:sz w:val="28"/>
          <w:szCs w:val="28"/>
          <w:rtl/>
        </w:rPr>
        <w:t xml:space="preserve">إشکالٌ ودفعٌ :</w:t>
      </w:r>
    </w:p>
    <w:p>
      <w:pPr>
        <w:pStyle w:val="BookText"/>
      </w:pPr>
      <w:r>
        <w:rPr>
          <w:rFonts w:ascii="IRNazanin" w:hAnsi="IRNazanin" w:eastAsia="IRNazanin" w:cs="IRNazanin"/>
          <w:lang w:bidi="fa-IR"/>
          <w:color w:val="111111"/>
          <w:sz w:val="28"/>
          <w:szCs w:val="28"/>
          <w:rtl/>
        </w:rPr>
        <w:t xml:space="preserve">أمّا الإشکال فهو : أنّه یلزم - بناءً علی اتّحاد الطلب والإرادة - فی تکلیف الکفّار بالإیمان ، بل مطلق أهل العصیان فی العمل بالأرکان ، إمّا أن لا یکون هناک تکلیفٌ جدّیّ ، إن لم یکن هناک إرادة ؛ حیث إنّه لا یکون حینئذٍ طلبٌ حقیقیٌّ ، واعتباره فی الطلب الجدّیّ ربما یکون من البدیهیّ ، وإن</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14419_166797"/>
    <w:bookmarkEnd w:id="68"/>
    <w:p>
      <w:pPr>
        <w:pStyle w:val="BookText"/>
      </w:pPr>
      <w:r>
        <w:rPr>
          <w:rFonts w:ascii="IRNazanin" w:hAnsi="IRNazanin" w:eastAsia="IRNazanin" w:cs="IRNazanin"/>
          <w:lang w:bidi="fa-IR"/>
          <w:color w:val="111111"/>
          <w:sz w:val="28"/>
          <w:szCs w:val="28"/>
          <w:rtl/>
        </w:rPr>
        <w:t xml:space="preserve">کان هناک إرادة فکیف تتخلّف عن المراد </w:t>
      </w:r>
      <w:r>
        <w:rPr>
          <w:rStyle w:val="FootnoteReference"/>
        </w:rPr>
        <w:footnoteReference w:id="253"/>
      </w:r>
      <w:r>
        <w:rPr>
          <w:rFonts w:ascii="IRNazanin" w:hAnsi="IRNazanin" w:eastAsia="IRNazanin" w:cs="IRNazanin"/>
          <w:lang w:bidi="fa-IR"/>
          <w:color w:val="111111"/>
          <w:sz w:val="28"/>
          <w:szCs w:val="28"/>
          <w:rtl/>
        </w:rPr>
        <w:t xml:space="preserve">؟ ولا تکاد تتخلّف ، إذا أراد اللّٰه شیئاً یقول له : کن ، فیکون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الدفع فهو : أنّ استحالة التخلّف إنّما تکون فی الإرادة التکوینیّة - وهی العلم بالنظام علی النحو الکامل التامّ - دون الإرادة التشریعیّة - وهی العلم بالمصلحة فی فعل المکلّف - ، وما لا محیصَ عنه فی التکلیف إنّما هو هذه الإرادة التشریعیّة ، لا التکوینیّة ، فإذا توافقتا فلابدّ من الإطاعة والإیمان ، وإذا تخالفتا فلا محیصَ عن أن یختار الکفر والعصیان .</w:t>
      </w:r>
    </w:p>
    <w:p>
      <w:pPr>
        <w:pStyle w:val="Heading6"/>
      </w:pPr>
      <w:bookmarkStart w:id="719" w:name="_Toc159"/>
      <w:r>
        <w:t>شبهة الجبروردّها</w:t>
      </w:r>
      <w:bookmarkEnd w:id="719"/>
    </w:p>
    <w:p>
      <w:pPr>
        <w:pStyle w:val="BookText"/>
      </w:pPr>
      <w:r>
        <w:rPr>
          <w:rFonts w:ascii="IRNazanin" w:hAnsi="IRNazanin" w:eastAsia="IRNazanin" w:cs="IRNazanin"/>
          <w:lang w:bidi="fa-IR"/>
          <w:color w:val="111111"/>
          <w:sz w:val="28"/>
          <w:szCs w:val="28"/>
          <w:rtl/>
        </w:rPr>
        <w:t xml:space="preserve">إن قلت: إذا کان الکفر والعصیان والإطاعة والإیمان بإرادته - تعالی - الّتی لا تکاد تتخلّف عن المراد ، فلا یصحّ أن یتعلّق بها التکلیف ؛ لکونها خارجةً عن الاختیار المعتبر فیه عقلاً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إنّما یخرج بذلک عن الاختیار لو لم یکن تعلّق الإرادة بها مسبوقاً </w:t>
      </w:r>
      <w:r>
        <w:rPr>
          <w:rStyle w:val="FootnoteReference"/>
        </w:rPr>
        <w:footnoteReference w:id="254"/>
      </w:r>
      <w:r>
        <w:rPr>
          <w:rFonts w:ascii="IRNazanin" w:hAnsi="IRNazanin" w:eastAsia="IRNazanin" w:cs="IRNazanin"/>
          <w:lang w:bidi="fa-IR"/>
          <w:color w:val="111111"/>
          <w:sz w:val="28"/>
          <w:szCs w:val="28"/>
          <w:rtl/>
        </w:rPr>
        <w:t xml:space="preserve">بمقدّماتها الاختیاریّة </w:t>
      </w:r>
      <w:r>
        <w:rPr>
          <w:rStyle w:val="FootnoteReference"/>
        </w:rPr>
        <w:footnoteReference w:id="255"/>
      </w:r>
      <w:r>
        <w:rPr>
          <w:rFonts w:ascii="IRNazanin" w:hAnsi="IRNazanin" w:eastAsia="IRNazanin" w:cs="IRNazanin"/>
          <w:lang w:bidi="fa-IR"/>
          <w:color w:val="111111"/>
          <w:sz w:val="28"/>
          <w:szCs w:val="28"/>
          <w:rtl/>
        </w:rPr>
        <w:t xml:space="preserve">، وإلّا فلابدّ من صدورها بالاختیار ، وإلّا لزم تخلّف إرادته عن مراده ، تعالی عن ذلک علوّاً کبیراً .</w:t>
      </w:r>
    </w:p>
    <w:p>
      <w:pPr>
        <w:pStyle w:val="Heading6"/>
      </w:pPr>
      <w:bookmarkStart w:id="720" w:name="_Toc160"/>
      <w:r>
        <w:t>الإشکال فی‌عقاب العاصی‌والجواب عنه</w:t>
      </w:r>
      <w:bookmarkEnd w:id="720"/>
    </w:p>
    <w:p>
      <w:pPr>
        <w:pStyle w:val="BookText"/>
      </w:pPr>
      <w:r>
        <w:rPr>
          <w:rFonts w:ascii="IRNazanin" w:hAnsi="IRNazanin" w:eastAsia="IRNazanin" w:cs="IRNazanin"/>
          <w:lang w:bidi="fa-IR"/>
          <w:color w:val="111111"/>
          <w:sz w:val="28"/>
          <w:szCs w:val="28"/>
          <w:rtl/>
        </w:rPr>
        <w:t xml:space="preserve">إن قلت: إنّ الکفر والعصیان - من الکافر والعاصی - ولو کانا مسبوقین بإرادتهما ، إلّاأنّهما منتهیان إلی ما لا بالاختیار ، کیف ؟ وقد سبقتهما </w:t>
      </w:r>
      <w:r>
        <w:rPr>
          <w:rStyle w:val="FootnoteReference"/>
        </w:rPr>
        <w:footnoteReference w:id="256"/>
      </w:r>
      <w:r>
        <w:rPr>
          <w:rFonts w:ascii="IRNazanin" w:hAnsi="IRNazanin" w:eastAsia="IRNazanin" w:cs="IRNazanin"/>
          <w:lang w:bidi="fa-IR"/>
          <w:color w:val="111111"/>
          <w:sz w:val="28"/>
          <w:szCs w:val="28"/>
          <w:rtl/>
        </w:rPr>
        <w:t xml:space="preserve">الإرادةُ الأزلیّة والمشیّة الإلهیّة ، ومعه کیف تصحّ المؤاخذة علی ما یکون بالأخرة بلا اختیار؟</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4419_166798"/>
    <w:bookmarkEnd w:id="69"/>
    <w:p>
      <w:pPr>
        <w:pStyle w:val="BookText"/>
      </w:pPr>
      <w:r>
        <w:rPr>
          <w:rFonts w:ascii="Amiri" w:hAnsi="Amiri" w:eastAsia="Amiri" w:cs="Amiri"/>
          <w:lang w:bidi="ar-SA"/>
          <w:color w:val="111111"/>
          <w:sz w:val="28"/>
          <w:szCs w:val="28"/>
          <w:rtl/>
        </w:rPr>
        <w:t xml:space="preserve">قلت: العقابُ إنّما یتبع </w:t>
      </w:r>
      <w:r>
        <w:rPr>
          <w:rStyle w:val="FootnoteReference"/>
        </w:rPr>
        <w:footnoteReference w:id="257"/>
      </w:r>
      <w:r>
        <w:rPr>
          <w:rFonts w:ascii="Amiri" w:hAnsi="Amiri" w:eastAsia="Amiri" w:cs="Amiri"/>
          <w:lang w:bidi="ar-SA"/>
          <w:color w:val="111111"/>
          <w:sz w:val="28"/>
          <w:szCs w:val="28"/>
          <w:rtl/>
        </w:rPr>
        <w:t xml:space="preserve">الکفر والعصیان التابعین للاختیار ، الناشئ عن مقدّماته ، الناشئة عن شقاوتهما الذاتیّة اللازمة لخصوص ذاتهما ، فإنّ السعیدَ سعیدٌ فی بَطْنِ امّه والشقیَّ شقیٌّ فی بَطْنِ امّه </w:t>
      </w:r>
      <w:r>
        <w:rPr>
          <w:rStyle w:val="FootnoteReference"/>
        </w:rPr>
        <w:footnoteReference w:id="258"/>
      </w:r>
      <w:r>
        <w:rPr>
          <w:rFonts w:ascii="IRNazanin" w:hAnsi="IRNazanin" w:eastAsia="IRNazanin" w:cs="IRNazanin"/>
          <w:lang w:bidi="fa-IR"/>
          <w:color w:val="111111"/>
          <w:sz w:val="28"/>
          <w:szCs w:val="28"/>
          <w:rtl/>
        </w:rPr>
        <w:t xml:space="preserve">، و « الناس معادن کمعادن الذهب والفضّة » </w:t>
      </w:r>
      <w:r>
        <w:rPr>
          <w:rStyle w:val="FootnoteReference"/>
        </w:rPr>
        <w:footnoteReference w:id="259"/>
      </w:r>
      <w:r>
        <w:rPr>
          <w:rFonts w:ascii="Amiri" w:hAnsi="Amiri" w:eastAsia="Amiri" w:cs="Amiri"/>
          <w:lang w:bidi="ar-SA"/>
          <w:color w:val="111111"/>
          <w:sz w:val="28"/>
          <w:szCs w:val="28"/>
          <w:rtl/>
        </w:rPr>
        <w:t xml:space="preserve">- کما فی الخبر - ، والذاتیّ لا یعلّل ، فانقطع سؤال : أنّه لِمَ جُعِلَ السعید سعیداً والشقیّ شقیّاً؟ فإنّ السعید سعیدٌ بنفسه والشقیّ شقیٌّ کذلک ، وإنّما أوجدهما اللّٰه - تعالی - .</w:t>
      </w:r>
    </w:p>
    <w:p>
      <w:pPr>
        <w:pStyle w:val="BookText"/>
      </w:pPr>
      <w:r>
        <w:rPr>
          <w:rFonts w:ascii="IRNazanin" w:hAnsi="IRNazanin" w:eastAsia="IRNazanin" w:cs="IRNazanin"/>
          <w:lang w:bidi="fa-IR"/>
          <w:color w:val="111111"/>
          <w:sz w:val="28"/>
          <w:szCs w:val="28"/>
          <w:rtl/>
        </w:rPr>
        <w:t xml:space="preserve">« قلم اینجا رسید سر بشکست » . قد انتهی الکلام فی المقام إلی ما ربما لا یسعه کثیر من الأفهام ، ومن اللّٰه الرشد والهدایة ، وبه الاعتصام .</w:t>
      </w:r>
    </w:p>
    <w:p>
      <w:pPr>
        <w:pStyle w:val="Heading6"/>
      </w:pPr>
      <w:bookmarkStart w:id="721" w:name="_Toc161"/>
      <w:r>
        <w:t>إشکالٌ آخرعلی اتحادالطلب والإرادةوالجواب عنه</w:t>
      </w:r>
      <w:bookmarkEnd w:id="7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وهمٌ ودفعٌ :</w:t>
      </w:r>
    </w:p>
    <w:p>
      <w:pPr>
        <w:pStyle w:val="BookText"/>
      </w:pPr>
      <w:r>
        <w:rPr>
          <w:rFonts w:ascii="IRNazanin" w:hAnsi="IRNazanin" w:eastAsia="IRNazanin" w:cs="IRNazanin"/>
          <w:lang w:bidi="fa-IR"/>
          <w:color w:val="111111"/>
          <w:sz w:val="28"/>
          <w:szCs w:val="28"/>
          <w:rtl/>
        </w:rPr>
        <w:t xml:space="preserve">لعلّک تقول: إذا کانت الإرادة التشریعیّة منه - تعالی - عین علمه بصلاح الفعل لزم - بناءً علی أن تکون عینَ الطلب - کونُ المنشأ بالصیغة فی الخطابات الإلهیّة هو العلم ، وهو بمکان من البطلان .</w:t>
      </w:r>
    </w:p>
    <w:p>
      <w:pPr>
        <w:pStyle w:val="BookText"/>
      </w:pPr>
      <w:r>
        <w:rPr>
          <w:rFonts w:ascii="IRNazanin" w:hAnsi="IRNazanin" w:eastAsia="IRNazanin" w:cs="IRNazanin"/>
          <w:lang w:bidi="fa-IR"/>
          <w:color w:val="111111"/>
          <w:sz w:val="28"/>
          <w:szCs w:val="28"/>
          <w:rtl/>
        </w:rPr>
        <w:t xml:space="preserve">لکنّک غفلت عن أنّ اتّحاد الإرادة مع العلم بالصلاح إنّما یکون خارجاً ، لا مفهوماً ، وقد عرفت </w:t>
      </w:r>
      <w:r>
        <w:rPr>
          <w:rStyle w:val="FootnoteReference"/>
        </w:rPr>
        <w:footnoteReference w:id="260"/>
      </w:r>
      <w:r>
        <w:rPr>
          <w:rFonts w:ascii="IRNazanin" w:hAnsi="IRNazanin" w:eastAsia="IRNazanin" w:cs="IRNazanin"/>
          <w:lang w:bidi="fa-IR"/>
          <w:color w:val="111111"/>
          <w:sz w:val="28"/>
          <w:szCs w:val="28"/>
          <w:rtl/>
        </w:rPr>
        <w:t xml:space="preserve">: أنّ المُنشأ لیس إلّاالمفهوم ، لا الطلب الخارجیّ ، ولا غَرْوَ أصلاً فی اتّحاد الإرادة والعلم عیناً وخارجاً ، بل لا محیصَ عنه فی جمیع صفاته - تعالی - ؛ لرجوع الصفات إلی ذاته المقدّسة . قال أمیرالمؤمنین علیه السلام :</w:t>
      </w:r>
    </w:p>
    <w:p>
      <w:pPr>
        <w:pStyle w:val="BookText"/>
      </w:pPr>
      <w:r>
        <w:rPr>
          <w:rFonts w:ascii="IRNazanin" w:hAnsi="IRNazanin" w:eastAsia="IRNazanin" w:cs="IRNazanin"/>
          <w:lang w:bidi="fa-IR"/>
          <w:color w:val="111111"/>
          <w:sz w:val="28"/>
          <w:szCs w:val="28"/>
          <w:rtl/>
        </w:rPr>
        <w:t xml:space="preserve">« وکمالُ توحیده الإخلاصُ له ، وکمالُ الإخلاص له نفیُ الصفات عنه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14419_166799"/>
    <w:bookmarkEnd w:id="70"/>
    <w:p>
      <w:pPr>
        <w:pStyle w:val="Heading6"/>
      </w:pPr>
      <w:bookmarkStart w:id="722" w:name="_Toc162"/>
      <w:r>
        <w:t>الفصل الثانی‌ : فی ما یتعلّق بصیغة الأمر</w:t>
      </w:r>
      <w:bookmarkEnd w:id="722"/>
    </w:p>
    <w:p>
      <w:pPr>
        <w:pStyle w:val="Heading6"/>
      </w:pPr>
      <w:bookmarkStart w:id="723" w:name="_Toc163"/>
      <w:r>
        <w:t>اشارة</w:t>
      </w:r>
      <w:bookmarkEnd w:id="723"/>
    </w:p>
    <w:p>
      <w:pPr>
        <w:pStyle w:val="BookText"/>
      </w:pPr>
      <w:r>
        <w:rPr>
          <w:rFonts w:ascii="IRNazanin" w:hAnsi="IRNazanin" w:eastAsia="IRNazanin" w:cs="IRNazanin"/>
          <w:lang w:bidi="fa-IR"/>
          <w:color w:val="111111"/>
          <w:sz w:val="28"/>
          <w:szCs w:val="28"/>
          <w:rtl/>
        </w:rPr>
        <w:t xml:space="preserve">وفیه مباحث:</w:t>
      </w:r>
    </w:p>
    <w:p>
      <w:pPr>
        <w:pStyle w:val="Heading6"/>
      </w:pPr>
      <w:bookmarkStart w:id="724" w:name="_Toc164"/>
      <w:r>
        <w:t>المبحث الأوّل : ‌معنی صیغةالأمر</w:t>
      </w:r>
      <w:bookmarkEnd w:id="724"/>
    </w:p>
    <w:p>
      <w:pPr>
        <w:pStyle w:val="Heading6"/>
      </w:pPr>
      <w:bookmarkStart w:id="725" w:name="_Toc165"/>
      <w:r>
        <w:t>اشارة</w:t>
      </w:r>
      <w:bookmarkEnd w:id="725"/>
    </w:p>
    <w:p>
      <w:pPr>
        <w:pStyle w:val="BookText"/>
      </w:pPr>
      <w:r>
        <w:rPr>
          <w:rFonts w:ascii="IRNazanin" w:hAnsi="IRNazanin" w:eastAsia="IRNazanin" w:cs="IRNazanin"/>
          <w:lang w:bidi="fa-IR"/>
          <w:color w:val="111111"/>
          <w:sz w:val="28"/>
          <w:szCs w:val="28"/>
          <w:rtl/>
        </w:rPr>
        <w:t xml:space="preserve">أنّه ربما یذکر للصیغة معانٍ قد استعملت فیها ، وقد عُدَّ منها : الترجّی ، والتمنّی ، والتهدید ، والإنذار ، والإهانة ، والإحتقار ، والتعجیز ، والتسخیر ... إلی غیر ذلک . وهذا کما تری ؛ ضرورةَ أنّ الصیغة ما استعملت فی واحدٍ منها ، بل لم تستعمل إلّافی إنشاء الطلب </w:t>
      </w:r>
      <w:r>
        <w:rPr>
          <w:rStyle w:val="FootnoteReference"/>
        </w:rPr>
        <w:footnoteReference w:id="262"/>
      </w:r>
      <w:r>
        <w:rPr>
          <w:rFonts w:ascii="IRNazanin" w:hAnsi="IRNazanin" w:eastAsia="IRNazanin" w:cs="IRNazanin"/>
          <w:lang w:bidi="fa-IR"/>
          <w:color w:val="111111"/>
          <w:sz w:val="28"/>
          <w:szCs w:val="28"/>
          <w:rtl/>
        </w:rPr>
        <w:t xml:space="preserve">، إلّاأنّ الداعی إلی ذلک کما یکون تارةً هو البعث والتحریک نحو المطلوب الواقعیّ ، یکون أُخری أحد هذه الاُمور ، کما لا یخفی .</w:t>
      </w:r>
    </w:p>
    <w:p>
      <w:pPr>
        <w:pStyle w:val="BookText"/>
      </w:pPr>
      <w:r>
        <w:rPr>
          <w:rFonts w:ascii="IRNazanin" w:hAnsi="IRNazanin" w:eastAsia="IRNazanin" w:cs="IRNazanin"/>
          <w:lang w:bidi="fa-IR"/>
          <w:color w:val="111111"/>
          <w:sz w:val="28"/>
          <w:szCs w:val="28"/>
          <w:rtl/>
        </w:rPr>
        <w:t xml:space="preserve">قصاری ما یمکن أن یُدَّعی أن تکون الصیغة موضوعةً لإنشاء الطلب فی ما إذا کان بداعی البعث والتحریک ، لا بداعٍ آخر منها ، فیکون إنشاء الطلب بها بعثاً حقیقةً ، وإنشاؤه بها تهدیداً مجازاً . وهذا غیر کونها مستعملةً فی التهدید وغیره ، فلا تغفل .</w:t>
      </w:r>
    </w:p>
    <w:p>
      <w:pPr>
        <w:pStyle w:val="Heading6"/>
      </w:pPr>
      <w:bookmarkStart w:id="726" w:name="_Toc166"/>
      <w:r>
        <w:t>الکلام فی سائرالصیغ الإنشائیّة</w:t>
      </w:r>
      <w:bookmarkEnd w:id="7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إیقاظ:</w:t>
      </w:r>
    </w:p>
    <w:p>
      <w:pPr>
        <w:pStyle w:val="BookText"/>
      </w:pPr>
      <w:r>
        <w:rPr>
          <w:rFonts w:ascii="IRNazanin" w:hAnsi="IRNazanin" w:eastAsia="IRNazanin" w:cs="IRNazanin"/>
          <w:lang w:bidi="fa-IR"/>
          <w:color w:val="111111"/>
          <w:sz w:val="28"/>
          <w:szCs w:val="28"/>
          <w:rtl/>
        </w:rPr>
        <w:t xml:space="preserve">لا یخفی: أنّ ما ذکرناه فی صیغة الأمر جارٍ فی سائر الصیغ الإنشائیّة ،</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4419_166800"/>
    <w:bookmarkEnd w:id="71"/>
    <w:p>
      <w:pPr>
        <w:pStyle w:val="BookText"/>
      </w:pPr>
      <w:r>
        <w:rPr>
          <w:rFonts w:ascii="IRNazanin" w:hAnsi="IRNazanin" w:eastAsia="IRNazanin" w:cs="IRNazanin"/>
          <w:lang w:bidi="fa-IR"/>
          <w:color w:val="111111"/>
          <w:sz w:val="28"/>
          <w:szCs w:val="28"/>
          <w:rtl/>
        </w:rPr>
        <w:t xml:space="preserve">فکما یکون الداعی إلی إنشاء التمنّی أو الترجّی أو الاستفهام بصیغها تارةً هو ثبوت هذه الصفات حقیقةً ، یکون الداعی غیرَها أُخری .</w:t>
      </w:r>
    </w:p>
    <w:p>
      <w:pPr>
        <w:pStyle w:val="Heading6"/>
      </w:pPr>
      <w:bookmarkStart w:id="727" w:name="_Toc167"/>
      <w:r>
        <w:t>توهّم انسلاخ صیغ الإنشاء عن معانیها إذا وقعت فی کلامه تعالی والجواب عنه</w:t>
      </w:r>
      <w:bookmarkEnd w:id="727"/>
    </w:p>
    <w:p>
      <w:pPr>
        <w:pStyle w:val="BookText"/>
      </w:pPr>
      <w:r>
        <w:rPr>
          <w:rFonts w:ascii="IRNazanin" w:hAnsi="IRNazanin" w:eastAsia="IRNazanin" w:cs="IRNazanin"/>
          <w:lang w:bidi="fa-IR"/>
          <w:color w:val="111111"/>
          <w:sz w:val="28"/>
          <w:szCs w:val="28"/>
          <w:rtl/>
        </w:rPr>
        <w:t xml:space="preserve">فلا وجه للالتزام بانسلاخ صِیغها عنها واستعمالها فی غیرها ، إذا وقعت فی کلامه تعالی </w:t>
      </w:r>
      <w:r>
        <w:rPr>
          <w:rStyle w:val="FootnoteReference"/>
        </w:rPr>
        <w:footnoteReference w:id="263"/>
      </w:r>
      <w:r>
        <w:rPr>
          <w:rFonts w:ascii="IRNazanin" w:hAnsi="IRNazanin" w:eastAsia="IRNazanin" w:cs="IRNazanin"/>
          <w:lang w:bidi="fa-IR"/>
          <w:color w:val="111111"/>
          <w:sz w:val="28"/>
          <w:szCs w:val="28"/>
          <w:rtl/>
        </w:rPr>
        <w:t xml:space="preserve">- لاستحالة مثل هذه المعانی فی حقّه تبارک وتعالی ، ممّا لازمه العجز أو الجهل - ، وأنّه لا وجه له </w:t>
      </w:r>
      <w:r>
        <w:rPr>
          <w:rStyle w:val="FootnoteReference"/>
        </w:rPr>
        <w:footnoteReference w:id="264"/>
      </w:r>
      <w:r>
        <w:rPr>
          <w:rFonts w:ascii="IRNazanin" w:hAnsi="IRNazanin" w:eastAsia="IRNazanin" w:cs="IRNazanin"/>
          <w:lang w:bidi="fa-IR"/>
          <w:color w:val="111111"/>
          <w:sz w:val="28"/>
          <w:szCs w:val="28"/>
          <w:rtl/>
        </w:rPr>
        <w:t xml:space="preserve">؛ فإنّ المستحیل إنّما هو الحقیقیّ منها ، لا الإنشائیّ الإیقاعیّ الّذی یکون بمجرّد قصد حصوله بالصیغة ، کما عرفت .</w:t>
      </w:r>
    </w:p>
    <w:p>
      <w:pPr>
        <w:pStyle w:val="BookText"/>
      </w:pPr>
      <w:r>
        <w:rPr>
          <w:rFonts w:ascii="IRNazanin" w:hAnsi="IRNazanin" w:eastAsia="IRNazanin" w:cs="IRNazanin"/>
          <w:lang w:bidi="fa-IR"/>
          <w:color w:val="111111"/>
          <w:sz w:val="28"/>
          <w:szCs w:val="28"/>
          <w:rtl/>
        </w:rPr>
        <w:t xml:space="preserve">ففی کلامه - تعالی - قد استعملت فی معانیها الإیقاعیّة الإنشائیّة أیضاً ، لا لإظهار ثبوتها حقیقةً ، بل لأمرٍ آخر - حَسَب ما تقتضیه الحال - من إظهار المحبّة أو الإنکار أو التقریر ... إلی غیر ذلک .</w:t>
      </w:r>
    </w:p>
    <w:p>
      <w:pPr>
        <w:pStyle w:val="BookText"/>
      </w:pPr>
      <w:r>
        <w:rPr>
          <w:rFonts w:ascii="IRNazanin" w:hAnsi="IRNazanin" w:eastAsia="IRNazanin" w:cs="IRNazanin"/>
          <w:lang w:bidi="fa-IR"/>
          <w:color w:val="111111"/>
          <w:sz w:val="28"/>
          <w:szCs w:val="28"/>
          <w:rtl/>
        </w:rPr>
        <w:t xml:space="preserve">ومنه ظهر : أنّ ما ذُکر من المعانی الکثیرة لصیغة الاستفهام لیس کما ینبغی أیضاً .</w:t>
      </w:r>
    </w:p>
    <w:p>
      <w:pPr>
        <w:pStyle w:val="Heading6"/>
      </w:pPr>
      <w:bookmarkStart w:id="728" w:name="_Toc168"/>
      <w:r>
        <w:t>المبحث الثانی‌ : صیغة الأمرحقیقة فی‌الوجوب</w:t>
      </w:r>
      <w:bookmarkEnd w:id="728"/>
    </w:p>
    <w:p>
      <w:pPr>
        <w:pStyle w:val="Heading6"/>
      </w:pPr>
      <w:bookmarkStart w:id="729" w:name="_Toc169"/>
      <w:r>
        <w:t>اشارة</w:t>
      </w:r>
      <w:bookmarkEnd w:id="729"/>
    </w:p>
    <w:p>
      <w:pPr>
        <w:pStyle w:val="BookText"/>
      </w:pPr>
      <w:r>
        <w:rPr>
          <w:rFonts w:ascii="IRNazanin" w:hAnsi="IRNazanin" w:eastAsia="IRNazanin" w:cs="IRNazanin"/>
          <w:lang w:bidi="fa-IR"/>
          <w:color w:val="111111"/>
          <w:sz w:val="28"/>
          <w:szCs w:val="28"/>
          <w:rtl/>
        </w:rPr>
        <w:t xml:space="preserve">فی أنّ الصیغة حقیقةٌ فی الوجوب ، أو فی الندب ، أو فیهما ، أو فی المشترک بینهما ؟ وجوهٌ ، بل أقوال .</w:t>
      </w:r>
    </w:p>
    <w:p>
      <w:pPr>
        <w:pStyle w:val="BookText"/>
      </w:pPr>
      <w:r>
        <w:rPr>
          <w:rFonts w:ascii="IRNazanin" w:hAnsi="IRNazanin" w:eastAsia="IRNazanin" w:cs="IRNazanin"/>
          <w:lang w:bidi="fa-IR"/>
          <w:color w:val="111111"/>
          <w:sz w:val="28"/>
          <w:szCs w:val="28"/>
          <w:rtl/>
        </w:rPr>
        <w:t xml:space="preserve">لا یبعد تبادر الوجوب عند استعمالها بلا قرینة .</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14419_166801"/>
    <w:bookmarkEnd w:id="7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ویؤیّده : عدم صحّة الاعتذار عن المخالفة باحتمال إرادة الندب ، مع الاعتراف بعدم دلالته </w:t>
      </w:r>
      <w:r>
        <w:rPr>
          <w:rStyle w:val="FootnoteReference"/>
        </w:rPr>
        <w:footnoteReference w:id="265"/>
      </w:r>
      <w:r>
        <w:rPr>
          <w:rFonts w:ascii="Amiri" w:hAnsi="Amiri" w:eastAsia="Amiri" w:cs="Amiri"/>
          <w:lang w:bidi="ar-SA"/>
          <w:color w:val="111111"/>
          <w:sz w:val="28"/>
          <w:szCs w:val="28"/>
          <w:rtl/>
        </w:rPr>
        <w:t xml:space="preserve">علیه بحالٍ أو مقالٍ .</w:t>
      </w:r>
    </w:p>
    <w:p>
      <w:pPr>
        <w:pStyle w:val="Heading6"/>
      </w:pPr>
      <w:bookmarkStart w:id="730" w:name="_Toc170"/>
      <w:r>
        <w:t>المناقشة فی‌ما أفاده‌صاحب المعالم‌فی المقام</w:t>
      </w:r>
      <w:bookmarkEnd w:id="730"/>
    </w:p>
    <w:p>
      <w:pPr>
        <w:pStyle w:val="BookText"/>
      </w:pPr>
      <w:r>
        <w:rPr>
          <w:rFonts w:ascii="Amiri" w:hAnsi="Amiri" w:eastAsia="Amiri" w:cs="Amiri"/>
          <w:lang w:bidi="ar-SA"/>
          <w:color w:val="111111"/>
          <w:sz w:val="28"/>
          <w:szCs w:val="28"/>
          <w:rtl/>
        </w:rPr>
        <w:t xml:space="preserve">وکثرة الاستعمال فیه فی الکتاب والسنّة وغیرهما لا توجب نقْلَهُ إلیه ، أو حمْلَهُ علیه </w:t>
      </w:r>
      <w:r>
        <w:rPr>
          <w:rStyle w:val="FootnoteReference"/>
        </w:rPr>
        <w:footnoteReference w:id="266"/>
      </w:r>
      <w:r>
        <w:rPr>
          <w:rFonts w:ascii="IRNazanin" w:hAnsi="IRNazanin" w:eastAsia="IRNazanin" w:cs="IRNazanin"/>
          <w:lang w:bidi="fa-IR"/>
          <w:color w:val="111111"/>
          <w:sz w:val="28"/>
          <w:szCs w:val="28"/>
          <w:rtl/>
        </w:rPr>
        <w:t xml:space="preserve">؛ لکثرة استعماله فی الوجوب أیضاً ، مع أنّ الاستعمال وإن کثر فیه إلّاأنّه کان مع القرینة المصحوبة ، وکثرةُ الاستعمال کذلک فی المعنی المجازیّ لا توجب صیرورتَه مشهوراً فیه ، لیرجَّح أو یُتوقّف - علی الخلاف فی المجاز المشهور - . کیف ؟ وقد کثُر استعمال العامّ فی الخاصّ حتّی قیل: ما من عامّ إلّا وقد خصّ ، ولم ینثلم به ظهورُه فی العموم ، بل یحمل علیه ما لم تقم قرینة بالخصوص علی إرادة الخصوص .</w:t>
      </w:r>
    </w:p>
    <w:p>
      <w:pPr>
        <w:pStyle w:val="Heading6"/>
      </w:pPr>
      <w:bookmarkStart w:id="731" w:name="_Toc171"/>
      <w:r>
        <w:t>المبحث الثالث : مفاد الجمل الخبریّة المستعملة فی‌مقام الطلب</w:t>
      </w:r>
      <w:bookmarkEnd w:id="731"/>
    </w:p>
    <w:p>
      <w:pPr>
        <w:pStyle w:val="Heading6"/>
      </w:pPr>
      <w:bookmarkStart w:id="732" w:name="_Toc172"/>
      <w:r>
        <w:t>اشارة</w:t>
      </w:r>
      <w:bookmarkEnd w:id="732"/>
    </w:p>
    <w:p>
      <w:pPr>
        <w:pStyle w:val="BookText"/>
      </w:pPr>
      <w:r>
        <w:rPr>
          <w:rFonts w:ascii="IRNazanin" w:hAnsi="IRNazanin" w:eastAsia="IRNazanin" w:cs="IRNazanin"/>
          <w:lang w:bidi="fa-IR"/>
          <w:color w:val="111111"/>
          <w:sz w:val="28"/>
          <w:szCs w:val="28"/>
          <w:rtl/>
        </w:rPr>
        <w:t xml:space="preserve">المبحث الثالث </w:t>
      </w:r>
      <w:r>
        <w:rPr>
          <w:rStyle w:val="FootnoteReference"/>
        </w:rPr>
        <w:footnoteReference w:id="267"/>
      </w:r>
      <w:r>
        <w:rPr>
          <w:rFonts w:ascii="IRNazanin" w:hAnsi="IRNazanin" w:eastAsia="IRNazanin" w:cs="IRNazanin"/>
          <w:lang w:bidi="fa-IR"/>
          <w:color w:val="111111"/>
          <w:sz w:val="28"/>
          <w:szCs w:val="28"/>
          <w:rtl/>
        </w:rPr>
        <w:t xml:space="preserve">مفاد الجمل الخبریّة المستعملة فی‌مقام الطلب</w:t>
      </w:r>
    </w:p>
    <w:p>
      <w:pPr>
        <w:pStyle w:val="BookText"/>
      </w:pPr>
      <w:r>
        <w:rPr>
          <w:rFonts w:ascii="IRNazanin" w:hAnsi="IRNazanin" w:eastAsia="IRNazanin" w:cs="IRNazanin"/>
          <w:lang w:bidi="fa-IR"/>
          <w:color w:val="111111"/>
          <w:sz w:val="28"/>
          <w:szCs w:val="28"/>
          <w:rtl/>
        </w:rPr>
        <w:t xml:space="preserve">هل الجمل الخبریّة الّتی تستعمل فی مقام الطلب والبعث - مثل « یغتسل » و« یتوضّأ » و« یعید » - ظاهرةٌ فی الوجوب ، أو لا ؟ ؛ لتعدّد المجازات فیها ، ولیس الوجوب بأقواها ، بعدَ تعذُّرِ حملها علی معناها من الإخبار بثبوت النسبة ، والحکایة عن وقوعها :</w:t>
      </w:r>
    </w:p>
    <w:p>
      <w:pPr>
        <w:pStyle w:val="BookText"/>
      </w:pPr>
      <w:r>
        <w:rPr>
          <w:rFonts w:ascii="IRNazanin" w:hAnsi="IRNazanin" w:eastAsia="IRNazanin" w:cs="IRNazanin"/>
          <w:lang w:bidi="fa-IR"/>
          <w:color w:val="111111"/>
          <w:sz w:val="28"/>
          <w:szCs w:val="28"/>
          <w:rtl/>
        </w:rPr>
        <w:t xml:space="preserve">الظاهر : الأوّل ، بل تکون أظهر من الصیغة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ولکنّه لا یخفی : أنّه لیست الجمل الخبریّة الواقعة فی ذلک المقام - أی</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4419_166802"/>
    <w:bookmarkEnd w:id="73"/>
    <w:p>
      <w:pPr>
        <w:pStyle w:val="BookText"/>
      </w:pPr>
      <w:r>
        <w:rPr>
          <w:rFonts w:ascii="IRNazanin" w:hAnsi="IRNazanin" w:eastAsia="IRNazanin" w:cs="IRNazanin"/>
          <w:lang w:bidi="fa-IR"/>
          <w:color w:val="111111"/>
          <w:sz w:val="28"/>
          <w:szCs w:val="28"/>
          <w:rtl/>
        </w:rPr>
        <w:t xml:space="preserve">الطلب - مستعملةً فی غیر معناها ، بل تکون مستعملةً فیه ، إلّاأنّه لیس بداعی الإعلام ، بل بداعی البعث بنحوٍ آکد ؛ حیث إنّه أخبرَ بوقوع مطلوبه فی مقام طلبه ، إظهاراً بأنّه لا یرضی إلّابوقوعه ، فیکون آکدَ فی البعث من الصیغة ، کما هو الحال فی الصیغ الإنشائیّة - علی ما عرفت من أنّها أبداً تستعمل فی معانیها الإیقاعیّة لکن بدواعٍ اخر - ، کما مرّ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733" w:name="_Toc173"/>
      <w:r>
        <w:t>الإشکال فی أنّ‌الجمل الخبریة الطلبیّة مستعملة فی‌معناها الخبری والجواب عنه</w:t>
      </w:r>
      <w:bookmarkEnd w:id="733"/>
    </w:p>
    <w:p>
      <w:pPr>
        <w:pStyle w:val="BookText"/>
      </w:pPr>
      <w:r>
        <w:rPr>
          <w:rFonts w:ascii="IRNazanin" w:hAnsi="IRNazanin" w:eastAsia="IRNazanin" w:cs="IRNazanin"/>
          <w:lang w:bidi="fa-IR"/>
          <w:color w:val="111111"/>
          <w:sz w:val="28"/>
          <w:szCs w:val="28"/>
          <w:rtl/>
        </w:rPr>
        <w:t xml:space="preserve">لا یقال: کیف ؟ ویلزم الکذب کثیراً ؛ لکثرة عدم وقوع المطلوب کذلک فی الخارج ، تعالی اللّٰه وأولیاؤه عن ذلک علوّاً کبیراً .</w:t>
      </w:r>
    </w:p>
    <w:p>
      <w:pPr>
        <w:pStyle w:val="BookText"/>
      </w:pPr>
      <w:r>
        <w:rPr>
          <w:rFonts w:ascii="IRNazanin" w:hAnsi="IRNazanin" w:eastAsia="IRNazanin" w:cs="IRNazanin"/>
          <w:lang w:bidi="fa-IR"/>
          <w:color w:val="111111"/>
          <w:sz w:val="28"/>
          <w:szCs w:val="28"/>
          <w:rtl/>
        </w:rPr>
        <w:t xml:space="preserve">فإنّه یقال: إنّما یلزم الکذب إذا أُتی بها بداعی الإخبار والإعلام ، لا لداعی البعث . کیف ؟ وإلّا یلزم الکذب فی غالب الکنایات ، فمثل : « زیدٌ کثیر الرماد » أو « مهزول الفصیل » لا یکون کذباً إذا قیل کنایةً عن جُوده ، ولو لم یکن له رمادٌ أو فصیلٌ أصلاً ، وإنّما یکون کذباً إذا لم یکن بجواد ، فیکون الطلب بالخبر فی مقام التأکید أبلغ ؛ فإنّه مقال بمقتضی الحال ، هذا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أنّه إذا أُتی بها فی مقام البیان فمقدّمات الحکمة مقتضیةٌ لحملها علی الوجوب ؛ فإنّ تلک النکتة إن لم تکن موجبةً لظهورها فیه ، فلا أقلّ من کونها موجبةً لتعیُّنه من بین محتملات ما هو بصدده ؛ فإنّ شدّة مناسبة الإخبار بالوقوع مع الوجوب ، موجبةٌ لتعیُّن إرادته إذا کان بصدد البیان ، مع عدم نصب قرینة خاصّة علی غیره ، فافهم .</w:t>
      </w:r>
    </w:p>
    <w:p>
      <w:pPr>
        <w:pStyle w:val="Heading6"/>
      </w:pPr>
      <w:bookmarkStart w:id="734" w:name="_Toc174"/>
      <w:r>
        <w:t>المبحث الرابع : ‌هل صیغة الأمرظاهرة فی‌الوجوب ؟</w:t>
      </w:r>
      <w:bookmarkEnd w:id="734"/>
    </w:p>
    <w:p>
      <w:pPr>
        <w:pStyle w:val="Heading6"/>
      </w:pPr>
      <w:bookmarkStart w:id="735" w:name="_Toc175"/>
      <w:r>
        <w:t>اشارة</w:t>
      </w:r>
      <w:bookmarkEnd w:id="735"/>
    </w:p>
    <w:p>
      <w:pPr>
        <w:pStyle w:val="BookText"/>
      </w:pPr>
      <w:r>
        <w:rPr>
          <w:rFonts w:ascii="IRNazanin" w:hAnsi="IRNazanin" w:eastAsia="IRNazanin" w:cs="IRNazanin"/>
          <w:lang w:bidi="fa-IR"/>
          <w:color w:val="111111"/>
          <w:sz w:val="28"/>
          <w:szCs w:val="28"/>
          <w:rtl/>
        </w:rPr>
        <w:t xml:space="preserve">إنّه إذا سلّم أنّ الصیغة لا تکون حقیقةً فی الوجوب ، هل لا تکون ظاهرةً فیه أیضاً ، أو تکون؟</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4419_166803"/>
    <w:bookmarkEnd w:id="74"/>
    <w:p>
      <w:pPr>
        <w:pStyle w:val="Heading6"/>
      </w:pPr>
      <w:bookmarkStart w:id="736" w:name="_Toc176"/>
      <w:r>
        <w:t>دعوی ظهورالصیغة فی‌الوجوب‌والکلام فیها</w:t>
      </w:r>
      <w:bookmarkEnd w:id="736"/>
    </w:p>
    <w:p>
      <w:pPr>
        <w:pStyle w:val="BookText"/>
      </w:pPr>
      <w:r>
        <w:rPr>
          <w:rFonts w:ascii="IRNazanin" w:hAnsi="IRNazanin" w:eastAsia="IRNazanin" w:cs="IRNazanin"/>
          <w:lang w:bidi="fa-IR"/>
          <w:color w:val="111111"/>
          <w:sz w:val="28"/>
          <w:szCs w:val="28"/>
          <w:rtl/>
        </w:rPr>
        <w:t xml:space="preserve">قیل بظهورها فیه ؛ إمّا لغلبة الاستعمال فیه ، أو لغلبة وجوده ، أو أکملیّته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 کما تری ؛ ضرورةَ أنّ الاستعمال فی الندب ، وکذا وجوده لیس بأقلّ لو لم یکن بأکثر .</w:t>
      </w:r>
    </w:p>
    <w:p>
      <w:pPr>
        <w:pStyle w:val="BookText"/>
      </w:pPr>
      <w:r>
        <w:rPr>
          <w:rFonts w:ascii="IRNazanin" w:hAnsi="IRNazanin" w:eastAsia="IRNazanin" w:cs="IRNazanin"/>
          <w:lang w:bidi="fa-IR"/>
          <w:color w:val="111111"/>
          <w:sz w:val="28"/>
          <w:szCs w:val="28"/>
          <w:rtl/>
        </w:rPr>
        <w:t xml:space="preserve">وأمّا الأکملیّة فغیرُ موجبةٍ للظهور ؛ إذ الظهور لا یکاد یکون إلّالشدّة انس اللفظ بالمعنی ، بحیث یصیر وجهاً له ، ومجرّد الأکملیّة لا یوجبه ، کما لا یخفی .</w:t>
      </w:r>
    </w:p>
    <w:p>
      <w:pPr>
        <w:pStyle w:val="Heading6"/>
      </w:pPr>
      <w:bookmarkStart w:id="737" w:name="_Toc177"/>
      <w:r>
        <w:t>مقتضی إطلاق‌الصیغة هوالحمل علی‌الوجوب</w:t>
      </w:r>
      <w:bookmarkEnd w:id="73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فی ما کان الآمر بصدد البیان فقضیّة مقدّمات الحکمة هو الحمل علی الوجوب ؛ فإنّ الندب کأنّه یحتاج إلی مؤونة بیان التحدید ، والتقیید بعدم المنع من الترک ، بخلاف الوجوب ، فإنّه لا تحدید فیه للطلب ولا تقیید ، فإطلاقُ اللفظ وعدم تقییده مع کون المطلِق فی مقام البیان کافٍ فی بیانه ، فافهم .</w:t>
      </w:r>
    </w:p>
    <w:p>
      <w:pPr>
        <w:pStyle w:val="Heading6"/>
      </w:pPr>
      <w:bookmarkStart w:id="738" w:name="_Toc178"/>
      <w:r>
        <w:t>المبحث الخامس : ‌إطلاق الصیغةهل یقتضی‌التوصلیة أم‌لابدّ من‌الرجوع إلی‌الأُصول ؟</w:t>
      </w:r>
      <w:bookmarkEnd w:id="738"/>
    </w:p>
    <w:p>
      <w:pPr>
        <w:pStyle w:val="Heading6"/>
      </w:pPr>
      <w:bookmarkStart w:id="739" w:name="_Toc179"/>
      <w:r>
        <w:t>اشارة</w:t>
      </w:r>
      <w:bookmarkEnd w:id="739"/>
    </w:p>
    <w:p>
      <w:pPr>
        <w:pStyle w:val="BookText"/>
      </w:pPr>
      <w:r>
        <w:rPr>
          <w:rFonts w:ascii="IRNazanin" w:hAnsi="IRNazanin" w:eastAsia="IRNazanin" w:cs="IRNazanin"/>
          <w:lang w:bidi="fa-IR"/>
          <w:color w:val="111111"/>
          <w:sz w:val="28"/>
          <w:szCs w:val="28"/>
          <w:rtl/>
        </w:rPr>
        <w:t xml:space="preserve">إنّ إطلاق الصیغة </w:t>
      </w:r>
      <w:r>
        <w:rPr>
          <w:rStyle w:val="FootnoteReference"/>
        </w:rPr>
        <w:footnoteReference w:id="270"/>
      </w:r>
      <w:r>
        <w:rPr>
          <w:rFonts w:ascii="IRNazanin" w:hAnsi="IRNazanin" w:eastAsia="IRNazanin" w:cs="IRNazanin"/>
          <w:lang w:bidi="fa-IR"/>
          <w:color w:val="111111"/>
          <w:sz w:val="28"/>
          <w:szCs w:val="28"/>
          <w:rtl/>
        </w:rPr>
        <w:t xml:space="preserve">هل یقتضی کونَ الوجوب توصّلیّاً - فیجزئ إتیانه مطلقاً ، ولو بدون قصد القربة - أو لا - فلابدّ من الرجوع فی ما شکّ فی تعبّدیّته وتوصّلیّته إلی الأصل - ؟</w:t>
      </w:r>
    </w:p>
    <w:p>
      <w:pPr>
        <w:pStyle w:val="BookText"/>
      </w:pPr>
      <w:r>
        <w:rPr>
          <w:rFonts w:ascii="IRNazanin" w:hAnsi="IRNazanin" w:eastAsia="IRNazanin" w:cs="IRNazanin"/>
          <w:lang w:bidi="fa-IR"/>
          <w:color w:val="111111"/>
          <w:sz w:val="28"/>
          <w:szCs w:val="28"/>
          <w:rtl/>
        </w:rPr>
        <w:t xml:space="preserve">لابدّ فی تحقیق ذلک من تمهید مقدّمات:</w:t>
      </w:r>
    </w:p>
    <w:p>
      <w:pPr>
        <w:pStyle w:val="Heading6"/>
      </w:pPr>
      <w:bookmarkStart w:id="740" w:name="_Toc180"/>
      <w:r>
        <w:t>1- معنی الواجب التوصّلی والتعبّدی</w:t>
      </w:r>
      <w:bookmarkEnd w:id="740"/>
    </w:p>
    <w:p>
      <w:pPr>
        <w:pStyle w:val="BookText"/>
      </w:pPr>
      <w:r>
        <w:rPr>
          <w:rFonts w:ascii="IRNazanin" w:hAnsi="IRNazanin" w:eastAsia="IRNazanin" w:cs="IRNazanin"/>
          <w:lang w:bidi="fa-IR"/>
          <w:color w:val="111111"/>
          <w:sz w:val="28"/>
          <w:szCs w:val="28"/>
          <w:rtl/>
        </w:rPr>
        <w:t xml:space="preserve">إحداها: الوجوبُ التوصّلیّ هو ما کان الغرض منه یحصل بمجرّد حصول</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4419_166804"/>
    <w:bookmarkEnd w:id="75"/>
    <w:p>
      <w:pPr>
        <w:pStyle w:val="BookText"/>
      </w:pPr>
      <w:r>
        <w:rPr>
          <w:rFonts w:ascii="IRNazanin" w:hAnsi="IRNazanin" w:eastAsia="IRNazanin" w:cs="IRNazanin"/>
          <w:lang w:bidi="fa-IR"/>
          <w:color w:val="111111"/>
          <w:sz w:val="28"/>
          <w:szCs w:val="28"/>
          <w:rtl/>
        </w:rPr>
        <w:t xml:space="preserve">الواجب ، ویسقط بمجرّد وجوده ، بخلاف التعبّدیّ ، فإنّ الغرض منه لا یکاد یحصل بذلک ، بل لابدّ - فی سقوطه وحصول غرضه - من الإتیان به متقربّاً به منه - تعالی - .</w:t>
      </w:r>
    </w:p>
    <w:p>
      <w:pPr>
        <w:pStyle w:val="Heading6"/>
      </w:pPr>
      <w:bookmarkStart w:id="741" w:name="_Toc181"/>
      <w:r>
        <w:t>2 - امتناع أخذقصد الامتثال‌شرعاً فی‌متعلق الأمر</w:t>
      </w:r>
      <w:bookmarkEnd w:id="741"/>
    </w:p>
    <w:p>
      <w:pPr>
        <w:pStyle w:val="BookText"/>
      </w:pPr>
      <w:r>
        <w:rPr>
          <w:rFonts w:ascii="IRNazanin" w:hAnsi="IRNazanin" w:eastAsia="IRNazanin" w:cs="IRNazanin"/>
          <w:lang w:bidi="fa-IR"/>
          <w:color w:val="111111"/>
          <w:sz w:val="28"/>
          <w:szCs w:val="28"/>
          <w:rtl/>
        </w:rPr>
        <w:t xml:space="preserve">ثانیتها: إنّ التقرّب المعتبر فی التعبّدیّ إن کان بمعنی قصد الإمتثال ، والإتیان بالواجب بداعی أمره ، کان ممّا یعتبر فی الطاعة عقلاً ، لا ممّا أُخذ فی نفس العبادة شرعاً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وذلک لاستحالة أخذ ما لا یکاد یتأتّی إلّامن قِبَل الأمر بشیءٍ فی متعلّق ذاک الأمر مطلقاً - شرطاً أو شطراً - . فما لم تکن نفس الصّلاة متعلّقةً للأمر لا یکاد یمکن إتیانها بقصد امتثال أمرها .</w:t>
      </w:r>
    </w:p>
    <w:p>
      <w:pPr>
        <w:pStyle w:val="BookText"/>
      </w:pPr>
      <w:r>
        <w:rPr>
          <w:rFonts w:ascii="IRNazanin" w:hAnsi="IRNazanin" w:eastAsia="IRNazanin" w:cs="IRNazanin"/>
          <w:lang w:bidi="fa-IR"/>
          <w:color w:val="111111"/>
          <w:sz w:val="28"/>
          <w:szCs w:val="28"/>
          <w:rtl/>
        </w:rPr>
        <w:t xml:space="preserve">توهّم إمکان اعتبار قصدالقربة فی‌العبادة والمناقشة فیه</w:t>
      </w:r>
    </w:p>
    <w:p>
      <w:pPr>
        <w:pStyle w:val="BookText"/>
      </w:pPr>
      <w:r>
        <w:rPr>
          <w:rFonts w:ascii="IRNazanin" w:hAnsi="IRNazanin" w:eastAsia="IRNazanin" w:cs="IRNazanin"/>
          <w:lang w:bidi="fa-IR"/>
          <w:color w:val="111111"/>
          <w:sz w:val="28"/>
          <w:szCs w:val="28"/>
          <w:rtl/>
        </w:rPr>
        <w:t xml:space="preserve">وتوهُّمُ إمکان تعلّق الأمر بفعل الصلاة بداعی الأمر ، وإمکانِ الإتیان بها بهذا الداعی ؛ ضرورةَ إمکانِ تصوّر الآمر لها </w:t>
      </w:r>
      <w:r>
        <w:rPr>
          <w:rStyle w:val="FootnoteReference"/>
        </w:rPr>
        <w:footnoteReference w:id="271"/>
      </w:r>
      <w:r>
        <w:rPr>
          <w:rFonts w:ascii="IRNazanin" w:hAnsi="IRNazanin" w:eastAsia="IRNazanin" w:cs="IRNazanin"/>
          <w:lang w:bidi="fa-IR"/>
          <w:color w:val="111111"/>
          <w:sz w:val="28"/>
          <w:szCs w:val="28"/>
          <w:rtl/>
        </w:rPr>
        <w:t xml:space="preserve">مقیّدةً ، والتمکّنِ من إتیانها کذلک بعدَ تعلُّقِ الأمر بها ، والمعتبرُ من القدرة المعتبرة عقلاً فی صحّة الأمر إنّما هو فی حال الإمتثال ، لا حال الأمر .</w:t>
      </w:r>
    </w:p>
    <w:p>
      <w:pPr>
        <w:pStyle w:val="BookText"/>
      </w:pPr>
      <w:r>
        <w:rPr>
          <w:rFonts w:ascii="IRNazanin" w:hAnsi="IRNazanin" w:eastAsia="IRNazanin" w:cs="IRNazanin"/>
          <w:lang w:bidi="fa-IR"/>
          <w:color w:val="111111"/>
          <w:sz w:val="28"/>
          <w:szCs w:val="28"/>
          <w:rtl/>
        </w:rPr>
        <w:t xml:space="preserve">واضح الفساد ؛ ضرورةَ أنّه وإن کان تصوّرها کذلک بمکانٍ من الإمکان ، إلّا أنّه لا یکاد یمکن الإتیان بها بداعی أمرها ؛ لعدم الأمر بها ، فإنّ الأمر حَسَب الفرض تعلَّقَ بها مقیّدةً بداعی الأمر ، ولا یکاد یدعو الأمر إلّاإلی ما تعلّق به ، لا إلی غیره .</w:t>
      </w:r>
    </w:p>
    <w:p>
      <w:pPr>
        <w:pStyle w:val="BookText"/>
      </w:pPr>
      <w:r>
        <w:rPr>
          <w:rFonts w:ascii="IRNazanin" w:hAnsi="IRNazanin" w:eastAsia="IRNazanin" w:cs="IRNazanin"/>
          <w:lang w:bidi="fa-IR"/>
          <w:color w:val="111111"/>
          <w:sz w:val="28"/>
          <w:szCs w:val="28"/>
          <w:rtl/>
        </w:rPr>
        <w:t xml:space="preserve">إن قلت: نعم ، ولکن نفس الصلاة أیضاً صارت مأموراً بها بالأمر بها مقیّدةً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قلت: کلّا ؛ لأنّ ذات المقیّد لا تکون مأموراً بها ؛ فإنّ الجزء التحلیلیّ العقلیّ لا یتّصف بالوجوب أصلاً ، فإنّه لیس إلّاوجودٌ واحدٌ واجبٌ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بالوجوب النفسیّ ، کما ربما یأتی فی باب المقدّمة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نعم ، لکنّه إذا أُخذ قصد الامتثال شرطاً ، وأمّا إذا أُخذ شطراً فلا محالة نفس الفعل الّذی تعلّق الوجوبُ به مع هذا القصد یکون متعلّقاً للوجوب ؛ إذ المرکّب لیس إلّانفس الأجزاء بالأسر ، ویکون تعلُّقُه بکلٍّ بعین تعلّقه بالکلّ ، ویصحّ أن یؤتی به بداعی ذاک الوجوب ؛ ضرورةَ صحّة الإتیان بأجزاء الواجب بداعی وجوبه .</w:t>
      </w:r>
    </w:p>
    <w:p>
      <w:pPr>
        <w:pStyle w:val="BookText"/>
      </w:pPr>
      <w:r>
        <w:rPr>
          <w:rFonts w:ascii="IRNazanin" w:hAnsi="IRNazanin" w:eastAsia="IRNazanin" w:cs="IRNazanin"/>
          <w:lang w:bidi="fa-IR"/>
          <w:color w:val="111111"/>
          <w:sz w:val="28"/>
          <w:szCs w:val="28"/>
          <w:rtl/>
        </w:rPr>
        <w:t xml:space="preserve">قلت: - مع امتناع اعتباره کذلک ؛ فإنّه یوجب تعلّق الوجوب بأمرٍ غیر اختیاریّ ؛ فإنّ الفعل وإن کان بالإرادة اختیاریّاً ، إلّا أنّ إرادتَهُ حیث لا تکون بإرادة أُخری - وإلّا لتسلسلت - لیست باختیاریّة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إنّما یصحّ الإتیان بجزء الواجب بداعی وجوبه فی ضمن إتیانه بهذا الداعی ، ولا یکاد یمکن الإتیانُ بالمرکّب من قصد الامتثال </w:t>
      </w:r>
      <w:r>
        <w:rPr>
          <w:rStyle w:val="FootnoteReference"/>
        </w:rPr>
        <w:footnoteReference w:id="274"/>
      </w:r>
      <w:r>
        <w:rPr>
          <w:rFonts w:ascii="IRNazanin" w:hAnsi="IRNazanin" w:eastAsia="IRNazanin" w:cs="IRNazanin"/>
          <w:lang w:bidi="fa-IR"/>
          <w:color w:val="111111"/>
          <w:sz w:val="28"/>
          <w:szCs w:val="28"/>
          <w:rtl/>
        </w:rPr>
        <w:t xml:space="preserve">بداعی امتثال أمره .</w:t>
      </w:r>
    </w:p>
    <w:p>
      <w:pPr>
        <w:pStyle w:val="BookText"/>
      </w:pPr>
      <w:r>
        <w:rPr>
          <w:rFonts w:ascii="IRNazanin" w:hAnsi="IRNazanin" w:eastAsia="IRNazanin" w:cs="IRNazanin"/>
          <w:lang w:bidi="fa-IR"/>
          <w:color w:val="111111"/>
          <w:sz w:val="28"/>
          <w:szCs w:val="28"/>
          <w:rtl/>
        </w:rPr>
        <w:t xml:space="preserve">دفع الإشکال‌بتعدّد الأمروالجواب عنه</w:t>
      </w:r>
    </w:p>
    <w:p>
      <w:pPr>
        <w:pStyle w:val="BookText"/>
      </w:pPr>
      <w:r>
        <w:rPr>
          <w:rFonts w:ascii="IRNazanin" w:hAnsi="IRNazanin" w:eastAsia="IRNazanin" w:cs="IRNazanin"/>
          <w:lang w:bidi="fa-IR"/>
          <w:color w:val="111111"/>
          <w:sz w:val="28"/>
          <w:szCs w:val="28"/>
          <w:rtl/>
        </w:rPr>
        <w:t xml:space="preserve">إن قلت: نعم ، لکن هذا کلّه إذا کان اعتباره فی المأمور به بأمرٍ واحدٍ ، وأمّا إذا کان بأمرین - تعلّق أحدهما بذات الفعل ، وثانیهما بإتیانه بداعی أمره - فلا محذور أصلاً ، کما لا یخفی </w:t>
      </w:r>
      <w:r>
        <w:rPr>
          <w:rStyle w:val="FootnoteReference"/>
        </w:rPr>
        <w:footnoteReference w:id="275"/>
      </w:r>
      <w:r>
        <w:rPr>
          <w:rFonts w:ascii="IRNazanin" w:hAnsi="IRNazanin" w:eastAsia="IRNazanin" w:cs="IRNazanin"/>
          <w:lang w:bidi="fa-IR"/>
          <w:color w:val="111111"/>
          <w:sz w:val="28"/>
          <w:szCs w:val="28"/>
          <w:rtl/>
        </w:rPr>
        <w:t xml:space="preserve">، فللآمر أن یتوسّل بذلک فی الوصلة إلی تمام غرضه ومقصده بلا شبهة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مضافاً إلی القطع بأنّه لیس فی العبادات إلّاأمر واحد ، کغیرها من الواجبات والمستحبّات ، غایة الأمر یدور مدار الامتثال وجوداً وعدماً فیها المثوبات والعقوبات ، بخلاف ما عداها ، فیدور فیه خصوص المثوبات ، وأمّا العقوبة فمترتّبة علی ترک الطاعة ومطلق الموافقة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إنّ الأمر الأوّل :</w:t>
      </w:r>
    </w:p>
    <w:p>
      <w:pPr>
        <w:pStyle w:val="BookText"/>
      </w:pPr>
      <w:r>
        <w:rPr>
          <w:rFonts w:ascii="IRNazanin" w:hAnsi="IRNazanin" w:eastAsia="IRNazanin" w:cs="IRNazanin"/>
          <w:lang w:bidi="fa-IR"/>
          <w:color w:val="111111"/>
          <w:sz w:val="28"/>
          <w:szCs w:val="28"/>
          <w:rtl/>
        </w:rPr>
        <w:t xml:space="preserve">إن کان یسقط بمجرّد موافقته ولو لم یقصد به الامتثال - کما هو قضیّة الأمر الثانی - فلا یبقی مجال لموافقة الثانی ، مع موافقة الأوّل بدون قصد امتثاله ، فلا یتوسّل الآمر إلی غرضه بهذه الحیلة والوسیلة .</w:t>
      </w:r>
    </w:p>
    <w:p>
      <w:pPr>
        <w:pStyle w:val="BookText"/>
      </w:pPr>
      <w:r>
        <w:rPr>
          <w:rFonts w:ascii="IRNazanin" w:hAnsi="IRNazanin" w:eastAsia="IRNazanin" w:cs="IRNazanin"/>
          <w:lang w:bidi="fa-IR"/>
          <w:color w:val="111111"/>
          <w:sz w:val="28"/>
          <w:szCs w:val="28"/>
          <w:rtl/>
        </w:rPr>
        <w:t xml:space="preserve">وإن لم یکد یسقط بذلک ، فلا یکاد یکون له وجهٌ إلّاعدمُ حصول غرضه بذلک من أمره ؛ لاستحالة سقوطه مع عدم حصوله ، وإلّا لما کان موجباً لحدوثه ، وعلیه فلا حاجة فی الوصول إلی غرضه إلی وسیلة تعدّد الأمر ؛ لاستقلال العقل - مع عدم حصول غرض الآمر بمجرّد موافقة الأمر - بوجوب الموافقة علی نحوٍ یحصل به غرضه ، فیسقط أمره .</w:t>
      </w:r>
    </w:p>
    <w:p>
      <w:pPr>
        <w:pStyle w:val="BookText"/>
      </w:pPr>
      <w:r>
        <w:rPr>
          <w:rFonts w:ascii="IRNazanin" w:hAnsi="IRNazanin" w:eastAsia="IRNazanin" w:cs="IRNazanin"/>
          <w:lang w:bidi="fa-IR"/>
          <w:color w:val="111111"/>
          <w:sz w:val="28"/>
          <w:szCs w:val="28"/>
          <w:rtl/>
        </w:rPr>
        <w:t xml:space="preserve">هذا کلّه إذا کان التقرّب المعتبر فی العبادة بمعنی قصد الامتثال .</w:t>
      </w:r>
    </w:p>
    <w:p>
      <w:pPr>
        <w:pStyle w:val="BookText"/>
      </w:pPr>
      <w:r>
        <w:rPr>
          <w:rFonts w:ascii="IRNazanin" w:hAnsi="IRNazanin" w:eastAsia="IRNazanin" w:cs="IRNazanin"/>
          <w:lang w:bidi="fa-IR"/>
          <w:color w:val="111111"/>
          <w:sz w:val="28"/>
          <w:szCs w:val="28"/>
          <w:rtl/>
        </w:rPr>
        <w:t xml:space="preserve">وأمّا إذا کان بمعنی الإتیان بالفعل بداعی حسنه ، أو کونه ذا مصلحة </w:t>
      </w:r>
      <w:r>
        <w:rPr>
          <w:rStyle w:val="FootnoteReference"/>
        </w:rPr>
        <w:footnoteReference w:id="277"/>
      </w:r>
      <w:r>
        <w:rPr>
          <w:rStyle w:val="FootnoteReference"/>
        </w:rPr>
        <w:footnoteReference w:id="278"/>
      </w:r>
      <w:r>
        <w:rPr>
          <w:rFonts w:ascii="IRNazanin" w:hAnsi="IRNazanin" w:eastAsia="IRNazanin" w:cs="IRNazanin"/>
          <w:lang w:bidi="fa-IR"/>
          <w:color w:val="111111"/>
          <w:sz w:val="28"/>
          <w:szCs w:val="28"/>
          <w:rtl/>
        </w:rPr>
        <w:t xml:space="preserve">، فاعتباره فی متعلّق الأمر وإن کان بمکانٍ من الإمکان ، إلّاأنّه غیر معتبر فیه قطعاً ؛ لکفایة الاقتصار علی قصد الامتثال ، الّذی عرفت عدم إمکان أخذه فیه بداهةً .</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4419_166807"/>
    <w:bookmarkEnd w:id="76"/>
    <w:p>
      <w:pPr>
        <w:pStyle w:val="BookText"/>
      </w:pPr>
      <w:r>
        <w:rPr>
          <w:rFonts w:ascii="IRNazanin" w:hAnsi="IRNazanin" w:eastAsia="IRNazanin" w:cs="IRNazanin"/>
          <w:lang w:bidi="fa-IR"/>
          <w:color w:val="111111"/>
          <w:sz w:val="28"/>
          <w:szCs w:val="28"/>
          <w:rtl/>
        </w:rPr>
        <w:t xml:space="preserve">تأمّل فی ما ذکرناه فی المقام ، تعرف حقیقةَ المرام ، کی لا تقع فی ما وقع فیه من الاشتباه بعضُ الأعلام .</w:t>
      </w:r>
    </w:p>
    <w:p>
      <w:pPr>
        <w:pStyle w:val="Heading6"/>
      </w:pPr>
      <w:bookmarkStart w:id="742" w:name="_Toc182"/>
      <w:r>
        <w:t>3 - امتناع التمسّک بإطلاق الأمر لإثبات التوصّلیّة</w:t>
      </w:r>
      <w:bookmarkEnd w:id="742"/>
    </w:p>
    <w:p>
      <w:pPr>
        <w:pStyle w:val="Heading6"/>
      </w:pPr>
      <w:bookmarkStart w:id="743" w:name="_Toc183"/>
      <w:r>
        <w:t>اشارة</w:t>
      </w:r>
      <w:bookmarkEnd w:id="743"/>
    </w:p>
    <w:p>
      <w:pPr>
        <w:pStyle w:val="BookText"/>
      </w:pPr>
      <w:r>
        <w:rPr>
          <w:rFonts w:ascii="IRNazanin" w:hAnsi="IRNazanin" w:eastAsia="IRNazanin" w:cs="IRNazanin"/>
          <w:lang w:bidi="fa-IR"/>
          <w:color w:val="111111"/>
          <w:sz w:val="28"/>
          <w:szCs w:val="28"/>
          <w:rtl/>
        </w:rPr>
        <w:t xml:space="preserve">ثالثتها </w:t>
      </w:r>
      <w:r>
        <w:rPr>
          <w:rStyle w:val="FootnoteReference"/>
        </w:rPr>
        <w:footnoteReference w:id="279"/>
      </w:r>
      <w:r>
        <w:rPr>
          <w:rFonts w:ascii="IRNazanin" w:hAnsi="IRNazanin" w:eastAsia="IRNazanin" w:cs="IRNazanin"/>
          <w:lang w:bidi="fa-IR"/>
          <w:color w:val="111111"/>
          <w:sz w:val="28"/>
          <w:szCs w:val="28"/>
          <w:rtl/>
        </w:rPr>
        <w:t xml:space="preserve">: إنّه إذا عرفت - بما لا مزید علیه - عدمَ إمکان أخذ قصد الامتثال فی المأمور به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فلا مجال للاستدلال بإطلاقه - ولو کان مسوقاً فی مقام البیان - علی عدم اعتباره ، کما هو أوضح من أن یخفی ، فلا یکاد یصحّ التمسّک به إلّافی ما یمکن اعتباره فیه .</w:t>
      </w:r>
    </w:p>
    <w:p>
      <w:pPr>
        <w:pStyle w:val="BookText"/>
      </w:pPr>
      <w:r>
        <w:rPr>
          <w:rFonts w:ascii="IRNazanin" w:hAnsi="IRNazanin" w:eastAsia="IRNazanin" w:cs="IRNazanin"/>
          <w:lang w:bidi="fa-IR"/>
          <w:color w:val="111111"/>
          <w:sz w:val="28"/>
          <w:szCs w:val="28"/>
          <w:rtl/>
        </w:rPr>
        <w:t xml:space="preserve">فانقدح بذلک : أنّه لا وجه لاستظهار التوصّلیّة من إطلاق الصیغة بمادّتها </w:t>
      </w:r>
      <w:r>
        <w:rPr>
          <w:rStyle w:val="FootnoteReference"/>
        </w:rPr>
        <w:footnoteReference w:id="280"/>
      </w:r>
      <w:r>
        <w:rPr>
          <w:rFonts w:ascii="IRNazanin" w:hAnsi="IRNazanin" w:eastAsia="IRNazanin" w:cs="IRNazanin"/>
          <w:lang w:bidi="fa-IR"/>
          <w:color w:val="111111"/>
          <w:sz w:val="28"/>
          <w:szCs w:val="28"/>
          <w:rtl/>
        </w:rPr>
        <w:t xml:space="preserve">، ولا لاستظهار عدم اعتبار مثل الوجه - ممّا هو ناشئ من قِبَل الأمر - من إطلاق المادّة فی العبادة لو شکّ فی اعتباره فیها .</w:t>
      </w:r>
    </w:p>
    <w:p>
      <w:pPr>
        <w:pStyle w:val="Heading6"/>
      </w:pPr>
      <w:bookmarkStart w:id="744" w:name="_Toc184"/>
      <w:r>
        <w:t>إمکان التمسّک بالإطلاق المقامی لإثبات التوصّلیّة</w:t>
      </w:r>
      <w:bookmarkEnd w:id="744"/>
    </w:p>
    <w:p>
      <w:pPr>
        <w:pStyle w:val="BookText"/>
      </w:pPr>
      <w:r>
        <w:rPr>
          <w:rFonts w:ascii="IRNazanin" w:hAnsi="IRNazanin" w:eastAsia="IRNazanin" w:cs="IRNazanin"/>
          <w:lang w:bidi="fa-IR"/>
          <w:color w:val="111111"/>
          <w:sz w:val="28"/>
          <w:szCs w:val="28"/>
          <w:rtl/>
        </w:rPr>
        <w:t xml:space="preserve">نعم ، إذا کان الآمر فی مقامٍ بصدد بیان تمام ما له دَخْلٌ فی حصول غرضه ، وإن لم یکن له دَخْلٌ فی متعلَّق أمره ، ومعه سکتَ فی المقام ، ولم ینصب دلالةً علی دَخْلِ قصد الامتثال فی حصوله ، کان هذا قرینةً علی عدم دخله فی غرضه ، وإلّا لکان سکوته نقضاً له وخلافَ الحکمة .</w:t>
      </w:r>
    </w:p>
    <w:p>
      <w:pPr>
        <w:pStyle w:val="Heading6"/>
      </w:pPr>
      <w:bookmarkStart w:id="745" w:name="_Toc185"/>
      <w:r>
        <w:t>مقتضی الأُصول العملیّة :</w:t>
      </w:r>
      <w:bookmarkEnd w:id="745"/>
    </w:p>
    <w:p>
      <w:pPr>
        <w:pStyle w:val="BookText"/>
      </w:pPr>
      <w:r>
        <w:rPr>
          <w:rFonts w:ascii="IRNazanin" w:hAnsi="IRNazanin" w:eastAsia="IRNazanin" w:cs="IRNazanin"/>
          <w:lang w:bidi="fa-IR"/>
          <w:color w:val="111111"/>
          <w:sz w:val="28"/>
          <w:szCs w:val="28"/>
          <w:rtl/>
        </w:rPr>
        <w:t xml:space="preserve">الاشتغال</w:t>
      </w:r>
    </w:p>
    <w:p>
      <w:pPr>
        <w:pStyle w:val="BookText"/>
      </w:pPr>
      <w:r>
        <w:rPr>
          <w:rFonts w:ascii="IRNazanin" w:hAnsi="IRNazanin" w:eastAsia="IRNazanin" w:cs="IRNazanin"/>
          <w:lang w:bidi="fa-IR"/>
          <w:color w:val="111111"/>
          <w:sz w:val="28"/>
          <w:szCs w:val="28"/>
          <w:rtl/>
        </w:rPr>
        <w:t xml:space="preserve">فلابدّ عند الشکّ وعدم إحراز هذا المقام من الرجوع إلی ما یقتضیه الأصل ، ویستقلّ به العقل .</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4419_166808"/>
    <w:bookmarkEnd w:id="77"/>
    <w:p>
      <w:pPr>
        <w:pStyle w:val="BookText"/>
      </w:pPr>
      <w:r>
        <w:rPr>
          <w:rFonts w:ascii="IRNazanin" w:hAnsi="IRNazanin" w:eastAsia="IRNazanin" w:cs="IRNazanin"/>
          <w:lang w:bidi="fa-IR"/>
          <w:color w:val="111111"/>
          <w:sz w:val="28"/>
          <w:szCs w:val="28"/>
          <w:rtl/>
        </w:rPr>
        <w:t xml:space="preserve">فاعلم: أنّه لا مجال هاهنا إلّالأصالة الاشتغال - ولو قیل بأصالة البراءة فی ما إذا دار الأمر بین الأقلّ والأکثر الارتباطیّین - ؛ وذلک لأن الشّک هاهنا فی الخروج عن عهدة التکلیف المعلوم ، مع استقلال العقل بلزوم الخروج عنها ، فلا یکون العقابُ - مع الشکّ وعدم إحراز الخروج - عقاباً بلا بیان ، والمؤاخذةُ علیه بلا برهان ؛ ضرورةَ أنّه بالعلم بالتکلیف تصحّ المؤاخذة علی المخالفة ، وعدم الخروج عن العهدة ، لو </w:t>
      </w:r>
      <w:r>
        <w:rPr>
          <w:rStyle w:val="FootnoteReference"/>
        </w:rPr>
        <w:footnoteReference w:id="281"/>
      </w:r>
      <w:r>
        <w:rPr>
          <w:rFonts w:ascii="Amiri" w:hAnsi="Amiri" w:eastAsia="Amiri" w:cs="Amiri"/>
          <w:lang w:bidi="ar-SA"/>
          <w:color w:val="111111"/>
          <w:sz w:val="28"/>
          <w:szCs w:val="28"/>
          <w:rtl/>
        </w:rPr>
        <w:t xml:space="preserve">اتّفق عدم الخروج عنها بمجرّد الموافقة بلا قصد القربة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وهکذا الحال فی کلّ ما شکّ فی </w:t>
      </w:r>
      <w:r>
        <w:rPr>
          <w:rStyle w:val="FootnoteReference"/>
        </w:rPr>
        <w:footnoteReference w:id="282"/>
      </w:r>
      <w:r>
        <w:rPr>
          <w:rFonts w:ascii="IRNazanin" w:hAnsi="IRNazanin" w:eastAsia="IRNazanin" w:cs="IRNazanin"/>
          <w:lang w:bidi="fa-IR"/>
          <w:color w:val="111111"/>
          <w:sz w:val="28"/>
          <w:szCs w:val="28"/>
          <w:rtl/>
        </w:rPr>
        <w:t xml:space="preserve">دخله فی الطاعة والخروج به عن العهدة ، ممّا لا یمکن اعتباره فی المأمور به ، کالوجه والتمییز .</w:t>
      </w:r>
    </w:p>
    <w:p>
      <w:pPr>
        <w:pStyle w:val="Heading6"/>
      </w:pPr>
      <w:bookmarkStart w:id="746" w:name="_Toc186"/>
      <w:r>
        <w:t>التفصیل بین القیود التی یغفل عنها العامّة وغیرها</w:t>
      </w:r>
      <w:bookmarkEnd w:id="746"/>
    </w:p>
    <w:p>
      <w:pPr>
        <w:pStyle w:val="BookText"/>
      </w:pPr>
      <w:r>
        <w:rPr>
          <w:rFonts w:ascii="IRNazanin" w:hAnsi="IRNazanin" w:eastAsia="IRNazanin" w:cs="IRNazanin"/>
          <w:lang w:bidi="fa-IR"/>
          <w:color w:val="111111"/>
          <w:sz w:val="28"/>
          <w:szCs w:val="28"/>
          <w:rtl/>
        </w:rPr>
        <w:t xml:space="preserve">نعم ، یمکن أن یقال: إنّ کلّ ما یحتمل بدواً دخله فی الإمتثال ، وکان </w:t>
      </w:r>
      <w:r>
        <w:rPr>
          <w:rStyle w:val="FootnoteReference"/>
        </w:rPr>
        <w:footnoteReference w:id="283"/>
      </w:r>
      <w:r>
        <w:rPr>
          <w:rFonts w:ascii="Amiri" w:hAnsi="Amiri" w:eastAsia="Amiri" w:cs="Amiri"/>
          <w:lang w:bidi="ar-SA"/>
          <w:color w:val="111111"/>
          <w:sz w:val="28"/>
          <w:szCs w:val="28"/>
          <w:rtl/>
        </w:rPr>
        <w:t xml:space="preserve">ممّا یغفل عنه غالباً العامّة ، کان علی الآمر بیانه ، ونصبُ قرینةٍ علی دَخْلِه واقعاً ، وإلّا لأخلّ بما هو همّه وغرضه . أمّا إذا لم ینصب دلالةً علی دخله کَشَفَ عن عدم دخله .</w:t>
      </w:r>
    </w:p>
    <w:p>
      <w:pPr>
        <w:pStyle w:val="BookText"/>
      </w:pPr>
      <w:r>
        <w:rPr>
          <w:rFonts w:ascii="IRNazanin" w:hAnsi="IRNazanin" w:eastAsia="IRNazanin" w:cs="IRNazanin"/>
          <w:lang w:bidi="fa-IR"/>
          <w:color w:val="111111"/>
          <w:sz w:val="28"/>
          <w:szCs w:val="28"/>
          <w:rtl/>
        </w:rPr>
        <w:t xml:space="preserve">وبذلک یمکن القطع بعدم دخل الوجه والتمییز </w:t>
      </w:r>
      <w:r>
        <w:rPr>
          <w:rStyle w:val="FootnoteReference"/>
        </w:rPr>
        <w:footnoteReference w:id="284"/>
      </w:r>
      <w:r>
        <w:rPr>
          <w:rFonts w:ascii="IRNazanin" w:hAnsi="IRNazanin" w:eastAsia="IRNazanin" w:cs="IRNazanin"/>
          <w:lang w:bidi="fa-IR"/>
          <w:color w:val="111111"/>
          <w:sz w:val="28"/>
          <w:szCs w:val="28"/>
          <w:rtl/>
        </w:rPr>
        <w:t xml:space="preserve">فی الطاعة بالعبادة ،</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4419_166809"/>
    <w:bookmarkEnd w:id="78"/>
    <w:p>
      <w:pPr>
        <w:pStyle w:val="BookText"/>
      </w:pPr>
      <w:r>
        <w:rPr>
          <w:rFonts w:ascii="IRNazanin" w:hAnsi="IRNazanin" w:eastAsia="IRNazanin" w:cs="IRNazanin"/>
          <w:lang w:bidi="fa-IR"/>
          <w:color w:val="111111"/>
          <w:sz w:val="28"/>
          <w:szCs w:val="28"/>
          <w:rtl/>
        </w:rPr>
        <w:t xml:space="preserve">حیث لیس منهما عینٌ ولا أثر فی الأخبار والآثار ، وکانا ممّا یغفل عنه العامّة ، وإن احتمل اعتبارَه </w:t>
      </w:r>
      <w:r>
        <w:rPr>
          <w:rStyle w:val="FootnoteReference"/>
        </w:rPr>
        <w:footnoteReference w:id="285"/>
      </w:r>
      <w:r>
        <w:rPr>
          <w:rFonts w:ascii="Amiri" w:hAnsi="Amiri" w:eastAsia="Amiri" w:cs="Amiri"/>
          <w:lang w:bidi="ar-SA"/>
          <w:color w:val="111111"/>
          <w:sz w:val="28"/>
          <w:szCs w:val="28"/>
          <w:rtl/>
        </w:rPr>
        <w:t xml:space="preserve">بعضُ الخاصّة </w:t>
      </w:r>
      <w:r>
        <w:rPr>
          <w:rStyle w:val="FootnoteReference"/>
        </w:rPr>
        <w:footnoteReference w:id="286"/>
      </w:r>
      <w:r>
        <w:rPr>
          <w:rFonts w:ascii="Amiri" w:hAnsi="Amiri" w:eastAsia="Amiri" w:cs="Amiri"/>
          <w:lang w:bidi="ar-SA"/>
          <w:color w:val="111111"/>
          <w:sz w:val="28"/>
          <w:szCs w:val="28"/>
          <w:rtl/>
        </w:rPr>
        <w:t xml:space="preserve">، فتدبّر جیّداً .</w:t>
      </w:r>
    </w:p>
    <w:p>
      <w:pPr>
        <w:pStyle w:val="Heading6"/>
      </w:pPr>
      <w:bookmarkStart w:id="747" w:name="_Toc187"/>
      <w:r>
        <w:t>عدم جریان البراءة الشرعیة فی المقام</w:t>
      </w:r>
      <w:bookmarkEnd w:id="747"/>
    </w:p>
    <w:p>
      <w:pPr>
        <w:pStyle w:val="BookText"/>
      </w:pPr>
      <w:r>
        <w:rPr>
          <w:rFonts w:ascii="IRNazanin" w:hAnsi="IRNazanin" w:eastAsia="IRNazanin" w:cs="IRNazanin"/>
          <w:lang w:bidi="fa-IR"/>
          <w:color w:val="111111"/>
          <w:sz w:val="28"/>
          <w:szCs w:val="28"/>
          <w:rtl/>
        </w:rPr>
        <w:t xml:space="preserve">ثمّ إنّه لا أظنّک أن تتوهّم وتقول: إنّ أدلّة البراءة الشرعیّة مقتضیة لعدم الاعتبار ، وإن کان قضیّة الاشتغال عقلاً هو الاعتبار ؛ لوضوح أنّه لابدّ فی عمومها من شیءٍ قابلٍ للرفع والوضع شرعاً ، ولیس هاهنا ؛ فإنّ دَخْلَ قصد القربة ونحوها فی الغرض لیس بشرعیّ ، بل واقعیٌّ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ودَخْلُ الجزء والشرط فیه وإن کان کذلک ، إلّاأنّهما قابلان للوضع والرفع شرعاً ، فبدلیل الرفع - ولو کان أصلاً - یُکشف أنّه لیس هناک أمر فعلیّ بما یعتبر فیه المشکوک ، یجب الخروج عن عهدته عقلاً ، بخلاف المقام ، فإنّه عُلم بثبوت الأمر الفعلیّ ، کما عرفت </w:t>
      </w:r>
      <w:r>
        <w:rPr>
          <w:rStyle w:val="FootnoteReference"/>
        </w:rPr>
        <w:footnoteReference w:id="287"/>
      </w:r>
      <w:r>
        <w:rPr>
          <w:rFonts w:ascii="IRNazanin" w:hAnsi="IRNazanin" w:eastAsia="IRNazanin" w:cs="IRNazanin"/>
          <w:lang w:bidi="fa-IR"/>
          <w:color w:val="111111"/>
          <w:sz w:val="28"/>
          <w:szCs w:val="28"/>
          <w:rtl/>
        </w:rPr>
        <w:t xml:space="preserve">، فافهم .</w:t>
      </w:r>
    </w:p>
    <w:p>
      <w:pPr>
        <w:pStyle w:val="Heading6"/>
      </w:pPr>
      <w:bookmarkStart w:id="748" w:name="_Toc188"/>
      <w:r>
        <w:t>المبحث السادس : مقتضی إطلاق الصیغة هو الوجوب النفسیّ التعیینیّ العینیّ</w:t>
      </w:r>
      <w:bookmarkEnd w:id="748"/>
    </w:p>
    <w:p>
      <w:pPr>
        <w:pStyle w:val="BookText"/>
      </w:pPr>
      <w:r>
        <w:rPr>
          <w:rFonts w:ascii="IRNazanin" w:hAnsi="IRNazanin" w:eastAsia="IRNazanin" w:cs="IRNazanin"/>
          <w:lang w:bidi="fa-IR"/>
          <w:color w:val="111111"/>
          <w:sz w:val="28"/>
          <w:szCs w:val="28"/>
          <w:rtl/>
        </w:rPr>
        <w:t xml:space="preserve">قضیّة إطلاق الصیغة کون الوجوب نفسیّاً، تعیینیّاً، عینیّاً؛ لکون کلّ واحد ممّا یقابلها یکون فیه تقیید الوجوب وتضییق دائرته </w:t>
      </w:r>
      <w:r>
        <w:rPr>
          <w:rStyle w:val="FootnoteReference"/>
        </w:rPr>
        <w:footnoteReference w:id="288"/>
      </w:r>
      <w:r>
        <w:rPr>
          <w:rFonts w:ascii="IRNazanin" w:hAnsi="IRNazanin" w:eastAsia="IRNazanin" w:cs="IRNazanin"/>
          <w:lang w:bidi="fa-IR"/>
          <w:color w:val="111111"/>
          <w:sz w:val="28"/>
          <w:szCs w:val="28"/>
          <w:rtl/>
        </w:rPr>
        <w:t xml:space="preserve">. فإذا کان فی مقام</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14419_166810"/>
    <w:bookmarkEnd w:id="79"/>
    <w:p>
      <w:pPr>
        <w:pStyle w:val="BookText"/>
      </w:pPr>
      <w:r>
        <w:rPr>
          <w:rFonts w:ascii="IRNazanin" w:hAnsi="IRNazanin" w:eastAsia="IRNazanin" w:cs="IRNazanin"/>
          <w:lang w:bidi="fa-IR"/>
          <w:color w:val="111111"/>
          <w:sz w:val="28"/>
          <w:szCs w:val="28"/>
          <w:rtl/>
        </w:rPr>
        <w:t xml:space="preserve">البیان، ولم ینصب قرینةً علیه، فالحکمة تقتضی کونَه مطلقاً، وجب هناک شیءٌ آخر أوْ لا ، أتی بشیءٍ آخر أوْ لا ، أتی به آخرُ أو لا ، کما هو واضح لا یخفی .</w:t>
      </w:r>
    </w:p>
    <w:p>
      <w:pPr>
        <w:pStyle w:val="Heading6"/>
      </w:pPr>
      <w:bookmarkStart w:id="749" w:name="_Toc189"/>
      <w:r>
        <w:t>المبحث السابع : وقوع الأمرعقیب الحظرأو ما یوهمه والأقوال فیه</w:t>
      </w:r>
      <w:bookmarkEnd w:id="749"/>
    </w:p>
    <w:p>
      <w:pPr>
        <w:pStyle w:val="Heading6"/>
      </w:pPr>
      <w:bookmarkStart w:id="750" w:name="_Toc190"/>
      <w:r>
        <w:t>اشارة</w:t>
      </w:r>
      <w:bookmarkEnd w:id="75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انّه اختلف القائلون بظهور صیغة الأمر فی الوجوب - وضعاً أو إطلاقاً - فی ما إذا وقع عقیب الحظر أو فی مقام توهّمِه علی أقوال :</w:t>
      </w:r>
    </w:p>
    <w:p>
      <w:pPr>
        <w:pStyle w:val="BookText"/>
      </w:pPr>
      <w:r>
        <w:rPr>
          <w:rFonts w:ascii="IRNazanin" w:hAnsi="IRNazanin" w:eastAsia="IRNazanin" w:cs="IRNazanin"/>
          <w:lang w:bidi="fa-IR"/>
          <w:color w:val="111111"/>
          <w:sz w:val="28"/>
          <w:szCs w:val="28"/>
          <w:rtl/>
        </w:rPr>
        <w:t xml:space="preserve">نُسِبَ إلی المشهور : ظهورها فی الإباحة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بعض العامّة : ظهورها فی الوجوب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وإلی بعضٍ : تبعیّتها </w:t>
      </w:r>
      <w:r>
        <w:rPr>
          <w:rStyle w:val="FootnoteReference"/>
        </w:rPr>
        <w:footnoteReference w:id="291"/>
      </w:r>
      <w:r>
        <w:rPr>
          <w:rFonts w:ascii="IRNazanin" w:hAnsi="IRNazanin" w:eastAsia="IRNazanin" w:cs="IRNazanin"/>
          <w:lang w:bidi="fa-IR"/>
          <w:color w:val="111111"/>
          <w:sz w:val="28"/>
          <w:szCs w:val="28"/>
          <w:rtl/>
        </w:rPr>
        <w:t xml:space="preserve">لما قبل النهی إن عُلّق الأمر بزوال علّة النهی </w:t>
      </w:r>
      <w:r>
        <w:rPr>
          <w:rStyle w:val="FootnoteReference"/>
        </w:rPr>
        <w:footnoteReference w:id="292"/>
      </w:r>
      <w:r>
        <w:rPr>
          <w:rFonts w:ascii="IRNazanin" w:hAnsi="IRNazanin" w:eastAsia="IRNazanin" w:cs="IRNazanin"/>
          <w:lang w:bidi="fa-IR"/>
          <w:color w:val="111111"/>
          <w:sz w:val="28"/>
          <w:szCs w:val="28"/>
          <w:rtl/>
        </w:rPr>
        <w:t xml:space="preserve">، إلی غیر ذلک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751" w:name="_Toc191"/>
      <w:r>
        <w:t>التحقیق : الالتزام‌ببقاء الصیغة علی‌ظهورها أوالالتزام بإجمالها</w:t>
      </w:r>
      <w:bookmarkEnd w:id="751"/>
    </w:p>
    <w:p>
      <w:pPr>
        <w:pStyle w:val="BookText"/>
      </w:pPr>
      <w:r>
        <w:rPr>
          <w:rFonts w:ascii="IRNazanin" w:hAnsi="IRNazanin" w:eastAsia="IRNazanin" w:cs="IRNazanin"/>
          <w:lang w:bidi="fa-IR"/>
          <w:color w:val="111111"/>
          <w:sz w:val="28"/>
          <w:szCs w:val="28"/>
          <w:rtl/>
        </w:rPr>
        <w:t xml:space="preserve">والتحقیق: أنّه لا مجال للتشبُّث بموارد الاستعمال </w:t>
      </w:r>
      <w:r>
        <w:rPr>
          <w:rStyle w:val="FootnoteReference"/>
        </w:rPr>
        <w:footnoteReference w:id="294"/>
      </w:r>
      <w:r>
        <w:rPr>
          <w:rFonts w:ascii="Amiri" w:hAnsi="Amiri" w:eastAsia="Amiri" w:cs="Amiri"/>
          <w:lang w:bidi="ar-SA"/>
          <w:color w:val="111111"/>
          <w:sz w:val="28"/>
          <w:szCs w:val="28"/>
          <w:rtl/>
        </w:rPr>
        <w:t xml:space="preserve">؛ فإنّه قلّ مورد منها</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0" w:name="pg14419_166811"/>
    <w:bookmarkEnd w:id="80"/>
    <w:p>
      <w:pPr>
        <w:pStyle w:val="BookText"/>
      </w:pPr>
      <w:r>
        <w:rPr>
          <w:rFonts w:ascii="IRNazanin" w:hAnsi="IRNazanin" w:eastAsia="IRNazanin" w:cs="IRNazanin"/>
          <w:lang w:bidi="fa-IR"/>
          <w:color w:val="111111"/>
          <w:sz w:val="28"/>
          <w:szCs w:val="28"/>
          <w:rtl/>
        </w:rPr>
        <w:t xml:space="preserve">یکون خالیاً عن قرینةٍ علی الوجوب ، أو الإباحة ، أو التبعیّة . ومع فرض التجرید عنها لم یظهر بعدُ کوْنُ </w:t>
      </w:r>
      <w:r>
        <w:rPr>
          <w:rStyle w:val="FootnoteReference"/>
        </w:rPr>
        <w:footnoteReference w:id="295"/>
      </w:r>
      <w:r>
        <w:rPr>
          <w:rFonts w:ascii="IRNazanin" w:hAnsi="IRNazanin" w:eastAsia="IRNazanin" w:cs="IRNazanin"/>
          <w:lang w:bidi="fa-IR"/>
          <w:color w:val="111111"/>
          <w:sz w:val="28"/>
          <w:szCs w:val="28"/>
          <w:rtl/>
        </w:rPr>
        <w:t xml:space="preserve">عقیب الحظر موجباً لظهورها فی غیر ما تکون ظاهرةً فیه ، غایة الأمر یکون موجباً لإجمالها ، غیرَ ظاهرةٍ فی واحدٍ منها إلّابقرینة أُخری ، کما أشرنا .</w:t>
      </w:r>
    </w:p>
    <w:p>
      <w:pPr>
        <w:pStyle w:val="Heading6"/>
      </w:pPr>
      <w:bookmarkStart w:id="752" w:name="_Toc192"/>
      <w:r>
        <w:t>المبحث الثامن‌ : عدم دلالةالصیغة علی‌المرّة والتکرار</w:t>
      </w:r>
      <w:bookmarkEnd w:id="752"/>
    </w:p>
    <w:p>
      <w:pPr>
        <w:pStyle w:val="Heading6"/>
      </w:pPr>
      <w:bookmarkStart w:id="753" w:name="_Toc193"/>
      <w:r>
        <w:t>اشارة</w:t>
      </w:r>
      <w:bookmarkEnd w:id="753"/>
    </w:p>
    <w:p>
      <w:pPr>
        <w:pStyle w:val="BookText"/>
      </w:pPr>
      <w:r>
        <w:rPr>
          <w:rFonts w:ascii="Amiri" w:hAnsi="Amiri" w:eastAsia="Amiri" w:cs="Amiri"/>
          <w:lang w:bidi="ar-SA"/>
          <w:color w:val="111111"/>
          <w:sz w:val="28"/>
          <w:szCs w:val="28"/>
          <w:rtl/>
        </w:rPr>
        <w:t xml:space="preserve">ألحقّ : أنّ الصیغة </w:t>
      </w:r>
      <w:r>
        <w:rPr>
          <w:rStyle w:val="FootnoteReference"/>
        </w:rPr>
        <w:footnoteReference w:id="296"/>
      </w:r>
      <w:r>
        <w:rPr>
          <w:rFonts w:ascii="IRNazanin" w:hAnsi="IRNazanin" w:eastAsia="IRNazanin" w:cs="IRNazanin"/>
          <w:lang w:bidi="fa-IR"/>
          <w:color w:val="111111"/>
          <w:sz w:val="28"/>
          <w:szCs w:val="28"/>
          <w:rtl/>
        </w:rPr>
        <w:t xml:space="preserve">مطلقاً لا دلالة لها علی المرّة ولا التکرار ؛ فإنّ المنصرف عنها لیس إلّاطلب إیجاد الطبیعة المأمور بها ، فلا دلالة لها علی أحدهما ، لا بهیئتها ولا بمادّتها .</w:t>
      </w:r>
    </w:p>
    <w:p>
      <w:pPr>
        <w:pStyle w:val="BookText"/>
      </w:pPr>
      <w:r>
        <w:rPr>
          <w:rFonts w:ascii="IRNazanin" w:hAnsi="IRNazanin" w:eastAsia="IRNazanin" w:cs="IRNazanin"/>
          <w:lang w:bidi="fa-IR"/>
          <w:color w:val="111111"/>
          <w:sz w:val="28"/>
          <w:szCs w:val="28"/>
          <w:rtl/>
        </w:rPr>
        <w:t xml:space="preserve">والاکتفاء بالمرّة فإنّما هو لحصول الإمتثال بها فی الأمر بالطبیعة ، کما لا یخفی .</w:t>
      </w:r>
    </w:p>
    <w:p>
      <w:pPr>
        <w:pStyle w:val="Heading6"/>
      </w:pPr>
      <w:bookmarkStart w:id="754" w:name="_Toc194"/>
      <w:r>
        <w:t>حصر الفصول‌النزاع فی الهیئةوالمناقشة فیه</w:t>
      </w:r>
      <w:bookmarkEnd w:id="754"/>
    </w:p>
    <w:p>
      <w:pPr>
        <w:pStyle w:val="BookText"/>
      </w:pPr>
      <w:r>
        <w:rPr>
          <w:rFonts w:ascii="Amiri" w:hAnsi="Amiri" w:eastAsia="Amiri" w:cs="Amiri"/>
          <w:lang w:bidi="ar-SA"/>
          <w:color w:val="111111"/>
          <w:sz w:val="28"/>
          <w:szCs w:val="28"/>
          <w:rtl/>
        </w:rPr>
        <w:t xml:space="preserve">ثمّ لا یذهب علیک : أنّ الاتّفاق علی أنّ المصدر المجرّد عن اللام والتنوین لا یدلّ إلّاعلی الماهیّة - علی ما حکاه السکّاکیّ </w:t>
      </w:r>
      <w:r>
        <w:rPr>
          <w:rStyle w:val="FootnoteReference"/>
        </w:rPr>
        <w:footnoteReference w:id="297"/>
      </w:r>
      <w:r>
        <w:rPr>
          <w:rFonts w:ascii="IRNazanin" w:hAnsi="IRNazanin" w:eastAsia="IRNazanin" w:cs="IRNazanin"/>
          <w:lang w:bidi="fa-IR"/>
          <w:color w:val="111111"/>
          <w:sz w:val="28"/>
          <w:szCs w:val="28"/>
          <w:rtl/>
        </w:rPr>
        <w:t xml:space="preserve">- لا یوجب کونَ النزاع هاهنا فی الهیئة - کما فی الفصول </w:t>
      </w:r>
      <w:r>
        <w:rPr>
          <w:rStyle w:val="FootnoteReference"/>
        </w:rPr>
        <w:footnoteReference w:id="298"/>
      </w:r>
      <w:r>
        <w:rPr>
          <w:rFonts w:ascii="Amiri" w:hAnsi="Amiri" w:eastAsia="Amiri" w:cs="Amiri"/>
          <w:lang w:bidi="ar-SA"/>
          <w:color w:val="111111"/>
          <w:sz w:val="28"/>
          <w:szCs w:val="28"/>
          <w:rtl/>
        </w:rPr>
        <w:t xml:space="preserve">- ، فإنّه غفلةٌ وذهولٌ عن أنّ </w:t>
      </w:r>
      <w:r>
        <w:rPr>
          <w:rStyle w:val="FootnoteReference"/>
        </w:rPr>
        <w:footnoteReference w:id="299"/>
      </w:r>
      <w:r>
        <w:rPr>
          <w:rFonts w:ascii="Amiri" w:hAnsi="Amiri" w:eastAsia="Amiri" w:cs="Amiri"/>
          <w:lang w:bidi="ar-SA"/>
          <w:color w:val="111111"/>
          <w:sz w:val="28"/>
          <w:szCs w:val="28"/>
          <w:rtl/>
        </w:rPr>
        <w:t xml:space="preserve">کون المصدر کذلک لا یوجب الاتّفاقَ علی أنّ مادّة الصیغة لا تدلّ إلّاعلی الماهیّة ؛ ضرورةَ</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1" w:name="pg14419_166812"/>
    <w:bookmarkEnd w:id="81"/>
    <w:p>
      <w:pPr>
        <w:pStyle w:val="BookText"/>
      </w:pPr>
      <w:r>
        <w:rPr>
          <w:rFonts w:ascii="IRNazanin" w:hAnsi="IRNazanin" w:eastAsia="IRNazanin" w:cs="IRNazanin"/>
          <w:lang w:bidi="fa-IR"/>
          <w:color w:val="111111"/>
          <w:sz w:val="28"/>
          <w:szCs w:val="28"/>
          <w:rtl/>
        </w:rPr>
        <w:t xml:space="preserve">أنّ المصدر لیس </w:t>
      </w:r>
      <w:r>
        <w:rPr>
          <w:rStyle w:val="FootnoteReference"/>
        </w:rPr>
        <w:footnoteReference w:id="300"/>
      </w:r>
      <w:r>
        <w:rPr>
          <w:rFonts w:ascii="IRNazanin" w:hAnsi="IRNazanin" w:eastAsia="IRNazanin" w:cs="IRNazanin"/>
          <w:lang w:bidi="fa-IR"/>
          <w:color w:val="111111"/>
          <w:sz w:val="28"/>
          <w:szCs w:val="28"/>
          <w:rtl/>
        </w:rPr>
        <w:t xml:space="preserve">مادّةً لسائر المشتقّات ، بل هو صیغة مثلها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کیف ؟ وقد عرفت فی باب المشتقّ </w:t>
      </w:r>
      <w:r>
        <w:rPr>
          <w:rStyle w:val="FootnoteReference"/>
        </w:rPr>
        <w:footnoteReference w:id="301"/>
      </w:r>
      <w:r>
        <w:rPr>
          <w:rFonts w:ascii="IRNazanin" w:hAnsi="IRNazanin" w:eastAsia="IRNazanin" w:cs="IRNazanin"/>
          <w:lang w:bidi="fa-IR"/>
          <w:color w:val="111111"/>
          <w:sz w:val="28"/>
          <w:szCs w:val="28"/>
          <w:rtl/>
        </w:rPr>
        <w:t xml:space="preserve">مباینةَ المصدر وسائر المشتقّات بحسب المعنی ، فکیف بمعناه یکون مادّة لها </w:t>
      </w:r>
      <w:r>
        <w:rPr>
          <w:rStyle w:val="FootnoteReference"/>
        </w:rPr>
        <w:footnoteReference w:id="302"/>
      </w:r>
      <w:r>
        <w:rPr>
          <w:rFonts w:ascii="IRNazanin" w:hAnsi="IRNazanin" w:eastAsia="IRNazanin" w:cs="IRNazanin"/>
          <w:lang w:bidi="fa-IR"/>
          <w:color w:val="111111"/>
          <w:sz w:val="28"/>
          <w:szCs w:val="28"/>
          <w:rtl/>
        </w:rPr>
        <w:t xml:space="preserve">؟ فعلیه یمکن دعوی اعتبار المرّة أو التکرار فی مادّتها ، کما لا یخفی .</w:t>
      </w:r>
    </w:p>
    <w:p>
      <w:pPr>
        <w:pStyle w:val="BookText"/>
      </w:pPr>
      <w:r>
        <w:rPr>
          <w:rFonts w:ascii="IRNazanin" w:hAnsi="IRNazanin" w:eastAsia="IRNazanin" w:cs="IRNazanin"/>
          <w:lang w:bidi="fa-IR"/>
          <w:color w:val="111111"/>
          <w:sz w:val="28"/>
          <w:szCs w:val="28"/>
          <w:rtl/>
        </w:rPr>
        <w:t xml:space="preserve">إن قلت: فما معنی ما اشتهر من کون المصدر أصلاً فی الکلام؟</w:t>
      </w:r>
    </w:p>
    <w:p>
      <w:pPr>
        <w:pStyle w:val="BookText"/>
      </w:pPr>
      <w:r>
        <w:rPr>
          <w:rFonts w:ascii="Amiri" w:hAnsi="Amiri" w:eastAsia="Amiri" w:cs="Amiri"/>
          <w:lang w:bidi="ar-SA"/>
          <w:color w:val="111111"/>
          <w:sz w:val="28"/>
          <w:szCs w:val="28"/>
          <w:rtl/>
        </w:rPr>
        <w:t xml:space="preserve">قلت: - مع أنّه محلّ الخلاف </w:t>
      </w:r>
      <w:r>
        <w:rPr>
          <w:rStyle w:val="FootnoteReference"/>
        </w:rPr>
        <w:footnoteReference w:id="303"/>
      </w:r>
      <w:r>
        <w:rPr>
          <w:rFonts w:ascii="Amiri" w:hAnsi="Amiri" w:eastAsia="Amiri" w:cs="Amiri"/>
          <w:lang w:bidi="ar-SA"/>
          <w:color w:val="111111"/>
          <w:sz w:val="28"/>
          <w:szCs w:val="28"/>
          <w:rtl/>
        </w:rPr>
        <w:t xml:space="preserve">- معناه : أنّ الّذی وُضع أوّلاً بالوضع الشخصیّ ، ثمّ بملاحظته وُضع - نوعیّاً أو شخصیّاً </w:t>
      </w:r>
      <w:r>
        <w:rPr>
          <w:rStyle w:val="FootnoteReference"/>
        </w:rPr>
        <w:footnoteReference w:id="304"/>
      </w:r>
      <w:r>
        <w:rPr>
          <w:rFonts w:ascii="IRNazanin" w:hAnsi="IRNazanin" w:eastAsia="IRNazanin" w:cs="IRNazanin"/>
          <w:lang w:bidi="fa-IR"/>
          <w:color w:val="111111"/>
          <w:sz w:val="28"/>
          <w:szCs w:val="28"/>
          <w:rtl/>
        </w:rPr>
        <w:t xml:space="preserve">- سائرُ الصیغ الّتی تناسبه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ممّا جمعه معه مادّةُ لفظٍ متصوّرةٌ فی کلٍّ منها ومنه بصورةٍ ، ومعنیً کذلک - هو المصدر أو الفعل ، فافهم .</w:t>
      </w:r>
    </w:p>
    <w:p>
      <w:pPr>
        <w:pStyle w:val="Heading6"/>
      </w:pPr>
      <w:bookmarkStart w:id="755" w:name="_Toc195"/>
      <w:r>
        <w:t>المراد بالمرّة والتکرار</w:t>
      </w:r>
      <w:bookmarkEnd w:id="755"/>
    </w:p>
    <w:p>
      <w:pPr>
        <w:pStyle w:val="BookText"/>
      </w:pPr>
      <w:r>
        <w:rPr>
          <w:rFonts w:ascii="IRNazanin" w:hAnsi="IRNazanin" w:eastAsia="IRNazanin" w:cs="IRNazanin"/>
          <w:lang w:bidi="fa-IR"/>
          <w:color w:val="111111"/>
          <w:sz w:val="28"/>
          <w:szCs w:val="28"/>
          <w:rtl/>
        </w:rPr>
        <w:t xml:space="preserve">ثمّ المراد بالمرّة والتکرار : هل هو الدفعة والدفعات </w:t>
      </w:r>
      <w:r>
        <w:rPr>
          <w:rStyle w:val="FootnoteReference"/>
        </w:rPr>
        <w:footnoteReference w:id="305"/>
      </w:r>
      <w:r>
        <w:rPr>
          <w:rFonts w:ascii="IRNazanin" w:hAnsi="IRNazanin" w:eastAsia="IRNazanin" w:cs="IRNazanin"/>
          <w:lang w:bidi="fa-IR"/>
          <w:color w:val="111111"/>
          <w:sz w:val="28"/>
          <w:szCs w:val="28"/>
          <w:rtl/>
        </w:rPr>
        <w:t xml:space="preserve">، أو الفرد والأفراد </w:t>
      </w:r>
      <w:r>
        <w:rPr>
          <w:rStyle w:val="FootnoteReference"/>
        </w:rPr>
        <w:footnoteReference w:id="3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التحقیق: أن یقعا بکلا المعنیین محلّ النزاع ، وإن کان لفظهما ظاهراً فی المعنی الأوّل .</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14419_166813"/>
    <w:bookmarkEnd w:id="82"/>
    <w:p>
      <w:pPr>
        <w:pStyle w:val="BookText"/>
      </w:pPr>
      <w:r>
        <w:rPr>
          <w:rFonts w:ascii="IRNazanin" w:hAnsi="IRNazanin" w:eastAsia="IRNazanin" w:cs="IRNazanin"/>
          <w:lang w:bidi="fa-IR"/>
          <w:color w:val="111111"/>
          <w:sz w:val="28"/>
          <w:szCs w:val="28"/>
          <w:rtl/>
        </w:rPr>
        <w:t xml:space="preserve">وتوهُّمُ : أنّه لو أُرید بالمرّة الفرد « لکان الأنسبُ ، - بل اللازم - أن یجعل هذا المبحث تتمّةً للمبحث الآتی : من أنّ الأمر هل یتعلّق بالطبیعة أو بالفرد؟ فیقال عند ذلک: وعلی تقدیر تعلُّقِهِ بالفرد هل یقتضی التعلّقَ بالفرد الواحد أو المتعدّد ، أو لا یقتضی شیئاً منهما؟ ولم یحتج إلی إفراد کلٍّ منهما بالبحث کما فعلوه » . وأمّا لو أُرید بها الدفعة فلا عُلقة بین المسألتین کما لا یخفی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فاسدٌ ؛ لعدم العلقة بینهما لو أُرید بها الفردُ أیضاً ، فإنّ الطلب - علی القول بالطبیعة - إنّما یتعلّق بها باعتبار وجودها فی الخارج ؛ ضرورةَ أنّ الطبیعة من حیث هی لیست إلّاهی ، لا مطلوبة ولا غیر مطلوبة .</w:t>
      </w:r>
    </w:p>
    <w:p>
      <w:pPr>
        <w:pStyle w:val="BookText"/>
      </w:pPr>
      <w:r>
        <w:rPr>
          <w:rFonts w:ascii="IRNazanin" w:hAnsi="IRNazanin" w:eastAsia="IRNazanin" w:cs="IRNazanin"/>
          <w:lang w:bidi="fa-IR"/>
          <w:color w:val="111111"/>
          <w:sz w:val="28"/>
          <w:szCs w:val="28"/>
          <w:rtl/>
        </w:rPr>
        <w:t xml:space="preserve">وبهذا الاعتبار کانت مردّدةً بین المرّة والتکرار بکلا المعنیین . فیصحّ النزاع فی دلالة الصیغة علی المرّة والتکرار بالمعنیین وعدمها :</w:t>
      </w:r>
    </w:p>
    <w:p>
      <w:pPr>
        <w:pStyle w:val="BookText"/>
      </w:pPr>
      <w:r>
        <w:rPr>
          <w:rFonts w:ascii="Amiri" w:hAnsi="Amiri" w:eastAsia="Amiri" w:cs="Amiri"/>
          <w:lang w:bidi="ar-SA"/>
          <w:color w:val="111111"/>
          <w:sz w:val="28"/>
          <w:szCs w:val="28"/>
          <w:rtl/>
        </w:rPr>
        <w:t xml:space="preserve">أمّا بالمعنی الأوّل فواضحٌ .</w:t>
      </w:r>
    </w:p>
    <w:p>
      <w:pPr>
        <w:pStyle w:val="BookText"/>
      </w:pPr>
      <w:r>
        <w:rPr>
          <w:rFonts w:ascii="IRNazanin" w:hAnsi="IRNazanin" w:eastAsia="IRNazanin" w:cs="IRNazanin"/>
          <w:lang w:bidi="fa-IR"/>
          <w:color w:val="111111"/>
          <w:sz w:val="28"/>
          <w:szCs w:val="28"/>
          <w:rtl/>
        </w:rPr>
        <w:t xml:space="preserve">وأمّا بالمعنی الثانی فلوضوح أنّ المراد من الفرد أو الأفراد وجودٌ واحدٌ أو وجودات ، وإنّما عُبِّر بالفرد ؛ لأنّ وجود الطبیعة فی الخارج هو الفرد ، غایة الأمر خصوصیّته وتشخّصه - علی القول بتعلّق الأمر بالطبائع - یلازم المطلوب وخارجٌ عنه ، بخلاف القول بتعلّقه بالأفراد ، فإنّه ممّا یقوّمه .</w:t>
      </w:r>
    </w:p>
    <w:p>
      <w:pPr>
        <w:pStyle w:val="Heading6"/>
      </w:pPr>
      <w:bookmarkStart w:id="756" w:name="_Toc196"/>
      <w:r>
        <w:t>ثمرة البحث فی المرّة والتکرار</w:t>
      </w:r>
      <w:bookmarkEnd w:id="7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تنبیه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إشکال بناءً علی القول بالمرّة فی الامتثال ، وأنّه لا مجال للإتیان بالمأمور به ثانیاً علی أن یکون أیضاً به الامتثال ، فإنّه من الامتثال بعد الامتثال .</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المختار - من دلالتها علی طلب الطبیعة من دون دلالةٍ علی المرّة ولا علی التکرار - فلا تخلو الحالُ: إمّا أن لا یکون هناک إطلاق الصیغة فی مقام البیان - بل فی مقام الإهمال أو الإجمال - ، فالمرجع هو الأصل ، وإمّا أن یکون إطلاقها فی ذلک المقام ، فلا إشکال فی الاکتفاء بالمرّة فی الامتثال .</w:t>
      </w:r>
    </w:p>
    <w:p>
      <w:pPr>
        <w:pStyle w:val="BookText"/>
      </w:pPr>
      <w:r>
        <w:rPr>
          <w:rFonts w:ascii="IRNazanin" w:hAnsi="IRNazanin" w:eastAsia="IRNazanin" w:cs="IRNazanin"/>
          <w:lang w:bidi="fa-IR"/>
          <w:color w:val="111111"/>
          <w:sz w:val="28"/>
          <w:szCs w:val="28"/>
          <w:rtl/>
        </w:rPr>
        <w:t xml:space="preserve">وإنّما الإشکال فی جواز أن لا یقتصر علیها ، فإنّ لازم إطلاق الطبیعة المأمور بها هو الإتیان بها مرّةً أو مراراً ، لا لزوم الاقتصار علی المرّة ، کما لا یخفی .</w:t>
      </w:r>
    </w:p>
    <w:p>
      <w:pPr>
        <w:pStyle w:val="BookText"/>
      </w:pPr>
      <w:r>
        <w:rPr>
          <w:rFonts w:ascii="IRNazanin" w:hAnsi="IRNazanin" w:eastAsia="IRNazanin" w:cs="IRNazanin"/>
          <w:lang w:bidi="fa-IR"/>
          <w:color w:val="111111"/>
          <w:sz w:val="28"/>
          <w:szCs w:val="28"/>
          <w:rtl/>
        </w:rPr>
        <w:t xml:space="preserve">والتحقیق: أنّ قضیّة الإطلاق إنّما هو جواز الإتیان بها مرّةً فی ضمن فردٍ أو أفراد ، فیکون إیجادها فی ضمنها نحواً من الامتثال ، کإیجادها فی ضمن الواحد ، لا جواز الإتیان بها مرّةً ومرّات ؛ فإنّه مع الإتیان بها مرّةً لا محالة یحصل الامتثال ، ویسقط به الأمر ، فی ما إذا کان امتثال الأمر علّةً تامّةً </w:t>
      </w:r>
      <w:r>
        <w:rPr>
          <w:rStyle w:val="FootnoteReference"/>
        </w:rPr>
        <w:footnoteReference w:id="309"/>
      </w:r>
      <w:r>
        <w:rPr>
          <w:rFonts w:ascii="IRNazanin" w:hAnsi="IRNazanin" w:eastAsia="IRNazanin" w:cs="IRNazanin"/>
          <w:lang w:bidi="fa-IR"/>
          <w:color w:val="111111"/>
          <w:sz w:val="28"/>
          <w:szCs w:val="28"/>
          <w:rtl/>
        </w:rPr>
        <w:t xml:space="preserve">لحصول الغرض الأقصی ، بحیث یحصل بمجرّده ، فلا یبقی معه مجالٌ لإتیانه ثانیاً بداعی امتثال آخر ، أو بداعی أن یکون الإتیانان امتثالاً واحداً ؛ لما عرفت من حصول الموافقة بإتیانها ، وسقوطِ الغرض معها ، وسقوط الأمر بسقوطه ، فلا یبقی مجال لامتثاله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لم یکن الامتثال علّةً تامّةً لحصول الغرض ، کما إذا أمر بالماء لیشرب أو یتوضّأ ، فاُتی به ولم یشرب أو لم یتوضّأ فعلاً ، فلا یبعد صحّة تبدیل الامتثال بإتیان فردٍ آخر أحسن منه ، بل مطلقاً ، کما کان له ذلک قبله ، علی ما</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14419_166815"/>
    <w:bookmarkEnd w:id="83"/>
    <w:p>
      <w:pPr>
        <w:pStyle w:val="BookText"/>
      </w:pPr>
      <w:r>
        <w:rPr>
          <w:rFonts w:ascii="IRNazanin" w:hAnsi="IRNazanin" w:eastAsia="IRNazanin" w:cs="IRNazanin"/>
          <w:lang w:bidi="fa-IR"/>
          <w:color w:val="111111"/>
          <w:sz w:val="28"/>
          <w:szCs w:val="28"/>
          <w:rtl/>
        </w:rPr>
        <w:t xml:space="preserve">یأتی بیانه فی الإجزاء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6"/>
      </w:pPr>
      <w:bookmarkStart w:id="757" w:name="_Toc197"/>
      <w:r>
        <w:t>المبحث التاسع‌ : عدم دلالةالصیغة علی‌الفور أو التراخی</w:t>
      </w:r>
      <w:bookmarkEnd w:id="757"/>
    </w:p>
    <w:p>
      <w:pPr>
        <w:pStyle w:val="Heading6"/>
      </w:pPr>
      <w:bookmarkStart w:id="758" w:name="_Toc198"/>
      <w:r>
        <w:t>اشارة</w:t>
      </w:r>
      <w:bookmarkEnd w:id="758"/>
    </w:p>
    <w:p>
      <w:pPr>
        <w:pStyle w:val="BookText"/>
      </w:pPr>
      <w:r>
        <w:rPr>
          <w:rFonts w:ascii="IRNazanin" w:hAnsi="IRNazanin" w:eastAsia="IRNazanin" w:cs="IRNazanin"/>
          <w:lang w:bidi="fa-IR"/>
          <w:color w:val="111111"/>
          <w:sz w:val="28"/>
          <w:szCs w:val="28"/>
          <w:rtl/>
        </w:rPr>
        <w:t xml:space="preserve">ألحقّ : أنّه لا دلالة للصیغة لا علی الفور ولا علی التراخی . نعم ، قضیّة إطلاقها جواز التراخی .</w:t>
      </w:r>
    </w:p>
    <w:p>
      <w:pPr>
        <w:pStyle w:val="Heading6"/>
      </w:pPr>
      <w:bookmarkStart w:id="759" w:name="_Toc199"/>
      <w:r>
        <w:t>أدلّة وجوب الفور والإشکال فیها</w:t>
      </w:r>
      <w:bookmarkEnd w:id="759"/>
    </w:p>
    <w:p>
      <w:pPr>
        <w:pStyle w:val="BookText"/>
      </w:pPr>
      <w:r>
        <w:rPr>
          <w:rFonts w:ascii="Amiri" w:hAnsi="Amiri" w:eastAsia="Amiri" w:cs="Amiri"/>
          <w:lang w:bidi="ar-SA"/>
          <w:color w:val="111111"/>
          <w:sz w:val="28"/>
          <w:szCs w:val="28"/>
          <w:rtl/>
        </w:rPr>
        <w:t xml:space="preserve">والدلیل علیه : تبادُرُ طَلَبِ إیجاد الطبیعة منها بلا دلالةٍ علی تقییدها بأحدهما ، فلابدّ فی التقیید من دلالةٍ أُخری ، کما ادُّعی </w:t>
      </w:r>
      <w:r>
        <w:rPr>
          <w:rStyle w:val="FootnoteReference"/>
        </w:rPr>
        <w:footnoteReference w:id="311"/>
      </w:r>
      <w:r>
        <w:rPr>
          <w:rFonts w:ascii="Amiri" w:hAnsi="Amiri" w:eastAsia="Amiri" w:cs="Amiri"/>
          <w:lang w:bidi="ar-SA"/>
          <w:color w:val="111111"/>
          <w:sz w:val="28"/>
          <w:szCs w:val="28"/>
          <w:rtl/>
        </w:rPr>
        <w:t xml:space="preserve">دلالةُ غیرِ واحدٍ من الآیات علی الفوریّة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وفیه منعٌ ؛ ضرورةَ أنّ سیاق آیة «وَ سٰارِعُوا إِلیٰ مَغْفِرَةٍ مِنْ رَبِّکُمْ » </w:t>
      </w:r>
      <w:r>
        <w:rPr>
          <w:rStyle w:val="FootnoteReference"/>
        </w:rPr>
        <w:footnoteReference w:id="312"/>
      </w:r>
      <w:r>
        <w:rPr>
          <w:rFonts w:ascii="Amiri" w:hAnsi="Amiri" w:eastAsia="Amiri" w:cs="Amiri"/>
          <w:lang w:bidi="ar-SA"/>
          <w:color w:val="111111"/>
          <w:sz w:val="28"/>
          <w:szCs w:val="28"/>
          <w:rtl/>
        </w:rPr>
        <w:t xml:space="preserve">وکذا آیة «فَاسْتَبِقُوا الْخَیْرٰاتِ » </w:t>
      </w:r>
      <w:r>
        <w:rPr>
          <w:rStyle w:val="FootnoteReference"/>
        </w:rPr>
        <w:footnoteReference w:id="313"/>
      </w:r>
      <w:r>
        <w:rPr>
          <w:rFonts w:ascii="IRNazanin" w:hAnsi="IRNazanin" w:eastAsia="IRNazanin" w:cs="IRNazanin"/>
          <w:lang w:bidi="fa-IR"/>
          <w:color w:val="111111"/>
          <w:sz w:val="28"/>
          <w:szCs w:val="28"/>
          <w:rtl/>
        </w:rPr>
        <w:t xml:space="preserve">إنّما هو البعث نحو المسارعة إلی المغفرة والاستباق إلی الخیر ، من دون استتباع ترکهما للغضب والشرّ ؛ ضرورةَ أنّ ترکهما لو کان مستتبعاً للغضب والشرّ کان البعث بالتحذیر عنهما أنسب ، کما لا یخفی ، فافهم .</w:t>
      </w:r>
    </w:p>
    <w:p>
      <w:pPr>
        <w:pStyle w:val="BookText"/>
      </w:pPr>
      <w:r>
        <w:rPr>
          <w:rFonts w:ascii="IRNazanin" w:hAnsi="IRNazanin" w:eastAsia="IRNazanin" w:cs="IRNazanin"/>
          <w:lang w:bidi="fa-IR"/>
          <w:color w:val="111111"/>
          <w:sz w:val="28"/>
          <w:szCs w:val="28"/>
          <w:rtl/>
        </w:rPr>
        <w:t xml:space="preserve">مع لزوم کثرة تخصیصه فی المستحبّات وکثیر من الواجبات ، بل أکثرِها ، فلابدّ من حمل الصیغة فیهما علی خصوص الندب أو مطلق الطلب .</w:t>
      </w:r>
    </w:p>
    <w:p>
      <w:pPr>
        <w:pStyle w:val="BookText"/>
      </w:pPr>
      <w:r>
        <w:rPr>
          <w:rFonts w:ascii="IRNazanin" w:hAnsi="IRNazanin" w:eastAsia="IRNazanin" w:cs="IRNazanin"/>
          <w:lang w:bidi="fa-IR"/>
          <w:color w:val="111111"/>
          <w:sz w:val="28"/>
          <w:szCs w:val="28"/>
          <w:rtl/>
        </w:rPr>
        <w:t xml:space="preserve">ولا یبعد دعوی : استقلال العقل بحُسن المسارعة والاستباق ، وکان ما ورد من الآیات والروایات </w:t>
      </w:r>
      <w:r>
        <w:rPr>
          <w:rStyle w:val="FootnoteReference"/>
        </w:rPr>
        <w:footnoteReference w:id="314"/>
      </w:r>
      <w:r>
        <w:rPr>
          <w:rFonts w:ascii="IRNazanin" w:hAnsi="IRNazanin" w:eastAsia="IRNazanin" w:cs="IRNazanin"/>
          <w:lang w:bidi="fa-IR"/>
          <w:color w:val="111111"/>
          <w:sz w:val="28"/>
          <w:szCs w:val="28"/>
          <w:rtl/>
        </w:rPr>
        <w:t xml:space="preserve">فی مقام البعث نحوه إرشاداً إلی ذلک - کالآیات</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14419_166816"/>
    <w:bookmarkEnd w:id="84"/>
    <w:p>
      <w:pPr>
        <w:pStyle w:val="BookText"/>
      </w:pPr>
      <w:r>
        <w:rPr>
          <w:rFonts w:ascii="IRNazanin" w:hAnsi="IRNazanin" w:eastAsia="IRNazanin" w:cs="IRNazanin"/>
          <w:lang w:bidi="fa-IR"/>
          <w:color w:val="111111"/>
          <w:sz w:val="28"/>
          <w:szCs w:val="28"/>
          <w:rtl/>
        </w:rPr>
        <w:t xml:space="preserve">والروایات الواردة فی الحثّ علی أصل الإطاعة - ، فیکون الأمر فیها لما یترتّب علی المادّة بنفسها ، ولو لم یکن هناک أمرٌ بها ، کما هو الشأن فی الأوامر الإرشادیّة ، فافهم .</w:t>
      </w:r>
    </w:p>
    <w:p>
      <w:pPr>
        <w:pStyle w:val="Heading6"/>
      </w:pPr>
      <w:bookmarkStart w:id="760" w:name="_Toc200"/>
      <w:r>
        <w:t>ما یترتّب علی‌القول بالفور</w:t>
      </w:r>
      <w:bookmarkEnd w:id="760"/>
    </w:p>
    <w:p>
      <w:pPr>
        <w:pStyle w:val="BookText"/>
      </w:pPr>
      <w:r>
        <w:rPr>
          <w:rFonts w:ascii="Amiri" w:hAnsi="Amiri" w:eastAsia="Amiri" w:cs="Amiri"/>
          <w:lang w:bidi="ar-SA"/>
          <w:color w:val="111111"/>
          <w:sz w:val="28"/>
          <w:szCs w:val="28"/>
          <w:rtl/>
        </w:rPr>
        <w:t xml:space="preserve">تتمّة :</w:t>
      </w:r>
    </w:p>
    <w:p>
      <w:pPr>
        <w:pStyle w:val="BookText"/>
      </w:pPr>
      <w:r>
        <w:rPr>
          <w:rFonts w:ascii="IRNazanin" w:hAnsi="IRNazanin" w:eastAsia="IRNazanin" w:cs="IRNazanin"/>
          <w:lang w:bidi="fa-IR"/>
          <w:color w:val="111111"/>
          <w:sz w:val="28"/>
          <w:szCs w:val="28"/>
          <w:rtl/>
        </w:rPr>
        <w:t xml:space="preserve">بناءً علی القول بالفور ، فهل قضیّة الأمر الإتیان فوراً ففوراً - بحیث لو عصی لوجب علیه الإتیان به فوراً أیضاً فی الزمان الثانی - أو لا؟ وجهان مبنیّان علی أنّ مفاد الصیغة - علی هذا القول - هو وحدة المطلوب ، أو تعدّده؟</w:t>
      </w:r>
    </w:p>
    <w:p>
      <w:pPr>
        <w:pStyle w:val="BookText"/>
      </w:pPr>
      <w:r>
        <w:rPr>
          <w:rFonts w:ascii="IRNazanin" w:hAnsi="IRNazanin" w:eastAsia="IRNazanin" w:cs="IRNazanin"/>
          <w:lang w:bidi="fa-IR"/>
          <w:color w:val="111111"/>
          <w:sz w:val="28"/>
          <w:szCs w:val="28"/>
          <w:rtl/>
        </w:rPr>
        <w:t xml:space="preserve">ولا یخفی: أنّه لو قیل بدلالتها علی الفوریّة لما کان لها دلالةٌ علی نحو المطلوب من وحدته أو تعدّده ، فتدبّر جیّداً .</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14419_166817"/>
    <w:bookmarkEnd w:id="85"/>
    <w:p>
      <w:pPr>
        <w:pStyle w:val="Heading6"/>
      </w:pPr>
      <w:bookmarkStart w:id="761" w:name="_Toc201"/>
      <w:r>
        <w:t>الفصل الثالث : فی الإجزاء</w:t>
      </w:r>
      <w:bookmarkEnd w:id="761"/>
    </w:p>
    <w:p>
      <w:pPr>
        <w:pStyle w:val="Heading6"/>
      </w:pPr>
      <w:bookmarkStart w:id="762" w:name="_Toc202"/>
      <w:r>
        <w:t>اشارة</w:t>
      </w:r>
      <w:bookmarkEnd w:id="7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الإتیان بالمأمور به علی وجهه یقتضی الإجزاء فی الجملة بلا شبهة .</w:t>
      </w:r>
    </w:p>
    <w:p>
      <w:pPr>
        <w:pStyle w:val="Heading6"/>
      </w:pPr>
      <w:bookmarkStart w:id="763" w:name="_Toc203"/>
      <w:r>
        <w:t>مقدّمات ‌البحث</w:t>
      </w:r>
      <w:bookmarkEnd w:id="763"/>
    </w:p>
    <w:p>
      <w:pPr>
        <w:pStyle w:val="Heading6"/>
      </w:pPr>
      <w:bookmarkStart w:id="764" w:name="_Toc204"/>
      <w:r>
        <w:t>اشارة</w:t>
      </w:r>
      <w:bookmarkEnd w:id="764"/>
    </w:p>
    <w:p>
      <w:pPr>
        <w:pStyle w:val="BookText"/>
      </w:pPr>
      <w:r>
        <w:rPr>
          <w:rFonts w:ascii="IRNazanin" w:hAnsi="IRNazanin" w:eastAsia="IRNazanin" w:cs="IRNazanin"/>
          <w:lang w:bidi="fa-IR"/>
          <w:color w:val="111111"/>
          <w:sz w:val="28"/>
          <w:szCs w:val="28"/>
          <w:rtl/>
        </w:rPr>
        <w:t xml:space="preserve">وقبل الخوض فی تفصیل المقام وبیان النقض والإبرام ینبغی تقدیم أُمور:</w:t>
      </w:r>
    </w:p>
    <w:p>
      <w:pPr>
        <w:pStyle w:val="Heading6"/>
      </w:pPr>
      <w:bookmarkStart w:id="765" w:name="_Toc205"/>
      <w:r>
        <w:t>1 - المراد من« وجهه »</w:t>
      </w:r>
      <w:bookmarkEnd w:id="765"/>
    </w:p>
    <w:p>
      <w:pPr>
        <w:pStyle w:val="BookText"/>
      </w:pPr>
      <w:r>
        <w:rPr>
          <w:rFonts w:ascii="IRNazanin" w:hAnsi="IRNazanin" w:eastAsia="IRNazanin" w:cs="IRNazanin"/>
          <w:lang w:bidi="fa-IR"/>
          <w:color w:val="111111"/>
          <w:sz w:val="28"/>
          <w:szCs w:val="28"/>
          <w:rtl/>
        </w:rPr>
        <w:t xml:space="preserve">أحدها: الظاهر أنّ المراد من « وجهه » - فی العنوان - هو النهج الّذی ینبغی أن یؤتیٰ به علی ذاک النهج شرعاً وعقلاً ، مثل أن یؤتیٰ به بقصد التقرّب فی العبادة .</w:t>
      </w:r>
    </w:p>
    <w:p>
      <w:pPr>
        <w:pStyle w:val="BookText"/>
      </w:pPr>
      <w:r>
        <w:rPr>
          <w:rFonts w:ascii="IRNazanin" w:hAnsi="IRNazanin" w:eastAsia="IRNazanin" w:cs="IRNazanin"/>
          <w:lang w:bidi="fa-IR"/>
          <w:color w:val="111111"/>
          <w:sz w:val="28"/>
          <w:szCs w:val="28"/>
          <w:rtl/>
        </w:rPr>
        <w:t xml:space="preserve">لاخصوص الکیفیّة المعتبرة فی المأمور به شرعاً </w:t>
      </w:r>
      <w:r>
        <w:rPr>
          <w:rStyle w:val="FootnoteReference"/>
        </w:rPr>
        <w:footnoteReference w:id="315"/>
      </w:r>
      <w:r>
        <w:rPr>
          <w:rFonts w:ascii="IRNazanin" w:hAnsi="IRNazanin" w:eastAsia="IRNazanin" w:cs="IRNazanin"/>
          <w:lang w:bidi="fa-IR"/>
          <w:color w:val="111111"/>
          <w:sz w:val="28"/>
          <w:szCs w:val="28"/>
          <w:rtl/>
        </w:rPr>
        <w:t xml:space="preserve">، فإنّه علیه یکون « علی وجهه » قیداً توضیحیّاً ، وهو بعیدٌ ، مع أنّه یلزم خروج التعبّدیّات عن حریم النزاع ، بناءً علی المختار - کما تقدّم </w:t>
      </w:r>
      <w:r>
        <w:rPr>
          <w:rStyle w:val="FootnoteReference"/>
        </w:rPr>
        <w:footnoteReference w:id="316"/>
      </w:r>
      <w:r>
        <w:rPr>
          <w:rFonts w:ascii="IRNazanin" w:hAnsi="IRNazanin" w:eastAsia="IRNazanin" w:cs="IRNazanin"/>
          <w:lang w:bidi="fa-IR"/>
          <w:color w:val="111111"/>
          <w:sz w:val="28"/>
          <w:szCs w:val="28"/>
          <w:rtl/>
        </w:rPr>
        <w:t xml:space="preserve">- من أنّ قصد القربة من کیفیّات الإطاعة عقلاً ، لامن قیود المأمور به شرعاً .</w:t>
      </w:r>
    </w:p>
    <w:p>
      <w:pPr>
        <w:pStyle w:val="BookText"/>
      </w:pPr>
      <w:r>
        <w:rPr>
          <w:rFonts w:ascii="IRNazanin" w:hAnsi="IRNazanin" w:eastAsia="IRNazanin" w:cs="IRNazanin"/>
          <w:lang w:bidi="fa-IR"/>
          <w:color w:val="111111"/>
          <w:sz w:val="28"/>
          <w:szCs w:val="28"/>
          <w:rtl/>
        </w:rPr>
        <w:t xml:space="preserve">ولا الوجه </w:t>
      </w:r>
      <w:r>
        <w:rPr>
          <w:rStyle w:val="FootnoteReference"/>
        </w:rPr>
        <w:footnoteReference w:id="317"/>
      </w:r>
      <w:r>
        <w:rPr>
          <w:rFonts w:ascii="IRNazanin" w:hAnsi="IRNazanin" w:eastAsia="IRNazanin" w:cs="IRNazanin"/>
          <w:lang w:bidi="fa-IR"/>
          <w:color w:val="111111"/>
          <w:sz w:val="28"/>
          <w:szCs w:val="28"/>
          <w:rtl/>
        </w:rPr>
        <w:t xml:space="preserve">المعتبر عند بعض الأصحاب </w:t>
      </w:r>
      <w:r>
        <w:rPr>
          <w:rStyle w:val="FootnoteReference"/>
        </w:rPr>
        <w:footnoteReference w:id="318"/>
      </w:r>
      <w:r>
        <w:rPr>
          <w:rFonts w:ascii="IRNazanin" w:hAnsi="IRNazanin" w:eastAsia="IRNazanin" w:cs="IRNazanin"/>
          <w:lang w:bidi="fa-IR"/>
          <w:color w:val="111111"/>
          <w:sz w:val="28"/>
          <w:szCs w:val="28"/>
          <w:rtl/>
        </w:rPr>
        <w:t xml:space="preserve">، فإنّه - مع عدم اعتباره عند المعظم ، وعدم اعتباره عند من اعتبره إلّافی خصوص العبادات ، لا مطلق</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6" w:name="pg14419_166818"/>
    <w:bookmarkEnd w:id="86"/>
    <w:p>
      <w:pPr>
        <w:pStyle w:val="BookText"/>
      </w:pPr>
      <w:r>
        <w:rPr>
          <w:rFonts w:ascii="IRNazanin" w:hAnsi="IRNazanin" w:eastAsia="IRNazanin" w:cs="IRNazanin"/>
          <w:lang w:bidi="fa-IR"/>
          <w:color w:val="111111"/>
          <w:sz w:val="28"/>
          <w:szCs w:val="28"/>
          <w:rtl/>
        </w:rPr>
        <w:t xml:space="preserve">الواجبات - لا وجه لاختصاصه بالذکر </w:t>
      </w:r>
      <w:r>
        <w:rPr>
          <w:rStyle w:val="FootnoteReference"/>
        </w:rPr>
        <w:footnoteReference w:id="319"/>
      </w:r>
      <w:r>
        <w:rPr>
          <w:rFonts w:ascii="IRNazanin" w:hAnsi="IRNazanin" w:eastAsia="IRNazanin" w:cs="IRNazanin"/>
          <w:lang w:bidi="fa-IR"/>
          <w:color w:val="111111"/>
          <w:sz w:val="28"/>
          <w:szCs w:val="28"/>
          <w:rtl/>
        </w:rPr>
        <w:t xml:space="preserve">علی تقدیر الاعتبار ؛ فلابدّ من إرادة ما یندرج فیه من المعنی ، وهو ما ذکرناه ، کما لا یخفی .</w:t>
      </w:r>
    </w:p>
    <w:p>
      <w:pPr>
        <w:pStyle w:val="Heading6"/>
      </w:pPr>
      <w:bookmarkStart w:id="766" w:name="_Toc206"/>
      <w:r>
        <w:t>2 - المراد من « الاقتضاء »</w:t>
      </w:r>
      <w:bookmarkEnd w:id="7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ثانیها: الظاهر أنّ المراد من « الاقتضاء » هاهنا الاقتضاء بنحو العلّیّة والتأثیر ، لا بنحو الکشف والدلالة ، ولذا نُسب إلی الإتیان ، لا إلی الصیغة .</w:t>
      </w:r>
    </w:p>
    <w:p>
      <w:pPr>
        <w:pStyle w:val="BookText"/>
      </w:pPr>
      <w:r>
        <w:rPr>
          <w:rFonts w:ascii="IRNazanin" w:hAnsi="IRNazanin" w:eastAsia="IRNazanin" w:cs="IRNazanin"/>
          <w:lang w:bidi="fa-IR"/>
          <w:color w:val="111111"/>
          <w:sz w:val="28"/>
          <w:szCs w:val="28"/>
          <w:rtl/>
        </w:rPr>
        <w:t xml:space="preserve">إن قلت: هذا إنّما یکون کذلک بالنسبة إلی أمره ، وأمّا بالنسبة إلی أمرٍ آخر ، کالإتیان بالمأمور به بالأمر الاضطراریّ أو الظاهریّ بالنسبة إلی الأمر الواقعیّ ، فالنزاع فی الحقیقة فی دلالة دلیلهما علی اعتباره ، بنحوٍ یفید الإجزاء ، أو بنحوٍ آخر لا یفیده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نعم ، لکنّه لا ینافی کون النزاع فیهما کان فی الاقتضاء بالمعنی المتقدّم ، غایتُهُ أنّ العمدة فی سبب الاختلاف فیهما إنّما هو الخلاف فی دلالة دلیلهما - هل أنّه علی نحوٍ یستقلّ العقل بأنّ الإتیان به موجبٌ للإجزاء ویؤثّر فیه - وعدمِ دلالته ، ویکون النزاع فیه صغرویّاً أیضاً . بخلافه فی الإجزاء بالإضافة إلی أمره ، فإنّه لا یکون إلّاکبرویّاً لو کان هناک نزاعٌ ، کما نُقِلَ عن بعض </w:t>
      </w:r>
      <w:r>
        <w:rPr>
          <w:rStyle w:val="FootnoteReference"/>
        </w:rPr>
        <w:footnoteReference w:id="320"/>
      </w:r>
      <w:r>
        <w:rPr>
          <w:rFonts w:ascii="IRNazanin" w:hAnsi="IRNazanin" w:eastAsia="IRNazanin" w:cs="IRNazanin"/>
          <w:lang w:bidi="fa-IR"/>
          <w:color w:val="111111"/>
          <w:sz w:val="28"/>
          <w:szCs w:val="28"/>
          <w:rtl/>
        </w:rPr>
        <w:t xml:space="preserve">، فافهم .</w:t>
      </w:r>
    </w:p>
    <w:p>
      <w:pPr>
        <w:pStyle w:val="Heading6"/>
      </w:pPr>
      <w:bookmarkStart w:id="767" w:name="_Toc207"/>
      <w:r>
        <w:t>3 - المراد من« الإجزاء »</w:t>
      </w:r>
      <w:bookmarkEnd w:id="767"/>
    </w:p>
    <w:p>
      <w:pPr>
        <w:pStyle w:val="BookText"/>
      </w:pPr>
      <w:r>
        <w:rPr>
          <w:rFonts w:ascii="IRNazanin" w:hAnsi="IRNazanin" w:eastAsia="IRNazanin" w:cs="IRNazanin"/>
          <w:lang w:bidi="fa-IR"/>
          <w:color w:val="111111"/>
          <w:sz w:val="28"/>
          <w:szCs w:val="28"/>
          <w:rtl/>
        </w:rPr>
        <w:t xml:space="preserve">ثالثها: الظاهر : أنّ « الإجزاء » هاهنا بمعناه لغةً ، وهو الکفایة ، وإن کان یختلف ما یکفی عنه ؛ فإنّ الإتیان بالمأمور به بالأمر الواقعیّ یکفی ، فیسقط به التعبّد به ثانیاً ، وبالأمر الاضطراریّ أو الظاهریّ یکفی </w:t>
      </w:r>
      <w:r>
        <w:rPr>
          <w:rStyle w:val="FootnoteReference"/>
        </w:rPr>
        <w:footnoteReference w:id="321"/>
      </w:r>
      <w:r>
        <w:rPr>
          <w:rFonts w:ascii="IRNazanin" w:hAnsi="IRNazanin" w:eastAsia="IRNazanin" w:cs="IRNazanin"/>
          <w:lang w:bidi="fa-IR"/>
          <w:color w:val="111111"/>
          <w:sz w:val="28"/>
          <w:szCs w:val="28"/>
          <w:rtl/>
        </w:rPr>
        <w:t xml:space="preserve">، فیسقط به القضاء ،</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7" w:name="pg14419_166819"/>
    <w:bookmarkEnd w:id="87"/>
    <w:p>
      <w:pPr>
        <w:pStyle w:val="BookText"/>
      </w:pPr>
      <w:r>
        <w:rPr>
          <w:rFonts w:ascii="IRNazanin" w:hAnsi="IRNazanin" w:eastAsia="IRNazanin" w:cs="IRNazanin"/>
          <w:lang w:bidi="fa-IR"/>
          <w:color w:val="111111"/>
          <w:sz w:val="28"/>
          <w:szCs w:val="28"/>
          <w:rtl/>
        </w:rPr>
        <w:t xml:space="preserve">لا أنّه یکون هاهنا اصطلاحاً </w:t>
      </w:r>
      <w:r>
        <w:rPr>
          <w:rStyle w:val="FootnoteReference"/>
        </w:rPr>
        <w:footnoteReference w:id="322"/>
      </w:r>
      <w:r>
        <w:rPr>
          <w:rFonts w:ascii="Amiri" w:hAnsi="Amiri" w:eastAsia="Amiri" w:cs="Amiri"/>
          <w:lang w:bidi="ar-SA"/>
          <w:color w:val="111111"/>
          <w:sz w:val="28"/>
          <w:szCs w:val="28"/>
          <w:rtl/>
        </w:rPr>
        <w:t xml:space="preserve">- بمعنی إسقاط التعبّد أو القضاء - ، فإنّه بعیدٌ جداً.</w:t>
      </w:r>
    </w:p>
    <w:p>
      <w:pPr>
        <w:pStyle w:val="Heading6"/>
      </w:pPr>
      <w:bookmarkStart w:id="768" w:name="_Toc208"/>
      <w:r>
        <w:t>4 - الفرق بین‌هذه المسألةومسألة المرّةو التکرار</w:t>
      </w:r>
      <w:bookmarkEnd w:id="768"/>
    </w:p>
    <w:p>
      <w:pPr>
        <w:pStyle w:val="BookText"/>
      </w:pPr>
      <w:r>
        <w:rPr>
          <w:rFonts w:ascii="IRNazanin" w:hAnsi="IRNazanin" w:eastAsia="IRNazanin" w:cs="IRNazanin"/>
          <w:lang w:bidi="fa-IR"/>
          <w:color w:val="111111"/>
          <w:sz w:val="28"/>
          <w:szCs w:val="28"/>
          <w:rtl/>
        </w:rPr>
        <w:t xml:space="preserve">رابعها: الفرق بین هذه المسألة ومسألة المرّة والتکرار لا یکاد یخفی ؛ فإنّ البحث هاهنا فی أنّ الإتیان بما هو المأمور به یجزئ عقلاً ؟ بخلافه فی تلک المسألة ، فإنّه فی تعیین ما هو المأمور به شرعاً بحسب دلالة الصیغة بنفسها ، أو بدلالة أُخری </w:t>
      </w:r>
      <w:r>
        <w:rPr>
          <w:rStyle w:val="FootnoteReference"/>
        </w:rPr>
        <w:footnoteReference w:id="323"/>
      </w:r>
      <w:r>
        <w:rPr>
          <w:rFonts w:ascii="IRNazanin" w:hAnsi="IRNazanin" w:eastAsia="IRNazanin" w:cs="IRNazanin"/>
          <w:lang w:bidi="fa-IR"/>
          <w:color w:val="111111"/>
          <w:sz w:val="28"/>
          <w:szCs w:val="28"/>
          <w:rtl/>
        </w:rPr>
        <w:t xml:space="preserve">. نعم، کان التکرار عملاً موافقاً لعدم الإجزاء، لکنّه لا بملاکه.</w:t>
      </w:r>
    </w:p>
    <w:p>
      <w:pPr>
        <w:pStyle w:val="Heading6"/>
      </w:pPr>
      <w:bookmarkStart w:id="769" w:name="_Toc209"/>
      <w:r>
        <w:t>الفرق بین هذه المسألة ومسألة تبعیة القضاء للأداء</w:t>
      </w:r>
      <w:bookmarkEnd w:id="769"/>
    </w:p>
    <w:p>
      <w:pPr>
        <w:pStyle w:val="BookText"/>
      </w:pPr>
      <w:r>
        <w:rPr>
          <w:rFonts w:ascii="IRNazanin" w:hAnsi="IRNazanin" w:eastAsia="IRNazanin" w:cs="IRNazanin"/>
          <w:lang w:bidi="fa-IR"/>
          <w:color w:val="111111"/>
          <w:sz w:val="28"/>
          <w:szCs w:val="28"/>
          <w:rtl/>
        </w:rPr>
        <w:t xml:space="preserve">وهکذا الفرق بینها وبین مسألة تبعیّة القضاء للأداء ؛ فإنّ البحث فی تلک المسألة فی دلالة الصیغة علی التبعیّة وعدمها . بخلاف هذه المسألة ، فإنّه - کما عرفت - فی أنّ الإتیان بالمأمور به یجزئ عقلاً عن إتیانه ثانیاً - أداءً أو قضاءً - أو لا یجزئ؟ فلا عُلقة بین المسألة والمسألتین أصلاً .</w:t>
      </w:r>
    </w:p>
    <w:p>
      <w:pPr>
        <w:pStyle w:val="Heading6"/>
      </w:pPr>
      <w:bookmarkStart w:id="770" w:name="_Toc210"/>
      <w:r>
        <w:t>تحقیق المسألة فی موضعین</w:t>
      </w:r>
      <w:bookmarkEnd w:id="770"/>
    </w:p>
    <w:p>
      <w:pPr>
        <w:pStyle w:val="Heading6"/>
      </w:pPr>
      <w:bookmarkStart w:id="771" w:name="_Toc211"/>
      <w:r>
        <w:t>اشارة</w:t>
      </w:r>
      <w:bookmarkEnd w:id="7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عرفت هذه الأُمور ، فتحقیق المقام یستدعی البحث والکلام فی موضعین :</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14419_166820"/>
    <w:bookmarkEnd w:id="88"/>
    <w:p>
      <w:pPr>
        <w:pStyle w:val="Heading6"/>
      </w:pPr>
      <w:bookmarkStart w:id="772" w:name="_Toc212"/>
      <w:r>
        <w:t>الموضع الأول :إجزاء الإتیان‌بالمأمور به عن‌أمر نفسه دون غیره</w:t>
      </w:r>
      <w:bookmarkEnd w:id="772"/>
    </w:p>
    <w:p>
      <w:pPr>
        <w:pStyle w:val="BookText"/>
      </w:pPr>
      <w:r>
        <w:rPr>
          <w:rFonts w:ascii="Amiri" w:hAnsi="Amiri" w:eastAsia="Amiri" w:cs="Amiri"/>
          <w:lang w:bidi="ar-SA"/>
          <w:color w:val="111111"/>
          <w:sz w:val="28"/>
          <w:szCs w:val="28"/>
          <w:rtl/>
        </w:rPr>
        <w:t xml:space="preserve">الأوّل :</w:t>
      </w:r>
    </w:p>
    <w:p>
      <w:pPr>
        <w:pStyle w:val="BookText"/>
      </w:pPr>
      <w:r>
        <w:rPr>
          <w:rFonts w:ascii="IRNazanin" w:hAnsi="IRNazanin" w:eastAsia="IRNazanin" w:cs="IRNazanin"/>
          <w:lang w:bidi="fa-IR"/>
          <w:color w:val="111111"/>
          <w:sz w:val="28"/>
          <w:szCs w:val="28"/>
          <w:rtl/>
        </w:rPr>
        <w:t xml:space="preserve">إنّ الإتیان بالمأمور به بالأمر الواقعیّ ، - بل </w:t>
      </w:r>
      <w:r>
        <w:rPr>
          <w:rStyle w:val="FootnoteReference"/>
        </w:rPr>
        <w:footnoteReference w:id="324"/>
      </w:r>
      <w:r>
        <w:rPr>
          <w:rFonts w:ascii="IRNazanin" w:hAnsi="IRNazanin" w:eastAsia="IRNazanin" w:cs="IRNazanin"/>
          <w:lang w:bidi="fa-IR"/>
          <w:color w:val="111111"/>
          <w:sz w:val="28"/>
          <w:szCs w:val="28"/>
          <w:rtl/>
        </w:rPr>
        <w:t xml:space="preserve">بالأمر الاضطراریّ أو الظاهریّ أیضاً - یُجزئ عن التعبّد به ثانیاً ؛ لاستقلال العقل بأنّه لا مجال - مع موافقة الأمر بإتیان المأمور به علی وجهه - لاقتضائه </w:t>
      </w:r>
      <w:r>
        <w:rPr>
          <w:rStyle w:val="FootnoteReference"/>
        </w:rPr>
        <w:footnoteReference w:id="325"/>
      </w:r>
      <w:r>
        <w:rPr>
          <w:rFonts w:ascii="Amiri" w:hAnsi="Amiri" w:eastAsia="Amiri" w:cs="Amiri"/>
          <w:lang w:bidi="ar-SA"/>
          <w:color w:val="111111"/>
          <w:sz w:val="28"/>
          <w:szCs w:val="28"/>
          <w:rtl/>
        </w:rPr>
        <w:t xml:space="preserve">التعبّد به ثانیاً .</w:t>
      </w:r>
    </w:p>
    <w:p>
      <w:pPr>
        <w:pStyle w:val="BookText"/>
      </w:pPr>
      <w:r>
        <w:rPr>
          <w:rFonts w:ascii="IRNazanin" w:hAnsi="IRNazanin" w:eastAsia="IRNazanin" w:cs="IRNazanin"/>
          <w:lang w:bidi="fa-IR"/>
          <w:color w:val="111111"/>
          <w:sz w:val="28"/>
          <w:szCs w:val="28"/>
          <w:rtl/>
        </w:rPr>
        <w:t xml:space="preserve">نعم، لا یبعد أن یقال بأنّه یکون للعبد تبدیل الامتثال </w:t>
      </w:r>
      <w:r>
        <w:rPr>
          <w:rStyle w:val="FootnoteReference"/>
        </w:rPr>
        <w:footnoteReference w:id="326"/>
      </w:r>
      <w:r>
        <w:rPr>
          <w:rFonts w:ascii="IRNazanin" w:hAnsi="IRNazanin" w:eastAsia="IRNazanin" w:cs="IRNazanin"/>
          <w:lang w:bidi="fa-IR"/>
          <w:color w:val="111111"/>
          <w:sz w:val="28"/>
          <w:szCs w:val="28"/>
          <w:rtl/>
        </w:rPr>
        <w:t xml:space="preserve">والتعبّد به ثانیاً، بدلاً عن التعبّد به أوّلاً ، لا منضمّاً إلیه - کما أشرنا إلیه فی المسألة السابقة </w:t>
      </w:r>
      <w:r>
        <w:rPr>
          <w:rStyle w:val="FootnoteReference"/>
        </w:rPr>
        <w:footnoteReference w:id="327"/>
      </w:r>
      <w:r>
        <w:rPr>
          <w:rFonts w:ascii="IRNazanin" w:hAnsi="IRNazanin" w:eastAsia="IRNazanin" w:cs="IRNazanin"/>
          <w:lang w:bidi="fa-IR"/>
          <w:color w:val="111111"/>
          <w:sz w:val="28"/>
          <w:szCs w:val="28"/>
          <w:rtl/>
        </w:rPr>
        <w:t xml:space="preserve">- . وذلک فی ما علم أنّ مجرّد امتثاله لا یکون علّة تامّة </w:t>
      </w:r>
      <w:r>
        <w:rPr>
          <w:rStyle w:val="FootnoteReference"/>
        </w:rPr>
        <w:footnoteReference w:id="328"/>
      </w:r>
      <w:r>
        <w:rPr>
          <w:rFonts w:ascii="IRNazanin" w:hAnsi="IRNazanin" w:eastAsia="IRNazanin" w:cs="IRNazanin"/>
          <w:lang w:bidi="fa-IR"/>
          <w:color w:val="111111"/>
          <w:sz w:val="28"/>
          <w:szCs w:val="28"/>
          <w:rtl/>
        </w:rPr>
        <w:t xml:space="preserve">لحصول الغرض ، وإن کان وافیاً به لو اکتفی به ، کما إذا أتی بماءٍ أمَرَ به مولاه لیشربه فلم یشربه بعدُ ؛ فإنّ الأمر بحقیقته وملاکه لم یسقط بعدُ ، ولذا لو اهرق الماء واطّلع علیه العبد وجب علیه إتیانه ثانیاً ، کما إذا لم یأت به أوّلاً ؛ ضرورةَ بقاءِ طلَبِهِ ما لم یحصل غرضه الداعی إلیه ، وإلّا لما أوجب حدوثه ، فحینئذٍ یکون له الإتیان بماءٍ آخر موافقٍ للأمر - کما کان له قبلَ إتیانه الأوّل - بدلاً عنه .</w:t>
      </w:r>
    </w:p>
    <w:p>
      <w:pPr>
        <w:pStyle w:val="BookText"/>
      </w:pPr>
      <w:r>
        <w:rPr>
          <w:rFonts w:ascii="IRNazanin" w:hAnsi="IRNazanin" w:eastAsia="IRNazanin" w:cs="IRNazanin"/>
          <w:lang w:bidi="fa-IR"/>
          <w:color w:val="111111"/>
          <w:sz w:val="28"/>
          <w:szCs w:val="28"/>
          <w:rtl/>
        </w:rPr>
        <w:t xml:space="preserve">نعم ، فی ما کان الإتیانُ علّةً تامّةً لحصول الغرض ، فلا یبقی موقع للتبدیل ، کما إذا أمر بإهراق الماء فی فمه لرفع عطشه فأهرقه .</w:t>
      </w:r>
    </w:p>
    <w:p>
      <w:pPr>
        <w:pStyle w:val="BookText"/>
      </w:pPr>
      <w:r>
        <w:rPr>
          <w:rFonts w:ascii="IRNazanin" w:hAnsi="IRNazanin" w:eastAsia="IRNazanin" w:cs="IRNazanin"/>
          <w:lang w:bidi="fa-IR"/>
          <w:color w:val="111111"/>
          <w:sz w:val="28"/>
          <w:szCs w:val="28"/>
          <w:rtl/>
        </w:rPr>
        <w:t xml:space="preserve">بل لو لم یعلم أنّه من أیّ القبیل ، فله التبدیل باحتمال أن لا یکون علّة ، فله إلیه سبیل .</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14419_166821"/>
    <w:bookmarkEnd w:id="8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ویؤیّد ذلک - بل یدلّ علیه - ما ورد من الروایات فی باب إعادة من صلّی فرادی جماعةً ، وأنّ اللّٰه - تعالی - یختارُ أحبَّهما إلیه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6"/>
      </w:pPr>
      <w:bookmarkStart w:id="773" w:name="_Toc213"/>
      <w:r>
        <w:t>الموضع الثانی:إجزاء الإتیان‌بالمأمور به‌عن أمر غیره :</w:t>
      </w:r>
      <w:bookmarkEnd w:id="773"/>
    </w:p>
    <w:p>
      <w:pPr>
        <w:pStyle w:val="Heading6"/>
      </w:pPr>
      <w:bookmarkStart w:id="774" w:name="_Toc214"/>
      <w:r>
        <w:t>اشارة</w:t>
      </w:r>
      <w:bookmarkEnd w:id="774"/>
    </w:p>
    <w:p>
      <w:pPr>
        <w:pStyle w:val="BookText"/>
      </w:pPr>
      <w:r>
        <w:rPr>
          <w:rFonts w:ascii="IRNazanin" w:hAnsi="IRNazanin" w:eastAsia="IRNazanin" w:cs="IRNazanin"/>
          <w:lang w:bidi="fa-IR"/>
          <w:color w:val="111111"/>
          <w:sz w:val="28"/>
          <w:szCs w:val="28"/>
          <w:rtl/>
        </w:rPr>
        <w:t xml:space="preserve">الموضع الثانی : وفیه مقامان:</w:t>
      </w:r>
    </w:p>
    <w:p>
      <w:pPr>
        <w:pStyle w:val="Heading6"/>
      </w:pPr>
      <w:bookmarkStart w:id="775" w:name="_Toc215"/>
      <w:r>
        <w:t>1 - الکلام فی إجزاء الأمر الاضطراری</w:t>
      </w:r>
      <w:bookmarkEnd w:id="775"/>
    </w:p>
    <w:p>
      <w:pPr>
        <w:pStyle w:val="Heading6"/>
      </w:pPr>
      <w:bookmarkStart w:id="776" w:name="_Toc216"/>
      <w:r>
        <w:t>اشارة</w:t>
      </w:r>
      <w:bookmarkEnd w:id="776"/>
    </w:p>
    <w:p>
      <w:pPr>
        <w:pStyle w:val="BookText"/>
      </w:pPr>
      <w:r>
        <w:rPr>
          <w:rFonts w:ascii="IRNazanin" w:hAnsi="IRNazanin" w:eastAsia="IRNazanin" w:cs="IRNazanin"/>
          <w:lang w:bidi="fa-IR"/>
          <w:color w:val="111111"/>
          <w:sz w:val="28"/>
          <w:szCs w:val="28"/>
          <w:rtl/>
        </w:rPr>
        <w:t xml:space="preserve">المقام الأوّل: فی أنّ الإتیان بالمأمور به بالأمر الاضطراریّ هل یجزئ عن الإتیان </w:t>
      </w:r>
      <w:r>
        <w:rPr>
          <w:rStyle w:val="FootnoteReference"/>
        </w:rPr>
        <w:footnoteReference w:id="330"/>
      </w:r>
      <w:r>
        <w:rPr>
          <w:rFonts w:ascii="IRNazanin" w:hAnsi="IRNazanin" w:eastAsia="IRNazanin" w:cs="IRNazanin"/>
          <w:lang w:bidi="fa-IR"/>
          <w:color w:val="111111"/>
          <w:sz w:val="28"/>
          <w:szCs w:val="28"/>
          <w:rtl/>
        </w:rPr>
        <w:t xml:space="preserve">بالمأمور به بالأمر الواقعیّ ثانیاً بعد رفع الاضطرار - فی الوقت إعادةً ، وفی خارجه قضاءً - أو لا یجزئ ؟</w:t>
      </w:r>
    </w:p>
    <w:p>
      <w:pPr>
        <w:pStyle w:val="BookText"/>
      </w:pPr>
      <w:r>
        <w:rPr>
          <w:rFonts w:ascii="IRNazanin" w:hAnsi="IRNazanin" w:eastAsia="IRNazanin" w:cs="IRNazanin"/>
          <w:lang w:bidi="fa-IR"/>
          <w:color w:val="111111"/>
          <w:sz w:val="28"/>
          <w:szCs w:val="28"/>
          <w:rtl/>
        </w:rPr>
        <w:t xml:space="preserve">تحقیق الکلام فیه یستدعی التکلّم فیه :</w:t>
      </w:r>
    </w:p>
    <w:p>
      <w:pPr>
        <w:pStyle w:val="BookText"/>
      </w:pPr>
      <w:r>
        <w:rPr>
          <w:rFonts w:ascii="IRNazanin" w:hAnsi="IRNazanin" w:eastAsia="IRNazanin" w:cs="IRNazanin"/>
          <w:lang w:bidi="fa-IR"/>
          <w:color w:val="111111"/>
          <w:sz w:val="28"/>
          <w:szCs w:val="28"/>
          <w:rtl/>
        </w:rPr>
        <w:t xml:space="preserve">تارةً فی بیان ما یمکن أن یقع علیه الأمر الاضطراریّ من الأنحاء ، وبیان ما هو قضیّةُ کلٍّ منها من الإجزاء وعدمه .</w:t>
      </w:r>
    </w:p>
    <w:p>
      <w:pPr>
        <w:pStyle w:val="BookText"/>
      </w:pPr>
      <w:r>
        <w:rPr>
          <w:rFonts w:ascii="IRNazanin" w:hAnsi="IRNazanin" w:eastAsia="IRNazanin" w:cs="IRNazanin"/>
          <w:lang w:bidi="fa-IR"/>
          <w:color w:val="111111"/>
          <w:sz w:val="28"/>
          <w:szCs w:val="28"/>
          <w:rtl/>
        </w:rPr>
        <w:t xml:space="preserve">وأُخری فی تعیین ما وقع علیه .</w:t>
      </w:r>
    </w:p>
    <w:p>
      <w:pPr>
        <w:pStyle w:val="Heading6"/>
      </w:pPr>
      <w:bookmarkStart w:id="777" w:name="_Toc217"/>
      <w:r>
        <w:t>أنحاء الأمر الاضطراری وحکم کلّ واحدٍمنها</w:t>
      </w:r>
      <w:bookmarkEnd w:id="777"/>
    </w:p>
    <w:p>
      <w:pPr>
        <w:pStyle w:val="BookText"/>
      </w:pPr>
      <w:r>
        <w:rPr>
          <w:rFonts w:ascii="IRNazanin" w:hAnsi="IRNazanin" w:eastAsia="IRNazanin" w:cs="IRNazanin"/>
          <w:lang w:bidi="fa-IR"/>
          <w:color w:val="111111"/>
          <w:sz w:val="28"/>
          <w:szCs w:val="28"/>
          <w:rtl/>
        </w:rPr>
        <w:t xml:space="preserve">فاعلم: أنّه یمکن أن یکون التکلیف الاضطراریّ فی حال الاضطرار - کالتکلیف الاختیاریّ فی حال الاختیار - وافیاً بتمام المصلحة ، وکافیاً فی ما هو المهمّ والغرض . ویمکن أن لا یکون وافیاً به کذلک </w:t>
      </w:r>
      <w:r>
        <w:rPr>
          <w:rStyle w:val="FootnoteReference"/>
        </w:rPr>
        <w:footnoteReference w:id="331"/>
      </w:r>
      <w:r>
        <w:rPr>
          <w:rFonts w:ascii="IRNazanin" w:hAnsi="IRNazanin" w:eastAsia="IRNazanin" w:cs="IRNazanin"/>
          <w:lang w:bidi="fa-IR"/>
          <w:color w:val="111111"/>
          <w:sz w:val="28"/>
          <w:szCs w:val="28"/>
          <w:rtl/>
        </w:rPr>
        <w:t xml:space="preserve">، بل یبقی منه شیءٌ أمکن استیفاؤه ، أو لا یمکن ، وما أمکن کان بمقدارٍ یجب تدارکه ، أو یکون بمقدار یستحبّ .</w:t>
      </w:r>
    </w:p>
    <w:p>
      <w:pPr>
        <w:pStyle w:val="BookText"/>
      </w:pPr>
      <w:r>
        <w:rPr>
          <w:rFonts w:ascii="IRNazanin" w:hAnsi="IRNazanin" w:eastAsia="IRNazanin" w:cs="IRNazanin"/>
          <w:lang w:bidi="fa-IR"/>
          <w:color w:val="111111"/>
          <w:sz w:val="28"/>
          <w:szCs w:val="28"/>
          <w:rtl/>
        </w:rPr>
        <w:t xml:space="preserve">ولا یخفی: أنّه إن کان وافیاً به فیجزئ ، فلا یبقی مجال أصلاً للتدارک ، لا قضاءً ولا إعادةً .</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لو لم یکن وافیاً ، ولکن لا یمکن تدارکه .</w:t>
      </w:r>
    </w:p>
    <w:p>
      <w:pPr>
        <w:pStyle w:val="BookText"/>
      </w:pPr>
      <w:r>
        <w:rPr>
          <w:rFonts w:ascii="IRNazanin" w:hAnsi="IRNazanin" w:eastAsia="IRNazanin" w:cs="IRNazanin"/>
          <w:lang w:bidi="fa-IR"/>
          <w:color w:val="111111"/>
          <w:sz w:val="28"/>
          <w:szCs w:val="28"/>
          <w:rtl/>
        </w:rPr>
        <w:t xml:space="preserve">ولا یکاد یسوغ له البدار فی هذه الصورة إلّالمصلحة ، کانت فیه ؛ لما فیه من نقض الغرض وتفویت مقدارٍ من المصلحة ، لولا مراعاة ما هو فیه من الأهمّ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 علیه ، فلا مجال لتشریعه ولو بشرط الانتظار ؛ لإمکان استیفاء الغرض بالقضاء .</w:t>
      </w:r>
    </w:p>
    <w:p>
      <w:pPr>
        <w:pStyle w:val="BookText"/>
      </w:pPr>
      <w:r>
        <w:rPr>
          <w:rFonts w:ascii="IRNazanin" w:hAnsi="IRNazanin" w:eastAsia="IRNazanin" w:cs="IRNazanin"/>
          <w:lang w:bidi="fa-IR"/>
          <w:color w:val="111111"/>
          <w:sz w:val="28"/>
          <w:szCs w:val="28"/>
          <w:rtl/>
        </w:rPr>
        <w:t xml:space="preserve">فإنّه یقال: هذا کذلک لولا المزاحمة بمصلحة الوقت .</w:t>
      </w:r>
    </w:p>
    <w:p>
      <w:pPr>
        <w:pStyle w:val="BookText"/>
      </w:pPr>
      <w:r>
        <w:rPr>
          <w:rFonts w:ascii="IRNazanin" w:hAnsi="IRNazanin" w:eastAsia="IRNazanin" w:cs="IRNazanin"/>
          <w:lang w:bidi="fa-IR"/>
          <w:color w:val="111111"/>
          <w:sz w:val="28"/>
          <w:szCs w:val="28"/>
          <w:rtl/>
        </w:rPr>
        <w:t xml:space="preserve">وأمّا تسویغ البدار أو إیجاب الانتظار فی الصورة الأُولی ، فیدورُ مدار کون العمل بمجرّد الاضطرار - مطلقاً ، أو بشرط الانتظار ، أو مع الیأس عن طروء الاختیار - ذا مصلحةٍ ووافیاً بالغرض .</w:t>
      </w:r>
    </w:p>
    <w:p>
      <w:pPr>
        <w:pStyle w:val="BookText"/>
      </w:pPr>
      <w:r>
        <w:rPr>
          <w:rFonts w:ascii="IRNazanin" w:hAnsi="IRNazanin" w:eastAsia="IRNazanin" w:cs="IRNazanin"/>
          <w:lang w:bidi="fa-IR"/>
          <w:color w:val="111111"/>
          <w:sz w:val="28"/>
          <w:szCs w:val="28"/>
          <w:rtl/>
        </w:rPr>
        <w:t xml:space="preserve">وإن لم یکن وافیاً وقد أمکن تدارک الباقی فی الوقت ، أو مطلقاً ولو بالقضاء خارج الوقت ، فإن کان الباقی ممّا یجب تدارکه فلا یجزئ ، ولابدّ </w:t>
      </w:r>
      <w:r>
        <w:rPr>
          <w:rStyle w:val="FootnoteReference"/>
        </w:rPr>
        <w:footnoteReference w:id="332"/>
      </w:r>
      <w:r>
        <w:rPr>
          <w:rFonts w:ascii="IRNazanin" w:hAnsi="IRNazanin" w:eastAsia="IRNazanin" w:cs="IRNazanin"/>
          <w:lang w:bidi="fa-IR"/>
          <w:color w:val="111111"/>
          <w:sz w:val="28"/>
          <w:szCs w:val="28"/>
          <w:rtl/>
        </w:rPr>
        <w:t xml:space="preserve">من إیجاب الإعادة أو القضاء ، وإلّا فیجزئ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مانع عن البدار فی الصورتین . غایة الأمر یتخیّر فی الصورة الأُولی بین البدار والإتیان بعملین : - العملِ الاضطراریّ فی هذا الحال ، والعملِ الاختیاریّ بعد رفع الاضطرار - أو الانتظار والاقتصار بإتیان ما هو تکلیف المختار . وفی الصورة الثانیة یُجزئ البدار ، ویستحبّ الإعادة بعد طروء الاختیار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0" w:name="pg14419_166823"/>
    <w:bookmarkEnd w:id="90"/>
    <w:p>
      <w:pPr>
        <w:pStyle w:val="BookText"/>
      </w:pPr>
      <w:r>
        <w:rPr>
          <w:rFonts w:ascii="IRNazanin" w:hAnsi="IRNazanin" w:eastAsia="IRNazanin" w:cs="IRNazanin"/>
          <w:lang w:bidi="fa-IR"/>
          <w:color w:val="111111"/>
          <w:sz w:val="28"/>
          <w:szCs w:val="28"/>
          <w:rtl/>
        </w:rPr>
        <w:t xml:space="preserve">هذا کلّه فی ما یمکن أن یقع علیه الاضطراریّ من الأنحاء .</w:t>
      </w:r>
    </w:p>
    <w:p>
      <w:pPr>
        <w:pStyle w:val="Heading6"/>
      </w:pPr>
      <w:bookmarkStart w:id="778" w:name="_Toc218"/>
      <w:r>
        <w:t>تعیین ما وقع علیه الأمر الاضطراری</w:t>
      </w:r>
      <w:bookmarkEnd w:id="778"/>
    </w:p>
    <w:p>
      <w:pPr>
        <w:pStyle w:val="BookText"/>
      </w:pPr>
      <w:r>
        <w:rPr>
          <w:rFonts w:ascii="Amiri" w:hAnsi="Amiri" w:eastAsia="Amiri" w:cs="Amiri"/>
          <w:lang w:bidi="ar-SA"/>
          <w:color w:val="111111"/>
          <w:sz w:val="28"/>
          <w:szCs w:val="28"/>
          <w:rtl/>
        </w:rPr>
        <w:t xml:space="preserve">وأمّا ما وقع علیه: فظاهر إطلاق دلیله - مثل قوله تعالی: «فَلَمْ تَجِدُوا مٰاءً فَتَیَمَّمُوا صَعِیداً طَیِّباً » </w:t>
      </w:r>
      <w:r>
        <w:rPr>
          <w:rStyle w:val="FootnoteReference"/>
        </w:rPr>
        <w:footnoteReference w:id="335"/>
      </w:r>
      <w:r>
        <w:rPr>
          <w:rFonts w:ascii="IRNazanin" w:hAnsi="IRNazanin" w:eastAsia="IRNazanin" w:cs="IRNazanin"/>
          <w:lang w:bidi="fa-IR"/>
          <w:color w:val="111111"/>
          <w:sz w:val="28"/>
          <w:szCs w:val="28"/>
          <w:rtl/>
        </w:rPr>
        <w:t xml:space="preserve">، وقوله علیه السلام : « التراب أحد الطهورین » </w:t>
      </w:r>
      <w:r>
        <w:rPr>
          <w:rStyle w:val="FootnoteReference"/>
        </w:rPr>
        <w:footnoteReference w:id="336"/>
      </w:r>
      <w:r>
        <w:rPr>
          <w:rFonts w:ascii="IRNazanin" w:hAnsi="IRNazanin" w:eastAsia="IRNazanin" w:cs="IRNazanin"/>
          <w:lang w:bidi="fa-IR"/>
          <w:color w:val="111111"/>
          <w:sz w:val="28"/>
          <w:szCs w:val="28"/>
          <w:rtl/>
        </w:rPr>
        <w:t xml:space="preserve">، و « یکفیک عشر سنین » </w:t>
      </w:r>
      <w:r>
        <w:rPr>
          <w:rStyle w:val="FootnoteReference"/>
        </w:rPr>
        <w:footnoteReference w:id="337"/>
      </w:r>
      <w:r>
        <w:rPr>
          <w:rFonts w:ascii="IRNazanin" w:hAnsi="IRNazanin" w:eastAsia="IRNazanin" w:cs="IRNazanin"/>
          <w:lang w:bidi="fa-IR"/>
          <w:color w:val="111111"/>
          <w:sz w:val="28"/>
          <w:szCs w:val="28"/>
          <w:rtl/>
        </w:rPr>
        <w:t xml:space="preserve">- هو الإجزاء وعدمُ وجوب الإعادة أو القضاء ، ولابدّ فی إیجاب الإتیان به ثانیاً من دلالة دلیل بالخصوص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وبالجملة: فالمتّبع هو الإطلاق لو کان ، وإلّا فالأصل ، وهو یقتضی البراءة من إیجاب الإعادة ؛ لکونه شکّاً فی أصل التکلیف ، وکذا عن إیجاب القضاء بطریق أولی .</w:t>
      </w:r>
    </w:p>
    <w:p>
      <w:pPr>
        <w:pStyle w:val="BookText"/>
      </w:pPr>
      <w:r>
        <w:rPr>
          <w:rFonts w:ascii="IRNazanin" w:hAnsi="IRNazanin" w:eastAsia="IRNazanin" w:cs="IRNazanin"/>
          <w:lang w:bidi="fa-IR"/>
          <w:color w:val="111111"/>
          <w:sz w:val="28"/>
          <w:szCs w:val="28"/>
          <w:rtl/>
        </w:rPr>
        <w:t xml:space="preserve">نعم ، لو دلّ دلیله علی أنّ سببه فوت الواقع </w:t>
      </w:r>
      <w:r>
        <w:rPr>
          <w:rStyle w:val="FootnoteReference"/>
        </w:rPr>
        <w:footnoteReference w:id="338"/>
      </w:r>
      <w:r>
        <w:rPr>
          <w:rFonts w:ascii="Amiri" w:hAnsi="Amiri" w:eastAsia="Amiri" w:cs="Amiri"/>
          <w:lang w:bidi="ar-SA"/>
          <w:color w:val="111111"/>
          <w:sz w:val="28"/>
          <w:szCs w:val="28"/>
          <w:rtl/>
        </w:rPr>
        <w:t xml:space="preserve">- ولو لم یکن هو فریضةً - کان القضاء واجباً علیه ؛ لتحقُّقِ سبَبِهِ وإن أتی بالغرض </w:t>
      </w:r>
      <w:r>
        <w:rPr>
          <w:rStyle w:val="FootnoteReference"/>
        </w:rPr>
        <w:footnoteReference w:id="339"/>
      </w:r>
      <w:r>
        <w:rPr>
          <w:rFonts w:ascii="Amiri" w:hAnsi="Amiri" w:eastAsia="Amiri" w:cs="Amiri"/>
          <w:lang w:bidi="ar-SA"/>
          <w:color w:val="111111"/>
          <w:sz w:val="28"/>
          <w:szCs w:val="28"/>
          <w:rtl/>
        </w:rPr>
        <w:t xml:space="preserve">، لکنّه مجرّد الفرض .</w:t>
      </w:r>
    </w:p>
    <w:p>
      <w:pPr>
        <w:pStyle w:val="Heading6"/>
      </w:pPr>
      <w:bookmarkStart w:id="779" w:name="_Toc219"/>
      <w:r>
        <w:t>2 - الکلام فی إجزاء الأمر الظاهری</w:t>
      </w:r>
      <w:bookmarkEnd w:id="779"/>
    </w:p>
    <w:p>
      <w:pPr>
        <w:pStyle w:val="Heading6"/>
      </w:pPr>
      <w:bookmarkStart w:id="780" w:name="_Toc220"/>
      <w:r>
        <w:t>اشارة</w:t>
      </w:r>
      <w:bookmarkEnd w:id="7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المقام الثانی: فی إجزاء الإتیان بالمأمور به بالأمر الظاهریّ وعدمه .</w:t>
      </w:r>
    </w:p>
    <w:p>
      <w:pPr>
        <w:pStyle w:val="Heading6"/>
      </w:pPr>
      <w:bookmarkStart w:id="781" w:name="_Toc221"/>
      <w:r>
        <w:t>الإجزاء فی‌الأُصول المنقّحة الموضوع التکلیف</w:t>
      </w:r>
      <w:bookmarkEnd w:id="781"/>
    </w:p>
    <w:p>
      <w:pPr>
        <w:pStyle w:val="BookText"/>
      </w:pPr>
      <w:r>
        <w:rPr>
          <w:rFonts w:ascii="IRNazanin" w:hAnsi="IRNazanin" w:eastAsia="IRNazanin" w:cs="IRNazanin"/>
          <w:lang w:bidi="fa-IR"/>
          <w:color w:val="111111"/>
          <w:sz w:val="28"/>
          <w:szCs w:val="28"/>
          <w:rtl/>
        </w:rPr>
        <w:t xml:space="preserve">والتحقیق: أنّ ما کان منه </w:t>
      </w:r>
      <w:r>
        <w:rPr>
          <w:rStyle w:val="FootnoteReference"/>
        </w:rPr>
        <w:footnoteReference w:id="340"/>
      </w:r>
      <w:r>
        <w:rPr>
          <w:rFonts w:ascii="IRNazanin" w:hAnsi="IRNazanin" w:eastAsia="IRNazanin" w:cs="IRNazanin"/>
          <w:lang w:bidi="fa-IR"/>
          <w:color w:val="111111"/>
          <w:sz w:val="28"/>
          <w:szCs w:val="28"/>
          <w:rtl/>
        </w:rPr>
        <w:t xml:space="preserve">یجری فی تنقیح ما هو موضوع التکلیف وتحقیقِ متعلّقه ، وکان بلسان تحقُّقِ ما هو شرطه أو شطره - کقاعدة الطهارة</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14419_166824"/>
    <w:bookmarkEnd w:id="91"/>
    <w:p>
      <w:pPr>
        <w:pStyle w:val="BookText"/>
      </w:pPr>
      <w:r>
        <w:rPr>
          <w:rFonts w:ascii="IRNazanin" w:hAnsi="IRNazanin" w:eastAsia="IRNazanin" w:cs="IRNazanin"/>
          <w:lang w:bidi="fa-IR"/>
          <w:color w:val="111111"/>
          <w:sz w:val="28"/>
          <w:szCs w:val="28"/>
          <w:rtl/>
        </w:rPr>
        <w:t xml:space="preserve">أو الحلّیّة ، بل واستصحابهما ، فی وجهٍ قویٍّ ، ونحوها بالنسبة إلی کلّ ما اشترط بالطهارة أو الحلّیّة - ، یجزئ ؛ فإنّ دلیله یکون حاکماً علی دلیل الاشتراط ، ومبیِّناً لدائرة الشرط ، وأنّه أعمّ من الطهارة الواقعیّة والظاهریّة ، فانکشاف الخلاف فیه لا یکون موجباً لانکشاف فقدان العمل لشرطه ، بل بالنسبة إلیه یکون من قبیل ارتفاعه من حین ارتفاع الجهل .</w:t>
      </w:r>
    </w:p>
    <w:p>
      <w:pPr>
        <w:pStyle w:val="Heading6"/>
      </w:pPr>
      <w:bookmarkStart w:id="782" w:name="_Toc222"/>
      <w:r>
        <w:t>الکلام فی‌إجزاء الأمارات المنقّحة لموضوع التکلیف بناءً علی الطریقیة</w:t>
      </w:r>
      <w:bookmarkEnd w:id="782"/>
    </w:p>
    <w:p>
      <w:pPr>
        <w:pStyle w:val="BookText"/>
      </w:pPr>
      <w:r>
        <w:rPr>
          <w:rFonts w:ascii="IRNazanin" w:hAnsi="IRNazanin" w:eastAsia="IRNazanin" w:cs="IRNazanin"/>
          <w:lang w:bidi="fa-IR"/>
          <w:color w:val="111111"/>
          <w:sz w:val="28"/>
          <w:szCs w:val="28"/>
          <w:rtl/>
        </w:rPr>
        <w:t xml:space="preserve">وهذا بخلاف ما کان منها </w:t>
      </w:r>
      <w:r>
        <w:rPr>
          <w:rStyle w:val="FootnoteReference"/>
        </w:rPr>
        <w:footnoteReference w:id="341"/>
      </w:r>
      <w:r>
        <w:rPr>
          <w:rFonts w:ascii="IRNazanin" w:hAnsi="IRNazanin" w:eastAsia="IRNazanin" w:cs="IRNazanin"/>
          <w:lang w:bidi="fa-IR"/>
          <w:color w:val="111111"/>
          <w:sz w:val="28"/>
          <w:szCs w:val="28"/>
          <w:rtl/>
        </w:rPr>
        <w:t xml:space="preserve">بلسان أنّه ما هو الشرط واقعاً - کما هو لسان الأمارات - ، فلا یجزئ ؛ فإنّ دلیل حجّیّته حیث کان بلسان أنّه واجدٌ لما هو شرطه الواقعیّ ، فبارتفاع الجهل ینکشف أنّه لم یکن کذلک ، بل کان لشرطه فاقداً .</w:t>
      </w:r>
    </w:p>
    <w:p>
      <w:pPr>
        <w:pStyle w:val="BookText"/>
      </w:pPr>
      <w:r>
        <w:rPr>
          <w:rFonts w:ascii="IRNazanin" w:hAnsi="IRNazanin" w:eastAsia="IRNazanin" w:cs="IRNazanin"/>
          <w:lang w:bidi="fa-IR"/>
          <w:color w:val="111111"/>
          <w:sz w:val="28"/>
          <w:szCs w:val="28"/>
          <w:rtl/>
        </w:rPr>
        <w:t xml:space="preserve">هذا علی ما هو الأظهر الأقوی فی الطرق والأمارات ، من أنّ حجّیّتها لیست بنحو السببیّة .</w:t>
      </w:r>
    </w:p>
    <w:p>
      <w:pPr>
        <w:pStyle w:val="Heading6"/>
      </w:pPr>
      <w:bookmarkStart w:id="783" w:name="_Toc223"/>
      <w:r>
        <w:t>الکلام فی‌إجزاء الأمارات‌بناءً علی‌السببیّة</w:t>
      </w:r>
      <w:bookmarkEnd w:id="783"/>
    </w:p>
    <w:p>
      <w:pPr>
        <w:pStyle w:val="BookText"/>
      </w:pPr>
      <w:r>
        <w:rPr>
          <w:rFonts w:ascii="Amiri" w:hAnsi="Amiri" w:eastAsia="Amiri" w:cs="Amiri"/>
          <w:lang w:bidi="ar-SA"/>
          <w:color w:val="111111"/>
          <w:sz w:val="28"/>
          <w:szCs w:val="28"/>
          <w:rtl/>
        </w:rPr>
        <w:t xml:space="preserve">وأمّا بناءً علیها - وأنّ العمل بسبب أداء أمارةٍ إلی وجدان شرطه أو شطره یصیر حقیقةً صحیحاً ، کأنّه واجدٌ له ، مع کونه فاقِدَه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فیجزئ لو کان الفاقد معه </w:t>
      </w:r>
      <w:r>
        <w:rPr>
          <w:rStyle w:val="FootnoteReference"/>
        </w:rPr>
        <w:footnoteReference w:id="342"/>
      </w:r>
      <w:r>
        <w:rPr>
          <w:rFonts w:ascii="IRNazanin" w:hAnsi="IRNazanin" w:eastAsia="IRNazanin" w:cs="IRNazanin"/>
          <w:lang w:bidi="fa-IR"/>
          <w:color w:val="111111"/>
          <w:sz w:val="28"/>
          <w:szCs w:val="28"/>
          <w:rtl/>
        </w:rPr>
        <w:t xml:space="preserve">- فی هذا الحال - کالواجد ، فی کونه وافیاً بتمام الغرض ، ولا یجزئ لو لم یکن کذلک .</w:t>
      </w:r>
    </w:p>
    <w:p>
      <w:pPr>
        <w:pStyle w:val="BookText"/>
      </w:pPr>
      <w:r>
        <w:rPr>
          <w:rFonts w:ascii="IRNazanin" w:hAnsi="IRNazanin" w:eastAsia="IRNazanin" w:cs="IRNazanin"/>
          <w:lang w:bidi="fa-IR"/>
          <w:color w:val="111111"/>
          <w:sz w:val="28"/>
          <w:szCs w:val="28"/>
          <w:rtl/>
        </w:rPr>
        <w:t xml:space="preserve">ویجب الإتیان بالواجد لاستیفاء الباقی إن وجب ، وإلّا لاستحبّ .</w:t>
      </w:r>
    </w:p>
    <w:p>
      <w:pPr>
        <w:pStyle w:val="BookText"/>
      </w:pPr>
      <w:r>
        <w:rPr>
          <w:rFonts w:ascii="IRNazanin" w:hAnsi="IRNazanin" w:eastAsia="IRNazanin" w:cs="IRNazanin"/>
          <w:lang w:bidi="fa-IR"/>
          <w:color w:val="111111"/>
          <w:sz w:val="28"/>
          <w:szCs w:val="28"/>
          <w:rtl/>
        </w:rPr>
        <w:t xml:space="preserve">هذا مع إمکان استیفائه ، وإلّا فلا مجال لإتیانه ، کما عرفت فی الأمر الاضطراریّ .</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14419_166825"/>
    <w:bookmarkEnd w:id="92"/>
    <w:p>
      <w:pPr>
        <w:pStyle w:val="BookText"/>
      </w:pPr>
      <w:r>
        <w:rPr>
          <w:rFonts w:ascii="IRNazanin" w:hAnsi="IRNazanin" w:eastAsia="IRNazanin" w:cs="IRNazanin"/>
          <w:lang w:bidi="fa-IR"/>
          <w:color w:val="111111"/>
          <w:sz w:val="28"/>
          <w:szCs w:val="28"/>
          <w:rtl/>
        </w:rPr>
        <w:t xml:space="preserve">ولا یخفی : أنّ قضیّة إطلاق دلیل الحجّیّة علی هذا هو الاجتزاء بموافقته أیضاً .</w:t>
      </w:r>
    </w:p>
    <w:p>
      <w:pPr>
        <w:pStyle w:val="BookText"/>
      </w:pPr>
      <w:r>
        <w:rPr>
          <w:rFonts w:ascii="IRNazanin" w:hAnsi="IRNazanin" w:eastAsia="IRNazanin" w:cs="IRNazanin"/>
          <w:lang w:bidi="fa-IR"/>
          <w:color w:val="111111"/>
          <w:sz w:val="28"/>
          <w:szCs w:val="28"/>
          <w:rtl/>
        </w:rPr>
        <w:t xml:space="preserve">هذا فی ما إذا أُحرز أنّ الحجیّة بنحو الکشف والطریقیّة ، أو بنحو الموضوعیّة والسببیّة .</w:t>
      </w:r>
    </w:p>
    <w:p>
      <w:pPr>
        <w:pStyle w:val="Heading6"/>
      </w:pPr>
      <w:bookmarkStart w:id="784" w:name="_Toc224"/>
      <w:r>
        <w:t>حکم الإجزاءفی ما إذا شکّ‌فی السببیّة والطریقیّة</w:t>
      </w:r>
      <w:bookmarkEnd w:id="784"/>
    </w:p>
    <w:p>
      <w:pPr>
        <w:pStyle w:val="BookText"/>
      </w:pPr>
      <w:r>
        <w:rPr>
          <w:rFonts w:ascii="Amiri" w:hAnsi="Amiri" w:eastAsia="Amiri" w:cs="Amiri"/>
          <w:lang w:bidi="ar-SA"/>
          <w:color w:val="111111"/>
          <w:sz w:val="28"/>
          <w:szCs w:val="28"/>
          <w:rtl/>
        </w:rPr>
        <w:t xml:space="preserve">وأمّا إذا شکّ </w:t>
      </w:r>
      <w:r>
        <w:rPr>
          <w:rStyle w:val="FootnoteReference"/>
        </w:rPr>
        <w:footnoteReference w:id="343"/>
      </w:r>
      <w:r>
        <w:rPr>
          <w:rFonts w:ascii="IRNazanin" w:hAnsi="IRNazanin" w:eastAsia="IRNazanin" w:cs="IRNazanin"/>
          <w:lang w:bidi="fa-IR"/>
          <w:color w:val="111111"/>
          <w:sz w:val="28"/>
          <w:szCs w:val="28"/>
          <w:rtl/>
        </w:rPr>
        <w:t xml:space="preserve">ولم یحرز أنّها علی أیّ الوجهین ، فأصالةُ عدم الإتیان بما یسقط معه التکلیف مقتضیةٌ للإعادة فی الوقت .</w:t>
      </w:r>
    </w:p>
    <w:p>
      <w:pPr>
        <w:pStyle w:val="BookText"/>
      </w:pPr>
      <w:r>
        <w:rPr>
          <w:rFonts w:ascii="IRNazanin" w:hAnsi="IRNazanin" w:eastAsia="IRNazanin" w:cs="IRNazanin"/>
          <w:lang w:bidi="fa-IR"/>
          <w:color w:val="111111"/>
          <w:sz w:val="28"/>
          <w:szCs w:val="28"/>
          <w:rtl/>
        </w:rPr>
        <w:t xml:space="preserve">واستصحاب عدم کون التکلیف بالواقع فعلیّاً فی الوقت لا یُجدی </w:t>
      </w:r>
      <w:r>
        <w:rPr>
          <w:rStyle w:val="FootnoteReference"/>
        </w:rPr>
        <w:footnoteReference w:id="344"/>
      </w:r>
      <w:r>
        <w:rPr>
          <w:rFonts w:ascii="IRNazanin" w:hAnsi="IRNazanin" w:eastAsia="IRNazanin" w:cs="IRNazanin"/>
          <w:lang w:bidi="fa-IR"/>
          <w:color w:val="111111"/>
          <w:sz w:val="28"/>
          <w:szCs w:val="28"/>
          <w:rtl/>
        </w:rPr>
        <w:t xml:space="preserve">، ولا یُثبت کونَ ما أتی به مُسقطاً ، إلّاعلی القول بالأصل المثبت ، وقد علم اشتغال ذمّته بما یشکّ فی فراغها عنه بذلک المأتی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وهذا بخلاف ما إذا علم أنّه مأمورٌ به واقعاً ، وشکّ فی أنّه یجزئ عمّا هو المأمور به الواقعیّ الأوّلیّ - کما فی الأوامر الاضطراریّة أو الظاهریّة ، بناءً علی أن تکون الحجّیّة علی نحو السببیّة - ، فقضیّةُ الأصل فیها - کما أشرنا إلیه </w:t>
      </w:r>
      <w:r>
        <w:rPr>
          <w:rStyle w:val="FootnoteReference"/>
        </w:rPr>
        <w:footnoteReference w:id="345"/>
      </w:r>
      <w:r>
        <w:rPr>
          <w:rFonts w:ascii="IRNazanin" w:hAnsi="IRNazanin" w:eastAsia="IRNazanin" w:cs="IRNazanin"/>
          <w:lang w:bidi="fa-IR"/>
          <w:color w:val="111111"/>
          <w:sz w:val="28"/>
          <w:szCs w:val="28"/>
          <w:rtl/>
        </w:rPr>
        <w:t xml:space="preserve">- عدمُ وجوب الإعادة ؛ للإتیان بما اشتغلت به الذمّة یقیناً ، وأصالةِ عدم فعلیّة التکلیف الواقعیّ بعد رفع الاضطرار وکشف الخلاف .</w:t>
      </w:r>
    </w:p>
    <w:p>
      <w:pPr>
        <w:pStyle w:val="BookText"/>
      </w:pPr>
      <w:r>
        <w:rPr>
          <w:rFonts w:ascii="Amiri" w:hAnsi="Amiri" w:eastAsia="Amiri" w:cs="Amiri"/>
          <w:lang w:bidi="ar-SA"/>
          <w:color w:val="111111"/>
          <w:sz w:val="28"/>
          <w:szCs w:val="28"/>
          <w:rtl/>
        </w:rPr>
        <w:t xml:space="preserve">وأمّا القضاء فلا یجب ، بناءً علی أنّه فرضٌ جدید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وکان </w:t>
      </w:r>
      <w:r>
        <w:rPr>
          <w:rStyle w:val="FootnoteReference"/>
        </w:rPr>
        <w:footnoteReference w:id="346"/>
      </w:r>
      <w:r>
        <w:rPr>
          <w:rFonts w:ascii="IRNazanin" w:hAnsi="IRNazanin" w:eastAsia="IRNazanin" w:cs="IRNazanin"/>
          <w:lang w:bidi="fa-IR"/>
          <w:color w:val="111111"/>
          <w:sz w:val="28"/>
          <w:szCs w:val="28"/>
          <w:rtl/>
        </w:rPr>
        <w:t xml:space="preserve">الفوتُ المعلّق علیه وجوبُه لا یثبت بأصالة عدم الإتیان إلّاعلی القول بالأصل المثبت ، وإلّا فهو واجب ، کما لا یخفی علی المتأمّل ، فتأمّل جیّداً .</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3" w:name="pg14419_166826"/>
    <w:bookmarkEnd w:id="93"/>
    <w:p>
      <w:pPr>
        <w:pStyle w:val="BookText"/>
      </w:pPr>
      <w:r>
        <w:rPr>
          <w:rFonts w:ascii="IRNazanin" w:hAnsi="IRNazanin" w:eastAsia="IRNazanin" w:cs="IRNazanin"/>
          <w:lang w:bidi="fa-IR"/>
          <w:color w:val="111111"/>
          <w:sz w:val="28"/>
          <w:szCs w:val="28"/>
          <w:rtl/>
        </w:rPr>
        <w:t xml:space="preserve">ثمّ إنّ هذا کلّه فی ما یجری فی متعلّق التکالیف ، من الأمارات الشرعیّة والأُصول العملیّة .</w:t>
      </w:r>
    </w:p>
    <w:p>
      <w:pPr>
        <w:pStyle w:val="Heading6"/>
      </w:pPr>
      <w:bookmarkStart w:id="785" w:name="_Toc225"/>
      <w:r>
        <w:t>عدم الإجزاء فی الأُصول والأمارات الجاریة فی إثبات أصل التکلیف</w:t>
      </w:r>
      <w:bookmarkEnd w:id="785"/>
    </w:p>
    <w:p>
      <w:pPr>
        <w:pStyle w:val="BookText"/>
      </w:pPr>
      <w:r>
        <w:rPr>
          <w:rFonts w:ascii="IRNazanin" w:hAnsi="IRNazanin" w:eastAsia="IRNazanin" w:cs="IRNazanin"/>
          <w:lang w:bidi="fa-IR"/>
          <w:color w:val="111111"/>
          <w:sz w:val="28"/>
          <w:szCs w:val="28"/>
          <w:rtl/>
        </w:rPr>
        <w:t xml:space="preserve">وأمّا ما یجری فی إثبات أصل التکلیف - کما إذا قام الطریق أو الأصلُ علی وجوب صلاة الجمعة یومها فی زمان الغیبة ، فانکشف بعد أدائها وجوبُ صلاة الظهر فی زمانها - فلا وجه لإجزائها مطلقاً ، غایة الأمر أن تصیر صلاة الجمعة فیها أیضاً ذاتَ مصلحة لذلک ، ولا ینافی هذا بقاء صلاة الظهر علی ما هی علیه من المصلحة ، کما لا یخفی ، إلّاأن یقوم دلیلٌ بالخصوص علی عدم وجوب صلاتین فی یومٍ واحد .</w:t>
      </w:r>
    </w:p>
    <w:p>
      <w:pPr>
        <w:pStyle w:val="Heading6"/>
      </w:pPr>
      <w:bookmarkStart w:id="786" w:name="_Toc226"/>
      <w:r>
        <w:t>تذنیبان</w:t>
      </w:r>
      <w:bookmarkEnd w:id="786"/>
    </w:p>
    <w:p>
      <w:pPr>
        <w:pStyle w:val="Heading6"/>
      </w:pPr>
      <w:bookmarkStart w:id="787" w:name="_Toc227"/>
      <w:r>
        <w:t>1 - عدم الإجزاءفی صورة القطع بالأمر خطأً</w:t>
      </w:r>
      <w:bookmarkEnd w:id="787"/>
    </w:p>
    <w:p>
      <w:pPr>
        <w:pStyle w:val="BookText"/>
      </w:pPr>
      <w:r>
        <w:rPr>
          <w:rFonts w:ascii="IRNazanin" w:hAnsi="IRNazanin" w:eastAsia="IRNazanin" w:cs="IRNazanin"/>
          <w:lang w:bidi="fa-IR"/>
          <w:color w:val="111111"/>
          <w:sz w:val="28"/>
          <w:szCs w:val="28"/>
          <w:rtl/>
        </w:rPr>
        <w:t xml:space="preserve">الأوّل: لا ینبغی توهّم الإجزاء فی القطع بالأمر فی صورة الخطأ ؛ فإنّه لا یکون موافقة للأمر فیها ، وبقی الأمر بلا موافقة أصلاً ، وهو أوضح من أن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ربما یکون ما قطع بکونه مأموراً به مشتملاً علی المصلحة فی هذا الحال ، أو علی مقدارٍ منها ولو فی غیر الحال ، غیر ممکن مع استیفائه استیفاءُ الباقی منها </w:t>
      </w:r>
      <w:r>
        <w:rPr>
          <w:rStyle w:val="FootnoteReference"/>
        </w:rPr>
        <w:footnoteReference w:id="347"/>
      </w:r>
      <w:r>
        <w:rPr>
          <w:rFonts w:ascii="IRNazanin" w:hAnsi="IRNazanin" w:eastAsia="IRNazanin" w:cs="IRNazanin"/>
          <w:lang w:bidi="fa-IR"/>
          <w:color w:val="111111"/>
          <w:sz w:val="28"/>
          <w:szCs w:val="28"/>
          <w:rtl/>
        </w:rPr>
        <w:t xml:space="preserve">، ومعه لا یبقی مجال لامتثال الأمر الواقعیّ ، وهکذا الحال فی الطرق .</w:t>
      </w:r>
    </w:p>
    <w:p>
      <w:pPr>
        <w:pStyle w:val="BookText"/>
      </w:pPr>
      <w:r>
        <w:rPr>
          <w:rFonts w:ascii="IRNazanin" w:hAnsi="IRNazanin" w:eastAsia="IRNazanin" w:cs="IRNazanin"/>
          <w:lang w:bidi="fa-IR"/>
          <w:color w:val="111111"/>
          <w:sz w:val="28"/>
          <w:szCs w:val="28"/>
          <w:rtl/>
        </w:rPr>
        <w:t xml:space="preserve">فالإجزاء لیس لأجل اقتضاء امتثال الأمر القطعیّ أو الطریقیّ للإجزاء ، بل إنّما هو لخصوصیّة اتّفاقیّة فی متعلّقهما ، کما فی الإتمام والقصر ، والإخفات والجهر .</w:t>
      </w:r>
    </w:p>
    <w:p>
      <w:pPr>
        <w:pStyle w:val="Heading6"/>
      </w:pPr>
      <w:bookmarkStart w:id="788" w:name="_Toc228"/>
      <w:r>
        <w:t>2 - الإجزاء لا یوجب التصویب</w:t>
      </w:r>
      <w:bookmarkEnd w:id="788"/>
    </w:p>
    <w:p>
      <w:pPr>
        <w:pStyle w:val="BookText"/>
      </w:pPr>
      <w:r>
        <w:rPr>
          <w:rFonts w:ascii="IRNazanin" w:hAnsi="IRNazanin" w:eastAsia="IRNazanin" w:cs="IRNazanin"/>
          <w:lang w:bidi="fa-IR"/>
          <w:color w:val="111111"/>
          <w:sz w:val="28"/>
          <w:szCs w:val="28"/>
          <w:rtl/>
        </w:rPr>
        <w:t xml:space="preserve">الثانی: لا یذهب علیک أنّ الإجزاء فی بعض موارد الأُصول والطرق والأمارات - علی ما عرفت تفصیله - لا یوجبُ التصویبَ المجمعَ علی بطلانه فی</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الموارد </w:t>
      </w:r>
      <w:r>
        <w:rPr>
          <w:rStyle w:val="FootnoteReference"/>
        </w:rPr>
        <w:footnoteReference w:id="348"/>
      </w:r>
      <w:r>
        <w:rPr>
          <w:rFonts w:ascii="IRNazanin" w:hAnsi="IRNazanin" w:eastAsia="IRNazanin" w:cs="IRNazanin"/>
          <w:lang w:bidi="fa-IR"/>
          <w:color w:val="111111"/>
          <w:sz w:val="28"/>
          <w:szCs w:val="28"/>
          <w:rtl/>
        </w:rPr>
        <w:t xml:space="preserve">؛ فإنّ الحکم الواقعیّ بمرتبة </w:t>
      </w:r>
      <w:r>
        <w:rPr>
          <w:rStyle w:val="FootnoteReference"/>
        </w:rPr>
        <w:footnoteReference w:id="349"/>
      </w:r>
      <w:r>
        <w:rPr>
          <w:rFonts w:ascii="Amiri" w:hAnsi="Amiri" w:eastAsia="Amiri" w:cs="Amiri"/>
          <w:lang w:bidi="ar-SA"/>
          <w:color w:val="111111"/>
          <w:sz w:val="28"/>
          <w:szCs w:val="28"/>
          <w:rtl/>
        </w:rPr>
        <w:t xml:space="preserve">محفوظٌ فیها </w:t>
      </w:r>
      <w:r>
        <w:rPr>
          <w:rStyle w:val="FootnoteReference"/>
        </w:rPr>
        <w:footnoteReference w:id="3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الحکم المشترک بین العالم والجاهل ، والملتفت والغافل ، لیس إلّاالحکم الإنشائیّ المدلول علیه بالخطابات المشتملة علی بیان الأحکام للموضوعات بعناوینها الأوّلیّة ، بحسب ما یکون فیها من المقتضیات، وهو ثابت فی تلک الموارد کسائر موارد الأمارات.</w:t>
      </w:r>
    </w:p>
    <w:p>
      <w:pPr>
        <w:pStyle w:val="BookText"/>
      </w:pPr>
      <w:r>
        <w:rPr>
          <w:rFonts w:ascii="IRNazanin" w:hAnsi="IRNazanin" w:eastAsia="IRNazanin" w:cs="IRNazanin"/>
          <w:lang w:bidi="fa-IR"/>
          <w:color w:val="111111"/>
          <w:sz w:val="28"/>
          <w:szCs w:val="28"/>
          <w:rtl/>
        </w:rPr>
        <w:t xml:space="preserve">وإنّما المنفیّ فیها لیس إلّاالحکم الفعلیّ البعثیّ ، وهو منفیّ فی غیر موارد الإصابة وإن لم نقل بالإجزاء .</w:t>
      </w:r>
    </w:p>
    <w:p>
      <w:pPr>
        <w:pStyle w:val="BookText"/>
      </w:pPr>
      <w:r>
        <w:rPr>
          <w:rFonts w:ascii="IRNazanin" w:hAnsi="IRNazanin" w:eastAsia="IRNazanin" w:cs="IRNazanin"/>
          <w:lang w:bidi="fa-IR"/>
          <w:color w:val="111111"/>
          <w:sz w:val="28"/>
          <w:szCs w:val="28"/>
          <w:rtl/>
        </w:rPr>
        <w:t xml:space="preserve">فلا فرق بین الإجزاء وعدمه إلّافی سقوط التکلیف بالواقع بموافقة الأمر الظاهریّ ، وعدمِ سقوطه بعد انکشاف عدم الإصابة .</w:t>
      </w:r>
    </w:p>
    <w:p>
      <w:pPr>
        <w:pStyle w:val="BookText"/>
      </w:pPr>
      <w:r>
        <w:rPr>
          <w:rFonts w:ascii="IRNazanin" w:hAnsi="IRNazanin" w:eastAsia="IRNazanin" w:cs="IRNazanin"/>
          <w:lang w:bidi="fa-IR"/>
          <w:color w:val="111111"/>
          <w:sz w:val="28"/>
          <w:szCs w:val="28"/>
          <w:rtl/>
        </w:rPr>
        <w:t xml:space="preserve">وسقوط التکلیف - بحصول غرضه، أو لعدم إمکان تحصیله - غیرُ التصویب المجمع علی بطلانه - وهو خلوّ الواقعة عن الحکم غیر ما أدّت إلیه الأمارة - .</w:t>
      </w:r>
    </w:p>
    <w:p>
      <w:pPr>
        <w:pStyle w:val="BookText"/>
      </w:pPr>
      <w:r>
        <w:rPr>
          <w:rFonts w:ascii="IRNazanin" w:hAnsi="IRNazanin" w:eastAsia="IRNazanin" w:cs="IRNazanin"/>
          <w:lang w:bidi="fa-IR"/>
          <w:color w:val="111111"/>
          <w:sz w:val="28"/>
          <w:szCs w:val="28"/>
          <w:rtl/>
        </w:rPr>
        <w:t xml:space="preserve">کیف </w:t>
      </w:r>
      <w:r>
        <w:rPr>
          <w:rStyle w:val="FootnoteReference"/>
        </w:rPr>
        <w:footnoteReference w:id="351"/>
      </w:r>
      <w:r>
        <w:rPr>
          <w:rFonts w:ascii="IRNazanin" w:hAnsi="IRNazanin" w:eastAsia="IRNazanin" w:cs="IRNazanin"/>
          <w:lang w:bidi="fa-IR"/>
          <w:color w:val="111111"/>
          <w:sz w:val="28"/>
          <w:szCs w:val="28"/>
          <w:rtl/>
        </w:rPr>
        <w:t xml:space="preserve">؟ وکان الجهل بها - بخصوصیّتها أو بحکمها - مأخوذاً فی موضوعها ، فلابدّ من أن یکون الحکمُ الواقعیُّ بمرتبة محفوظاً فیها ، کما لا یخفی .</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4" w:name="pg14419_166828"/>
    <w:bookmarkEnd w:id="94"/>
    <w:p>
      <w:pPr>
        <w:pStyle w:val="Heading6"/>
      </w:pPr>
      <w:bookmarkStart w:id="789" w:name="_Toc229"/>
      <w:r>
        <w:t>فصلٌ : ‌فی مقدّمة الواجب</w:t>
      </w:r>
      <w:bookmarkEnd w:id="789"/>
    </w:p>
    <w:p>
      <w:pPr>
        <w:pStyle w:val="Heading6"/>
      </w:pPr>
      <w:bookmarkStart w:id="790" w:name="_Toc230"/>
      <w:r>
        <w:t>اشارة</w:t>
      </w:r>
      <w:bookmarkEnd w:id="790"/>
    </w:p>
    <w:p>
      <w:pPr>
        <w:pStyle w:val="BookText"/>
      </w:pPr>
      <w:r>
        <w:rPr>
          <w:rFonts w:ascii="IRNazanin" w:hAnsi="IRNazanin" w:eastAsia="IRNazanin" w:cs="IRNazanin"/>
          <w:lang w:bidi="fa-IR"/>
          <w:color w:val="111111"/>
          <w:sz w:val="28"/>
          <w:szCs w:val="28"/>
          <w:rtl/>
        </w:rPr>
        <w:t xml:space="preserve">وقبل الخوض فی المقصود ینبغی رسم أُمور:</w:t>
      </w:r>
    </w:p>
    <w:p>
      <w:pPr>
        <w:pStyle w:val="Heading6"/>
      </w:pPr>
      <w:bookmarkStart w:id="791" w:name="_Toc231"/>
      <w:r>
        <w:t>الامر الأوّل: المسألة أُصولیّة عقلیّة</w:t>
      </w:r>
      <w:bookmarkEnd w:id="7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الظاهر : أنّ المهمّ المبحوث عنه فی هذه المسألة البحث عن الملازمة بین وجوب الشیء ووجوب مقدّمته ، فتکون مسألة اصولیّة .</w:t>
      </w:r>
    </w:p>
    <w:p>
      <w:pPr>
        <w:pStyle w:val="BookText"/>
      </w:pPr>
      <w:r>
        <w:rPr>
          <w:rFonts w:ascii="IRNazanin" w:hAnsi="IRNazanin" w:eastAsia="IRNazanin" w:cs="IRNazanin"/>
          <w:lang w:bidi="fa-IR"/>
          <w:color w:val="111111"/>
          <w:sz w:val="28"/>
          <w:szCs w:val="28"/>
          <w:rtl/>
        </w:rPr>
        <w:t xml:space="preserve">لا عن نفس وجوبها - کما هو المتوهّم من بعض العناوین </w:t>
      </w:r>
      <w:r>
        <w:rPr>
          <w:rStyle w:val="FootnoteReference"/>
        </w:rPr>
        <w:footnoteReference w:id="352"/>
      </w:r>
      <w:r>
        <w:rPr>
          <w:rFonts w:ascii="IRNazanin" w:hAnsi="IRNazanin" w:eastAsia="IRNazanin" w:cs="IRNazanin"/>
          <w:lang w:bidi="fa-IR"/>
          <w:color w:val="111111"/>
          <w:sz w:val="28"/>
          <w:szCs w:val="28"/>
          <w:rtl/>
        </w:rPr>
        <w:t xml:space="preserve">- کی تکون فرعیّة ؛ وذلک لوضوح أنّ البحث کذلک لا یناسب الاُصولیّ ، والاستطراد لا وجه له ، بعد إمکان أن یکون البحث علی وجهٍ یکون من المسائل </w:t>
      </w:r>
      <w:r>
        <w:rPr>
          <w:rStyle w:val="FootnoteReference"/>
        </w:rPr>
        <w:footnoteReference w:id="353"/>
      </w:r>
      <w:r>
        <w:rPr>
          <w:rFonts w:ascii="Amiri" w:hAnsi="Amiri" w:eastAsia="Amiri" w:cs="Amiri"/>
          <w:lang w:bidi="ar-SA"/>
          <w:color w:val="111111"/>
          <w:sz w:val="28"/>
          <w:szCs w:val="28"/>
          <w:rtl/>
        </w:rPr>
        <w:t xml:space="preserve">الاُصولیّة .</w:t>
      </w:r>
    </w:p>
    <w:p>
      <w:pPr>
        <w:pStyle w:val="BookText"/>
      </w:pPr>
      <w:r>
        <w:rPr>
          <w:rFonts w:ascii="IRNazanin" w:hAnsi="IRNazanin" w:eastAsia="IRNazanin" w:cs="IRNazanin"/>
          <w:lang w:bidi="fa-IR"/>
          <w:color w:val="111111"/>
          <w:sz w:val="28"/>
          <w:szCs w:val="28"/>
          <w:rtl/>
        </w:rPr>
        <w:t xml:space="preserve">ثمّ الظاهر أیضاً : أنّ المسألة عقلیّة ، والکلامَ فی استقلال العقل بالملازمة وعدمِه ، لا لفظیّةٌ - کما ربما یظهر من صاحب المعالم </w:t>
      </w:r>
      <w:r>
        <w:rPr>
          <w:rStyle w:val="FootnoteReference"/>
        </w:rPr>
        <w:footnoteReference w:id="354"/>
      </w:r>
      <w:r>
        <w:rPr>
          <w:rFonts w:ascii="IRNazanin" w:hAnsi="IRNazanin" w:eastAsia="IRNazanin" w:cs="IRNazanin"/>
          <w:lang w:bidi="fa-IR"/>
          <w:color w:val="111111"/>
          <w:sz w:val="28"/>
          <w:szCs w:val="28"/>
          <w:rtl/>
        </w:rPr>
        <w:t xml:space="preserve">، حیث استدلّ علی النفی بانتفاء الدلالات الثلاث ، مضافاً إلی أنّه ذکرها فی مباحث الألفاظ - ؛ ضرورةَ أنّه إذا کان نفس الملازمة بین وجوب الشیء ووجوب مقدّمته ثبوتاً</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5" w:name="pg14419_166829"/>
    <w:bookmarkEnd w:id="95"/>
    <w:p>
      <w:pPr>
        <w:pStyle w:val="BookText"/>
      </w:pPr>
      <w:r>
        <w:rPr>
          <w:rFonts w:ascii="IRNazanin" w:hAnsi="IRNazanin" w:eastAsia="IRNazanin" w:cs="IRNazanin"/>
          <w:lang w:bidi="fa-IR"/>
          <w:color w:val="111111"/>
          <w:sz w:val="28"/>
          <w:szCs w:val="28"/>
          <w:rtl/>
        </w:rPr>
        <w:t xml:space="preserve">محلَّ الإشکال ، فلا مجال لتحریر النزاع فی الإثبات والدلالة علیها بإحدی الدلالات الثلاث </w:t>
      </w:r>
      <w:r>
        <w:rPr>
          <w:rStyle w:val="FootnoteReference"/>
        </w:rPr>
        <w:footnoteReference w:id="355"/>
      </w:r>
      <w:r>
        <w:rPr>
          <w:rFonts w:ascii="IRNazanin" w:hAnsi="IRNazanin" w:eastAsia="IRNazanin" w:cs="IRNazanin"/>
          <w:lang w:bidi="fa-IR"/>
          <w:color w:val="111111"/>
          <w:sz w:val="28"/>
          <w:szCs w:val="28"/>
          <w:rtl/>
        </w:rPr>
        <w:t xml:space="preserve">، کما لا یخفی .</w:t>
      </w:r>
    </w:p>
    <w:p>
      <w:pPr>
        <w:pStyle w:val="BookText"/>
      </w:pPr>
      <w:r>
        <w:rPr>
          <w:rFonts w:ascii="IRNazanin" w:hAnsi="IRNazanin" w:eastAsia="IRNazanin" w:cs="IRNazanin"/>
          <w:lang w:bidi="fa-IR"/>
          <w:color w:val="111111"/>
          <w:sz w:val="28"/>
          <w:szCs w:val="28"/>
          <w:rtl/>
        </w:rPr>
        <w:t xml:space="preserve">تقسیمات المقدّمة :</w:t>
      </w:r>
    </w:p>
    <w:p>
      <w:pPr>
        <w:pStyle w:val="Heading6"/>
      </w:pPr>
      <w:bookmarkStart w:id="792" w:name="_Toc232"/>
      <w:r>
        <w:t>الأمر الثانی : انّه ربما تقسّم المقدّمة إلی تقسیمات:</w:t>
      </w:r>
      <w:bookmarkEnd w:id="792"/>
    </w:p>
    <w:p>
      <w:pPr>
        <w:pStyle w:val="Heading6"/>
      </w:pPr>
      <w:bookmarkStart w:id="793" w:name="_Toc233"/>
      <w:r>
        <w:t>المقدّمة الداخلیّة والخارجیّة</w:t>
      </w:r>
      <w:bookmarkEnd w:id="793"/>
    </w:p>
    <w:p>
      <w:pPr>
        <w:pStyle w:val="Heading6"/>
      </w:pPr>
      <w:bookmarkStart w:id="794" w:name="_Toc234"/>
      <w:r>
        <w:t>اشارة</w:t>
      </w:r>
      <w:bookmarkEnd w:id="7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منها: تقسیمها إلی الداخلیّة ، وهی : الأجزاء المأخوذة فی الماهیّة المأمورِ بها .</w:t>
      </w:r>
    </w:p>
    <w:p>
      <w:pPr>
        <w:pStyle w:val="BookText"/>
      </w:pPr>
      <w:r>
        <w:rPr>
          <w:rFonts w:ascii="IRNazanin" w:hAnsi="IRNazanin" w:eastAsia="IRNazanin" w:cs="IRNazanin"/>
          <w:lang w:bidi="fa-IR"/>
          <w:color w:val="111111"/>
          <w:sz w:val="28"/>
          <w:szCs w:val="28"/>
          <w:rtl/>
        </w:rPr>
        <w:t xml:space="preserve">والخارجیّةِ ، وهی : الاُمور الخارجة عن ماهیّته ممّا لا یکاد یوجد بدونه .</w:t>
      </w:r>
    </w:p>
    <w:p>
      <w:pPr>
        <w:pStyle w:val="BookText"/>
      </w:pPr>
      <w:r>
        <w:rPr>
          <w:rFonts w:ascii="IRNazanin" w:hAnsi="IRNazanin" w:eastAsia="IRNazanin" w:cs="IRNazanin"/>
          <w:lang w:bidi="fa-IR"/>
          <w:color w:val="111111"/>
          <w:sz w:val="28"/>
          <w:szCs w:val="28"/>
          <w:rtl/>
        </w:rPr>
        <w:t xml:space="preserve">وربما یشکل فی کون الأجزاء مقدّمةً له وسابقةً علیه ، بأنّ المرکّب لیس إلّا نفسَ الأجزاء بأسرها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والحلّ: أنّ المقدّمة هی نفس الأجزاء بالأسر ، وذو </w:t>
      </w:r>
      <w:r>
        <w:rPr>
          <w:rStyle w:val="FootnoteReference"/>
        </w:rPr>
        <w:footnoteReference w:id="357"/>
      </w:r>
      <w:r>
        <w:rPr>
          <w:rFonts w:ascii="IRNazanin" w:hAnsi="IRNazanin" w:eastAsia="IRNazanin" w:cs="IRNazanin"/>
          <w:lang w:bidi="fa-IR"/>
          <w:color w:val="111111"/>
          <w:sz w:val="28"/>
          <w:szCs w:val="28"/>
          <w:rtl/>
        </w:rPr>
        <w:t xml:space="preserve">المقدّمة هو الأجزاء بشرط الاجتماع ، فیحصل المغایرة بینهما .</w:t>
      </w:r>
    </w:p>
    <w:p>
      <w:pPr>
        <w:pStyle w:val="BookText"/>
      </w:pPr>
      <w:r>
        <w:rPr>
          <w:rFonts w:ascii="IRNazanin" w:hAnsi="IRNazanin" w:eastAsia="IRNazanin" w:cs="IRNazanin"/>
          <w:lang w:bidi="fa-IR"/>
          <w:color w:val="111111"/>
          <w:sz w:val="28"/>
          <w:szCs w:val="28"/>
          <w:rtl/>
        </w:rPr>
        <w:t xml:space="preserve">وبذلک ظهر : أنّه لابدّ فی اعتبار الجزئیّة من </w:t>
      </w:r>
      <w:r>
        <w:rPr>
          <w:rStyle w:val="FootnoteReference"/>
        </w:rPr>
        <w:footnoteReference w:id="358"/>
      </w:r>
      <w:r>
        <w:rPr>
          <w:rFonts w:ascii="IRNazanin" w:hAnsi="IRNazanin" w:eastAsia="IRNazanin" w:cs="IRNazanin"/>
          <w:lang w:bidi="fa-IR"/>
          <w:color w:val="111111"/>
          <w:sz w:val="28"/>
          <w:szCs w:val="28"/>
          <w:rtl/>
        </w:rPr>
        <w:t xml:space="preserve">أخذ الشیء بلا شرط ، کما لابدّ فی اعتبار الکلّیّة من اعتبار اشتراط الاجتماع .</w:t>
      </w:r>
    </w:p>
    <w:p>
      <w:pPr>
        <w:pStyle w:val="BookText"/>
      </w:pPr>
      <w:r>
        <w:rPr>
          <w:rFonts w:ascii="IRNazanin" w:hAnsi="IRNazanin" w:eastAsia="IRNazanin" w:cs="IRNazanin"/>
          <w:lang w:bidi="fa-IR"/>
          <w:color w:val="111111"/>
          <w:sz w:val="28"/>
          <w:szCs w:val="28"/>
          <w:rtl/>
        </w:rPr>
        <w:t xml:space="preserve">وکونُ الأجزاء الخارجیّة - کالهیولی والصورة - هی الماهیّة المأخوذة بشرط لا ، لاینافی ذلک ؛ فإنّه إنّما یکون فی مقام الفرق بین نفس الأجزاء الخارجیّة والتحلیلیّة - من الجنس والفصل - و </w:t>
      </w:r>
      <w:r>
        <w:rPr>
          <w:rStyle w:val="FootnoteReference"/>
        </w:rPr>
        <w:footnoteReference w:id="359"/>
      </w:r>
      <w:r>
        <w:rPr>
          <w:rFonts w:ascii="Amiri" w:hAnsi="Amiri" w:eastAsia="Amiri" w:cs="Amiri"/>
          <w:lang w:bidi="ar-SA"/>
          <w:color w:val="111111"/>
          <w:sz w:val="28"/>
          <w:szCs w:val="28"/>
          <w:rtl/>
        </w:rPr>
        <w:t xml:space="preserve">أنّ الماهیّة إذا أُخذت</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6" w:name="pg14419_166830"/>
    <w:bookmarkEnd w:id="96"/>
    <w:p>
      <w:pPr>
        <w:pStyle w:val="BookText"/>
      </w:pPr>
      <w:r>
        <w:rPr>
          <w:rFonts w:ascii="IRNazanin" w:hAnsi="IRNazanin" w:eastAsia="IRNazanin" w:cs="IRNazanin"/>
          <w:lang w:bidi="fa-IR"/>
          <w:color w:val="111111"/>
          <w:sz w:val="28"/>
          <w:szCs w:val="28"/>
          <w:rtl/>
        </w:rPr>
        <w:t xml:space="preserve">بشرط لا، تکون هیولی أو صورة، وإذا أُخذت لا بشرط تکون جنساً أو فصلاً، لا </w:t>
      </w:r>
      <w:r>
        <w:rPr>
          <w:rStyle w:val="FootnoteReference"/>
        </w:rPr>
        <w:footnoteReference w:id="360"/>
      </w:r>
      <w:r>
        <w:rPr>
          <w:rFonts w:ascii="IRNazanin" w:hAnsi="IRNazanin" w:eastAsia="IRNazanin" w:cs="IRNazanin"/>
          <w:lang w:bidi="fa-IR"/>
          <w:color w:val="111111"/>
          <w:sz w:val="28"/>
          <w:szCs w:val="28"/>
          <w:rtl/>
        </w:rPr>
        <w:t xml:space="preserve">بالإضافة إلی المرکّب ، فافهم .</w:t>
      </w:r>
    </w:p>
    <w:p>
      <w:pPr>
        <w:pStyle w:val="Heading6"/>
      </w:pPr>
      <w:bookmarkStart w:id="795" w:name="_Toc235"/>
      <w:r>
        <w:t>خروج الأجزاء عن محلّ النزاع</w:t>
      </w:r>
      <w:bookmarkEnd w:id="7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أنّه ینبغی خروج الأجزاء عن محلّ النزاع - کما صرّح به بعض </w:t>
      </w:r>
      <w:r>
        <w:rPr>
          <w:rStyle w:val="FootnoteReference"/>
        </w:rPr>
        <w:footnoteReference w:id="361"/>
      </w:r>
      <w:r>
        <w:rPr>
          <w:rFonts w:ascii="IRNazanin" w:hAnsi="IRNazanin" w:eastAsia="IRNazanin" w:cs="IRNazanin"/>
          <w:lang w:bidi="fa-IR"/>
          <w:color w:val="111111"/>
          <w:sz w:val="28"/>
          <w:szCs w:val="28"/>
          <w:rtl/>
        </w:rPr>
        <w:t xml:space="preserve">- ؛ وذلک لما عرفت من کون الأجزاء بالأسر عین المأمور به ذاتاً ، وإنّما کانت المغایرة بینهما اعتباراً ، فتکون واجبةً بعین وجوبه ، ومبعوثاً إلیها بنفس الأمر الباعث إلیه ، فلا تکاد تکون واجبة بوجوب آخر ؛ لامتناع اجتماع المثلین ، ولو قیل بکفایة تعدّد الجهة وجواز اجتماع الأمر والنهی معه ؛ لعدم تعدّدها هاهنا ؛ لأنّ الواجب بالوجوب الغیریّ - لو کان - إنّما هو نفس الأجزاء ، لا عنوان مقدّمیّتها والتوسّلِ بها إلی المرکّب المأمور 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ضرورةَ أنّ الواجب بهذا الوجوب ما کان بالحمل الشائع مقدّمةً ؛ لأنّه المتوقّف علیه ، لا عنوانها . نعم ، یکون هذا العنوان علّةً لترشُّحِ الوجوب علی المعنون .</w:t>
      </w:r>
    </w:p>
    <w:p>
      <w:pPr>
        <w:pStyle w:val="BookText"/>
      </w:pPr>
      <w:r>
        <w:rPr>
          <w:rFonts w:ascii="IRNazanin" w:hAnsi="IRNazanin" w:eastAsia="IRNazanin" w:cs="IRNazanin"/>
          <w:lang w:bidi="fa-IR"/>
          <w:color w:val="111111"/>
          <w:sz w:val="28"/>
          <w:szCs w:val="28"/>
          <w:rtl/>
        </w:rPr>
        <w:t xml:space="preserve">فانقدح بذلک فساد توهّم اتّصاف کلّ جزءٍ من أجزاء الواجب بالوجوب النفسیّ والغیریّ باعتبارین ؛ فباعتبار کونه فی ضمن الکلّ واجبٌ نفسیّ ، وباعتبار کونه ممّا یتوسّل به إلی الکلّ واجبٌ غیریّ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إلّاأن یرید : أنّ فیه ملاک الوجوبین ، وإن کان واجباً بوجوب واحد نفسیّ ، لسبقه ، فتأمّل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7" w:name="pg14419_166831"/>
    <w:bookmarkEnd w:id="97"/>
    <w:p>
      <w:pPr>
        <w:pStyle w:val="BookText"/>
      </w:pPr>
      <w:r>
        <w:rPr>
          <w:rFonts w:ascii="Amiri" w:hAnsi="Amiri" w:eastAsia="Amiri" w:cs="Amiri"/>
          <w:lang w:bidi="ar-SA"/>
          <w:color w:val="111111"/>
          <w:sz w:val="28"/>
          <w:szCs w:val="28"/>
          <w:rtl/>
        </w:rPr>
        <w:t xml:space="preserve">هذا کلّه فی المقدّمة الداخلیّة .</w:t>
      </w:r>
    </w:p>
    <w:p>
      <w:pPr>
        <w:pStyle w:val="BookText"/>
      </w:pPr>
      <w:r>
        <w:rPr>
          <w:rFonts w:ascii="IRNazanin" w:hAnsi="IRNazanin" w:eastAsia="IRNazanin" w:cs="IRNazanin"/>
          <w:lang w:bidi="fa-IR"/>
          <w:color w:val="111111"/>
          <w:sz w:val="28"/>
          <w:szCs w:val="28"/>
          <w:rtl/>
        </w:rPr>
        <w:t xml:space="preserve">وأمّا المقدّمة الخارجیّة : فهی ما کان خارجاً عن المأمور به ، وکان له دخلٌ فی تحقّقه ، لایکاد یتحقّق بدونه . وقد ذکر لها أقسام ، واُطیل الکلام فی تحدیدها بالنقض والإبرام ، إلّا أنّه غیر مهمّ فی المقام .</w:t>
      </w:r>
    </w:p>
    <w:p>
      <w:pPr>
        <w:pStyle w:val="Heading6"/>
      </w:pPr>
      <w:bookmarkStart w:id="796" w:name="_Toc236"/>
      <w:r>
        <w:t>المقدّمة العقلیّةو الشرعیّةو العادیّة</w:t>
      </w:r>
      <w:bookmarkEnd w:id="7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تقسیمها إلی العقلیّة ، والشرعیّة ، والعادیّة :</w:t>
      </w:r>
    </w:p>
    <w:p>
      <w:pPr>
        <w:pStyle w:val="BookText"/>
      </w:pPr>
      <w:r>
        <w:rPr>
          <w:rFonts w:ascii="IRNazanin" w:hAnsi="IRNazanin" w:eastAsia="IRNazanin" w:cs="IRNazanin"/>
          <w:lang w:bidi="fa-IR"/>
          <w:color w:val="111111"/>
          <w:sz w:val="28"/>
          <w:szCs w:val="28"/>
          <w:rtl/>
        </w:rPr>
        <w:t xml:space="preserve">فالعقلیّة: هی ما استحیل واقعاً وجود ذی المقدّمة بدونه .</w:t>
      </w:r>
    </w:p>
    <w:p>
      <w:pPr>
        <w:pStyle w:val="BookText"/>
      </w:pPr>
      <w:r>
        <w:rPr>
          <w:rFonts w:ascii="IRNazanin" w:hAnsi="IRNazanin" w:eastAsia="IRNazanin" w:cs="IRNazanin"/>
          <w:lang w:bidi="fa-IR"/>
          <w:color w:val="111111"/>
          <w:sz w:val="28"/>
          <w:szCs w:val="28"/>
          <w:rtl/>
        </w:rPr>
        <w:t xml:space="preserve">والشرعیّة - علی ما قیل </w:t>
      </w:r>
      <w:r>
        <w:rPr>
          <w:rStyle w:val="FootnoteReference"/>
        </w:rPr>
        <w:footnoteReference w:id="364"/>
      </w:r>
      <w:r>
        <w:rPr>
          <w:rFonts w:ascii="IRNazanin" w:hAnsi="IRNazanin" w:eastAsia="IRNazanin" w:cs="IRNazanin"/>
          <w:lang w:bidi="fa-IR"/>
          <w:color w:val="111111"/>
          <w:sz w:val="28"/>
          <w:szCs w:val="28"/>
          <w:rtl/>
        </w:rPr>
        <w:t xml:space="preserve">- : ما استحیل وجوده بدونه شرعاً .</w:t>
      </w:r>
    </w:p>
    <w:p>
      <w:pPr>
        <w:pStyle w:val="BookText"/>
      </w:pPr>
      <w:r>
        <w:rPr>
          <w:rFonts w:ascii="IRNazanin" w:hAnsi="IRNazanin" w:eastAsia="IRNazanin" w:cs="IRNazanin"/>
          <w:lang w:bidi="fa-IR"/>
          <w:color w:val="111111"/>
          <w:sz w:val="28"/>
          <w:szCs w:val="28"/>
          <w:rtl/>
        </w:rPr>
        <w:t xml:space="preserve">ولکنّه لا یخفی رجوع الشرعیّة إلی العقلیّة ؛ ضرورةَ أنّه لا یکاد یکون مستحیلاً ذلک شرعاً إلّاإذا أُخذ فیه شرطاً وقیداً ، واستحالة المشروط والمقیّد بدون شرطه وقیده یکون عقلیّاً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العادیّة: فإن کانت بمعنی أن یکون التوقّف علیها بحسب العادة - بحیث یمکن تحقّق ذیها بدونها ، إلّاأنّ العادة جرت علی الإتیان به بواسطتها - فهی وإن کانت غیر راجعة إلی العقلیّة ، إلّاأنّه لا ینبغی توهّم دخولها فی محلّ النزاع .</w:t>
      </w:r>
    </w:p>
    <w:p>
      <w:pPr>
        <w:pStyle w:val="BookText"/>
      </w:pPr>
      <w:r>
        <w:rPr>
          <w:rFonts w:ascii="IRNazanin" w:hAnsi="IRNazanin" w:eastAsia="IRNazanin" w:cs="IRNazanin"/>
          <w:lang w:bidi="fa-IR"/>
          <w:color w:val="111111"/>
          <w:sz w:val="28"/>
          <w:szCs w:val="28"/>
          <w:rtl/>
        </w:rPr>
        <w:t xml:space="preserve">وإن کانت بمعنی أنّ التوقّف علیها وإن کان فعلاً واقعیّاً - کنصب السلّم ونحوه للصعود علی السطح - ، إلّاأنّه لأجل عدم التمکّن عادةً من الطیران الممکن عقلاً ، فهی أیضاً راجعة إلی العقلیّة ؛ ضرورةَ استحالة الصعود بدون مثل النصب عقلاً لغیر الطائر فعلاً ، وإن کان طیرانه ممکناً ذاتاً ، فافهم .</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8" w:name="pg14419_166832"/>
    <w:bookmarkEnd w:id="98"/>
    <w:p>
      <w:pPr>
        <w:pStyle w:val="Heading6"/>
      </w:pPr>
      <w:bookmarkStart w:id="797" w:name="_Toc237"/>
      <w:r>
        <w:t>مقدّمة الوجودوالصحّة</w:t>
      </w:r>
      <w:bookmarkEnd w:id="797"/>
    </w:p>
    <w:p>
      <w:pPr>
        <w:pStyle w:val="Heading6"/>
      </w:pPr>
      <w:bookmarkStart w:id="798" w:name="_Toc238"/>
      <w:r>
        <w:t>والوجوب والعلم</w:t>
      </w:r>
      <w:bookmarkEnd w:id="7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تقسیمها إلی مقدّمة الوجود ، ومقدّمة الصحّة ، ومقدّمة الوجوب ، ومقدّمة العلم .</w:t>
      </w:r>
    </w:p>
    <w:p>
      <w:pPr>
        <w:pStyle w:val="BookText"/>
      </w:pPr>
      <w:r>
        <w:rPr>
          <w:rFonts w:ascii="IRNazanin" w:hAnsi="IRNazanin" w:eastAsia="IRNazanin" w:cs="IRNazanin"/>
          <w:lang w:bidi="fa-IR"/>
          <w:color w:val="111111"/>
          <w:sz w:val="28"/>
          <w:szCs w:val="28"/>
          <w:rtl/>
        </w:rPr>
        <w:t xml:space="preserve">لا یخفی رجوع مقدّمة الصحّة إلی مقدّمة الوجود ، ولو علی القول بکون الأسامی موضوعةً للأعمّ ؛ ضرورةَ أنّ الکلام فی مقدّمة الواجب لا فی مقدّمة المسمّی بأحدها ، کما لا یخفی .</w:t>
      </w:r>
    </w:p>
    <w:p>
      <w:pPr>
        <w:pStyle w:val="BookText"/>
      </w:pPr>
      <w:r>
        <w:rPr>
          <w:rFonts w:ascii="IRNazanin" w:hAnsi="IRNazanin" w:eastAsia="IRNazanin" w:cs="IRNazanin"/>
          <w:lang w:bidi="fa-IR"/>
          <w:color w:val="111111"/>
          <w:sz w:val="28"/>
          <w:szCs w:val="28"/>
          <w:rtl/>
        </w:rPr>
        <w:t xml:space="preserve">ولا إشکال فی خروج مقدّمة الوجوب عن محلّ النزاع ، وبداهةِ </w:t>
      </w:r>
      <w:r>
        <w:rPr>
          <w:rStyle w:val="FootnoteReference"/>
        </w:rPr>
        <w:footnoteReference w:id="366"/>
      </w:r>
      <w:r>
        <w:rPr>
          <w:rFonts w:ascii="IRNazanin" w:hAnsi="IRNazanin" w:eastAsia="IRNazanin" w:cs="IRNazanin"/>
          <w:lang w:bidi="fa-IR"/>
          <w:color w:val="111111"/>
          <w:sz w:val="28"/>
          <w:szCs w:val="28"/>
          <w:rtl/>
        </w:rPr>
        <w:t xml:space="preserve">عدم اتّصافها بالوجوب من قِبَل الوجوب المشروط بها .</w:t>
      </w:r>
    </w:p>
    <w:p>
      <w:pPr>
        <w:pStyle w:val="BookText"/>
      </w:pPr>
      <w:r>
        <w:rPr>
          <w:rFonts w:ascii="IRNazanin" w:hAnsi="IRNazanin" w:eastAsia="IRNazanin" w:cs="IRNazanin"/>
          <w:lang w:bidi="fa-IR"/>
          <w:color w:val="111111"/>
          <w:sz w:val="28"/>
          <w:szCs w:val="28"/>
          <w:rtl/>
        </w:rPr>
        <w:t xml:space="preserve">وکذلک المقدّمة العلمیّة وإن استقلّ العقلُ بوجوبها، إلّاأنّه من باب وجوب الإطاعة إرشاداً ، لیؤمن من العقوبة علی مخالفة الواجب المنجّز ، لا مولویّاً من باب الملازمة ، وترشُّحِ الوجوب علیها من قِبَل وجوب ذی المقدّمة .</w:t>
      </w:r>
    </w:p>
    <w:p>
      <w:pPr>
        <w:pStyle w:val="Heading6"/>
      </w:pPr>
      <w:bookmarkStart w:id="799" w:name="_Toc239"/>
      <w:r>
        <w:t>المقدّمة المتقدّمة والمقارنة والمتأخّرة</w:t>
      </w:r>
      <w:bookmarkEnd w:id="799"/>
    </w:p>
    <w:p>
      <w:pPr>
        <w:pStyle w:val="Heading6"/>
      </w:pPr>
      <w:bookmarkStart w:id="800" w:name="_Toc240"/>
      <w:r>
        <w:t>اشارة</w:t>
      </w:r>
      <w:bookmarkEnd w:id="800"/>
    </w:p>
    <w:p>
      <w:pPr>
        <w:pStyle w:val="BookText"/>
      </w:pPr>
      <w:r>
        <w:rPr>
          <w:rFonts w:ascii="IRNazanin" w:hAnsi="IRNazanin" w:eastAsia="IRNazanin" w:cs="IRNazanin"/>
          <w:lang w:bidi="fa-IR"/>
          <w:color w:val="111111"/>
          <w:sz w:val="28"/>
          <w:szCs w:val="28"/>
          <w:rtl/>
        </w:rPr>
        <w:t xml:space="preserve">ومنها: تقسیمها إلی المتقدّم ، والمقارن ، والمتأخّر </w:t>
      </w:r>
      <w:r>
        <w:rPr>
          <w:rStyle w:val="FootnoteReference"/>
        </w:rPr>
        <w:footnoteReference w:id="367"/>
      </w:r>
      <w:r>
        <w:rPr>
          <w:rFonts w:ascii="IRNazanin" w:hAnsi="IRNazanin" w:eastAsia="IRNazanin" w:cs="IRNazanin"/>
          <w:lang w:bidi="fa-IR"/>
          <w:color w:val="111111"/>
          <w:sz w:val="28"/>
          <w:szCs w:val="28"/>
          <w:rtl/>
        </w:rPr>
        <w:t xml:space="preserve">، بحسب الوجود بالإضافة إلی ذی المقدّمة .</w:t>
      </w:r>
    </w:p>
    <w:p>
      <w:pPr>
        <w:pStyle w:val="Heading6"/>
      </w:pPr>
      <w:bookmarkStart w:id="801" w:name="_Toc241"/>
      <w:r>
        <w:t>الإشکال فی‌الشرط المتأخّر بل المتقدّم أیضاً</w:t>
      </w:r>
      <w:bookmarkEnd w:id="8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وحیث إنّها کانت من أجزاء العلّة - ولابدّ من تقدّمها بجمیع أجزائها علی المعلول - اشکل الأمر فی المقدّمة المتأخّرة ، کالأغسال اللیلیّة المعتبرة فی صحّة صوم المستحاضة عند بعضٍ ، والإجازةِ فی صحّة العقد علی الکشف کذلک ، بل فی الشرط أو المقتضی المتقدّم علی المشروط زماناً ، المتصرِّم حینه ، کالعقد فی الوصیّة والصرف والسّلَم ، بل فی کلّ عقد بالنسبة إلی غالب أجزائه ؛ لتصرّمها حین تأثیره ، مع ضرورةِ اعتبار مقارنتها </w:t>
      </w:r>
      <w:r>
        <w:rPr>
          <w:rStyle w:val="FootnoteReference"/>
        </w:rPr>
        <w:footnoteReference w:id="368"/>
      </w:r>
      <w:r>
        <w:rPr>
          <w:rFonts w:ascii="Amiri" w:hAnsi="Amiri" w:eastAsia="Amiri" w:cs="Amiri"/>
          <w:lang w:bidi="ar-SA"/>
          <w:color w:val="111111"/>
          <w:sz w:val="28"/>
          <w:szCs w:val="28"/>
          <w:rtl/>
        </w:rPr>
        <w:t xml:space="preserve">معه زماناً .</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9" w:name="pg14419_166833"/>
    <w:bookmarkEnd w:id="99"/>
    <w:p>
      <w:pPr>
        <w:pStyle w:val="BookText"/>
      </w:pPr>
      <w:r>
        <w:rPr>
          <w:rFonts w:ascii="IRNazanin" w:hAnsi="IRNazanin" w:eastAsia="IRNazanin" w:cs="IRNazanin"/>
          <w:lang w:bidi="fa-IR"/>
          <w:color w:val="111111"/>
          <w:sz w:val="28"/>
          <w:szCs w:val="28"/>
          <w:rtl/>
        </w:rPr>
        <w:t xml:space="preserve">فلیس إشکال انخرام القاعدة العقلیّة مختصّاً بالشرط المتأخّر فی الشرعیّات - کما اشتهر فی الألسنة - ، بل یعمّ الشرطَ والمقتضی المتقدّمَین المتصرّمین حین الأثر .</w:t>
      </w:r>
    </w:p>
    <w:p>
      <w:pPr>
        <w:pStyle w:val="Heading6"/>
      </w:pPr>
      <w:bookmarkStart w:id="802" w:name="_Toc242"/>
      <w:r>
        <w:t>التحقیق فی رفع الإشکال :</w:t>
      </w:r>
      <w:bookmarkEnd w:id="802"/>
    </w:p>
    <w:p>
      <w:pPr>
        <w:pStyle w:val="BookText"/>
      </w:pPr>
      <w:r>
        <w:rPr>
          <w:rFonts w:ascii="IRNazanin" w:hAnsi="IRNazanin" w:eastAsia="IRNazanin" w:cs="IRNazanin"/>
          <w:lang w:bidi="fa-IR"/>
          <w:color w:val="111111"/>
          <w:sz w:val="28"/>
          <w:szCs w:val="28"/>
          <w:rtl/>
        </w:rPr>
        <w:t xml:space="preserve">والتحقیق فی رفع هذا الإشکال أن یقال: إنّ الموارد الّتی تُوهّم انخرام القاعدة فیها لا یخلو: إمّا أن یکون المتقدّم أو المتأخّر شرطاً للتکلیف ، أو الوضع ، أو المأمور به .</w:t>
      </w:r>
    </w:p>
    <w:p>
      <w:pPr>
        <w:pStyle w:val="Heading6"/>
      </w:pPr>
      <w:bookmarkStart w:id="803" w:name="_Toc243"/>
      <w:r>
        <w:t>الجواب عن الإشکال فی شرط التکلیف والوضع</w:t>
      </w:r>
      <w:bookmarkEnd w:id="8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الأوّل: فکونُ أحدهما شرطاً له لیس إلّاأنّ للحاظه دخلاً فی تکلیف الآمر ، کالشرط المقارن بعینه ، فکما أنّ اشتراطه بما یقارنه لیس إلّاأنّ لتصوّره دخلاً فی أمره ، بحیث لولاه لما کاد یحصل له الداعی إلی الأمر ، کذلک المتقدّم أو المتأخّر .</w:t>
      </w:r>
    </w:p>
    <w:p>
      <w:pPr>
        <w:pStyle w:val="BookText"/>
      </w:pPr>
      <w:r>
        <w:rPr>
          <w:rFonts w:ascii="IRNazanin" w:hAnsi="IRNazanin" w:eastAsia="IRNazanin" w:cs="IRNazanin"/>
          <w:lang w:bidi="fa-IR"/>
          <w:color w:val="111111"/>
          <w:sz w:val="28"/>
          <w:szCs w:val="28"/>
          <w:rtl/>
        </w:rPr>
        <w:t xml:space="preserve">وبالجملة: حیث کان الأمر من الأفعال الاختیاریّة ، کان من مبادئه - بما هو کذلک - تصوُّرُ الشیء بأطرافه ، لیرغب فی طلبه والأمر به ، بحیث لولاه لما رغب فیه ، ولَما أراده واختاره ، فیسمّی کلُّ واحد من هذه الأطراف - الّتی لتصوّرها دخْلٌ فی حصول الرغبة فیه وإرادته - : « شرطاً » ؛ لأجل دخْلِ لحاظه فی حصوله </w:t>
      </w:r>
      <w:r>
        <w:rPr>
          <w:rStyle w:val="FootnoteReference"/>
        </w:rPr>
        <w:footnoteReference w:id="369"/>
      </w:r>
      <w:r>
        <w:rPr>
          <w:rFonts w:ascii="IRNazanin" w:hAnsi="IRNazanin" w:eastAsia="IRNazanin" w:cs="IRNazanin"/>
          <w:lang w:bidi="fa-IR"/>
          <w:color w:val="111111"/>
          <w:sz w:val="28"/>
          <w:szCs w:val="28"/>
          <w:rtl/>
        </w:rPr>
        <w:t xml:space="preserve">، کان مقارناً له أو لم یکن کذلک ، متقدّماً أو متأخّراً ، فکما فی المقارن یکون لحاظه فی الحقیقة شرطاً ، کان فیهما کذلک ، فلا إشکال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وکذا الحال فی شرائط الوضع مطلقاً ، ولو کان مقارناً ؛ فإنّ دَخْلَ شیءٍ فی الحکم به ، وصحّةِ انتزاعه لدی الحاکم به ، لیس إلّاما کان بلحاظه یصحّ انتزاعه ، وبدونه لا یکاد یصحّ اختراعه عنده ، فیکون دخل کلٍّ من المقارن</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14419_166834"/>
    <w:bookmarkEnd w:id="100"/>
    <w:p>
      <w:pPr>
        <w:pStyle w:val="BookText"/>
      </w:pPr>
      <w:r>
        <w:rPr>
          <w:rFonts w:ascii="IRNazanin" w:hAnsi="IRNazanin" w:eastAsia="IRNazanin" w:cs="IRNazanin"/>
          <w:lang w:bidi="fa-IR"/>
          <w:color w:val="111111"/>
          <w:sz w:val="28"/>
          <w:szCs w:val="28"/>
          <w:rtl/>
        </w:rPr>
        <w:t xml:space="preserve">وغیره بتصوّره ولحاظه ، وهو مقارن . فأین انخرام القاعدة العقلیّة فی غیر المقارن؟ فتأمّل تعرف .</w:t>
      </w:r>
    </w:p>
    <w:p>
      <w:pPr>
        <w:pStyle w:val="Heading6"/>
      </w:pPr>
      <w:bookmarkStart w:id="804" w:name="_Toc244"/>
      <w:r>
        <w:t>الجواب عن الإشکال فی شرط المأمور به</w:t>
      </w:r>
      <w:bookmarkEnd w:id="804"/>
    </w:p>
    <w:p>
      <w:pPr>
        <w:pStyle w:val="BookText"/>
      </w:pPr>
      <w:r>
        <w:rPr>
          <w:rFonts w:ascii="IRNazanin" w:hAnsi="IRNazanin" w:eastAsia="IRNazanin" w:cs="IRNazanin"/>
          <w:lang w:bidi="fa-IR"/>
          <w:color w:val="111111"/>
          <w:sz w:val="28"/>
          <w:szCs w:val="28"/>
          <w:rtl/>
        </w:rPr>
        <w:t xml:space="preserve">وأمّا الثانی: فکون شیءٍ شرطاً للمأمور به </w:t>
      </w:r>
      <w:r>
        <w:rPr>
          <w:rStyle w:val="FootnoteReference"/>
        </w:rPr>
        <w:footnoteReference w:id="370"/>
      </w:r>
      <w:r>
        <w:rPr>
          <w:rFonts w:ascii="Amiri" w:hAnsi="Amiri" w:eastAsia="Amiri" w:cs="Amiri"/>
          <w:lang w:bidi="ar-SA"/>
          <w:color w:val="111111"/>
          <w:sz w:val="28"/>
          <w:szCs w:val="28"/>
          <w:rtl/>
        </w:rPr>
        <w:t xml:space="preserve">لیس إلّا </w:t>
      </w:r>
      <w:r>
        <w:rPr>
          <w:rStyle w:val="FootnoteReference"/>
        </w:rPr>
        <w:footnoteReference w:id="371"/>
      </w:r>
      <w:r>
        <w:rPr>
          <w:rFonts w:ascii="IRNazanin" w:hAnsi="IRNazanin" w:eastAsia="IRNazanin" w:cs="IRNazanin"/>
          <w:lang w:bidi="fa-IR"/>
          <w:color w:val="111111"/>
          <w:sz w:val="28"/>
          <w:szCs w:val="28"/>
          <w:rtl/>
        </w:rPr>
        <w:t xml:space="preserve">ما یحصّل لذات المأمور به بالإضافة إلیه وجهاً وعنواناً </w:t>
      </w:r>
      <w:r>
        <w:rPr>
          <w:rStyle w:val="FootnoteReference"/>
        </w:rPr>
        <w:footnoteReference w:id="372"/>
      </w:r>
      <w:r>
        <w:rPr>
          <w:rFonts w:ascii="Amiri" w:hAnsi="Amiri" w:eastAsia="Amiri" w:cs="Amiri"/>
          <w:lang w:bidi="ar-SA"/>
          <w:color w:val="111111"/>
          <w:sz w:val="28"/>
          <w:szCs w:val="28"/>
          <w:rtl/>
        </w:rPr>
        <w:t xml:space="preserve">، به یکون حَسَناً أو متعلّقاً للغرض ، بحیث لولاها لما کان کذلک .</w:t>
      </w:r>
    </w:p>
    <w:p>
      <w:pPr>
        <w:pStyle w:val="BookText"/>
      </w:pPr>
      <w:r>
        <w:rPr>
          <w:rFonts w:ascii="IRNazanin" w:hAnsi="IRNazanin" w:eastAsia="IRNazanin" w:cs="IRNazanin"/>
          <w:lang w:bidi="fa-IR"/>
          <w:color w:val="111111"/>
          <w:sz w:val="28"/>
          <w:szCs w:val="28"/>
          <w:rtl/>
        </w:rPr>
        <w:t xml:space="preserve">واختلاف الحُسن والقبح والغرض باختلاف الوجوه والاعتبارات الناشئة من الإضافات ، ممّا لا شبهة فیه ولا شکّ یعتریه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والإضافة کما تکون إلی المقارن ، تکون إلی المتأخّر أو المتقدّم بلا تفاوتٍ أصلاً ، کما لا یخفی علی المتأمّل .</w:t>
      </w:r>
    </w:p>
    <w:p>
      <w:pPr>
        <w:pStyle w:val="BookText"/>
      </w:pPr>
      <w:r>
        <w:rPr>
          <w:rFonts w:ascii="IRNazanin" w:hAnsi="IRNazanin" w:eastAsia="IRNazanin" w:cs="IRNazanin"/>
          <w:lang w:bidi="fa-IR"/>
          <w:color w:val="111111"/>
          <w:sz w:val="28"/>
          <w:szCs w:val="28"/>
          <w:rtl/>
        </w:rPr>
        <w:t xml:space="preserve">فکما تکون إضافة شیءٍ إلی مقارنٍ له موجباً لکونه معنوناً بعنوان ، یکون بذلک العنوان حَسَناً ومتعلّقاً للغرض ، کذلک إضافته إلی متأخّر أو متقدّم ؛ بداهةَ أنّ الإضافة إلی أحدهما ربما توجب ذلک أیضاً ، فلولا حدوث المتأخّر فی محلّه لما کانت للمتقدّم تلک الإضافةُ الموجبة لحُسنه الموجِب لطلبه</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والأمرِ به ، کما هو الحال فی المقارن أیضاً ، ولذلک اطلق علیه الشرط مثله ، بلا انخرام للقاعدة أصلاً ؛ لأنّ المتقدّم أو المتأخّر - کالمقارن - لیس إلّاطرف الإضافة الموجبة للخصوصیّة الموجبة للحُسن ، وقد حُقّق فی محلّه أنّه بالوجوه والاعتبارات ، ومن الواضح أنّها تکون بالإضافات .</w:t>
      </w:r>
    </w:p>
    <w:p>
      <w:pPr>
        <w:pStyle w:val="BookText"/>
      </w:pPr>
      <w:r>
        <w:rPr>
          <w:rFonts w:ascii="IRNazanin" w:hAnsi="IRNazanin" w:eastAsia="IRNazanin" w:cs="IRNazanin"/>
          <w:lang w:bidi="fa-IR"/>
          <w:color w:val="111111"/>
          <w:sz w:val="28"/>
          <w:szCs w:val="28"/>
          <w:rtl/>
        </w:rPr>
        <w:t xml:space="preserve">فمنشأ توهّم الانخرام : إطلاق الشرط علی المتأخّر ، وقد عرفت أنّ إطلاقه علیه فیه - کإطلاقه علی المقارن - إنّما یکون لأجل کونه طرفاً للإضافة الموجبة للوجه ، الّذی یکون بذاک الوجه مرغوباً ومطلوباً ، کما کان فی الحکم لأجل دَخْلِ تصوّره فیه ، کدخل تصوُّرِ سائر الأطراف والحدود الّتی لولا لحاظُها لما حصل له الرغبة فی التکلیف ، أو لما صحّ عنده الوضع .</w:t>
      </w:r>
    </w:p>
    <w:p>
      <w:pPr>
        <w:pStyle w:val="BookText"/>
      </w:pPr>
      <w:r>
        <w:rPr>
          <w:rFonts w:ascii="IRNazanin" w:hAnsi="IRNazanin" w:eastAsia="IRNazanin" w:cs="IRNazanin"/>
          <w:lang w:bidi="fa-IR"/>
          <w:color w:val="111111"/>
          <w:sz w:val="28"/>
          <w:szCs w:val="28"/>
          <w:rtl/>
        </w:rPr>
        <w:t xml:space="preserve">وهذه خلاصة ما بسطناه من المقال فی دفع هذا الإشکال فی بعض فوائدنا </w:t>
      </w:r>
      <w:r>
        <w:rPr>
          <w:rStyle w:val="FootnoteReference"/>
        </w:rPr>
        <w:footnoteReference w:id="373"/>
      </w:r>
      <w:r>
        <w:rPr>
          <w:rFonts w:ascii="IRNazanin" w:hAnsi="IRNazanin" w:eastAsia="IRNazanin" w:cs="IRNazanin"/>
          <w:lang w:bidi="fa-IR"/>
          <w:color w:val="111111"/>
          <w:sz w:val="28"/>
          <w:szCs w:val="28"/>
          <w:rtl/>
        </w:rPr>
        <w:t xml:space="preserve">، لم یسبقنی إلیه أحد فی ما أعلم ، فافهم واغتنم .</w:t>
      </w:r>
    </w:p>
    <w:p>
      <w:pPr>
        <w:pStyle w:val="BookText"/>
      </w:pPr>
      <w:r>
        <w:rPr>
          <w:rFonts w:ascii="IRNazanin" w:hAnsi="IRNazanin" w:eastAsia="IRNazanin" w:cs="IRNazanin"/>
          <w:lang w:bidi="fa-IR"/>
          <w:color w:val="111111"/>
          <w:sz w:val="28"/>
          <w:szCs w:val="28"/>
          <w:rtl/>
        </w:rPr>
        <w:t xml:space="preserve">ولا یخفی: أنّها بجمیع أقسامها داخلة فی محلّ النزاع </w:t>
      </w:r>
      <w:r>
        <w:rPr>
          <w:rStyle w:val="FootnoteReference"/>
        </w:rPr>
        <w:footnoteReference w:id="374"/>
      </w:r>
      <w:r>
        <w:rPr>
          <w:rFonts w:ascii="IRNazanin" w:hAnsi="IRNazanin" w:eastAsia="IRNazanin" w:cs="IRNazanin"/>
          <w:lang w:bidi="fa-IR"/>
          <w:color w:val="111111"/>
          <w:sz w:val="28"/>
          <w:szCs w:val="28"/>
          <w:rtl/>
        </w:rPr>
        <w:t xml:space="preserve">، وبناءً علی الملازمة یتّصف اللاحق بالوجوب ، کالمقارن والسابق ؛ إذ بدونه لا تکاد تحصل الموافقة ، ویکون سقوط الأمر بإتیان المشروط به مراعی بإتیانه ، فلولا اغتسالها فی اللیل - علی القول بالاشتراط - لما صحّ الصوم فی الیوم .</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14419_166836"/>
    <w:bookmarkEnd w:id="101"/>
    <w:p>
      <w:pPr>
        <w:pStyle w:val="BookText"/>
      </w:pPr>
      <w:r>
        <w:rPr>
          <w:rFonts w:ascii="IRNazanin" w:hAnsi="IRNazanin" w:eastAsia="IRNazanin" w:cs="IRNazanin"/>
          <w:lang w:bidi="fa-IR"/>
          <w:color w:val="111111"/>
          <w:sz w:val="28"/>
          <w:szCs w:val="28"/>
          <w:rtl/>
        </w:rPr>
        <w:t xml:space="preserve">تقسیمات الواجب</w:t>
      </w:r>
    </w:p>
    <w:p>
      <w:pPr>
        <w:pStyle w:val="Heading6"/>
      </w:pPr>
      <w:bookmarkStart w:id="805" w:name="_Toc245"/>
      <w:r>
        <w:t>الأمر الثالث : فی تقسیمات الواجب</w:t>
      </w:r>
      <w:bookmarkEnd w:id="805"/>
    </w:p>
    <w:p>
      <w:pPr>
        <w:pStyle w:val="Heading6"/>
      </w:pPr>
      <w:bookmarkStart w:id="806" w:name="_Toc246"/>
      <w:r>
        <w:t>الواجب المطلق والمشروط</w:t>
      </w:r>
      <w:bookmarkEnd w:id="806"/>
    </w:p>
    <w:p>
      <w:pPr>
        <w:pStyle w:val="Heading6"/>
      </w:pPr>
      <w:bookmarkStart w:id="807" w:name="_Toc247"/>
      <w:r>
        <w:t>اشارة</w:t>
      </w:r>
      <w:bookmarkEnd w:id="8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منها: تقسیمه إلی المطلق والمشروط .</w:t>
      </w:r>
    </w:p>
    <w:p>
      <w:pPr>
        <w:pStyle w:val="BookText"/>
      </w:pPr>
      <w:r>
        <w:rPr>
          <w:rFonts w:ascii="IRNazanin" w:hAnsi="IRNazanin" w:eastAsia="IRNazanin" w:cs="IRNazanin"/>
          <w:lang w:bidi="fa-IR"/>
          <w:color w:val="111111"/>
          <w:sz w:val="28"/>
          <w:szCs w:val="28"/>
          <w:rtl/>
        </w:rPr>
        <w:t xml:space="preserve">وقد ذُکر لکلّ منهما تعریفات وحدود ، تختلف بحسب ما أُخذ فیها من القیود ، وربما اطیل الکلام بالنقض والإبرام فی النقض علی الطرد والعکس </w:t>
      </w:r>
      <w:r>
        <w:rPr>
          <w:rStyle w:val="FootnoteReference"/>
        </w:rPr>
        <w:footnoteReference w:id="375"/>
      </w:r>
      <w:r>
        <w:rPr>
          <w:rFonts w:ascii="IRNazanin" w:hAnsi="IRNazanin" w:eastAsia="IRNazanin" w:cs="IRNazanin"/>
          <w:lang w:bidi="fa-IR"/>
          <w:color w:val="111111"/>
          <w:sz w:val="28"/>
          <w:szCs w:val="28"/>
          <w:rtl/>
        </w:rPr>
        <w:t xml:space="preserve">، مع أنّها - کما لا یخفی - تعریفات لفظیّة لشرح الاسم ، ولیست بالحدّ ولا بالرسم .</w:t>
      </w:r>
    </w:p>
    <w:p>
      <w:pPr>
        <w:pStyle w:val="BookText"/>
      </w:pPr>
      <w:r>
        <w:rPr>
          <w:rFonts w:ascii="IRNazanin" w:hAnsi="IRNazanin" w:eastAsia="IRNazanin" w:cs="IRNazanin"/>
          <w:lang w:bidi="fa-IR"/>
          <w:color w:val="111111"/>
          <w:sz w:val="28"/>
          <w:szCs w:val="28"/>
          <w:rtl/>
        </w:rPr>
        <w:t xml:space="preserve">والظاهر : أنّه لیس لهم اصطلاح جدیدٌ فی لفظ « المطلق » و « المشروط » ، بل یطلق کلّ منهما بما له من معناه العرفیّ .</w:t>
      </w:r>
    </w:p>
    <w:p>
      <w:pPr>
        <w:pStyle w:val="BookText"/>
      </w:pPr>
      <w:r>
        <w:rPr>
          <w:rFonts w:ascii="IRNazanin" w:hAnsi="IRNazanin" w:eastAsia="IRNazanin" w:cs="IRNazanin"/>
          <w:lang w:bidi="fa-IR"/>
          <w:color w:val="111111"/>
          <w:sz w:val="28"/>
          <w:szCs w:val="28"/>
          <w:rtl/>
        </w:rPr>
        <w:t xml:space="preserve">کما أنّ الظاهر : أنّ وصفی الإطلاق والاشتراط وصفان إضافیّان ، لا حقیقیّان </w:t>
      </w:r>
      <w:r>
        <w:rPr>
          <w:rStyle w:val="FootnoteReference"/>
        </w:rPr>
        <w:footnoteReference w:id="376"/>
      </w:r>
      <w:r>
        <w:rPr>
          <w:rFonts w:ascii="IRNazanin" w:hAnsi="IRNazanin" w:eastAsia="IRNazanin" w:cs="IRNazanin"/>
          <w:lang w:bidi="fa-IR"/>
          <w:color w:val="111111"/>
          <w:sz w:val="28"/>
          <w:szCs w:val="28"/>
          <w:rtl/>
        </w:rPr>
        <w:t xml:space="preserve">، وإلّا لم یکد یوجد واجب مطلق ؛ ضرورةَ اشتراط وجوب کلّ واجب ببعض الاُمور ، لا أقلّ من الشرائط العامّة ، کالبلوغ والعقل .</w:t>
      </w:r>
    </w:p>
    <w:p>
      <w:pPr>
        <w:pStyle w:val="BookText"/>
      </w:pPr>
      <w:r>
        <w:rPr>
          <w:rFonts w:ascii="IRNazanin" w:hAnsi="IRNazanin" w:eastAsia="IRNazanin" w:cs="IRNazanin"/>
          <w:lang w:bidi="fa-IR"/>
          <w:color w:val="111111"/>
          <w:sz w:val="28"/>
          <w:szCs w:val="28"/>
          <w:rtl/>
        </w:rPr>
        <w:t xml:space="preserve">فالحریّ أن یقال: إنّ الواجب مع کلّ شیءٍ یلاحظ معه : إن کان وجوبه غیرَ مشروط به فهو مطلقٌ بالإضافة إلیه ، وإلّا فمشروط کذلک ، وإن کانا بالقیاس إلی شیءٍ آخر </w:t>
      </w:r>
      <w:r>
        <w:rPr>
          <w:rStyle w:val="FootnoteReference"/>
        </w:rPr>
        <w:footnoteReference w:id="377"/>
      </w:r>
      <w:r>
        <w:rPr>
          <w:rFonts w:ascii="IRNazanin" w:hAnsi="IRNazanin" w:eastAsia="IRNazanin" w:cs="IRNazanin"/>
          <w:lang w:bidi="fa-IR"/>
          <w:color w:val="111111"/>
          <w:sz w:val="28"/>
          <w:szCs w:val="28"/>
          <w:rtl/>
        </w:rPr>
        <w:t xml:space="preserve">بالعکس .</w:t>
      </w:r>
    </w:p>
    <w:p>
      <w:pPr>
        <w:pStyle w:val="Heading6"/>
      </w:pPr>
      <w:bookmarkStart w:id="808" w:name="_Toc248"/>
      <w:r>
        <w:t>رجوع الشرطفی الواجب المشروط إلی نفس الوجوب</w:t>
      </w:r>
      <w:bookmarkEnd w:id="808"/>
    </w:p>
    <w:p>
      <w:pPr>
        <w:pStyle w:val="BookText"/>
      </w:pPr>
      <w:r>
        <w:rPr>
          <w:rFonts w:ascii="IRNazanin" w:hAnsi="IRNazanin" w:eastAsia="IRNazanin" w:cs="IRNazanin"/>
          <w:lang w:bidi="fa-IR"/>
          <w:color w:val="111111"/>
          <w:sz w:val="28"/>
          <w:szCs w:val="28"/>
          <w:rtl/>
        </w:rPr>
        <w:t xml:space="preserve">ثمّ الظاهر : أنّ الواجب المشروط - کما أشرنا إلیه - نفسُ </w:t>
      </w:r>
      <w:r>
        <w:rPr>
          <w:rStyle w:val="FootnoteReference"/>
        </w:rPr>
        <w:footnoteReference w:id="378"/>
      </w:r>
      <w:r>
        <w:rPr>
          <w:rFonts w:ascii="IRNazanin" w:hAnsi="IRNazanin" w:eastAsia="IRNazanin" w:cs="IRNazanin"/>
          <w:lang w:bidi="fa-IR"/>
          <w:color w:val="111111"/>
          <w:sz w:val="28"/>
          <w:szCs w:val="28"/>
          <w:rtl/>
        </w:rPr>
        <w:t xml:space="preserve">الوجوب فیه مشروطٌ بالشرط ، بحیث لا وجوب حقیقةً ولا طلبَ واقعاً قَبْلَ حصول الشرط ، کما هو ظاهر الخطاب التعلیقیّ ؛ ضرورةَ أنّ ظاهر خطاب « إن جاءک زیدٌ فأکرمه » کونُ الشرط من قیود الهیئة ، وأنّ طلب الإکرام وإیجابَه معلَّقٌ</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2" w:name="pg14419_166837"/>
    <w:bookmarkEnd w:id="102"/>
    <w:p>
      <w:pPr>
        <w:pStyle w:val="BookText"/>
      </w:pPr>
      <w:r>
        <w:rPr>
          <w:rFonts w:ascii="IRNazanin" w:hAnsi="IRNazanin" w:eastAsia="IRNazanin" w:cs="IRNazanin"/>
          <w:lang w:bidi="fa-IR"/>
          <w:color w:val="111111"/>
          <w:sz w:val="28"/>
          <w:szCs w:val="28"/>
          <w:rtl/>
        </w:rPr>
        <w:t xml:space="preserve">علی المجیء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أنّ الواجب فیه یکون مقیّداً به - بحیث یکون الطلب والإیجاب فی الخطاب فعلیّاً ومطلقاً ، وإنّما الواجب یکون خاصّاً ومقیّداً - ، وهو الإکرام</w:t>
      </w:r>
    </w:p>
    <w:p>
      <w:pPr>
        <w:pStyle w:val="Heading6"/>
      </w:pPr>
      <w:bookmarkStart w:id="809" w:name="_Toc249"/>
      <w:r>
        <w:t>کلام الشیخ الأنصاری فی رجوع الشرط إلی الواجب</w:t>
      </w:r>
      <w:bookmarkEnd w:id="809"/>
    </w:p>
    <w:p>
      <w:pPr>
        <w:pStyle w:val="BookText"/>
      </w:pPr>
      <w:r>
        <w:rPr>
          <w:rFonts w:ascii="IRNazanin" w:hAnsi="IRNazanin" w:eastAsia="IRNazanin" w:cs="IRNazanin"/>
          <w:lang w:bidi="fa-IR"/>
          <w:color w:val="111111"/>
          <w:sz w:val="28"/>
          <w:szCs w:val="28"/>
          <w:rtl/>
        </w:rPr>
        <w:t xml:space="preserve">علی تقدیر المجیء ، فیکون الشرط من قیود المادّة لا الهیئة ، کما نُسب ذلک إلی شیخنا العلّامة - أعلی اللّٰه مقامه - مدّعیاً امتناعَ </w:t>
      </w:r>
      <w:r>
        <w:rPr>
          <w:rStyle w:val="FootnoteReference"/>
        </w:rPr>
        <w:footnoteReference w:id="379"/>
      </w:r>
      <w:r>
        <w:rPr>
          <w:rFonts w:ascii="IRNazanin" w:hAnsi="IRNazanin" w:eastAsia="IRNazanin" w:cs="IRNazanin"/>
          <w:lang w:bidi="fa-IR"/>
          <w:color w:val="111111"/>
          <w:sz w:val="28"/>
          <w:szCs w:val="28"/>
          <w:rtl/>
        </w:rPr>
        <w:t xml:space="preserve">کون الشرط من قیود الهیئة واقعاً </w:t>
      </w:r>
      <w:r>
        <w:rPr>
          <w:rStyle w:val="FootnoteReference"/>
        </w:rPr>
        <w:footnoteReference w:id="380"/>
      </w:r>
      <w:r>
        <w:rPr>
          <w:rFonts w:ascii="Amiri" w:hAnsi="Amiri" w:eastAsia="Amiri" w:cs="Amiri"/>
          <w:lang w:bidi="ar-SA"/>
          <w:color w:val="111111"/>
          <w:sz w:val="28"/>
          <w:szCs w:val="28"/>
          <w:rtl/>
        </w:rPr>
        <w:t xml:space="preserve">، ولزومَ کونه من قیود المادّة لُبّاً ، مع الاعتراف بأنّ قضیّة القواعد العربیّة أنّه من قیود الهیئة ظاهراً :</w:t>
      </w:r>
    </w:p>
    <w:p>
      <w:pPr>
        <w:pStyle w:val="BookText"/>
      </w:pPr>
      <w:r>
        <w:rPr>
          <w:rFonts w:ascii="IRNazanin" w:hAnsi="IRNazanin" w:eastAsia="IRNazanin" w:cs="IRNazanin"/>
          <w:lang w:bidi="fa-IR"/>
          <w:color w:val="111111"/>
          <w:sz w:val="28"/>
          <w:szCs w:val="28"/>
          <w:rtl/>
        </w:rPr>
        <w:t xml:space="preserve">أمّا امتناع کونه من قیود الهیئة: فلأنّه لا إطلاق فی الفرد الموجود من الطلب المتعلّق بالفعل المنشَأ بالهیئة ، حتّی یصحّ القول بتقییده بشرطٍ ونحوه ، فکلُّ ما یحتمل رجوعه إلی الطلب الّذی یدلّ علیه الهیئة ، فهو - عند التحقیق - راجعٌ إلی نفس المادّة .</w:t>
      </w:r>
    </w:p>
    <w:p>
      <w:pPr>
        <w:pStyle w:val="BookText"/>
      </w:pPr>
      <w:r>
        <w:rPr>
          <w:rFonts w:ascii="IRNazanin" w:hAnsi="IRNazanin" w:eastAsia="IRNazanin" w:cs="IRNazanin"/>
          <w:lang w:bidi="fa-IR"/>
          <w:color w:val="111111"/>
          <w:sz w:val="28"/>
          <w:szCs w:val="28"/>
          <w:rtl/>
        </w:rPr>
        <w:t xml:space="preserve">وأمّا لزوم کونه من قیود المادّة لُبّاً: فلأنّ العاقل إذا توجّه إلی شیءٍ والتفت إلیه : فإمّا أن یتعلّق طلبه به ، أو لا یتعلّق به طلبه أصلاً ، لا کلام علی الثانی .</w:t>
      </w:r>
    </w:p>
    <w:p>
      <w:pPr>
        <w:pStyle w:val="BookText"/>
      </w:pPr>
      <w:r>
        <w:rPr>
          <w:rFonts w:ascii="IRNazanin" w:hAnsi="IRNazanin" w:eastAsia="IRNazanin" w:cs="IRNazanin"/>
          <w:lang w:bidi="fa-IR"/>
          <w:color w:val="111111"/>
          <w:sz w:val="28"/>
          <w:szCs w:val="28"/>
          <w:rtl/>
        </w:rPr>
        <w:t xml:space="preserve">وعلی الأوّل : فإمّا أن یکون ذاک الشیء مورداً لطلبه وأمره مطلقاً علی اختلاف طوارئه ، أو علی تقدیر خاصّ ، وذلک التقدیر : تارةً یکون من الاُمور الاختیاریّة ، وأُخری لا یکون کذلک .</w:t>
      </w:r>
    </w:p>
    <w:p>
      <w:pPr>
        <w:pStyle w:val="BookText"/>
      </w:pPr>
      <w:r>
        <w:rPr>
          <w:rFonts w:ascii="IRNazanin" w:hAnsi="IRNazanin" w:eastAsia="IRNazanin" w:cs="IRNazanin"/>
          <w:lang w:bidi="fa-IR"/>
          <w:color w:val="111111"/>
          <w:sz w:val="28"/>
          <w:szCs w:val="28"/>
          <w:rtl/>
        </w:rPr>
        <w:t xml:space="preserve">وما کان من الاُمور الاختیاریّة : قد یکون مأخوذاً فیه علی نحوٍ یکون مورداً للتکلیف ، وقد لا یکون کذلک ، علی اختلاف الأغراض الداعیة إلی طلبه</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14419_166838"/>
    <w:bookmarkEnd w:id="103"/>
    <w:p>
      <w:pPr>
        <w:pStyle w:val="BookText"/>
      </w:pPr>
      <w:r>
        <w:rPr>
          <w:rFonts w:ascii="IRNazanin" w:hAnsi="IRNazanin" w:eastAsia="IRNazanin" w:cs="IRNazanin"/>
          <w:lang w:bidi="fa-IR"/>
          <w:color w:val="111111"/>
          <w:sz w:val="28"/>
          <w:szCs w:val="28"/>
          <w:rtl/>
        </w:rPr>
        <w:t xml:space="preserve">والأمرِ به ، من غیر فرق فی ذلک بین القول بتبعیّة الأحکام للمصالح والمفاسد ، والقول بعدم التبعیّة ، کما لا یخفی .</w:t>
      </w:r>
    </w:p>
    <w:p>
      <w:pPr>
        <w:pStyle w:val="BookText"/>
      </w:pPr>
      <w:r>
        <w:rPr>
          <w:rFonts w:ascii="IRNazanin" w:hAnsi="IRNazanin" w:eastAsia="IRNazanin" w:cs="IRNazanin"/>
          <w:lang w:bidi="fa-IR"/>
          <w:color w:val="111111"/>
          <w:sz w:val="28"/>
          <w:szCs w:val="28"/>
          <w:rtl/>
        </w:rPr>
        <w:t xml:space="preserve">هذا موافق لما أفاده بعض الأفاضل المقرِّر لبحثه بأدنی تفاوت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6"/>
      </w:pPr>
      <w:bookmarkStart w:id="810" w:name="_Toc250"/>
      <w:r>
        <w:t>الإشکال فی ما أفاده الشیخ من عدم الإطلاق فی مفاد الهیئة</w:t>
      </w:r>
      <w:bookmarkEnd w:id="8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ما فیه:</w:t>
      </w:r>
    </w:p>
    <w:p>
      <w:pPr>
        <w:pStyle w:val="BookText"/>
      </w:pPr>
      <w:r>
        <w:rPr>
          <w:rFonts w:ascii="IRNazanin" w:hAnsi="IRNazanin" w:eastAsia="IRNazanin" w:cs="IRNazanin"/>
          <w:lang w:bidi="fa-IR"/>
          <w:color w:val="111111"/>
          <w:sz w:val="28"/>
          <w:szCs w:val="28"/>
          <w:rtl/>
        </w:rPr>
        <w:t xml:space="preserve">أمّا حدیث عدم الإطلاق فی مفاد الهیئة: فقد حقّقناه سابقاً </w:t>
      </w:r>
      <w:r>
        <w:rPr>
          <w:rStyle w:val="FootnoteReference"/>
        </w:rPr>
        <w:footnoteReference w:id="382"/>
      </w:r>
      <w:r>
        <w:rPr>
          <w:rFonts w:ascii="IRNazanin" w:hAnsi="IRNazanin" w:eastAsia="IRNazanin" w:cs="IRNazanin"/>
          <w:lang w:bidi="fa-IR"/>
          <w:color w:val="111111"/>
          <w:sz w:val="28"/>
          <w:szCs w:val="28"/>
          <w:rtl/>
        </w:rPr>
        <w:t xml:space="preserve">: أنّ کلّ واحد من الموضوع له والمستعمل فیه فی الحروف یکون عامّاً کوضعها ، وإنّما الخصوصیّة من قِبَلِ الاستعمال کالأسماء ، وإنّما الفرق بینهما أنّها وضعت لتستعمل وقُصد </w:t>
      </w:r>
      <w:r>
        <w:rPr>
          <w:rStyle w:val="FootnoteReference"/>
        </w:rPr>
        <w:footnoteReference w:id="383"/>
      </w:r>
      <w:r>
        <w:rPr>
          <w:rFonts w:ascii="IRNazanin" w:hAnsi="IRNazanin" w:eastAsia="IRNazanin" w:cs="IRNazanin"/>
          <w:lang w:bidi="fa-IR"/>
          <w:color w:val="111111"/>
          <w:sz w:val="28"/>
          <w:szCs w:val="28"/>
          <w:rtl/>
        </w:rPr>
        <w:t xml:space="preserve">بها المعنی بما هو هو ، والحروف وُضعت لتستعمل وقصد بها معانیها بما هی آلة وحالة لمعانی المتعلّقات .</w:t>
      </w:r>
    </w:p>
    <w:p>
      <w:pPr>
        <w:pStyle w:val="BookText"/>
      </w:pPr>
      <w:r>
        <w:rPr>
          <w:rFonts w:ascii="IRNazanin" w:hAnsi="IRNazanin" w:eastAsia="IRNazanin" w:cs="IRNazanin"/>
          <w:lang w:bidi="fa-IR"/>
          <w:color w:val="111111"/>
          <w:sz w:val="28"/>
          <w:szCs w:val="28"/>
          <w:rtl/>
        </w:rPr>
        <w:t xml:space="preserve">فلحاظ الآلیّة - کلحاظ الاستقلالیّة - لیس من طوارئ المعنی ، بل من مشخِّصات الاستعمال - کما لا یخفی علی اولی الدرایة والنُهی - ، فالطلب </w:t>
      </w:r>
      <w:r>
        <w:rPr>
          <w:rStyle w:val="FootnoteReference"/>
        </w:rPr>
        <w:footnoteReference w:id="384"/>
      </w:r>
      <w:r>
        <w:rPr>
          <w:rFonts w:ascii="IRNazanin" w:hAnsi="IRNazanin" w:eastAsia="IRNazanin" w:cs="IRNazanin"/>
          <w:lang w:bidi="fa-IR"/>
          <w:color w:val="111111"/>
          <w:sz w:val="28"/>
          <w:szCs w:val="28"/>
          <w:rtl/>
        </w:rPr>
        <w:t xml:space="preserve">المفاد من الهیئة المستعملة فیه مطلقٌ قابلٌ لأنّ یقیّد .</w:t>
      </w:r>
    </w:p>
    <w:p>
      <w:pPr>
        <w:pStyle w:val="BookText"/>
      </w:pPr>
      <w:r>
        <w:rPr>
          <w:rFonts w:ascii="Amiri" w:hAnsi="Amiri" w:eastAsia="Amiri" w:cs="Amiri"/>
          <w:lang w:bidi="ar-SA"/>
          <w:color w:val="111111"/>
          <w:sz w:val="28"/>
          <w:szCs w:val="28"/>
          <w:rtl/>
        </w:rPr>
        <w:t xml:space="preserve">مع أنّه لو سلّم أنّه فردٌ ، فإنّما یمنع عن التقیید لو أُنشئ أوّلاً غیرَ مقیّد ، لا ما إذا انشئ من الأوّل مقیّداً ، غایة الأمر قد دلّ علیه بدالّین ، وهو غیر إنشائه أوّلاً ثمّ تقییده ثانیاً ، فافهم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 علی ذلک یلزم تفکیک الإنشاء عن </w:t>
      </w:r>
      <w:r>
        <w:rPr>
          <w:rStyle w:val="FootnoteReference"/>
        </w:rPr>
        <w:footnoteReference w:id="385"/>
      </w:r>
      <w:r>
        <w:rPr>
          <w:rFonts w:ascii="IRNazanin" w:hAnsi="IRNazanin" w:eastAsia="IRNazanin" w:cs="IRNazanin"/>
          <w:lang w:bidi="fa-IR"/>
          <w:color w:val="111111"/>
          <w:sz w:val="28"/>
          <w:szCs w:val="28"/>
          <w:rtl/>
        </w:rPr>
        <w:t xml:space="preserve">المُنشأ ؛ حیث لا طلبَ قبل حصول الشرط .</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4" w:name="pg14419_166839"/>
    <w:bookmarkEnd w:id="104"/>
    <w:p>
      <w:pPr>
        <w:pStyle w:val="BookText"/>
      </w:pPr>
      <w:r>
        <w:rPr>
          <w:rFonts w:ascii="IRNazanin" w:hAnsi="IRNazanin" w:eastAsia="IRNazanin" w:cs="IRNazanin"/>
          <w:lang w:bidi="fa-IR"/>
          <w:color w:val="111111"/>
          <w:sz w:val="28"/>
          <w:szCs w:val="28"/>
          <w:rtl/>
        </w:rPr>
        <w:t xml:space="preserve">قلت: المُنشأ إذا کان هو الطلب علی تقدیر حصوله ، فلابدّ أن لا یکون قَبْلَ حصوله طلبٌ وبعثٌ ، وإلّا لتخلّف عن إنشائه ، وإنشاءُ أمرٍ علی تقدیرٍ - کالإخبار به - بمکانٍ من الإمکان ، کما یشهد به الوجدان ، فتأمّل جیّداً .</w:t>
      </w:r>
    </w:p>
    <w:p>
      <w:pPr>
        <w:pStyle w:val="Heading6"/>
      </w:pPr>
      <w:bookmarkStart w:id="811" w:name="_Toc251"/>
      <w:r>
        <w:t>الإشکال فی ما أفاده الشیخ من لزوم رجوع الشرط إلی المادّة</w:t>
      </w:r>
      <w:bookmarkEnd w:id="811"/>
    </w:p>
    <w:p>
      <w:pPr>
        <w:pStyle w:val="BookText"/>
      </w:pPr>
      <w:r>
        <w:rPr>
          <w:rFonts w:ascii="IRNazanin" w:hAnsi="IRNazanin" w:eastAsia="IRNazanin" w:cs="IRNazanin"/>
          <w:lang w:bidi="fa-IR"/>
          <w:color w:val="111111"/>
          <w:sz w:val="28"/>
          <w:szCs w:val="28"/>
          <w:rtl/>
        </w:rPr>
        <w:t xml:space="preserve">وأمّا حدیث لزوم رجوع الشرط إلی المادّة لُبّاً ففیه : أنّ الشیء إذا تُوُجِّه إلیه ، وکان موافقاً للغرض بحسب ما فیه من المصلحة أو غیرها ، کما </w:t>
      </w:r>
      <w:r>
        <w:rPr>
          <w:rStyle w:val="FootnoteReference"/>
        </w:rPr>
        <w:footnoteReference w:id="386"/>
      </w:r>
      <w:r>
        <w:rPr>
          <w:rFonts w:ascii="IRNazanin" w:hAnsi="IRNazanin" w:eastAsia="IRNazanin" w:cs="IRNazanin"/>
          <w:lang w:bidi="fa-IR"/>
          <w:color w:val="111111"/>
          <w:sz w:val="28"/>
          <w:szCs w:val="28"/>
          <w:rtl/>
        </w:rPr>
        <w:t xml:space="preserve">یمکن أن یبعث فعلاً إلیه ویطلبه حالاً ؛ لعدم مانع عن طلبه ، کذلک یمکن أن یبعث إلیه معلّقاً ، ویطلبه استقبالاً ، علی تقدیر شرطٍ متوقَّعِ الحصول ، لأجل مانع عن الطلب والبعث فعلاً قبل حصوله ، فلا یصحّ منه إلّاالطلبُ والبعث معلّقاً بحصوله، لا مطلقاً ولو متعلّقاً بذاک </w:t>
      </w:r>
      <w:r>
        <w:rPr>
          <w:rStyle w:val="FootnoteReference"/>
        </w:rPr>
        <w:footnoteReference w:id="387"/>
      </w:r>
      <w:r>
        <w:rPr>
          <w:rFonts w:ascii="IRNazanin" w:hAnsi="IRNazanin" w:eastAsia="IRNazanin" w:cs="IRNazanin"/>
          <w:lang w:bidi="fa-IR"/>
          <w:color w:val="111111"/>
          <w:sz w:val="28"/>
          <w:szCs w:val="28"/>
          <w:rtl/>
        </w:rPr>
        <w:t xml:space="preserve">علی التقدیر، فیصحّ منه طلب الإکرام بعد مجیء زید ، ولا یصحّ منه الطلب المطلق الحالی للإکرام المقیّد بالمجیء .</w:t>
      </w:r>
    </w:p>
    <w:p>
      <w:pPr>
        <w:pStyle w:val="BookText"/>
      </w:pPr>
      <w:r>
        <w:rPr>
          <w:rFonts w:ascii="IRNazanin" w:hAnsi="IRNazanin" w:eastAsia="IRNazanin" w:cs="IRNazanin"/>
          <w:lang w:bidi="fa-IR"/>
          <w:color w:val="111111"/>
          <w:sz w:val="28"/>
          <w:szCs w:val="28"/>
          <w:rtl/>
        </w:rPr>
        <w:t xml:space="preserve">هذا بناءً علی تبعیّة الأحکام لمصالح فیها فی غایة الوضوح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بناءً علی تبعیّتها للمصالح والمفاسد فی المأمور به والمنهیّ عنه </w:t>
      </w:r>
      <w:r>
        <w:rPr>
          <w:rStyle w:val="FootnoteReference"/>
        </w:rPr>
        <w:footnoteReference w:id="388"/>
      </w:r>
      <w:r>
        <w:rPr>
          <w:rFonts w:ascii="IRNazanin" w:hAnsi="IRNazanin" w:eastAsia="IRNazanin" w:cs="IRNazanin"/>
          <w:lang w:bidi="fa-IR"/>
          <w:color w:val="111111"/>
          <w:sz w:val="28"/>
          <w:szCs w:val="28"/>
          <w:rtl/>
        </w:rPr>
        <w:t xml:space="preserve">فکذلک ؛ ضرورةَ أنّ التبعیّة کذلک إنّما تکون فی الأحکام الواقعیّة بما هی واقعیّة ، لا بما هی فعلیّة ، فإنّ المنع عن فعلیّة تلک الأحکام غیر عزیز ، کما فی موارد الأُصول والأمارات علی خلافها ، وفی بعض الأحکام فی أوّل البعثة ، بل إلی یوم قیام القائم - عجّل اللّٰه فرجه - ، مع أنّ حلال محمّد صلی الله علیه و آله حلالٌ إلی</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14419_166840"/>
    <w:bookmarkEnd w:id="105"/>
    <w:p>
      <w:pPr>
        <w:pStyle w:val="BookText"/>
      </w:pPr>
      <w:r>
        <w:rPr>
          <w:rFonts w:ascii="IRNazanin" w:hAnsi="IRNazanin" w:eastAsia="IRNazanin" w:cs="IRNazanin"/>
          <w:lang w:bidi="fa-IR"/>
          <w:color w:val="111111"/>
          <w:sz w:val="28"/>
          <w:szCs w:val="28"/>
          <w:rtl/>
        </w:rPr>
        <w:t xml:space="preserve">یوم القیامة ، وحرامه حرامٌ إلی یوم القیامة </w:t>
      </w:r>
      <w:r>
        <w:rPr>
          <w:rStyle w:val="FootnoteReference"/>
        </w:rPr>
        <w:footnoteReference w:id="389"/>
      </w:r>
      <w:r>
        <w:rPr>
          <w:rFonts w:ascii="IRNazanin" w:hAnsi="IRNazanin" w:eastAsia="IRNazanin" w:cs="IRNazanin"/>
          <w:lang w:bidi="fa-IR"/>
          <w:color w:val="111111"/>
          <w:sz w:val="28"/>
          <w:szCs w:val="28"/>
          <w:rtl/>
        </w:rPr>
        <w:t xml:space="preserve">. ومع ذلک ربما یکون المانع عن فعلیّة بعض الأحکام باقیاً مرّ اللیالی والأیّام ، إلی أن تطلع شمس الهدایة ویرتفع الظلام ، کما یظهر من الأخبار المرویّة عن الأئمّة علیهم السلام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6"/>
      </w:pPr>
      <w:bookmarkStart w:id="812" w:name="_Toc252"/>
      <w:r>
        <w:t>فائدة إنشاء الوجوب المشروط</w:t>
      </w:r>
      <w:bookmarkEnd w:id="812"/>
    </w:p>
    <w:p>
      <w:pPr>
        <w:pStyle w:val="BookText"/>
      </w:pPr>
      <w:r>
        <w:rPr>
          <w:rFonts w:ascii="Amiri" w:hAnsi="Amiri" w:eastAsia="Amiri" w:cs="Amiri"/>
          <w:lang w:bidi="ar-SA"/>
          <w:color w:val="111111"/>
          <w:sz w:val="28"/>
          <w:szCs w:val="28"/>
          <w:rtl/>
        </w:rPr>
        <w:t xml:space="preserve">فإن قلت: فما فائدة الإنشاء إذا لم یکن المُنشأ به طلباً فعلیّاً وبعثاً حالیّاً؟</w:t>
      </w:r>
    </w:p>
    <w:p>
      <w:pPr>
        <w:pStyle w:val="BookText"/>
      </w:pPr>
      <w:r>
        <w:rPr>
          <w:rFonts w:ascii="IRNazanin" w:hAnsi="IRNazanin" w:eastAsia="IRNazanin" w:cs="IRNazanin"/>
          <w:lang w:bidi="fa-IR"/>
          <w:color w:val="111111"/>
          <w:sz w:val="28"/>
          <w:szCs w:val="28"/>
          <w:rtl/>
        </w:rPr>
        <w:t xml:space="preserve">قلت: کفی فائدةً له أنّه یصیر بعثاً فعلیّاً بعد حصول الشرط ، بلا حاجةٍ إلی خطابٍ آخر ، بحیث لولاه لما کان فعلاً متمکّناً من الخطاب ، هذا .</w:t>
      </w:r>
    </w:p>
    <w:p>
      <w:pPr>
        <w:pStyle w:val="BookText"/>
      </w:pPr>
      <w:r>
        <w:rPr>
          <w:rFonts w:ascii="IRNazanin" w:hAnsi="IRNazanin" w:eastAsia="IRNazanin" w:cs="IRNazanin"/>
          <w:lang w:bidi="fa-IR"/>
          <w:color w:val="111111"/>
          <w:sz w:val="28"/>
          <w:szCs w:val="28"/>
          <w:rtl/>
        </w:rPr>
        <w:t xml:space="preserve">مع شمول الخطاب کذلک للإیجاب فعلاً بالنسبة إلی الواجد للشرط ، فیکون بعثاً فعلیّاً بالإضافة إلیه ، وتقدیریّاً بالنسبة إلی الفاقد له ، فافهم وتأمّل جیّداً .</w:t>
      </w:r>
    </w:p>
    <w:p>
      <w:pPr>
        <w:pStyle w:val="Heading6"/>
      </w:pPr>
      <w:bookmarkStart w:id="813" w:name="_Toc253"/>
      <w:r>
        <w:t>دخول‌المقدّمات الوجودیّة فی النزاع</w:t>
      </w:r>
      <w:bookmarkEnd w:id="8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الظاهر دخول المقدّمات الوجودیّة للواجب المشروط فی محلّ النزاع أیضاً ، فلا وجه لتخصیصه بمقدّمات الواجب المطلق ، غایة الأمر تکون فی الإطلاق والاشتراط تابعةً لذی المقدّمة ، کأصل الوجوب ، بناءً علی وجوبها من باب الملازمة .</w:t>
      </w:r>
    </w:p>
    <w:p>
      <w:pPr>
        <w:pStyle w:val="Heading6"/>
      </w:pPr>
      <w:bookmarkStart w:id="814" w:name="_Toc254"/>
      <w:r>
        <w:t>خروج مقدّمات الوجوب عن النزاع</w:t>
      </w:r>
      <w:bookmarkEnd w:id="814"/>
    </w:p>
    <w:p>
      <w:pPr>
        <w:pStyle w:val="BookText"/>
      </w:pPr>
      <w:r>
        <w:rPr>
          <w:rFonts w:ascii="IRNazanin" w:hAnsi="IRNazanin" w:eastAsia="IRNazanin" w:cs="IRNazanin"/>
          <w:lang w:bidi="fa-IR"/>
          <w:color w:val="111111"/>
          <w:sz w:val="28"/>
          <w:szCs w:val="28"/>
          <w:rtl/>
        </w:rPr>
        <w:t xml:space="preserve">وأمّا الشرط المعلّق علیه الإیجاب فی ظاهر الخطاب ، فخروجه ممّا لا شبهة فیه ولا ارتیاب :</w:t>
      </w:r>
    </w:p>
    <w:p>
      <w:pPr>
        <w:pStyle w:val="BookText"/>
      </w:pPr>
      <w:r>
        <w:rPr>
          <w:rFonts w:ascii="IRNazanin" w:hAnsi="IRNazanin" w:eastAsia="IRNazanin" w:cs="IRNazanin"/>
          <w:lang w:bidi="fa-IR"/>
          <w:color w:val="111111"/>
          <w:sz w:val="28"/>
          <w:szCs w:val="28"/>
          <w:rtl/>
        </w:rPr>
        <w:t xml:space="preserve">أمّا علی ما هو ظاهر المشهور والمنصور </w:t>
      </w:r>
      <w:r>
        <w:rPr>
          <w:rStyle w:val="FootnoteReference"/>
        </w:rPr>
        <w:footnoteReference w:id="391"/>
      </w:r>
      <w:r>
        <w:rPr>
          <w:rFonts w:ascii="IRNazanin" w:hAnsi="IRNazanin" w:eastAsia="IRNazanin" w:cs="IRNazanin"/>
          <w:lang w:bidi="fa-IR"/>
          <w:color w:val="111111"/>
          <w:sz w:val="28"/>
          <w:szCs w:val="28"/>
          <w:rtl/>
        </w:rPr>
        <w:t xml:space="preserve">، فلکونه </w:t>
      </w:r>
      <w:r>
        <w:rPr>
          <w:rStyle w:val="FootnoteReference"/>
        </w:rPr>
        <w:footnoteReference w:id="392"/>
      </w:r>
      <w:r>
        <w:rPr>
          <w:rFonts w:ascii="Amiri" w:hAnsi="Amiri" w:eastAsia="Amiri" w:cs="Amiri"/>
          <w:lang w:bidi="ar-SA"/>
          <w:color w:val="111111"/>
          <w:sz w:val="28"/>
          <w:szCs w:val="28"/>
          <w:rtl/>
        </w:rPr>
        <w:t xml:space="preserve">مقدّمة وجوبیّة .</w:t>
      </w:r>
    </w:p>
    <w:p>
      <w:pPr>
        <w:pStyle w:val="BookText"/>
      </w:pPr>
      <w:r>
        <w:rPr>
          <w:rFonts w:ascii="Amiri" w:hAnsi="Amiri" w:eastAsia="Amiri" w:cs="Amiri"/>
          <w:lang w:bidi="ar-SA"/>
          <w:color w:val="111111"/>
          <w:sz w:val="28"/>
          <w:szCs w:val="28"/>
          <w:rtl/>
        </w:rPr>
        <w:t xml:space="preserve">وأمّا علی المختار لشیخنا العلّامة - أعلی اللّٰه مقامه - فلأنّه وإن کان من المقدّمات الوجودیّة للواجب ، إلّاأنّه أُخذ علی نحوٍ لا یکاد یترشّح علیه</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14419_166841"/>
    <w:bookmarkEnd w:id="106"/>
    <w:p>
      <w:pPr>
        <w:pStyle w:val="BookText"/>
      </w:pPr>
      <w:r>
        <w:rPr>
          <w:rFonts w:ascii="IRNazanin" w:hAnsi="IRNazanin" w:eastAsia="IRNazanin" w:cs="IRNazanin"/>
          <w:lang w:bidi="fa-IR"/>
          <w:color w:val="111111"/>
          <w:sz w:val="28"/>
          <w:szCs w:val="28"/>
          <w:rtl/>
        </w:rPr>
        <w:t xml:space="preserve">الوجوب منه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فإنّه جعل الشیء واجباً علی تقدیر حصول ذاک الشرط ، فمعه کیف یترشّح علیه الوجوب ویتعلّق به الطلب؟ وهل هو إلّاطلب الحاصل؟</w:t>
      </w:r>
    </w:p>
    <w:p>
      <w:pPr>
        <w:pStyle w:val="BookText"/>
      </w:pPr>
      <w:r>
        <w:rPr>
          <w:rFonts w:ascii="IRNazanin" w:hAnsi="IRNazanin" w:eastAsia="IRNazanin" w:cs="IRNazanin"/>
          <w:lang w:bidi="fa-IR"/>
          <w:color w:val="111111"/>
          <w:sz w:val="28"/>
          <w:szCs w:val="28"/>
          <w:rtl/>
        </w:rPr>
        <w:t xml:space="preserve">نعم ، علی مختاره قدس سره لو کانت له مقدّمات وجودیّة غیر معلّق علیها وجوبُه لتعلَّقَ بها الطلب فی الحال ، علی تقدیر اتّفاق وجود الشرط فی الاستقبال ؛ وذلک لأنّ إیجاب ذی المقدّمة علی ذلک حالیٌّ ، والواجب إنّما هو استقبالیٌّ - کما یأتی فی الواجب المعلّق - ؛ فإنّ الواجب المشروط علی مختاره هو بعینه ما اصطلح علیه صاحب الفصول رحمه الله من المعلّق </w:t>
      </w:r>
      <w:r>
        <w:rPr>
          <w:rStyle w:val="FootnoteReference"/>
        </w:rPr>
        <w:footnoteReference w:id="393"/>
      </w:r>
      <w:r>
        <w:rPr>
          <w:rFonts w:ascii="IRNazanin" w:hAnsi="IRNazanin" w:eastAsia="IRNazanin" w:cs="IRNazanin"/>
          <w:lang w:bidi="fa-IR"/>
          <w:color w:val="111111"/>
          <w:sz w:val="28"/>
          <w:szCs w:val="28"/>
          <w:rtl/>
        </w:rPr>
        <w:t xml:space="preserve">، فلا تغفل .</w:t>
      </w:r>
    </w:p>
    <w:p>
      <w:pPr>
        <w:pStyle w:val="BookText"/>
      </w:pPr>
      <w:r>
        <w:rPr>
          <w:rFonts w:ascii="IRNazanin" w:hAnsi="IRNazanin" w:eastAsia="IRNazanin" w:cs="IRNazanin"/>
          <w:lang w:bidi="fa-IR"/>
          <w:color w:val="111111"/>
          <w:sz w:val="28"/>
          <w:szCs w:val="28"/>
          <w:rtl/>
        </w:rPr>
        <w:t xml:space="preserve">هذا فی غیر المعرفة والتعلّم من المقدّمات .</w:t>
      </w:r>
    </w:p>
    <w:p>
      <w:pPr>
        <w:pStyle w:val="Heading6"/>
      </w:pPr>
      <w:bookmarkStart w:id="815" w:name="_Toc255"/>
      <w:r>
        <w:t>وجوب التعلّم</w:t>
      </w:r>
      <w:bookmarkEnd w:id="815"/>
    </w:p>
    <w:p>
      <w:pPr>
        <w:pStyle w:val="BookText"/>
      </w:pPr>
      <w:r>
        <w:rPr>
          <w:rFonts w:ascii="IRNazanin" w:hAnsi="IRNazanin" w:eastAsia="IRNazanin" w:cs="IRNazanin"/>
          <w:lang w:bidi="fa-IR"/>
          <w:color w:val="111111"/>
          <w:sz w:val="28"/>
          <w:szCs w:val="28"/>
          <w:rtl/>
        </w:rPr>
        <w:t xml:space="preserve">وأمّا المعرفة فلا یبعد القول بوجوبها ، حتّی فی الواجب المشروط - بالمعنی المختار - قبل حصول شرطه ، لکنّه لا بالملازمة ، بل من باب استقلال العقل بتنجّز الأحکام علی الأنام بمجرّد قیام احتمالها ، إلّامع الفحص والیأس عن الظفر بالدلیل علی التکلیف ، فیستقلّ بعده بالبراءة ، وأنّ العقوبة علی المخالفة بلا حجّة وبیان ، والمؤاخذةَ علیها بلا برهان ، فافهم .</w:t>
      </w:r>
    </w:p>
    <w:p>
      <w:pPr>
        <w:pStyle w:val="Heading6"/>
      </w:pPr>
      <w:bookmarkStart w:id="816" w:name="_Toc256"/>
      <w:r>
        <w:t>هل إطلاق الواجب علی الواجب المشروط علی نحو الحقیقة أم المجاز ؟</w:t>
      </w:r>
      <w:bookmarkEnd w:id="816"/>
    </w:p>
    <w:p>
      <w:pPr>
        <w:pStyle w:val="BookText"/>
      </w:pPr>
      <w:r>
        <w:rPr>
          <w:rFonts w:ascii="Amiri" w:hAnsi="Amiri" w:eastAsia="Amiri" w:cs="Amiri"/>
          <w:lang w:bidi="ar-SA"/>
          <w:color w:val="111111"/>
          <w:sz w:val="28"/>
          <w:szCs w:val="28"/>
          <w:rtl/>
        </w:rPr>
        <w:t xml:space="preserve">تذنیبٌ:</w:t>
      </w:r>
    </w:p>
    <w:p>
      <w:pPr>
        <w:pStyle w:val="BookText"/>
      </w:pPr>
      <w:r>
        <w:rPr>
          <w:rFonts w:ascii="IRNazanin" w:hAnsi="IRNazanin" w:eastAsia="IRNazanin" w:cs="IRNazanin"/>
          <w:lang w:bidi="fa-IR"/>
          <w:color w:val="111111"/>
          <w:sz w:val="28"/>
          <w:szCs w:val="28"/>
          <w:rtl/>
        </w:rPr>
        <w:t xml:space="preserve">لا یخفی : أنّ إطلاق الواجب علی الواجب المشروط بلحاظ حال حصول الشرط علی الحقیقة مطلقاً .</w:t>
      </w:r>
    </w:p>
    <w:p>
      <w:pPr>
        <w:pStyle w:val="BookText"/>
      </w:pPr>
      <w:r>
        <w:rPr>
          <w:rFonts w:ascii="IRNazanin" w:hAnsi="IRNazanin" w:eastAsia="IRNazanin" w:cs="IRNazanin"/>
          <w:lang w:bidi="fa-IR"/>
          <w:color w:val="111111"/>
          <w:sz w:val="28"/>
          <w:szCs w:val="28"/>
          <w:rtl/>
        </w:rPr>
        <w:t xml:space="preserve">وأمّا بلحاظ حال قبل حصوله فکذلک - علی الحقیقة </w:t>
      </w:r>
      <w:r>
        <w:rPr>
          <w:rStyle w:val="FootnoteReference"/>
        </w:rPr>
        <w:footnoteReference w:id="394"/>
      </w:r>
      <w:r>
        <w:rPr>
          <w:rFonts w:ascii="IRNazanin" w:hAnsi="IRNazanin" w:eastAsia="IRNazanin" w:cs="IRNazanin"/>
          <w:lang w:bidi="fa-IR"/>
          <w:color w:val="111111"/>
          <w:sz w:val="28"/>
          <w:szCs w:val="28"/>
          <w:rtl/>
        </w:rPr>
        <w:t xml:space="preserve">- علی مختاره قدس سره فی الواجب المشروط ؛ لأنّ الواجب وإن کان أمراً استقبالیّاً علیه ، إلّاأنّ تلبّسه</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14419_166842"/>
    <w:bookmarkEnd w:id="107"/>
    <w:p>
      <w:pPr>
        <w:pStyle w:val="BookText"/>
      </w:pPr>
      <w:r>
        <w:rPr>
          <w:rFonts w:ascii="IRNazanin" w:hAnsi="IRNazanin" w:eastAsia="IRNazanin" w:cs="IRNazanin"/>
          <w:lang w:bidi="fa-IR"/>
          <w:color w:val="111111"/>
          <w:sz w:val="28"/>
          <w:szCs w:val="28"/>
          <w:rtl/>
        </w:rPr>
        <w:t xml:space="preserve">بالوجوب فی الحال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ومجازٌ علی المختار ؛ حیث لا تلبُّسَ بالوجوب علیه قبله ، کما عن البهائیّ رحمه الله تصریحه بأنّ لفظ الواجب مجازٌ فی المشروط ، بعلاقة الأوْل أو المشارفة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الصیغة مع الشرط فهی حقیقةٌ علی کلّ حالٍ ؛ لاستعمالها علی مختاره قدس سره فی الطلب المطلق ، وعلی المختار فی الطلب المقیّد ، علی نحو تعدّد الدالّ والمدلول . کما هو الحال فی ما إذا أُرید منها المطلق المقابل للمقیّد ، لا المبهم المقسم ، فافهم .</w:t>
      </w:r>
    </w:p>
    <w:p>
      <w:pPr>
        <w:pStyle w:val="Heading6"/>
      </w:pPr>
      <w:bookmarkStart w:id="817" w:name="_Toc257"/>
      <w:r>
        <w:t>الواجب‌المعلّق والمنجّز</w:t>
      </w:r>
      <w:bookmarkEnd w:id="817"/>
    </w:p>
    <w:p>
      <w:pPr>
        <w:pStyle w:val="Heading6"/>
      </w:pPr>
      <w:bookmarkStart w:id="818" w:name="_Toc258"/>
      <w:r>
        <w:t>اشارة</w:t>
      </w:r>
      <w:bookmarkEnd w:id="818"/>
    </w:p>
    <w:p>
      <w:pPr>
        <w:pStyle w:val="BookText"/>
      </w:pPr>
      <w:r>
        <w:rPr>
          <w:rFonts w:ascii="IRNazanin" w:hAnsi="IRNazanin" w:eastAsia="IRNazanin" w:cs="IRNazanin"/>
          <w:lang w:bidi="fa-IR"/>
          <w:color w:val="111111"/>
          <w:sz w:val="28"/>
          <w:szCs w:val="28"/>
          <w:rtl/>
        </w:rPr>
        <w:t xml:space="preserve">ومنها: تقسیمه إلی المعلّق والمنجّز .</w:t>
      </w:r>
    </w:p>
    <w:p>
      <w:pPr>
        <w:pStyle w:val="BookText"/>
      </w:pPr>
      <w:r>
        <w:rPr>
          <w:rFonts w:ascii="Amiri" w:hAnsi="Amiri" w:eastAsia="Amiri" w:cs="Amiri"/>
          <w:lang w:bidi="ar-SA"/>
          <w:color w:val="111111"/>
          <w:sz w:val="28"/>
          <w:szCs w:val="28"/>
          <w:rtl/>
        </w:rPr>
        <w:t xml:space="preserve">قال فی الفصول: إنّه ینقسم باعتبارٍ آخر إلی ما یتعلّق وجوبه بالمکلّف ، ولا یتوقّف حصوله علی أمرٍ غیر مقدورٍ له کالمعرفة ، ولیسمَّ: « منجّزاً » ، وإلی ما یتعلّق وجوبه به ، ویتوقّف حصوله علی أمرٍ غیر مقدورٍ له ، ولیسمَّ:</w:t>
      </w:r>
    </w:p>
    <w:p>
      <w:pPr>
        <w:pStyle w:val="BookText"/>
      </w:pPr>
      <w:r>
        <w:rPr>
          <w:rFonts w:ascii="IRNazanin" w:hAnsi="IRNazanin" w:eastAsia="IRNazanin" w:cs="IRNazanin"/>
          <w:lang w:bidi="fa-IR"/>
          <w:color w:val="111111"/>
          <w:sz w:val="28"/>
          <w:szCs w:val="28"/>
          <w:rtl/>
        </w:rPr>
        <w:t xml:space="preserve">« معلّقاً » ، کالحجّ ، فإنّ وجوبه یتعلّق بالمکلّف من أوّل زمن الاستطاعة ، أو خروج الرفقة ، ویتوقّف فعله علی مجیء وقته ، وهو غیر مقدور له . والفرق بین هذا النوع وبین الواجب المشروط هو أنّ التوقّف هناک للوجوب ، وهنا للفعل </w:t>
      </w:r>
      <w:r>
        <w:rPr>
          <w:rStyle w:val="FootnoteReference"/>
        </w:rPr>
        <w:footnoteReference w:id="396"/>
      </w:r>
      <w:r>
        <w:rPr>
          <w:rFonts w:ascii="IRNazanin" w:hAnsi="IRNazanin" w:eastAsia="IRNazanin" w:cs="IRNazanin"/>
          <w:lang w:bidi="fa-IR"/>
          <w:color w:val="111111"/>
          <w:sz w:val="28"/>
          <w:szCs w:val="28"/>
          <w:rtl/>
        </w:rPr>
        <w:t xml:space="preserve">. انتهی کلامه ، رفع مقامه .</w:t>
      </w:r>
    </w:p>
    <w:p>
      <w:pPr>
        <w:pStyle w:val="Heading6"/>
      </w:pPr>
      <w:bookmarkStart w:id="819" w:name="_Toc259"/>
      <w:r>
        <w:t>إنکار الشیخ الأعظم الواجب المعلّق والتحقیق فیه</w:t>
      </w:r>
      <w:bookmarkEnd w:id="819"/>
    </w:p>
    <w:p>
      <w:pPr>
        <w:pStyle w:val="BookText"/>
      </w:pPr>
      <w:r>
        <w:rPr>
          <w:rFonts w:ascii="IRNazanin" w:hAnsi="IRNazanin" w:eastAsia="IRNazanin" w:cs="IRNazanin"/>
          <w:lang w:bidi="fa-IR"/>
          <w:color w:val="111111"/>
          <w:sz w:val="28"/>
          <w:szCs w:val="28"/>
          <w:rtl/>
        </w:rPr>
        <w:t xml:space="preserve">لا یخفی: أنّ شیخنا العلّامة « أعلی اللّٰه مقامه » ، - حیث اختار فی الواجب المشروط ذاک المعنی ، وجعل الشرط لزوماً من قیود المادّة ثبوتاً وإثباتاً ؛ حیث ادّعی امتناعَ کونهِ من قیود الهیئة کذلک ، أی : إثباتاً وثبوتاً ، علی خلاف القواعد العربیّة وظاهرِ المشهور ، کما یشهد به ما تقدّم آنفاً عن البهائیّ - ، أنکر</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14419_166843"/>
    <w:bookmarkEnd w:id="108"/>
    <w:p>
      <w:pPr>
        <w:pStyle w:val="BookText"/>
      </w:pPr>
      <w:r>
        <w:rPr>
          <w:rFonts w:ascii="IRNazanin" w:hAnsi="IRNazanin" w:eastAsia="IRNazanin" w:cs="IRNazanin"/>
          <w:lang w:bidi="fa-IR"/>
          <w:color w:val="111111"/>
          <w:sz w:val="28"/>
          <w:szCs w:val="28"/>
          <w:rtl/>
        </w:rPr>
        <w:t xml:space="preserve">علی الفصول هذا التقسیم </w:t>
      </w:r>
      <w:r>
        <w:rPr>
          <w:rStyle w:val="FootnoteReference"/>
        </w:rPr>
        <w:footnoteReference w:id="3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ضرورة أنّ المعلّق بما فسّره یکون من المشروط بما اختار له من المعنی علی ذلک ، کما هو واضح ، حیث لا یکون حینئذٍ هناک معنی آخر معقولٌ ، کان هو المعلّق المقابل للمشروط .</w:t>
      </w:r>
    </w:p>
    <w:p>
      <w:pPr>
        <w:pStyle w:val="BookText"/>
      </w:pPr>
      <w:r>
        <w:rPr>
          <w:rFonts w:ascii="IRNazanin" w:hAnsi="IRNazanin" w:eastAsia="IRNazanin" w:cs="IRNazanin"/>
          <w:lang w:bidi="fa-IR"/>
          <w:color w:val="111111"/>
          <w:sz w:val="28"/>
          <w:szCs w:val="28"/>
          <w:rtl/>
        </w:rPr>
        <w:t xml:space="preserve">ومن هنا انقدح : أنّه فی الحقیقة إنّما أنکر الواجبَ المشروط بالمعنی الّذی یکون هو ظاهر المشهور والقواعِد العربیّة ، لا الواجبَ المعلّق بالتفسیر المذکور .</w:t>
      </w:r>
    </w:p>
    <w:p>
      <w:pPr>
        <w:pStyle w:val="BookText"/>
      </w:pPr>
      <w:r>
        <w:rPr>
          <w:rFonts w:ascii="IRNazanin" w:hAnsi="IRNazanin" w:eastAsia="IRNazanin" w:cs="IRNazanin"/>
          <w:lang w:bidi="fa-IR"/>
          <w:color w:val="111111"/>
          <w:sz w:val="28"/>
          <w:szCs w:val="28"/>
          <w:rtl/>
        </w:rPr>
        <w:t xml:space="preserve">وحیث قد عرفت - بما لا مزید علیه - إمکانَ رجوع الشرط إلی الهیئة - کما هو ظاهر المشهور وظاهر القواعد - فلا یکون مجال لإنکاره علیه .</w:t>
      </w:r>
    </w:p>
    <w:p>
      <w:pPr>
        <w:pStyle w:val="Heading6"/>
      </w:pPr>
      <w:bookmarkStart w:id="820" w:name="_Toc260"/>
      <w:r>
        <w:t>إشکال المصنّف علی الواجب المعلّق</w:t>
      </w:r>
      <w:bookmarkEnd w:id="820"/>
    </w:p>
    <w:p>
      <w:pPr>
        <w:pStyle w:val="BookText"/>
      </w:pPr>
      <w:r>
        <w:rPr>
          <w:rFonts w:ascii="IRNazanin" w:hAnsi="IRNazanin" w:eastAsia="IRNazanin" w:cs="IRNazanin"/>
          <w:lang w:bidi="fa-IR"/>
          <w:color w:val="111111"/>
          <w:sz w:val="28"/>
          <w:szCs w:val="28"/>
          <w:rtl/>
        </w:rPr>
        <w:t xml:space="preserve">نعم ، یمکن أن یقال: إنّه لا وقْع لهذا التقسیم ؛ لأنّه بکلا قسمیه من المطلق المقابل للمشروط ، وخصوصیّةُ کونه حالیّاً أو استقبالیّاً لا توجبه ما لم توجب الاختلافَ فی المهمّ ، وإلّا لکثرت </w:t>
      </w:r>
      <w:r>
        <w:rPr>
          <w:rStyle w:val="FootnoteReference"/>
        </w:rPr>
        <w:footnoteReference w:id="398"/>
      </w:r>
      <w:r>
        <w:rPr>
          <w:rFonts w:ascii="IRNazanin" w:hAnsi="IRNazanin" w:eastAsia="IRNazanin" w:cs="IRNazanin"/>
          <w:lang w:bidi="fa-IR"/>
          <w:color w:val="111111"/>
          <w:sz w:val="28"/>
          <w:szCs w:val="28"/>
          <w:rtl/>
        </w:rPr>
        <w:t xml:space="preserve">تقسیماته ؛ لکثرة الخصوصیّات ، ولا اختلاف فیه ؛ فإنّ ما رتّبه علیه من وجوب المقدّمة فعلاً - کما یأتی - إنّما هو من أثر إطلاق وجوبه وحالیّته ، لا من استقبالیّة الواجب ، فافهم .</w:t>
      </w:r>
    </w:p>
    <w:p>
      <w:pPr>
        <w:pStyle w:val="Heading6"/>
      </w:pPr>
      <w:bookmarkStart w:id="821" w:name="_Toc261"/>
      <w:r>
        <w:t>إشکال بعض أهل النظر فی الواجب المعلّق والجواب عنه</w:t>
      </w:r>
      <w:bookmarkEnd w:id="821"/>
    </w:p>
    <w:p>
      <w:pPr>
        <w:pStyle w:val="BookText"/>
      </w:pPr>
      <w:r>
        <w:rPr>
          <w:rFonts w:ascii="IRNazanin" w:hAnsi="IRNazanin" w:eastAsia="IRNazanin" w:cs="IRNazanin"/>
          <w:lang w:bidi="fa-IR"/>
          <w:color w:val="111111"/>
          <w:sz w:val="28"/>
          <w:szCs w:val="28"/>
          <w:rtl/>
        </w:rPr>
        <w:t xml:space="preserve">ثمّ إنّه ربما حکی عن بعض أهل النظر من أهل العصر </w:t>
      </w:r>
      <w:r>
        <w:rPr>
          <w:rStyle w:val="FootnoteReference"/>
        </w:rPr>
        <w:footnoteReference w:id="399"/>
      </w:r>
      <w:r>
        <w:rPr>
          <w:rFonts w:ascii="IRNazanin" w:hAnsi="IRNazanin" w:eastAsia="IRNazanin" w:cs="IRNazanin"/>
          <w:lang w:bidi="fa-IR"/>
          <w:color w:val="111111"/>
          <w:sz w:val="28"/>
          <w:szCs w:val="28"/>
          <w:rtl/>
        </w:rPr>
        <w:t xml:space="preserve">إشکالٌ فی الواجب المعلّق ، وهو: أنّ الطلب والإیجاب إنّما یکون بإزاء الإرادة المحرِّکة للعضلات نحو المراد ، فکما لا تکاد تکون الإرادة منفکّةً عن المراد ، فلْیکن الإیجاب غیرَ منفکّ عمّا یتعلّق به ، فکیف یتعلّق بأمر استقبالیّ ؟ فلا یکاد یصحّ الطلب والبعث فعلاً نحوَ أمرٍ متأخّر .</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فیه أنّ الإرادة تتعلّق بأمر متأخّر استقبالیّ ، کما تتعلّق بأمر حالیّ ، وهو أوضح من أن یخفی علی عاقل ، فضلاً عن فاضل ؛ ضرورةَ أنّ تحمُّلَ المشاقّ فی تحصیل المقدّمات - فی ما إذا کان المقصود بعیدَ المسافة وکثیر المؤونة - لیس إلّالأجل تعلّق إرادته به ، وکونهِ مریداً له قاصداً إیّاه ، لا یکاد یحمله علی التحمّل إلّاذلک .</w:t>
      </w:r>
    </w:p>
    <w:p>
      <w:pPr>
        <w:pStyle w:val="BookText"/>
      </w:pPr>
      <w:r>
        <w:rPr>
          <w:rFonts w:ascii="IRNazanin" w:hAnsi="IRNazanin" w:eastAsia="IRNazanin" w:cs="IRNazanin"/>
          <w:lang w:bidi="fa-IR"/>
          <w:color w:val="111111"/>
          <w:sz w:val="28"/>
          <w:szCs w:val="28"/>
          <w:rtl/>
        </w:rPr>
        <w:t xml:space="preserve">ولعلّ الّذی أوقعه فی الغلط ما قرع سَمْعه من تعریف الإرادة بالشوق المؤکّد المحرّک للعضلات نحوَ المراد ، وتوهَّم : أنّ تحریکها نحو المتأخّر ممّا لا یکاد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غفل عن أنّ کونه </w:t>
      </w:r>
      <w:r>
        <w:rPr>
          <w:rStyle w:val="FootnoteReference"/>
        </w:rPr>
        <w:footnoteReference w:id="400"/>
      </w:r>
      <w:r>
        <w:rPr>
          <w:rFonts w:ascii="IRNazanin" w:hAnsi="IRNazanin" w:eastAsia="IRNazanin" w:cs="IRNazanin"/>
          <w:lang w:bidi="fa-IR"/>
          <w:color w:val="111111"/>
          <w:sz w:val="28"/>
          <w:szCs w:val="28"/>
          <w:rtl/>
        </w:rPr>
        <w:t xml:space="preserve">محرِّکاً نحوه یختلف حسب اختلافه ، فی کونه ممّا لا مؤونة له کحرکة نفس العضلات ، أو ممّا له مؤونة ومقدّمات قلیلة أو کثیرة .</w:t>
      </w:r>
    </w:p>
    <w:p>
      <w:pPr>
        <w:pStyle w:val="BookText"/>
      </w:pPr>
      <w:r>
        <w:rPr>
          <w:rFonts w:ascii="IRNazanin" w:hAnsi="IRNazanin" w:eastAsia="IRNazanin" w:cs="IRNazanin"/>
          <w:lang w:bidi="fa-IR"/>
          <w:color w:val="111111"/>
          <w:sz w:val="28"/>
          <w:szCs w:val="28"/>
          <w:rtl/>
        </w:rPr>
        <w:t xml:space="preserve">فحرکة العضلات تکون أعمَّ من أن تکون بنفسها مقصودةٌ أو مقدّمةٌ له، والجامع أن یکون نحو المقصود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مرادهم من هذا الوصف - فی تعریف الإرادة - بیان مرتبة الشوق الّذی یکون هو الإرادة ، وإن لم یکن هناک فعلاً تحریکٌ ؛ لکون المراد وما اشتاق إلیه کمالَ الاشتیاق ، أمراً استقبالیّاً غیرَ محتاجٍ إلی تهیئة مؤونة أو تمهید مقدّمة ؛ ضرورةَ أنّ شوقه إلیه ربما یکون أشدَّ من الشوق المحرِّک فعلاً نحوَ أمرٍ حالیٍّ أو استقبالیٍّ محتاجٍ إلی ذلک ، هذا .</w:t>
      </w:r>
    </w:p>
    <w:p>
      <w:pPr>
        <w:pStyle w:val="BookText"/>
      </w:pPr>
      <w:r>
        <w:rPr>
          <w:rFonts w:ascii="IRNazanin" w:hAnsi="IRNazanin" w:eastAsia="IRNazanin" w:cs="IRNazanin"/>
          <w:lang w:bidi="fa-IR"/>
          <w:color w:val="111111"/>
          <w:sz w:val="28"/>
          <w:szCs w:val="28"/>
          <w:rtl/>
        </w:rPr>
        <w:t xml:space="preserve">مع أنّه لا یکاد یتعلّق البعث إلّابأمر متأخّر عن زمان البعث ؛ ضرورةَ أنّ البعث إنّما یکون لإحداث الداعی للمکلّف إلی المکلّف به ، بأن یتصوّره بما</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4419_166845"/>
    <w:bookmarkEnd w:id="109"/>
    <w:p>
      <w:pPr>
        <w:pStyle w:val="BookText"/>
      </w:pPr>
      <w:r>
        <w:rPr>
          <w:rFonts w:ascii="Amiri" w:hAnsi="Amiri" w:eastAsia="Amiri" w:cs="Amiri"/>
          <w:lang w:bidi="ar-SA"/>
          <w:color w:val="111111"/>
          <w:sz w:val="28"/>
          <w:szCs w:val="28"/>
          <w:rtl/>
        </w:rPr>
        <w:t xml:space="preserve">یترتّب علیه </w:t>
      </w:r>
      <w:r>
        <w:rPr>
          <w:rStyle w:val="FootnoteReference"/>
        </w:rPr>
        <w:footnoteReference w:id="402"/>
      </w:r>
      <w:r>
        <w:rPr>
          <w:rFonts w:ascii="IRNazanin" w:hAnsi="IRNazanin" w:eastAsia="IRNazanin" w:cs="IRNazanin"/>
          <w:lang w:bidi="fa-IR"/>
          <w:color w:val="111111"/>
          <w:sz w:val="28"/>
          <w:szCs w:val="28"/>
          <w:rtl/>
        </w:rPr>
        <w:t xml:space="preserve">من المثوبة، وعلی ترکه من العقوبة، ولایکاد یکون هذا إلّابعد البعث بزمانٍ ، فلا محالة یکون البعث نحوَ أمرٍ متأخّرٍ عنه بالزمان ، ولا یتفاوت طوله وقِصَره - فی‌ما هو ملاک الاستحالة والإمکان - فی نظر العقل الحاکم فی هذا الباب.</w:t>
      </w:r>
    </w:p>
    <w:p>
      <w:pPr>
        <w:pStyle w:val="BookText"/>
      </w:pPr>
      <w:r>
        <w:rPr>
          <w:rFonts w:ascii="IRNazanin" w:hAnsi="IRNazanin" w:eastAsia="IRNazanin" w:cs="IRNazanin"/>
          <w:lang w:bidi="fa-IR"/>
          <w:color w:val="111111"/>
          <w:sz w:val="28"/>
          <w:szCs w:val="28"/>
          <w:rtl/>
        </w:rPr>
        <w:t xml:space="preserve">ولعمری ما ذکرناه واضحٌ لا ستْرَةَ علیه ، والإطناب إنّما هو لأجل رفع المغالطة الواقعة فی أذهان بعض الطّلاب .</w:t>
      </w:r>
    </w:p>
    <w:p>
      <w:pPr>
        <w:pStyle w:val="Heading6"/>
      </w:pPr>
      <w:bookmarkStart w:id="822" w:name="_Toc262"/>
      <w:r>
        <w:t>إشکال رابع علی الواجب المعلّق والجواب عنه</w:t>
      </w:r>
      <w:bookmarkEnd w:id="8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وربما أُشکل علی المعلّق أیضاً بعدم القدرة علی المکلّف به فی حال البعث ، مع أنّها من الشرائط العامّة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الشرط إنّما هو القدرة علی الواجب فی زمانه ، لا فی زمان الإیجاب والتکلیف، غایة الأمر یکون من باب الشرط المتأخّر </w:t>
      </w:r>
      <w:r>
        <w:rPr>
          <w:rStyle w:val="FootnoteReference"/>
        </w:rPr>
        <w:footnoteReference w:id="404"/>
      </w:r>
      <w:r>
        <w:rPr>
          <w:rFonts w:ascii="IRNazanin" w:hAnsi="IRNazanin" w:eastAsia="IRNazanin" w:cs="IRNazanin"/>
          <w:lang w:bidi="fa-IR"/>
          <w:color w:val="111111"/>
          <w:sz w:val="28"/>
          <w:szCs w:val="28"/>
          <w:rtl/>
        </w:rPr>
        <w:t xml:space="preserve">، وقد عرفت </w:t>
      </w:r>
      <w:r>
        <w:rPr>
          <w:rStyle w:val="FootnoteReference"/>
        </w:rPr>
        <w:footnoteReference w:id="405"/>
      </w:r>
      <w:r>
        <w:rPr>
          <w:rFonts w:ascii="IRNazanin" w:hAnsi="IRNazanin" w:eastAsia="IRNazanin" w:cs="IRNazanin"/>
          <w:lang w:bidi="fa-IR"/>
          <w:color w:val="111111"/>
          <w:sz w:val="28"/>
          <w:szCs w:val="28"/>
          <w:rtl/>
        </w:rPr>
        <w:t xml:space="preserve">بما لامزید علیه أنّه کالمقارن ، من غیر انخرام للقاعدة العقلیّة أصلاً ، فراجع .</w:t>
      </w:r>
    </w:p>
    <w:p>
      <w:pPr>
        <w:pStyle w:val="Heading6"/>
      </w:pPr>
      <w:bookmarkStart w:id="823" w:name="_Toc263"/>
      <w:r>
        <w:t>إشکال خامس علی کلام صاحب الفصول</w:t>
      </w:r>
      <w:bookmarkEnd w:id="823"/>
    </w:p>
    <w:p>
      <w:pPr>
        <w:pStyle w:val="BookText"/>
      </w:pPr>
      <w:r>
        <w:rPr>
          <w:rFonts w:ascii="IRNazanin" w:hAnsi="IRNazanin" w:eastAsia="IRNazanin" w:cs="IRNazanin"/>
          <w:lang w:bidi="fa-IR"/>
          <w:color w:val="111111"/>
          <w:sz w:val="28"/>
          <w:szCs w:val="28"/>
          <w:rtl/>
        </w:rPr>
        <w:t xml:space="preserve">ثمّ لا وجه لتخصیص المعلّق بما یتوقّف حصوله علی أمر غیر مقدور </w:t>
      </w:r>
      <w:r>
        <w:rPr>
          <w:rStyle w:val="FootnoteReference"/>
        </w:rPr>
        <w:footnoteReference w:id="406"/>
      </w:r>
      <w:r>
        <w:rPr>
          <w:rFonts w:ascii="Amiri" w:hAnsi="Amiri" w:eastAsia="Amiri" w:cs="Amiri"/>
          <w:lang w:bidi="ar-SA"/>
          <w:color w:val="111111"/>
          <w:sz w:val="28"/>
          <w:szCs w:val="28"/>
          <w:rtl/>
        </w:rPr>
        <w:t xml:space="preserve">، بل ینبغی تعمیمه إلی أمرٍ مقدورٍ متأخّرٍ ، أُخذ علی نحوٍ یکون مورداً للتکلیف ،</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14419_166846"/>
    <w:bookmarkEnd w:id="110"/>
    <w:p>
      <w:pPr>
        <w:pStyle w:val="BookText"/>
      </w:pPr>
      <w:r>
        <w:rPr>
          <w:rFonts w:ascii="IRNazanin" w:hAnsi="IRNazanin" w:eastAsia="IRNazanin" w:cs="IRNazanin"/>
          <w:lang w:bidi="fa-IR"/>
          <w:color w:val="111111"/>
          <w:sz w:val="28"/>
          <w:szCs w:val="28"/>
          <w:rtl/>
        </w:rPr>
        <w:t xml:space="preserve">ویرشح علیه الوجوب من الواجب ، أو لا </w:t>
      </w:r>
      <w:r>
        <w:rPr>
          <w:rStyle w:val="FootnoteReference"/>
        </w:rPr>
        <w:footnoteReference w:id="407"/>
      </w:r>
      <w:r>
        <w:rPr>
          <w:rFonts w:ascii="IRNazanin" w:hAnsi="IRNazanin" w:eastAsia="IRNazanin" w:cs="IRNazanin"/>
          <w:lang w:bidi="fa-IR"/>
          <w:color w:val="111111"/>
          <w:sz w:val="28"/>
          <w:szCs w:val="28"/>
          <w:rtl/>
        </w:rPr>
        <w:t xml:space="preserve">؛ لعدم تفاوت فی ما یهمّه من وجوب تحصیل المقدّمات الّتی لا یکاد یقدر علیها فی زمان الواجب علی المعلّق </w:t>
      </w:r>
      <w:r>
        <w:rPr>
          <w:rStyle w:val="FootnoteReference"/>
        </w:rPr>
        <w:footnoteReference w:id="408"/>
      </w:r>
      <w:r>
        <w:rPr>
          <w:rFonts w:ascii="IRNazanin" w:hAnsi="IRNazanin" w:eastAsia="IRNazanin" w:cs="IRNazanin"/>
          <w:lang w:bidi="fa-IR"/>
          <w:color w:val="111111"/>
          <w:sz w:val="28"/>
          <w:szCs w:val="28"/>
          <w:rtl/>
        </w:rPr>
        <w:t xml:space="preserve">، دون المشروط ؛ لثبوت الوجوب الحالیّ فیه ، فیترشّح منه الوجوب علی المقدّمة - بناءً علی الملازمة - دونه ؛ لعدم ثبوته فیه إلّابعد الشرط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الشرط علی نحو الشرط المتأخّر ، وفُرِض وجوده ، کان الوجوب المشروط به حالیّاً أیضاً ، فیکون وجوب سائر المقدّمات الوجودیّة للواجب أیضاً حالیّاً ، ولیس الفرق بینه وبین المعلّق حینئذٍ إلّاکونَه مرتبطاً بالشرط ، بخلافه وإن ارتبط به الواجب .</w:t>
      </w:r>
    </w:p>
    <w:p>
      <w:pPr>
        <w:pStyle w:val="Heading6"/>
      </w:pPr>
      <w:bookmarkStart w:id="824" w:name="_Toc264"/>
      <w:r>
        <w:t>المناط فی فعلیّة وجوب المقدّمة هو فعلیّة وجوب ذیها</w:t>
      </w:r>
      <w:bookmarkEnd w:id="824"/>
    </w:p>
    <w:p>
      <w:pPr>
        <w:pStyle w:val="BookText"/>
      </w:pPr>
      <w:r>
        <w:rPr>
          <w:rFonts w:ascii="Amiri" w:hAnsi="Amiri" w:eastAsia="Amiri" w:cs="Amiri"/>
          <w:lang w:bidi="ar-SA"/>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انقدح - من مطاوی ما ذکرناه - : أنّ المناط فی فعلیّة وجوب المقدّمة الوجودیّة ، وکونه فی الحال بحیث یجب علی المکلّف تحصیلها ، هو فعلیّة وجوب ذیها ، ولو کان أَمراً استقبالیّاً - کالصوم فی الغد ، والمناسک فی الموسم - ، کان وجوبه مشروطاً - بشرطٍ موجودٍ أُخذ فیه ولو متأخّراً - ، أو مطلقاً - منجّزاً کان أو معلّقاً - فی ما إذا لم تکن مقدّمةً للوجوب أیضاً </w:t>
      </w:r>
      <w:r>
        <w:rPr>
          <w:rStyle w:val="FootnoteReference"/>
        </w:rPr>
        <w:footnoteReference w:id="4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مأخوذةً فی</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14419_166847"/>
    <w:bookmarkEnd w:id="111"/>
    <w:p>
      <w:pPr>
        <w:pStyle w:val="BookText"/>
      </w:pPr>
      <w:r>
        <w:rPr>
          <w:rFonts w:ascii="IRNazanin" w:hAnsi="IRNazanin" w:eastAsia="IRNazanin" w:cs="IRNazanin"/>
          <w:lang w:bidi="fa-IR"/>
          <w:color w:val="111111"/>
          <w:sz w:val="28"/>
          <w:szCs w:val="28"/>
          <w:rtl/>
        </w:rPr>
        <w:t xml:space="preserve">الواجب </w:t>
      </w:r>
      <w:r>
        <w:rPr>
          <w:rStyle w:val="FootnoteReference"/>
        </w:rPr>
        <w:footnoteReference w:id="410"/>
      </w:r>
      <w:r>
        <w:rPr>
          <w:rFonts w:ascii="IRNazanin" w:hAnsi="IRNazanin" w:eastAsia="IRNazanin" w:cs="IRNazanin"/>
          <w:lang w:bidi="fa-IR"/>
          <w:color w:val="111111"/>
          <w:sz w:val="28"/>
          <w:szCs w:val="28"/>
          <w:rtl/>
        </w:rPr>
        <w:t xml:space="preserve">علی نحوٍ یستحیل أن تکون مورداً للتکلیف ، کما إذا أُخذ عنواناً للمکلّف ، کالمسافر والحاضر والمستطیع ... إلی غیر ذلک ، أو جُعل الفعلُ المقیّد باتّفاق حصوله وتقدیر وجوده - بلا اختیار أو باختیاره - مورداً للتکلیف ؛ ضرورةَ أنّه لو کان مقدّمة الوجوب أیضاً لا یکاد یکون هناک وجوب إلّابعد حصوله ، وبعد الحصول یکون وجوبه طلب الحاصل ، کما أنّه إذا أُخذ علی أحد النحوین یکون کذلک ، فلو لم یحصل لما کان الفعل مورداً للتکلیف ، ومع حصوله لا یکاد یصحّ تعلّقه به ، فافهم .</w:t>
      </w:r>
    </w:p>
    <w:p>
      <w:pPr>
        <w:pStyle w:val="Heading6"/>
      </w:pPr>
      <w:bookmarkStart w:id="825" w:name="_Toc265"/>
      <w:r>
        <w:t>وجوب المقدّمات قبل الوقت ووجوه دفع الإشکال فیها</w:t>
      </w:r>
      <w:bookmarkEnd w:id="825"/>
    </w:p>
    <w:p>
      <w:pPr>
        <w:pStyle w:val="BookText"/>
      </w:pPr>
      <w:r>
        <w:rPr>
          <w:rFonts w:ascii="IRNazanin" w:hAnsi="IRNazanin" w:eastAsia="IRNazanin" w:cs="IRNazanin"/>
          <w:lang w:bidi="fa-IR"/>
          <w:color w:val="111111"/>
          <w:sz w:val="28"/>
          <w:szCs w:val="28"/>
          <w:rtl/>
        </w:rPr>
        <w:t xml:space="preserve">إذا عرفت ذلک فقد عرفت: أنّه لا إشکال أصلاً فی لزوم الإتیان بالمقدّمة قبلَ زمان الواجب ، إذا لم یقدر علیه بعدَ زمانه ، فی ما کان وجوبه حالیّاً مطلقاً ، ولو کان مشروطاً بشرطٍ متأخّرٍ کان معلومَ الوجود فی ما بعد ، کما لا یخفی ؛ ضرورةَ فعلیّة وجوبه وتنجُّزه بالقدرة علیه </w:t>
      </w:r>
      <w:r>
        <w:rPr>
          <w:rStyle w:val="FootnoteReference"/>
        </w:rPr>
        <w:footnoteReference w:id="411"/>
      </w:r>
      <w:r>
        <w:rPr>
          <w:rFonts w:ascii="IRNazanin" w:hAnsi="IRNazanin" w:eastAsia="IRNazanin" w:cs="IRNazanin"/>
          <w:lang w:bidi="fa-IR"/>
          <w:color w:val="111111"/>
          <w:sz w:val="28"/>
          <w:szCs w:val="28"/>
          <w:rtl/>
        </w:rPr>
        <w:t xml:space="preserve">بتمهید مقدّمته ، فیترشّح منه الوجوب علیها - علی الملازمة - . ولا یلزم منه محذور وجوب المقدّمة قبلَ وجوب ذیها ، وإنّما اللازم الإتیان بها قبل الإتیان به ، بل لزومُ الإتیان بها عقلاً</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نقل بالملازمة - لا یحتاج إلی مزید بیان ومؤونة برهان ، کالإتیان بسائر المقدّمات فی زمان الواجب قبل إتیانه .</w:t>
      </w:r>
    </w:p>
    <w:p>
      <w:pPr>
        <w:pStyle w:val="BookText"/>
      </w:pPr>
      <w:r>
        <w:rPr>
          <w:rFonts w:ascii="IRNazanin" w:hAnsi="IRNazanin" w:eastAsia="IRNazanin" w:cs="IRNazanin"/>
          <w:lang w:bidi="fa-IR"/>
          <w:color w:val="111111"/>
          <w:sz w:val="28"/>
          <w:szCs w:val="28"/>
          <w:rtl/>
        </w:rPr>
        <w:t xml:space="preserve">فانقدح بذلک: أنّه لا ینحصر التفصّی عن هذه العویصة بالتعلّق بالتعلیق </w:t>
      </w:r>
      <w:r>
        <w:rPr>
          <w:rStyle w:val="FootnoteReference"/>
        </w:rPr>
        <w:footnoteReference w:id="412"/>
      </w:r>
      <w:r>
        <w:rPr>
          <w:rFonts w:ascii="IRNazanin" w:hAnsi="IRNazanin" w:eastAsia="IRNazanin" w:cs="IRNazanin"/>
          <w:lang w:bidi="fa-IR"/>
          <w:color w:val="111111"/>
          <w:sz w:val="28"/>
          <w:szCs w:val="28"/>
          <w:rtl/>
        </w:rPr>
        <w:t xml:space="preserve">، أو بما یرجع إلیه ، من جَعْلِ الشرط من قیود المادّة فی المشروط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فانقدح بذلک: أنّه لا إشکال فی الموارد الّتی یجب فی الشریعة الإتیانُ بالمقدّمة قبل زمان الواجب ، کالغُسل فی اللیل فی شهر رمضان وغیره ممّا وجب علیه للصوم </w:t>
      </w:r>
      <w:r>
        <w:rPr>
          <w:rStyle w:val="FootnoteReference"/>
        </w:rPr>
        <w:footnoteReference w:id="414"/>
      </w:r>
      <w:r>
        <w:rPr>
          <w:rFonts w:ascii="IRNazanin" w:hAnsi="IRNazanin" w:eastAsia="IRNazanin" w:cs="IRNazanin"/>
          <w:lang w:bidi="fa-IR"/>
          <w:color w:val="111111"/>
          <w:sz w:val="28"/>
          <w:szCs w:val="28"/>
          <w:rtl/>
        </w:rPr>
        <w:t xml:space="preserve">فی الغد ؛ إذ یُکشف به بطریق « الإنّ » عن سبق وجوب الواجب ، وإنّما المتأخّر هو زمان إتیانه ، ولا محذور فیه أصلاً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ولو فرض العلم بعدم سبقه لاستحال اتّصاف مقدّمته بالوجوب الغیریّ ، فلو نهض دلیلٌ علی وجوبها فلا محالة یکون وجوبها نفسیّاً تهیُّئیّاً </w:t>
      </w:r>
      <w:r>
        <w:rPr>
          <w:rStyle w:val="FootnoteReference"/>
        </w:rPr>
        <w:footnoteReference w:id="415"/>
      </w:r>
      <w:r>
        <w:rPr>
          <w:rFonts w:ascii="IRNazanin" w:hAnsi="IRNazanin" w:eastAsia="IRNazanin" w:cs="IRNazanin"/>
          <w:lang w:bidi="fa-IR"/>
          <w:color w:val="111111"/>
          <w:sz w:val="28"/>
          <w:szCs w:val="28"/>
          <w:rtl/>
        </w:rPr>
        <w:t xml:space="preserve">، لیتهیّأ بإتیانها ویستعدّ </w:t>
      </w:r>
      <w:r>
        <w:rPr>
          <w:rStyle w:val="FootnoteReference"/>
        </w:rPr>
        <w:footnoteReference w:id="416"/>
      </w:r>
      <w:r>
        <w:rPr>
          <w:rFonts w:ascii="IRNazanin" w:hAnsi="IRNazanin" w:eastAsia="IRNazanin" w:cs="IRNazanin"/>
          <w:lang w:bidi="fa-IR"/>
          <w:color w:val="111111"/>
          <w:sz w:val="28"/>
          <w:szCs w:val="28"/>
          <w:rtl/>
        </w:rPr>
        <w:t xml:space="preserve">لإیجاب ذی المقدّمة علیه ، فلا محذور أیضاً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w:t>
      </w:r>
      <w:r>
        <w:rPr>
          <w:rStyle w:val="FootnoteReference"/>
        </w:rPr>
        <w:footnoteReference w:id="418"/>
      </w:r>
      <w:r>
        <w:rPr>
          <w:rFonts w:ascii="IRNazanin" w:hAnsi="IRNazanin" w:eastAsia="IRNazanin" w:cs="IRNazanin"/>
          <w:lang w:bidi="fa-IR"/>
          <w:color w:val="111111"/>
          <w:sz w:val="28"/>
          <w:szCs w:val="28"/>
          <w:rtl/>
        </w:rPr>
        <w:t xml:space="preserve">: لو کان وجوب المقدّمة فی زمانٍ کاشفاً عن سَبْقِ وجوب ذی المقدّمة لزم وجوب جمیع مقدّماته ولو موسّعاً ، ولیس کذلک ، بحیث یجب علیه المبادرة لو فرض عدم تمکّنه منها لو لم یبادر .</w:t>
      </w:r>
    </w:p>
    <w:p>
      <w:pPr>
        <w:pStyle w:val="BookText"/>
      </w:pPr>
      <w:r>
        <w:rPr>
          <w:rFonts w:ascii="IRNazanin" w:hAnsi="IRNazanin" w:eastAsia="IRNazanin" w:cs="IRNazanin"/>
          <w:lang w:bidi="fa-IR"/>
          <w:color w:val="111111"/>
          <w:sz w:val="28"/>
          <w:szCs w:val="28"/>
          <w:rtl/>
        </w:rPr>
        <w:t xml:space="preserve">قلت: لا محیص عنه ، إلّاإذا أُخذ فی الواجب - من قِبَل سائر المقدّمات - قدرةٌ خاصّة ، وهی: القدرة علیه بعد مجیء زمانه ، لا القدرة علیه فی زمانه من زمان وجوبه ، فتدبّر جیّداً .</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14419_166849"/>
    <w:bookmarkEnd w:id="112"/>
    <w:p>
      <w:pPr>
        <w:pStyle w:val="Heading6"/>
      </w:pPr>
      <w:bookmarkStart w:id="826" w:name="_Toc266"/>
      <w:r>
        <w:t>دوران الأمر بین رجوع القید إلی المادّة أو الهیئة</w:t>
      </w:r>
      <w:bookmarkEnd w:id="826"/>
    </w:p>
    <w:p>
      <w:pPr>
        <w:pStyle w:val="BookText"/>
      </w:pPr>
      <w:r>
        <w:rPr>
          <w:rFonts w:ascii="Amiri" w:hAnsi="Amiri" w:eastAsia="Amiri" w:cs="Amiri"/>
          <w:lang w:bidi="ar-SA"/>
          <w:color w:val="111111"/>
          <w:sz w:val="28"/>
          <w:szCs w:val="28"/>
          <w:rtl/>
        </w:rPr>
        <w:t xml:space="preserve">تتمّة:</w:t>
      </w:r>
    </w:p>
    <w:p>
      <w:pPr>
        <w:pStyle w:val="BookText"/>
      </w:pPr>
      <w:r>
        <w:rPr>
          <w:rFonts w:ascii="IRNazanin" w:hAnsi="IRNazanin" w:eastAsia="IRNazanin" w:cs="IRNazanin"/>
          <w:lang w:bidi="fa-IR"/>
          <w:color w:val="111111"/>
          <w:sz w:val="28"/>
          <w:szCs w:val="28"/>
          <w:rtl/>
        </w:rPr>
        <w:t xml:space="preserve">قد عرفت اختلافَ القیود فی وجوب التحصیل، وکونِه </w:t>
      </w:r>
      <w:r>
        <w:rPr>
          <w:rStyle w:val="FootnoteReference"/>
        </w:rPr>
        <w:footnoteReference w:id="419"/>
      </w:r>
      <w:r>
        <w:rPr>
          <w:rFonts w:ascii="IRNazanin" w:hAnsi="IRNazanin" w:eastAsia="IRNazanin" w:cs="IRNazanin"/>
          <w:lang w:bidi="fa-IR"/>
          <w:color w:val="111111"/>
          <w:sz w:val="28"/>
          <w:szCs w:val="28"/>
          <w:rtl/>
        </w:rPr>
        <w:t xml:space="preserve">مورداً للتکلیف وعدمه ، فإن عُلم حال قیدٍ </w:t>
      </w:r>
      <w:r>
        <w:rPr>
          <w:rStyle w:val="FootnoteReference"/>
        </w:rPr>
        <w:footnoteReference w:id="420"/>
      </w:r>
      <w:r>
        <w:rPr>
          <w:rFonts w:ascii="IRNazanin" w:hAnsi="IRNazanin" w:eastAsia="IRNazanin" w:cs="IRNazanin"/>
          <w:lang w:bidi="fa-IR"/>
          <w:color w:val="111111"/>
          <w:sz w:val="28"/>
          <w:szCs w:val="28"/>
          <w:rtl/>
        </w:rPr>
        <w:t xml:space="preserve">فلا إشکال ، وإن دار أمره ثبوتاً بین أن یکون راجعاً إلی الهیئة - نحو الشرط المتأخّر أو المقارن - ، وأن یکون راجعاً إلی المادّة - علی نهج یجب تحصیله أو لا یجب - ، فإن کان فی مقام الإثبات ما یعیِّن حالَهُ ، وأنّه راجعٌ إلی أیّهما من القواعد العربیّة ، فهو ، وإلّا فالمرجع هو الأُصول العملیّة .</w:t>
      </w:r>
    </w:p>
    <w:p>
      <w:pPr>
        <w:pStyle w:val="Heading6"/>
      </w:pPr>
      <w:bookmarkStart w:id="827" w:name="_Toc267"/>
      <w:r>
        <w:t>وجهان لترجیح إطلاق الهیئة علی إطلاق المادّة</w:t>
      </w:r>
      <w:bookmarkEnd w:id="8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وربّما قیل </w:t>
      </w:r>
      <w:r>
        <w:rPr>
          <w:rStyle w:val="FootnoteReference"/>
        </w:rPr>
        <w:footnoteReference w:id="421"/>
      </w:r>
      <w:r>
        <w:rPr>
          <w:rFonts w:ascii="IRNazanin" w:hAnsi="IRNazanin" w:eastAsia="IRNazanin" w:cs="IRNazanin"/>
          <w:lang w:bidi="fa-IR"/>
          <w:color w:val="111111"/>
          <w:sz w:val="28"/>
          <w:szCs w:val="28"/>
          <w:rtl/>
        </w:rPr>
        <w:t xml:space="preserve">- فی الدوران بین الرجوع إلی الهیئة أو المادّة - ، بترجیح الإطلاق فی طرف الهیئة ، وتقیید المادّة ، لوجهین:</w:t>
      </w:r>
    </w:p>
    <w:p>
      <w:pPr>
        <w:pStyle w:val="BookText"/>
      </w:pPr>
      <w:r>
        <w:rPr>
          <w:rFonts w:ascii="IRNazanin" w:hAnsi="IRNazanin" w:eastAsia="IRNazanin" w:cs="IRNazanin"/>
          <w:lang w:bidi="fa-IR"/>
          <w:color w:val="111111"/>
          <w:sz w:val="28"/>
          <w:szCs w:val="28"/>
          <w:rtl/>
        </w:rPr>
        <w:t xml:space="preserve">أحدهما: أنّ إطلاق الهیئة یکون شمولیّاً ، کما فی شمول العامّ لأفراده ؛ فإنّ وجوب الإکرام علی تقدیر الإطلاق یشمل جمیع التقادیر الّتی یمکن أن یکون تقدیراً له ، وإطلاقَ المادّة یکون بدلیّاً غیرَ شاملٍ لفردین فی حالةٍ واحدة .</w:t>
      </w:r>
    </w:p>
    <w:p>
      <w:pPr>
        <w:pStyle w:val="BookText"/>
      </w:pPr>
      <w:r>
        <w:rPr>
          <w:rFonts w:ascii="IRNazanin" w:hAnsi="IRNazanin" w:eastAsia="IRNazanin" w:cs="IRNazanin"/>
          <w:lang w:bidi="fa-IR"/>
          <w:color w:val="111111"/>
          <w:sz w:val="28"/>
          <w:szCs w:val="28"/>
          <w:rtl/>
        </w:rPr>
        <w:t xml:space="preserve">ثانیهما: أنّ تقیید الهیئة یوجب بطلانَ محلّ الإطلاق فی المادّة ، ویرتفع به مورده ، بخلاف العکس ، وکلّ ما دار الأمر بین تقییدین کذلک ، کان التقیید الّذی لا یوجب بطلان الآخر أولی :</w:t>
      </w:r>
    </w:p>
    <w:p>
      <w:pPr>
        <w:pStyle w:val="BookText"/>
      </w:pPr>
      <w:r>
        <w:rPr>
          <w:rFonts w:ascii="IRNazanin" w:hAnsi="IRNazanin" w:eastAsia="IRNazanin" w:cs="IRNazanin"/>
          <w:lang w:bidi="fa-IR"/>
          <w:color w:val="111111"/>
          <w:sz w:val="28"/>
          <w:szCs w:val="28"/>
          <w:rtl/>
        </w:rPr>
        <w:t xml:space="preserve">أمّا الصغری: فلأجل أنّه لا یبقی مع تقیید الهیئة محلُّ حاجةٍ وبیانٍ لإطلاق المادّة ؛ لأنّها لا محالة لا تنفکّ عن وجود قید الهیئة ، بخلاف تقیید المادّة ، فإنّ محلّ الحاجة إلی إطلاق الهیئة علی حاله ، فیمکن الحکم بالوجوب علی تقدیر وجود القید وعدمه .</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4419_166850"/>
    <w:bookmarkEnd w:id="113"/>
    <w:p>
      <w:pPr>
        <w:pStyle w:val="BookText"/>
      </w:pPr>
      <w:r>
        <w:rPr>
          <w:rFonts w:ascii="IRNazanin" w:hAnsi="IRNazanin" w:eastAsia="IRNazanin" w:cs="IRNazanin"/>
          <w:lang w:bidi="fa-IR"/>
          <w:color w:val="111111"/>
          <w:sz w:val="28"/>
          <w:szCs w:val="28"/>
          <w:rtl/>
        </w:rPr>
        <w:t xml:space="preserve">وأمّا الکبری: فلأنّ التقیید وإن لم یکن مجازاً ، إلّاأنّه خلاف الأصل ، ولا فرق فی الحقیقة بین تقیید الإطلاق ، وبین أن یعمل عملاً یشترک مع التقیید فی الأثر ، وبطلانِ العمل به .</w:t>
      </w:r>
    </w:p>
    <w:p>
      <w:pPr>
        <w:pStyle w:val="BookText"/>
      </w:pPr>
      <w:r>
        <w:rPr>
          <w:rFonts w:ascii="IRNazanin" w:hAnsi="IRNazanin" w:eastAsia="IRNazanin" w:cs="IRNazanin"/>
          <w:lang w:bidi="fa-IR"/>
          <w:color w:val="111111"/>
          <w:sz w:val="28"/>
          <w:szCs w:val="28"/>
          <w:rtl/>
        </w:rPr>
        <w:t xml:space="preserve">وما ذکرناه من الوجهین موافقٌ لما أفاده بعض مقرّری بحث الاُستاذ العلّامة أعلی اللّٰه مقامه .</w:t>
      </w:r>
    </w:p>
    <w:p>
      <w:pPr>
        <w:pStyle w:val="Heading6"/>
      </w:pPr>
      <w:bookmarkStart w:id="828" w:name="_Toc268"/>
      <w:r>
        <w:t>المناقشة فی الوجهین</w:t>
      </w:r>
      <w:bookmarkEnd w:id="8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وأنت خبیر بما فیهما:</w:t>
      </w:r>
    </w:p>
    <w:p>
      <w:pPr>
        <w:pStyle w:val="BookText"/>
      </w:pPr>
      <w:r>
        <w:rPr>
          <w:rFonts w:ascii="IRNazanin" w:hAnsi="IRNazanin" w:eastAsia="IRNazanin" w:cs="IRNazanin"/>
          <w:lang w:bidi="fa-IR"/>
          <w:color w:val="111111"/>
          <w:sz w:val="28"/>
          <w:szCs w:val="28"/>
          <w:rtl/>
        </w:rPr>
        <w:t xml:space="preserve">أمّا فی الأوّل: فلأنّ مفاد إطلاق الهیئة وإن کان شمولیّاً بخلاف المادّة ، إلّا أنّه لا یوجب ترجیحَه علی إطلاقها ؛ لأنّه أیضاً کان بالإطلاق ومقدّمات الحکمة ، غایة الأمر أنّها تارةً تقتضی العموم الشمولیّ ، وأُخری البدلیّ ، کما ربّما تقتضی التعیین أحیاناً ، کما لا یخفی .</w:t>
      </w:r>
    </w:p>
    <w:p>
      <w:pPr>
        <w:pStyle w:val="BookText"/>
      </w:pPr>
      <w:r>
        <w:rPr>
          <w:rFonts w:ascii="IRNazanin" w:hAnsi="IRNazanin" w:eastAsia="IRNazanin" w:cs="IRNazanin"/>
          <w:lang w:bidi="fa-IR"/>
          <w:color w:val="111111"/>
          <w:sz w:val="28"/>
          <w:szCs w:val="28"/>
          <w:rtl/>
        </w:rPr>
        <w:t xml:space="preserve">وترجیح عموم العامّ علی إطلاق المطلق إنّما هو لأجل کون دلالته بالوضع ، لا لکونه شمولیّاً ، بخلاف المطلق ، فإنّه بالحکمة ، فیکون العامّ أظهر منه ، فیقدّم علیه .</w:t>
      </w:r>
    </w:p>
    <w:p>
      <w:pPr>
        <w:pStyle w:val="BookText"/>
      </w:pPr>
      <w:r>
        <w:rPr>
          <w:rFonts w:ascii="Amiri" w:hAnsi="Amiri" w:eastAsia="Amiri" w:cs="Amiri"/>
          <w:lang w:bidi="ar-SA"/>
          <w:color w:val="111111"/>
          <w:sz w:val="28"/>
          <w:szCs w:val="28"/>
          <w:rtl/>
        </w:rPr>
        <w:t xml:space="preserve">فلو فُرض أنّهما فی ذلک علی العکس - فکان عامٌّ بالوضع دلّ علی العموم البدلیّ ، ومطلقٌ بإطلاقه دلّ علی الشمول - لکان العامُّ یقدّم بلا کلام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فی الثانی: فلأنّ التقیید وإن کان خلافَ الأصل ، إلّاأنّ العمل الّذی یوجب عدمَ جریان مقدّمات الحکمة ، وانتفاءَ بعض مقدّماتها </w:t>
      </w:r>
      <w:r>
        <w:rPr>
          <w:rStyle w:val="FootnoteReference"/>
        </w:rPr>
        <w:footnoteReference w:id="422"/>
      </w:r>
      <w:r>
        <w:rPr>
          <w:rFonts w:ascii="IRNazanin" w:hAnsi="IRNazanin" w:eastAsia="IRNazanin" w:cs="IRNazanin"/>
          <w:lang w:bidi="fa-IR"/>
          <w:color w:val="111111"/>
          <w:sz w:val="28"/>
          <w:szCs w:val="28"/>
          <w:rtl/>
        </w:rPr>
        <w:t xml:space="preserve">، لا یکون علی خلاف أصلٍ </w:t>
      </w:r>
      <w:r>
        <w:rPr>
          <w:rStyle w:val="FootnoteReference"/>
        </w:rPr>
        <w:footnoteReference w:id="423"/>
      </w:r>
      <w:r>
        <w:rPr>
          <w:rFonts w:ascii="IRNazanin" w:hAnsi="IRNazanin" w:eastAsia="IRNazanin" w:cs="IRNazanin"/>
          <w:lang w:bidi="fa-IR"/>
          <w:color w:val="111111"/>
          <w:sz w:val="28"/>
          <w:szCs w:val="28"/>
          <w:rtl/>
        </w:rPr>
        <w:t xml:space="preserve">أصلاً ؛ إذ معه لا یکون هناک إطلاق ، کی یکون بطلانُ العمل به فی الحقیقة مثلَ التقیید الّذی یکون علی خلاف الأصل .</w:t>
      </w:r>
    </w:p>
    <w:p>
      <w:pPr>
        <w:pStyle w:val="BookText"/>
      </w:pPr>
      <w:r>
        <w:rPr>
          <w:rFonts w:ascii="IRNazanin" w:hAnsi="IRNazanin" w:eastAsia="IRNazanin" w:cs="IRNazanin"/>
          <w:lang w:bidi="fa-IR"/>
          <w:color w:val="111111"/>
          <w:sz w:val="28"/>
          <w:szCs w:val="28"/>
          <w:rtl/>
        </w:rPr>
        <w:t xml:space="preserve">وبالجملة: لا معنی لکون التقیید خلاف الأصل إلّاکونه خلاف الظهور</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4" w:name="pg14419_166851"/>
    <w:bookmarkEnd w:id="114"/>
    <w:p>
      <w:pPr>
        <w:pStyle w:val="BookText"/>
      </w:pPr>
      <w:r>
        <w:rPr>
          <w:rFonts w:ascii="IRNazanin" w:hAnsi="IRNazanin" w:eastAsia="IRNazanin" w:cs="IRNazanin"/>
          <w:lang w:bidi="fa-IR"/>
          <w:color w:val="111111"/>
          <w:sz w:val="28"/>
          <w:szCs w:val="28"/>
          <w:rtl/>
        </w:rPr>
        <w:t xml:space="preserve">المنعقد للمطلق ببرکة مقدّمات الحکمة ، ومع انتفاء المقدّمات لا یکاد ینعقد له هناک ظهور لیکون </w:t>
      </w:r>
      <w:r>
        <w:rPr>
          <w:rStyle w:val="FootnoteReference"/>
        </w:rPr>
        <w:footnoteReference w:id="424"/>
      </w:r>
      <w:r>
        <w:rPr>
          <w:rFonts w:ascii="IRNazanin" w:hAnsi="IRNazanin" w:eastAsia="IRNazanin" w:cs="IRNazanin"/>
          <w:lang w:bidi="fa-IR"/>
          <w:color w:val="111111"/>
          <w:sz w:val="28"/>
          <w:szCs w:val="28"/>
          <w:rtl/>
        </w:rPr>
        <w:t xml:space="preserve">ذاک العمل - المشارک مع التقیید فی الأثر ، وبطلانِ العمل بإطلاق المطلق - مشارکاً معه فی خلاف الأصل أیضاً .</w:t>
      </w:r>
    </w:p>
    <w:p>
      <w:pPr>
        <w:pStyle w:val="BookText"/>
      </w:pPr>
      <w:r>
        <w:rPr>
          <w:rFonts w:ascii="IRNazanin" w:hAnsi="IRNazanin" w:eastAsia="IRNazanin" w:cs="IRNazanin"/>
          <w:lang w:bidi="fa-IR"/>
          <w:color w:val="111111"/>
          <w:sz w:val="28"/>
          <w:szCs w:val="28"/>
          <w:rtl/>
        </w:rPr>
        <w:t xml:space="preserve">وکأنّه توهَّم : أنّ إطلاق المطلق کعموم العامّ ثابتٌ ، ورَفْع الید عن العمل به : تارةً لأجل التقیید ، وأُخری بالعمل المبطل للعمل به .</w:t>
      </w:r>
    </w:p>
    <w:p>
      <w:pPr>
        <w:pStyle w:val="BookText"/>
      </w:pPr>
      <w:r>
        <w:rPr>
          <w:rFonts w:ascii="IRNazanin" w:hAnsi="IRNazanin" w:eastAsia="IRNazanin" w:cs="IRNazanin"/>
          <w:lang w:bidi="fa-IR"/>
          <w:color w:val="111111"/>
          <w:sz w:val="28"/>
          <w:szCs w:val="28"/>
          <w:rtl/>
        </w:rPr>
        <w:t xml:space="preserve">وهو فاسد ؛ لأنّه لا یکون إطلاقٌ إلّافی ما جرت هناک المقدّمات .</w:t>
      </w:r>
    </w:p>
    <w:p>
      <w:pPr>
        <w:pStyle w:val="BookText"/>
      </w:pPr>
      <w:r>
        <w:rPr>
          <w:rFonts w:ascii="IRNazanin" w:hAnsi="IRNazanin" w:eastAsia="IRNazanin" w:cs="IRNazanin"/>
          <w:lang w:bidi="fa-IR"/>
          <w:color w:val="111111"/>
          <w:sz w:val="28"/>
          <w:szCs w:val="28"/>
          <w:rtl/>
        </w:rPr>
        <w:t xml:space="preserve">نعم ، إذا کان التقیید بمنفصل ، ودار الأمر بین الرجوع إلی المادّة أو الهیئة ، کان لهذا التوهّم مجالٌ ؛ حیث انعقد للمطلق إطلاق ، وقد استقرّ له ظهور ولو بقرینة الحکمة ، فتأمّل .</w:t>
      </w:r>
    </w:p>
    <w:p>
      <w:pPr>
        <w:pStyle w:val="Heading6"/>
      </w:pPr>
      <w:bookmarkStart w:id="829" w:name="_Toc269"/>
      <w:r>
        <w:t>الواجب النفسیّ والغیریّ</w:t>
      </w:r>
      <w:bookmarkEnd w:id="829"/>
    </w:p>
    <w:p>
      <w:pPr>
        <w:pStyle w:val="Heading6"/>
      </w:pPr>
      <w:bookmarkStart w:id="830" w:name="_Toc270"/>
      <w:r>
        <w:t>اشارة</w:t>
      </w:r>
      <w:bookmarkEnd w:id="8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ومنها: تقسیمه إلی النفسیّ والغیریّ .</w:t>
      </w:r>
    </w:p>
    <w:p>
      <w:pPr>
        <w:pStyle w:val="Heading6"/>
      </w:pPr>
      <w:bookmarkStart w:id="831" w:name="_Toc271"/>
      <w:r>
        <w:t>تعریف الواجب النفسیّ‌والغیریّ</w:t>
      </w:r>
      <w:bookmarkEnd w:id="831"/>
    </w:p>
    <w:p>
      <w:pPr>
        <w:pStyle w:val="BookText"/>
      </w:pPr>
      <w:r>
        <w:rPr>
          <w:rFonts w:ascii="IRNazanin" w:hAnsi="IRNazanin" w:eastAsia="IRNazanin" w:cs="IRNazanin"/>
          <w:lang w:bidi="fa-IR"/>
          <w:color w:val="111111"/>
          <w:sz w:val="28"/>
          <w:szCs w:val="28"/>
          <w:rtl/>
        </w:rPr>
        <w:t xml:space="preserve">وحیث کان طلبُ شیءٍ وإیجابُه لا یکاد یکون بلا داعٍ ، فإن کان الداعی فیه هو التوصّل به إلی واجب لا یکاد یمکن </w:t>
      </w:r>
      <w:r>
        <w:rPr>
          <w:rStyle w:val="FootnoteReference"/>
        </w:rPr>
        <w:footnoteReference w:id="425"/>
      </w:r>
      <w:r>
        <w:rPr>
          <w:rFonts w:ascii="IRNazanin" w:hAnsi="IRNazanin" w:eastAsia="IRNazanin" w:cs="IRNazanin"/>
          <w:lang w:bidi="fa-IR"/>
          <w:color w:val="111111"/>
          <w:sz w:val="28"/>
          <w:szCs w:val="28"/>
          <w:rtl/>
        </w:rPr>
        <w:t xml:space="preserve">التوصّل بدونه إلیه - لتوقُّفِهِ علیه - ، فالواجب غیریّ ، وإلّا فهو نفسیّ ، سواء کان الداعی محبوبیّةَ الواجب بنفسه ، کالمعرفة باللّٰه ، أو محبوبیَّته بما له من فائدة مترتّبة علیه ، کأکثر الواجبات من العبادات والتوصّلیّات </w:t>
      </w:r>
      <w:r>
        <w:rPr>
          <w:rStyle w:val="FootnoteReference"/>
        </w:rPr>
        <w:footnoteReference w:id="426"/>
      </w:r>
      <w:r>
        <w:rPr>
          <w:rFonts w:ascii="IRNazanin" w:hAnsi="IRNazanin" w:eastAsia="IRNazanin" w:cs="IRNazanin"/>
          <w:lang w:bidi="fa-IR"/>
          <w:color w:val="111111"/>
          <w:sz w:val="28"/>
          <w:szCs w:val="28"/>
          <w:rtl/>
        </w:rPr>
        <w:t xml:space="preserve">، هذا .</w:t>
      </w:r>
    </w:p>
    <w:p>
      <w:pPr>
        <w:pStyle w:val="Heading6"/>
      </w:pPr>
      <w:bookmarkStart w:id="832" w:name="_Toc272"/>
      <w:r>
        <w:t>الإشکال علی التعریف</w:t>
      </w:r>
      <w:bookmarkEnd w:id="832"/>
    </w:p>
    <w:p>
      <w:pPr>
        <w:pStyle w:val="BookText"/>
      </w:pPr>
      <w:r>
        <w:rPr>
          <w:rFonts w:ascii="IRNazanin" w:hAnsi="IRNazanin" w:eastAsia="IRNazanin" w:cs="IRNazanin"/>
          <w:lang w:bidi="fa-IR"/>
          <w:color w:val="111111"/>
          <w:sz w:val="28"/>
          <w:szCs w:val="28"/>
          <w:rtl/>
        </w:rPr>
        <w:t xml:space="preserve">لکنّه لا یخفی: أنّ الداعی لو کان هو محبوبیّته کذلک - أی‌بما له من الفائدة المترتّبة علیه - کان الواجب فی الحقیقة واجباً غیریّاً ؛ فإنّه لو لم یکن وجود هذه الفائدة لازماً لما دعا إلی إیجاب ذی الفائدة .</w:t>
      </w:r>
    </w:p>
    <w:p>
      <w:pPr>
        <w:pStyle w:val="BookText"/>
      </w:pPr>
      <w:r>
        <w:rPr>
          <w:rFonts w:ascii="IRNazanin" w:hAnsi="IRNazanin" w:eastAsia="IRNazanin" w:cs="IRNazanin"/>
          <w:lang w:bidi="fa-IR"/>
          <w:color w:val="111111"/>
          <w:sz w:val="28"/>
          <w:szCs w:val="28"/>
          <w:rtl/>
        </w:rPr>
        <w:t xml:space="preserve">فإن قلت: نعم ، وإن کان وجودها محبوباً لزوماً ، إلّاأنّه حیث کانت من</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5" w:name="pg14419_166852"/>
    <w:bookmarkEnd w:id="115"/>
    <w:p>
      <w:pPr>
        <w:pStyle w:val="BookText"/>
      </w:pPr>
      <w:r>
        <w:rPr>
          <w:rFonts w:ascii="IRNazanin" w:hAnsi="IRNazanin" w:eastAsia="IRNazanin" w:cs="IRNazanin"/>
          <w:lang w:bidi="fa-IR"/>
          <w:color w:val="111111"/>
          <w:sz w:val="28"/>
          <w:szCs w:val="28"/>
          <w:rtl/>
        </w:rPr>
        <w:t xml:space="preserve">الخواصّ المترتّبة علی الأفعال الّتی لیست داخلة تحت قدرة المکلّف ، لما کاد </w:t>
      </w:r>
      <w:r>
        <w:rPr>
          <w:rStyle w:val="FootnoteReference"/>
        </w:rPr>
        <w:footnoteReference w:id="427"/>
      </w:r>
      <w:r>
        <w:rPr>
          <w:rFonts w:ascii="IRNazanin" w:hAnsi="IRNazanin" w:eastAsia="IRNazanin" w:cs="IRNazanin"/>
          <w:lang w:bidi="fa-IR"/>
          <w:color w:val="111111"/>
          <w:sz w:val="28"/>
          <w:szCs w:val="28"/>
          <w:rtl/>
        </w:rPr>
        <w:t xml:space="preserve">یتعلّق بها الإیجاب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بل هی داخلةٌ تحت القدرة ؛ لدخول أسبابها تحتها ، والقدرة علی السبب قدرةٌ علی المسبّب ، وهو واضح ، وإلّا لما صحّ وقوع مثل التطهیر والتملیک والتزویج والطلاق والعتاق ... إلی غیر ذلک من المسبّبات ، مورداً لحکم من الأحکام التکلیفیّة .</w:t>
      </w:r>
    </w:p>
    <w:p>
      <w:pPr>
        <w:pStyle w:val="Heading6"/>
      </w:pPr>
      <w:bookmarkStart w:id="833" w:name="_Toc273"/>
      <w:r>
        <w:t>دفع الإشکال</w:t>
      </w:r>
      <w:bookmarkEnd w:id="8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فالأولی أن یقال: إنّ الأثر المترتّب علیه وإن کان لازماً ، إلّاأنّ ذا الأثر لمّا کان معنوناً بعنوانٍ حَسَنٍ - یستقلّ العقلُ بمدح فاعله ، بل وذمّ </w:t>
      </w:r>
      <w:r>
        <w:rPr>
          <w:rStyle w:val="FootnoteReference"/>
        </w:rPr>
        <w:footnoteReference w:id="429"/>
      </w:r>
      <w:r>
        <w:rPr>
          <w:rFonts w:ascii="IRNazanin" w:hAnsi="IRNazanin" w:eastAsia="IRNazanin" w:cs="IRNazanin"/>
          <w:lang w:bidi="fa-IR"/>
          <w:color w:val="111111"/>
          <w:sz w:val="28"/>
          <w:szCs w:val="28"/>
          <w:rtl/>
        </w:rPr>
        <w:t xml:space="preserve">تارکه - صار متعلّقاً للإیجاب بما هو کذلک ، ولا ینافیه کونه مقدّمة لأمر مطلوبٍ واقعاً .</w:t>
      </w:r>
    </w:p>
    <w:p>
      <w:pPr>
        <w:pStyle w:val="BookText"/>
      </w:pPr>
      <w:r>
        <w:rPr>
          <w:rFonts w:ascii="Amiri" w:hAnsi="Amiri" w:eastAsia="Amiri" w:cs="Amiri"/>
          <w:lang w:bidi="ar-SA"/>
          <w:color w:val="111111"/>
          <w:sz w:val="28"/>
          <w:szCs w:val="28"/>
          <w:rtl/>
        </w:rPr>
        <w:t xml:space="preserve">بخلاف الواجب الغیریّ ؛ لتمحُّض وجوبه فی أنّه لکونه مقدّمةً لواجب نفسیّ ، وهذا أیضاً لا ینافی أن یکون معنوناً بعنوانٍ حَسَنٍ فی نفسه ، إلّاأنّه لا دخل له فی إیجابه الغیریّ .</w:t>
      </w:r>
    </w:p>
    <w:p>
      <w:pPr>
        <w:pStyle w:val="BookText"/>
      </w:pPr>
      <w:r>
        <w:rPr>
          <w:rFonts w:ascii="Amiri" w:hAnsi="Amiri" w:eastAsia="Amiri" w:cs="Amiri"/>
          <w:lang w:bidi="ar-SA"/>
          <w:color w:val="111111"/>
          <w:sz w:val="28"/>
          <w:szCs w:val="28"/>
          <w:rtl/>
        </w:rPr>
        <w:t xml:space="preserve">ولعلّه مراد من فَسَّرهما بما أُمر به لنفسه ، وما أُمر به لأجل غیره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یتوجّه علیه الاعتراض </w:t>
      </w:r>
      <w:r>
        <w:rPr>
          <w:rStyle w:val="FootnoteReference"/>
        </w:rPr>
        <w:footnoteReference w:id="431"/>
      </w:r>
      <w:r>
        <w:rPr>
          <w:rFonts w:ascii="IRNazanin" w:hAnsi="IRNazanin" w:eastAsia="IRNazanin" w:cs="IRNazanin"/>
          <w:lang w:bidi="fa-IR"/>
          <w:color w:val="111111"/>
          <w:sz w:val="28"/>
          <w:szCs w:val="28"/>
          <w:rtl/>
        </w:rPr>
        <w:t xml:space="preserve">بأنّ جلّ الواجبات - لولا الکلّ - یلزم أن یکون من الواجبات الغیریّة ؛ فإنّ المطلوب النفسیّ قلّ ما یوجد فی الأوامر ، فإنّ جلّها مطلوبات لأجل الغایات الّتی هی خارجة عن حقیقتها </w:t>
      </w:r>
      <w:r>
        <w:rPr>
          <w:rStyle w:val="FootnoteReference"/>
        </w:rPr>
        <w:footnoteReference w:id="432"/>
      </w:r>
      <w:r>
        <w:rPr>
          <w:rFonts w:ascii="Amiri" w:hAnsi="Amiri" w:eastAsia="Amiri" w:cs="Amiri"/>
          <w:lang w:bidi="ar-SA"/>
          <w:color w:val="111111"/>
          <w:sz w:val="28"/>
          <w:szCs w:val="28"/>
          <w:rtl/>
        </w:rPr>
        <w:t xml:space="preserve">، فتأمّل .</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6" w:name="pg14419_166853"/>
    <w:bookmarkEnd w:id="116"/>
    <w:p>
      <w:pPr>
        <w:pStyle w:val="BookText"/>
      </w:pPr>
      <w:r>
        <w:rPr>
          <w:rFonts w:ascii="IRNazanin" w:hAnsi="IRNazanin" w:eastAsia="IRNazanin" w:cs="IRNazanin"/>
          <w:lang w:bidi="fa-IR"/>
          <w:color w:val="111111"/>
          <w:sz w:val="28"/>
          <w:szCs w:val="28"/>
          <w:rtl/>
        </w:rPr>
        <w:t xml:space="preserve">ثمّ إنّه لاإشکال فی ما إذا عُلم بأحد القسمین .</w:t>
      </w:r>
    </w:p>
    <w:p>
      <w:pPr>
        <w:pStyle w:val="Heading6"/>
      </w:pPr>
      <w:bookmarkStart w:id="834" w:name="_Toc274"/>
      <w:r>
        <w:t>حکم الشک فی النفسیّة والغیریّة</w:t>
      </w:r>
      <w:bookmarkEnd w:id="834"/>
    </w:p>
    <w:p>
      <w:pPr>
        <w:pStyle w:val="BookText"/>
      </w:pPr>
      <w:r>
        <w:rPr>
          <w:rFonts w:ascii="Amiri" w:hAnsi="Amiri" w:eastAsia="Amiri" w:cs="Amiri"/>
          <w:lang w:bidi="ar-SA"/>
          <w:color w:val="111111"/>
          <w:sz w:val="28"/>
          <w:szCs w:val="28"/>
          <w:rtl/>
        </w:rPr>
        <w:t xml:space="preserve">وأمّا إذا شکّ فی واجبٍ أنّه نفسیٌّ أو غیریٌّ ، فالتحقیق : أنّ الهیئة وإن کانت موضوعةً لما یعمُّهما ، إلّا أنّ إطلاقها یقتضی کونَه نفسیّاً ؛ فإنّه لو کان شرطاً لغیره لوجب التنبیه علیه علی المتکلّم الحکیم .</w:t>
      </w:r>
    </w:p>
    <w:p>
      <w:pPr>
        <w:pStyle w:val="Heading6"/>
      </w:pPr>
      <w:bookmarkStart w:id="835" w:name="_Toc275"/>
      <w:r>
        <w:t>إشکال الشیخ‌الأنصاری فی المقام والجواب عنه</w:t>
      </w:r>
      <w:bookmarkEnd w:id="8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وأمّا ما قیل </w:t>
      </w:r>
      <w:r>
        <w:rPr>
          <w:rStyle w:val="FootnoteReference"/>
        </w:rPr>
        <w:footnoteReference w:id="433"/>
      </w:r>
      <w:r>
        <w:rPr>
          <w:rFonts w:ascii="IRNazanin" w:hAnsi="IRNazanin" w:eastAsia="IRNazanin" w:cs="IRNazanin"/>
          <w:lang w:bidi="fa-IR"/>
          <w:color w:val="111111"/>
          <w:sz w:val="28"/>
          <w:szCs w:val="28"/>
          <w:rtl/>
        </w:rPr>
        <w:t xml:space="preserve">من أنّه : « لا وجه للاستناد إلی إطلاق الهیئة لدفع الشکّ المذکور، بعد کون مفادها الأفراد الّتی لا یعقل فیها التقیید. نعم، لو کان مفاد الأمر هو مفهوم الطلب صحّ القولُ بالإطلاق ، لکنّه بمراحل عن الواقع ؛ إذ لا شکّ فی اتّصاف الفعل بالمطلوبیّة بالطلب المستفاد من الأمر ، ولا یعقل اتّصاف المطلوب بالمطلوبیّة بواسطة مفهوم الطلب ؛ فإنّ الفعل یصیر مراداً بواسطة تعلّق واقع الإرادة وحقیقتها ، لا بواسطة مفهومها . وذلک واضح لا یعتریه ریب » .</w:t>
      </w:r>
    </w:p>
    <w:p>
      <w:pPr>
        <w:pStyle w:val="BookText"/>
      </w:pPr>
      <w:r>
        <w:rPr>
          <w:rFonts w:ascii="IRNazanin" w:hAnsi="IRNazanin" w:eastAsia="IRNazanin" w:cs="IRNazanin"/>
          <w:lang w:bidi="fa-IR"/>
          <w:color w:val="111111"/>
          <w:sz w:val="28"/>
          <w:szCs w:val="28"/>
          <w:rtl/>
        </w:rPr>
        <w:t xml:space="preserve">ففیه: أنّ مفاد الهیئة - کما مرّت الإشارة إلیه - لیس الأفراد ، بل هو مفهوم الطلب - کما عرفت تحقیقه فی وضع الحروف </w:t>
      </w:r>
      <w:r>
        <w:rPr>
          <w:rStyle w:val="FootnoteReference"/>
        </w:rPr>
        <w:footnoteReference w:id="434"/>
      </w:r>
      <w:r>
        <w:rPr>
          <w:rFonts w:ascii="IRNazanin" w:hAnsi="IRNazanin" w:eastAsia="IRNazanin" w:cs="IRNazanin"/>
          <w:lang w:bidi="fa-IR"/>
          <w:color w:val="111111"/>
          <w:sz w:val="28"/>
          <w:szCs w:val="28"/>
          <w:rtl/>
        </w:rPr>
        <w:t xml:space="preserve">- ، ولا یکاد یکون فردَ الطلب الحقیقیّ </w:t>
      </w:r>
      <w:r>
        <w:rPr>
          <w:rStyle w:val="FootnoteReference"/>
        </w:rPr>
        <w:footnoteReference w:id="435"/>
      </w:r>
      <w:r>
        <w:rPr>
          <w:rFonts w:ascii="IRNazanin" w:hAnsi="IRNazanin" w:eastAsia="IRNazanin" w:cs="IRNazanin"/>
          <w:lang w:bidi="fa-IR"/>
          <w:color w:val="111111"/>
          <w:sz w:val="28"/>
          <w:szCs w:val="28"/>
          <w:rtl/>
        </w:rPr>
        <w:t xml:space="preserve">، والّذی یکون بالحمل الشائع طلباً ، وإلّا لما صحّ إنشاؤه بها ؛ ضرورةَ أنّه من الصفات الخارجیّة الناشئة من الأسباب الخاصّة . نعم ، ربما یکون هو السبب لإنشائه ، کما یکون غیره أحیاناً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واتّصاف الفعل بالمطلوبیّة الواقعیّة والإرادةِ الحقیقیّة - الداعیةِ إلی إیقاع</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 ، وإنشاء إرادته بعثاً نحوَ مطلوبه الحقیقیّ ، وتحریکاً إلی مراده الواقعیّ - لا ینافی اتّصافَه بالطلب الإنشائیّ أیضاً . والوجودُ الإنشائیّ لکلّ شیءٍ لیس إلّا قصد حصول مفهومه بلفظه ، کان هناک طلبٌ حقیقیٌّ أو لم یکن ، بل کان إنشاؤه بسببٍ آخر .</w:t>
      </w:r>
    </w:p>
    <w:p>
      <w:pPr>
        <w:pStyle w:val="BookText"/>
      </w:pPr>
      <w:r>
        <w:rPr>
          <w:rFonts w:ascii="IRNazanin" w:hAnsi="IRNazanin" w:eastAsia="IRNazanin" w:cs="IRNazanin"/>
          <w:lang w:bidi="fa-IR"/>
          <w:color w:val="111111"/>
          <w:sz w:val="28"/>
          <w:szCs w:val="28"/>
          <w:rtl/>
        </w:rPr>
        <w:t xml:space="preserve">ولعلّ منشأ الخلط والاشتباه : تعارف التعبیر عن مفاد الصیغة بالطلب المطلق ، فتُوهِّم منه أنّ مفاد الصیغة یکون طلباً حقیقیّاً ، یصدق علیه الطلب بالحمل الشائع .</w:t>
      </w:r>
    </w:p>
    <w:p>
      <w:pPr>
        <w:pStyle w:val="BookText"/>
      </w:pPr>
      <w:r>
        <w:rPr>
          <w:rFonts w:ascii="IRNazanin" w:hAnsi="IRNazanin" w:eastAsia="IRNazanin" w:cs="IRNazanin"/>
          <w:lang w:bidi="fa-IR"/>
          <w:color w:val="111111"/>
          <w:sz w:val="28"/>
          <w:szCs w:val="28"/>
          <w:rtl/>
        </w:rPr>
        <w:t xml:space="preserve">ولعمری أنّه من قبیل اشتباه المفهوم بالمصداق ، فالطلب الحقیقیّ إذا لم یکن قابلاً للتقیید لا یقتضی أن لا یکون مفاد الهیئة قابلاً له ، وإن تعارف تسمیته بالطلب أیضاً . وعدم تقییده بالإنشائیّ لوضوح إرادة خصوصه ، وأنّ الطلب الحقیقیّ لا یکاد ینشأ بها ، کما لا یخفی .</w:t>
      </w:r>
    </w:p>
    <w:p>
      <w:pPr>
        <w:pStyle w:val="BookText"/>
      </w:pPr>
      <w:r>
        <w:rPr>
          <w:rFonts w:ascii="IRNazanin" w:hAnsi="IRNazanin" w:eastAsia="IRNazanin" w:cs="IRNazanin"/>
          <w:lang w:bidi="fa-IR"/>
          <w:color w:val="111111"/>
          <w:sz w:val="28"/>
          <w:szCs w:val="28"/>
          <w:rtl/>
        </w:rPr>
        <w:t xml:space="preserve">فانقدح بذلک : صحّة تقیید مفاد الصیغة بالشرط ، کما مرّ هاهنا بعض الکلام </w:t>
      </w:r>
      <w:r>
        <w:rPr>
          <w:rStyle w:val="FootnoteReference"/>
        </w:rPr>
        <w:footnoteReference w:id="436"/>
      </w:r>
      <w:r>
        <w:rPr>
          <w:rFonts w:ascii="IRNazanin" w:hAnsi="IRNazanin" w:eastAsia="IRNazanin" w:cs="IRNazanin"/>
          <w:lang w:bidi="fa-IR"/>
          <w:color w:val="111111"/>
          <w:sz w:val="28"/>
          <w:szCs w:val="28"/>
          <w:rtl/>
        </w:rPr>
        <w:t xml:space="preserve">، وقد تقدّم فی مسألة اتّحاد الطلب والإرادة </w:t>
      </w:r>
      <w:r>
        <w:rPr>
          <w:rStyle w:val="FootnoteReference"/>
        </w:rPr>
        <w:footnoteReference w:id="437"/>
      </w:r>
      <w:r>
        <w:rPr>
          <w:rFonts w:ascii="IRNazanin" w:hAnsi="IRNazanin" w:eastAsia="IRNazanin" w:cs="IRNazanin"/>
          <w:lang w:bidi="fa-IR"/>
          <w:color w:val="111111"/>
          <w:sz w:val="28"/>
          <w:szCs w:val="28"/>
          <w:rtl/>
        </w:rPr>
        <w:t xml:space="preserve">ما یُجدی فی المقام .</w:t>
      </w:r>
    </w:p>
    <w:p>
      <w:pPr>
        <w:pStyle w:val="BookText"/>
      </w:pPr>
      <w:r>
        <w:rPr>
          <w:rFonts w:ascii="IRNazanin" w:hAnsi="IRNazanin" w:eastAsia="IRNazanin" w:cs="IRNazanin"/>
          <w:lang w:bidi="fa-IR"/>
          <w:color w:val="111111"/>
          <w:sz w:val="28"/>
          <w:szCs w:val="28"/>
          <w:rtl/>
        </w:rPr>
        <w:t xml:space="preserve">هذا إذا کان هناک إطلاق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إذا لم یکن ، فلابدّ من الإتیان به فی ما إذا کان التکلیف بما احتمل کونه شرطاً له فعلیّاً ؛ للعلم بوجوبه فعلاً ، وإن لم یُعلم جهة وجوبه ، وإلّا فلا </w:t>
      </w:r>
      <w:r>
        <w:rPr>
          <w:rStyle w:val="FootnoteReference"/>
        </w:rPr>
        <w:footnoteReference w:id="438"/>
      </w:r>
      <w:r>
        <w:rPr>
          <w:rFonts w:ascii="IRNazanin" w:hAnsi="IRNazanin" w:eastAsia="IRNazanin" w:cs="IRNazanin"/>
          <w:lang w:bidi="fa-IR"/>
          <w:color w:val="111111"/>
          <w:sz w:val="28"/>
          <w:szCs w:val="28"/>
          <w:rtl/>
        </w:rPr>
        <w:t xml:space="preserve">؛ لصیرورة الشکّ فیه بدویّاً ، کما لا یخفی .</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7" w:name="pg14419_166855"/>
    <w:bookmarkEnd w:id="117"/>
    <w:p>
      <w:pPr>
        <w:pStyle w:val="Heading6"/>
      </w:pPr>
      <w:bookmarkStart w:id="836" w:name="_Toc276"/>
      <w:r>
        <w:t>تذنیبان</w:t>
      </w:r>
      <w:bookmarkEnd w:id="836"/>
    </w:p>
    <w:p>
      <w:pPr>
        <w:pStyle w:val="Heading6"/>
      </w:pPr>
      <w:bookmarkStart w:id="837" w:name="_Toc277"/>
      <w:r>
        <w:t>1 - الکلام فی‌استحقاق‌الثواب والعقاب علی امتثال الأمر الغیری ومخالفته</w:t>
      </w:r>
      <w:bookmarkEnd w:id="837"/>
    </w:p>
    <w:p>
      <w:pPr>
        <w:pStyle w:val="Heading6"/>
      </w:pPr>
      <w:bookmarkStart w:id="838" w:name="_Toc278"/>
      <w:r>
        <w:t>اشارة</w:t>
      </w:r>
      <w:bookmarkEnd w:id="838"/>
    </w:p>
    <w:p>
      <w:pPr>
        <w:pStyle w:val="BookText"/>
      </w:pPr>
      <w:r>
        <w:rPr>
          <w:rFonts w:ascii="IRNazanin" w:hAnsi="IRNazanin" w:eastAsia="IRNazanin" w:cs="IRNazanin"/>
          <w:lang w:bidi="fa-IR"/>
          <w:color w:val="111111"/>
          <w:sz w:val="28"/>
          <w:szCs w:val="28"/>
          <w:rtl/>
        </w:rPr>
        <w:t xml:space="preserve">الأول : لا ریب فی استحقاق الثواب علی امتثال الأمر النفسیّ وموافقته ، واستحقاق العقاب علی عصیانه ومخالفته عقلاً .</w:t>
      </w:r>
    </w:p>
    <w:p>
      <w:pPr>
        <w:pStyle w:val="BookText"/>
      </w:pPr>
      <w:r>
        <w:rPr>
          <w:rFonts w:ascii="IRNazanin" w:hAnsi="IRNazanin" w:eastAsia="IRNazanin" w:cs="IRNazanin"/>
          <w:lang w:bidi="fa-IR"/>
          <w:color w:val="111111"/>
          <w:sz w:val="28"/>
          <w:szCs w:val="28"/>
          <w:rtl/>
        </w:rPr>
        <w:t xml:space="preserve">وأمّا استحقاقهما علی امتثال الغیریّ ومخالفته ففیه إشکالٌ ، وإن کان التحقیق عدمَ الاستحقاق علی موافقته ومخالفته بما هو موافقةٌ ومخالفة ؛ ضرورةَ استقلال العقل بعدم الاستحقاق إلّالعقابٍ واحدٍ ، أو لثوابٍ کذلک ، فی ما خالف الواجب ولم یأتِ بواحدة من مقدّماته علی کثرتها ، أو وافقه وأتاه </w:t>
      </w:r>
      <w:r>
        <w:rPr>
          <w:rStyle w:val="FootnoteReference"/>
        </w:rPr>
        <w:footnoteReference w:id="439"/>
      </w:r>
      <w:r>
        <w:rPr>
          <w:rFonts w:ascii="IRNazanin" w:hAnsi="IRNazanin" w:eastAsia="IRNazanin" w:cs="IRNazanin"/>
          <w:lang w:bidi="fa-IR"/>
          <w:color w:val="111111"/>
          <w:sz w:val="28"/>
          <w:szCs w:val="28"/>
          <w:rtl/>
        </w:rPr>
        <w:t xml:space="preserve">بما له من المقدّمات .</w:t>
      </w:r>
    </w:p>
    <w:p>
      <w:pPr>
        <w:pStyle w:val="BookText"/>
      </w:pPr>
      <w:r>
        <w:rPr>
          <w:rFonts w:ascii="IRNazanin" w:hAnsi="IRNazanin" w:eastAsia="IRNazanin" w:cs="IRNazanin"/>
          <w:lang w:bidi="fa-IR"/>
          <w:color w:val="111111"/>
          <w:sz w:val="28"/>
          <w:szCs w:val="28"/>
          <w:rtl/>
        </w:rPr>
        <w:t xml:space="preserve">نعم ، لا بأس باستحقاق العقوبة علی المخالفة عند ترک المقدّمة ، وبزیادة </w:t>
      </w:r>
      <w:r>
        <w:rPr>
          <w:rStyle w:val="FootnoteReference"/>
        </w:rPr>
        <w:footnoteReference w:id="440"/>
      </w:r>
      <w:r>
        <w:rPr>
          <w:rFonts w:ascii="IRNazanin" w:hAnsi="IRNazanin" w:eastAsia="IRNazanin" w:cs="IRNazanin"/>
          <w:lang w:bidi="fa-IR"/>
          <w:color w:val="111111"/>
          <w:sz w:val="28"/>
          <w:szCs w:val="28"/>
          <w:rtl/>
        </w:rPr>
        <w:t xml:space="preserve">المثوبة علی الموافقة فی ما لو أتی بالمقدّمات بما هی مقدّمات له ، من باب أنّه یصیر حینئذٍ من أفضل الأعمال ، حیث صار أشقّها . وعلیه یُنزّل ما ورد فی الأخبار من الثواب علی المقدّمات </w:t>
      </w:r>
      <w:r>
        <w:rPr>
          <w:rStyle w:val="FootnoteReference"/>
        </w:rPr>
        <w:footnoteReference w:id="441"/>
      </w:r>
      <w:r>
        <w:rPr>
          <w:rFonts w:ascii="Amiri" w:hAnsi="Amiri" w:eastAsia="Amiri" w:cs="Amiri"/>
          <w:lang w:bidi="ar-SA"/>
          <w:color w:val="111111"/>
          <w:sz w:val="28"/>
          <w:szCs w:val="28"/>
          <w:rtl/>
        </w:rPr>
        <w:t xml:space="preserve">، أو علی التفضّل ، فتأمّل جیّداً .</w:t>
      </w:r>
    </w:p>
    <w:p>
      <w:pPr>
        <w:pStyle w:val="BookText"/>
      </w:pPr>
      <w:r>
        <w:rPr>
          <w:rFonts w:ascii="IRNazanin" w:hAnsi="IRNazanin" w:eastAsia="IRNazanin" w:cs="IRNazanin"/>
          <w:lang w:bidi="fa-IR"/>
          <w:color w:val="111111"/>
          <w:sz w:val="28"/>
          <w:szCs w:val="28"/>
          <w:rtl/>
        </w:rPr>
        <w:t xml:space="preserve">وذلک لبداهة أنّ موافقة الأمر الغیریّ - بما هو أمرٌ ، لا بما هو شروع فی إطاعة الأمر النفسیّ - لا توجب قُرباً ، ولا مخالفَته - بما هو کذلک - بُعداً ،</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8" w:name="pg14419_166856"/>
    <w:bookmarkEnd w:id="118"/>
    <w:p>
      <w:pPr>
        <w:pStyle w:val="BookText"/>
      </w:pPr>
      <w:r>
        <w:rPr>
          <w:rFonts w:ascii="IRNazanin" w:hAnsi="IRNazanin" w:eastAsia="IRNazanin" w:cs="IRNazanin"/>
          <w:lang w:bidi="fa-IR"/>
          <w:color w:val="111111"/>
          <w:sz w:val="28"/>
          <w:szCs w:val="28"/>
          <w:rtl/>
        </w:rPr>
        <w:t xml:space="preserve">والمثوبة والعقوبة إنّما تکونان من تبعات </w:t>
      </w:r>
      <w:r>
        <w:rPr>
          <w:rStyle w:val="FootnoteReference"/>
        </w:rPr>
        <w:footnoteReference w:id="442"/>
      </w:r>
      <w:r>
        <w:rPr>
          <w:rFonts w:ascii="IRNazanin" w:hAnsi="IRNazanin" w:eastAsia="IRNazanin" w:cs="IRNazanin"/>
          <w:lang w:bidi="fa-IR"/>
          <w:color w:val="111111"/>
          <w:sz w:val="28"/>
          <w:szCs w:val="28"/>
          <w:rtl/>
        </w:rPr>
        <w:t xml:space="preserve">القرب والبعد .</w:t>
      </w:r>
    </w:p>
    <w:p>
      <w:pPr>
        <w:pStyle w:val="Heading6"/>
      </w:pPr>
      <w:bookmarkStart w:id="839" w:name="_Toc279"/>
      <w:r>
        <w:t>إشکال التقرّب واستحقاق الثواب فی المقدّ مات العبادیّة</w:t>
      </w:r>
      <w:bookmarkEnd w:id="8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إشکالٌ ودفعٌ :</w:t>
      </w:r>
    </w:p>
    <w:p>
      <w:pPr>
        <w:pStyle w:val="BookText"/>
      </w:pPr>
      <w:r>
        <w:rPr>
          <w:rFonts w:ascii="IRNazanin" w:hAnsi="IRNazanin" w:eastAsia="IRNazanin" w:cs="IRNazanin"/>
          <w:lang w:bidi="fa-IR"/>
          <w:color w:val="111111"/>
          <w:sz w:val="28"/>
          <w:szCs w:val="28"/>
          <w:rtl/>
        </w:rPr>
        <w:t xml:space="preserve">أمّا الأوّل: فهو أنّه إذا کان الأمر الغیریّ - بما هو - لا إطاعة له ، ولا قُرب فی موافقته ، ولا مثوبة علی امتثاله ، فکیف حال بعض المقدّمات ، کالطهارات ، حیث لا شبهة فی حصول الإطاعة والقرب والمثوبة بموافقة أمرها؟ هذا .</w:t>
      </w:r>
    </w:p>
    <w:p>
      <w:pPr>
        <w:pStyle w:val="BookText"/>
      </w:pPr>
      <w:r>
        <w:rPr>
          <w:rFonts w:ascii="IRNazanin" w:hAnsi="IRNazanin" w:eastAsia="IRNazanin" w:cs="IRNazanin"/>
          <w:lang w:bidi="fa-IR"/>
          <w:color w:val="111111"/>
          <w:sz w:val="28"/>
          <w:szCs w:val="28"/>
          <w:rtl/>
        </w:rPr>
        <w:t xml:space="preserve">مضافاً إلی أنّ الأمر الغیریّ لا شبهة فی کونه توصّلیّاً ، وقد اعتبر فی صحّتها إتیانها بقصد القربة .</w:t>
      </w:r>
    </w:p>
    <w:p>
      <w:pPr>
        <w:pStyle w:val="Heading6"/>
      </w:pPr>
      <w:bookmarkStart w:id="840" w:name="_Toc280"/>
      <w:r>
        <w:t>الجواب عن الإشکال</w:t>
      </w:r>
      <w:bookmarkEnd w:id="840"/>
    </w:p>
    <w:p>
      <w:pPr>
        <w:pStyle w:val="BookText"/>
      </w:pPr>
      <w:r>
        <w:rPr>
          <w:rFonts w:ascii="IRNazanin" w:hAnsi="IRNazanin" w:eastAsia="IRNazanin" w:cs="IRNazanin"/>
          <w:lang w:bidi="fa-IR"/>
          <w:color w:val="111111"/>
          <w:sz w:val="28"/>
          <w:szCs w:val="28"/>
          <w:rtl/>
        </w:rPr>
        <w:t xml:space="preserve">وأمّا الثانی: فالتحقیق أن یقال: إنّ المقدّمة فیها بنفسها مستحبّة وعبادةٌ ، وغایاتها إنّما تکون متوقّفةً علی إحدی هذه العبادات ، فلابدّ أن یُؤتیٰ بها عبادةً ، وإلّا فلم یؤتَ بما هو مقدّمة لها . فقصد القربة فیها إنّما هو لأجل کونها فی نفسها أُموراً عبادیّة ومستحباتٍ نفسیّة ، لا لکونها مطلوبات غیریّة .</w:t>
      </w:r>
    </w:p>
    <w:p>
      <w:pPr>
        <w:pStyle w:val="BookText"/>
      </w:pPr>
      <w:r>
        <w:rPr>
          <w:rFonts w:ascii="IRNazanin" w:hAnsi="IRNazanin" w:eastAsia="IRNazanin" w:cs="IRNazanin"/>
          <w:lang w:bidi="fa-IR"/>
          <w:color w:val="111111"/>
          <w:sz w:val="28"/>
          <w:szCs w:val="28"/>
          <w:rtl/>
        </w:rPr>
        <w:t xml:space="preserve">والاکتفاء بقصد أمرها الغیریّ ، فإنّما </w:t>
      </w:r>
      <w:r>
        <w:rPr>
          <w:rStyle w:val="FootnoteReference"/>
        </w:rPr>
        <w:footnoteReference w:id="443"/>
      </w:r>
      <w:r>
        <w:rPr>
          <w:rFonts w:ascii="IRNazanin" w:hAnsi="IRNazanin" w:eastAsia="IRNazanin" w:cs="IRNazanin"/>
          <w:lang w:bidi="fa-IR"/>
          <w:color w:val="111111"/>
          <w:sz w:val="28"/>
          <w:szCs w:val="28"/>
          <w:rtl/>
        </w:rPr>
        <w:t xml:space="preserve">هو لأجل أنّه یدعو إلی ما هو کذلک فی نفسه ، حیث إنّه لا یدعو إلّاإلی ما هو المقدّمة </w:t>
      </w:r>
      <w:r>
        <w:rPr>
          <w:rStyle w:val="FootnoteReference"/>
        </w:rPr>
        <w:footnoteReference w:id="444"/>
      </w:r>
      <w:r>
        <w:rPr>
          <w:rFonts w:ascii="IRNazanin" w:hAnsi="IRNazanin" w:eastAsia="IRNazanin" w:cs="IRNazanin"/>
          <w:lang w:bidi="fa-IR"/>
          <w:color w:val="111111"/>
          <w:sz w:val="28"/>
          <w:szCs w:val="28"/>
          <w:rtl/>
        </w:rPr>
        <w:t xml:space="preserve">، فافهم .</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9" w:name="pg14419_166857"/>
    <w:bookmarkEnd w:id="119"/>
    <w:p>
      <w:pPr>
        <w:pStyle w:val="Heading6"/>
      </w:pPr>
      <w:bookmarkStart w:id="841" w:name="_Toc281"/>
      <w:r>
        <w:t>التفصّی عن الإشکال بوجهین آخرین والجواب عنهما</w:t>
      </w:r>
      <w:bookmarkEnd w:id="84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وقد تُفُصّی عن الإشکال بوجهین آخَرین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 ما ملخّصه: أنّ الحرکات الخاصّة ربما لا تکون محصِّلةً لما هو المقصود منها ، من العنوان الّذی یکون </w:t>
      </w:r>
      <w:r>
        <w:rPr>
          <w:rStyle w:val="FootnoteReference"/>
        </w:rPr>
        <w:footnoteReference w:id="446"/>
      </w:r>
      <w:r>
        <w:rPr>
          <w:rFonts w:ascii="IRNazanin" w:hAnsi="IRNazanin" w:eastAsia="IRNazanin" w:cs="IRNazanin"/>
          <w:lang w:bidi="fa-IR"/>
          <w:color w:val="111111"/>
          <w:sz w:val="28"/>
          <w:szCs w:val="28"/>
          <w:rtl/>
        </w:rPr>
        <w:t xml:space="preserve">بذاک العنوان مقدّمةً وموقوفاً علیها ، فلابدّ فی إتیانها بذاک العنوان من قصد أمرها ؛ لکونه لا یدعو إلّا إلی ما هو الموقوف علیه ، فیکون عنواناً إجمالیّاً ومرآةً لها ، فإتیان الطهارات عبادةً وإطاعةً لأمرها ، لیس لأجل أنّ أمرها المقدّمیّ یقضی بالإتیان کذلک ، بل إنّما کان لأجل إحراز نفس العنوان ، الّذی یکون </w:t>
      </w:r>
      <w:r>
        <w:rPr>
          <w:rStyle w:val="FootnoteReference"/>
        </w:rPr>
        <w:footnoteReference w:id="447"/>
      </w:r>
      <w:r>
        <w:rPr>
          <w:rFonts w:ascii="IRNazanin" w:hAnsi="IRNazanin" w:eastAsia="IRNazanin" w:cs="IRNazanin"/>
          <w:lang w:bidi="fa-IR"/>
          <w:color w:val="111111"/>
          <w:sz w:val="28"/>
          <w:szCs w:val="28"/>
          <w:rtl/>
        </w:rPr>
        <w:t xml:space="preserve">بذاک العنوان موقوفاً علیها .</w:t>
      </w:r>
    </w:p>
    <w:p>
      <w:pPr>
        <w:pStyle w:val="BookText"/>
      </w:pPr>
      <w:r>
        <w:rPr>
          <w:rFonts w:ascii="IRNazanin" w:hAnsi="IRNazanin" w:eastAsia="IRNazanin" w:cs="IRNazanin"/>
          <w:lang w:bidi="fa-IR"/>
          <w:color w:val="111111"/>
          <w:sz w:val="28"/>
          <w:szCs w:val="28"/>
          <w:rtl/>
        </w:rPr>
        <w:t xml:space="preserve">وفیه: - مضافاً إلی أنّ ذلک لا یقتضی الإتیانَ بها کذلک ؛ لإمکان الإشارة إلی عناوینها الّتی تکون بتلک العناوین موقوفاً علیها بنحوٍ آخر ، ولو بقصد أمرها وصفاً ، لا غایةً وداعیاً ، بل کان الداعی إلی هذه الحرکات الموصوفة بکونها مأموراً بها شیئاً آخر غیرَ أمرها - : أنّه </w:t>
      </w:r>
      <w:r>
        <w:rPr>
          <w:rStyle w:val="FootnoteReference"/>
        </w:rPr>
        <w:footnoteReference w:id="448"/>
      </w:r>
      <w:r>
        <w:rPr>
          <w:rFonts w:ascii="IRNazanin" w:hAnsi="IRNazanin" w:eastAsia="IRNazanin" w:cs="IRNazanin"/>
          <w:lang w:bidi="fa-IR"/>
          <w:color w:val="111111"/>
          <w:sz w:val="28"/>
          <w:szCs w:val="28"/>
          <w:rtl/>
        </w:rPr>
        <w:t xml:space="preserve">غیر وافٍ بدفع إشکال ترتّب المثوبة علیها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ثانیهما: ما محصّله: أنّ لزوم وقوع الطهارات عبادةً ، إنّما یکون لأجل أنّ الغرض من الأمر النفسیّ بغایاتها کما لا یکاد یحصل بدون قصد التقرّب بموافقته ، کذلک لا یحصل ما لم یؤتَ بها کذلک ، لا باقتضاء أمرها الغیریّ .</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0" w:name="pg14419_166858"/>
    <w:bookmarkEnd w:id="120"/>
    <w:p>
      <w:pPr>
        <w:pStyle w:val="BookText"/>
      </w:pPr>
      <w:r>
        <w:rPr>
          <w:rFonts w:ascii="IRNazanin" w:hAnsi="IRNazanin" w:eastAsia="IRNazanin" w:cs="IRNazanin"/>
          <w:lang w:bidi="fa-IR"/>
          <w:color w:val="111111"/>
          <w:sz w:val="28"/>
          <w:szCs w:val="28"/>
          <w:rtl/>
        </w:rPr>
        <w:t xml:space="preserve">وبالجملة: وجه لزوم إتیانها عبادةً ، إنّما هو لأجل أنّ الغرض فی الغایات لا یحصل إلّابإتیان خصوص الطهارات من بین مقدّماتها أیضاً بقصد الإطاعة .</w:t>
      </w:r>
    </w:p>
    <w:p>
      <w:pPr>
        <w:pStyle w:val="BookText"/>
      </w:pPr>
      <w:r>
        <w:rPr>
          <w:rFonts w:ascii="IRNazanin" w:hAnsi="IRNazanin" w:eastAsia="IRNazanin" w:cs="IRNazanin"/>
          <w:lang w:bidi="fa-IR"/>
          <w:color w:val="111111"/>
          <w:sz w:val="28"/>
          <w:szCs w:val="28"/>
          <w:rtl/>
        </w:rPr>
        <w:t xml:space="preserve">وفیه أیضاً : أنّه غیر وافٍ بدفع إشکال ترتّب المثوبة علیها .</w:t>
      </w:r>
    </w:p>
    <w:p>
      <w:pPr>
        <w:pStyle w:val="BookText"/>
      </w:pPr>
      <w:r>
        <w:rPr>
          <w:rFonts w:ascii="Amiri" w:hAnsi="Amiri" w:eastAsia="Amiri" w:cs="Amiri"/>
          <w:lang w:bidi="ar-SA"/>
          <w:color w:val="111111"/>
          <w:sz w:val="28"/>
          <w:szCs w:val="28"/>
          <w:rtl/>
        </w:rPr>
        <w:t xml:space="preserve">وأمّا ما ربّما قیل </w:t>
      </w:r>
      <w:r>
        <w:rPr>
          <w:rStyle w:val="FootnoteReference"/>
        </w:rPr>
        <w:footnoteReference w:id="449"/>
      </w:r>
      <w:r>
        <w:rPr>
          <w:rFonts w:ascii="IRNazanin" w:hAnsi="IRNazanin" w:eastAsia="IRNazanin" w:cs="IRNazanin"/>
          <w:lang w:bidi="fa-IR"/>
          <w:color w:val="111111"/>
          <w:sz w:val="28"/>
          <w:szCs w:val="28"/>
          <w:rtl/>
        </w:rPr>
        <w:t xml:space="preserve">- فی تصحیح اعتبار قصد الإطاعة فی العبادات - من الالتزام بأمرین: أحدهما کان متعلّقاً بذات العمل ، والثانی بإتیانه بداعی امتثال الأوّل - لا یکاد </w:t>
      </w:r>
      <w:r>
        <w:rPr>
          <w:rStyle w:val="FootnoteReference"/>
        </w:rPr>
        <w:footnoteReference w:id="450"/>
      </w:r>
      <w:r>
        <w:rPr>
          <w:rFonts w:ascii="IRNazanin" w:hAnsi="IRNazanin" w:eastAsia="IRNazanin" w:cs="IRNazanin"/>
          <w:lang w:bidi="fa-IR"/>
          <w:color w:val="111111"/>
          <w:sz w:val="28"/>
          <w:szCs w:val="28"/>
          <w:rtl/>
        </w:rPr>
        <w:t xml:space="preserve">یجدی </w:t>
      </w:r>
      <w:r>
        <w:rPr>
          <w:rStyle w:val="FootnoteReference"/>
        </w:rPr>
        <w:footnoteReference w:id="451"/>
      </w:r>
      <w:r>
        <w:rPr>
          <w:rFonts w:ascii="IRNazanin" w:hAnsi="IRNazanin" w:eastAsia="IRNazanin" w:cs="IRNazanin"/>
          <w:lang w:bidi="fa-IR"/>
          <w:color w:val="111111"/>
          <w:sz w:val="28"/>
          <w:szCs w:val="28"/>
          <w:rtl/>
        </w:rPr>
        <w:t xml:space="preserve">فی تصحیح اعتبارها فی الطهارات ؛ إذ لو لم تکن بنفسها مقدّمة لغایاتها لا یکاد یتعلّق بها أمر من قِبَل الأمر بالغایات ، فمن أین یجیء طلبٌ آخر من سِنْخ الطلب الغیریّ متعلّقٌ بذاتها ، لیتمکّن به من المقدّمة فی الخارج؟ هذا .</w:t>
      </w:r>
    </w:p>
    <w:p>
      <w:pPr>
        <w:pStyle w:val="BookText"/>
      </w:pPr>
      <w:r>
        <w:rPr>
          <w:rFonts w:ascii="IRNazanin" w:hAnsi="IRNazanin" w:eastAsia="IRNazanin" w:cs="IRNazanin"/>
          <w:lang w:bidi="fa-IR"/>
          <w:color w:val="111111"/>
          <w:sz w:val="28"/>
          <w:szCs w:val="28"/>
          <w:rtl/>
        </w:rPr>
        <w:t xml:space="preserve">مع أنّ فی هذا الالتزام ما فی تصحیح اعتبار قصد الطاعة فی العبادة علی ما عرفته مفصّلاً سابقاً </w:t>
      </w:r>
      <w:r>
        <w:rPr>
          <w:rStyle w:val="FootnoteReference"/>
        </w:rPr>
        <w:footnoteReference w:id="452"/>
      </w:r>
      <w:r>
        <w:rPr>
          <w:rFonts w:ascii="Amiri" w:hAnsi="Amiri" w:eastAsia="Amiri" w:cs="Amiri"/>
          <w:lang w:bidi="ar-SA"/>
          <w:color w:val="111111"/>
          <w:sz w:val="28"/>
          <w:szCs w:val="28"/>
          <w:rtl/>
        </w:rPr>
        <w:t xml:space="preserve">، فتذکّر .</w:t>
      </w:r>
    </w:p>
    <w:p>
      <w:pPr>
        <w:pStyle w:val="Heading6"/>
      </w:pPr>
      <w:bookmarkStart w:id="842" w:name="_Toc282"/>
      <w:r>
        <w:t>2 - هل یعتبر فی الطهارات قصد التوصّل إلی غایاتها ؟</w:t>
      </w:r>
      <w:bookmarkEnd w:id="842"/>
    </w:p>
    <w:p>
      <w:pPr>
        <w:pStyle w:val="Heading6"/>
      </w:pPr>
      <w:bookmarkStart w:id="843" w:name="_Toc283"/>
      <w:r>
        <w:t>اشارة</w:t>
      </w:r>
      <w:bookmarkEnd w:id="843"/>
    </w:p>
    <w:p>
      <w:pPr>
        <w:pStyle w:val="BookText"/>
      </w:pPr>
      <w:r>
        <w:rPr>
          <w:rFonts w:ascii="IRNazanin" w:hAnsi="IRNazanin" w:eastAsia="IRNazanin" w:cs="IRNazanin"/>
          <w:lang w:bidi="fa-IR"/>
          <w:color w:val="111111"/>
          <w:sz w:val="28"/>
          <w:szCs w:val="28"/>
          <w:rtl/>
        </w:rPr>
        <w:t xml:space="preserve">الثانی: أنّه قد انقدح ممّا هو التحقیق فی وجه اعتبار قصد القربة فی الطهارات ، صحَّتُها ولو لم یؤتَ بها بقصد التوصّل بها إلی غایة من غایاتها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المصحّحُ لاعتبار قصد القربة فیها أمرَها الغیریّ ، لکان قصد الغایة ممّا لابدّ منه فی وقوعها صحیحةً ؛ فإنّ الأمر الغیریّ لا یکاد یمتثل إلّا إذا قُصِد التوصّل إلی الغیر ، حیث لا یکاد یصیر داعیاً إلّامع هذا القصد ،</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1" w:name="pg14419_166859"/>
    <w:bookmarkEnd w:id="121"/>
    <w:p>
      <w:pPr>
        <w:pStyle w:val="BookText"/>
      </w:pPr>
      <w:r>
        <w:rPr>
          <w:rFonts w:ascii="IRNazanin" w:hAnsi="IRNazanin" w:eastAsia="IRNazanin" w:cs="IRNazanin"/>
          <w:lang w:bidi="fa-IR"/>
          <w:color w:val="111111"/>
          <w:sz w:val="28"/>
          <w:szCs w:val="28"/>
          <w:rtl/>
        </w:rPr>
        <w:t xml:space="preserve">بل فی الحقیقة یکون هو الملاک لوقوع المقدّمة عبادةً ولو لم یقصد أمرها ، بل ولو لم نقل بتعلّق الطلب بها أصلاً .</w:t>
      </w:r>
    </w:p>
    <w:p>
      <w:pPr>
        <w:pStyle w:val="BookText"/>
      </w:pPr>
      <w:r>
        <w:rPr>
          <w:rFonts w:ascii="Amiri" w:hAnsi="Amiri" w:eastAsia="Amiri" w:cs="Amiri"/>
          <w:lang w:bidi="ar-SA"/>
          <w:color w:val="111111"/>
          <w:sz w:val="28"/>
          <w:szCs w:val="28"/>
          <w:rtl/>
        </w:rPr>
        <w:t xml:space="preserve">وهذا هو السرُّ فی اعتبار قصد التوصّل فی وقوع المقدّمة عبادةً .</w:t>
      </w:r>
    </w:p>
    <w:p>
      <w:pPr>
        <w:pStyle w:val="BookText"/>
      </w:pPr>
      <w:r>
        <w:rPr>
          <w:rFonts w:ascii="Amiri" w:hAnsi="Amiri" w:eastAsia="Amiri" w:cs="Amiri"/>
          <w:lang w:bidi="ar-SA"/>
          <w:color w:val="111111"/>
          <w:sz w:val="28"/>
          <w:szCs w:val="28"/>
          <w:rtl/>
        </w:rPr>
        <w:t xml:space="preserve">لا ما تُوهّم </w:t>
      </w:r>
      <w:r>
        <w:rPr>
          <w:rStyle w:val="FootnoteReference"/>
        </w:rPr>
        <w:footnoteReference w:id="453"/>
      </w:r>
      <w:r>
        <w:rPr>
          <w:rFonts w:ascii="Amiri" w:hAnsi="Amiri" w:eastAsia="Amiri" w:cs="Amiri"/>
          <w:lang w:bidi="ar-SA"/>
          <w:color w:val="111111"/>
          <w:sz w:val="28"/>
          <w:szCs w:val="28"/>
          <w:rtl/>
        </w:rPr>
        <w:t xml:space="preserve">من أنّ المقدّمة إنّما تکون مأموراً بها بعنوان المقدّمیّة </w:t>
      </w:r>
      <w:r>
        <w:rPr>
          <w:rStyle w:val="FootnoteReference"/>
        </w:rPr>
        <w:footnoteReference w:id="454"/>
      </w:r>
      <w:r>
        <w:rPr>
          <w:rFonts w:ascii="IRNazanin" w:hAnsi="IRNazanin" w:eastAsia="IRNazanin" w:cs="IRNazanin"/>
          <w:lang w:bidi="fa-IR"/>
          <w:color w:val="111111"/>
          <w:sz w:val="28"/>
          <w:szCs w:val="28"/>
          <w:rtl/>
        </w:rPr>
        <w:t xml:space="preserve">، فلابدّ عند إرادة الامتثال بالمقدّمة من قصد هذا العنوان ، وقصدُها کذلک لا یکاد یکون بدون قصد التوصّل إلی ذی المقدّمة بها .</w:t>
      </w:r>
    </w:p>
    <w:p>
      <w:pPr>
        <w:pStyle w:val="BookText"/>
      </w:pPr>
      <w:r>
        <w:rPr>
          <w:rFonts w:ascii="Amiri" w:hAnsi="Amiri" w:eastAsia="Amiri" w:cs="Amiri"/>
          <w:lang w:bidi="ar-SA"/>
          <w:color w:val="111111"/>
          <w:sz w:val="28"/>
          <w:szCs w:val="28"/>
          <w:rtl/>
        </w:rPr>
        <w:t xml:space="preserve">فإنّه فاسدٌ جدّاً ؛ ضرورةَ أنّ عنوان المقدّمیّة لیس بموقوف علیه الواجب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بالحمل الشائع مقدّمة له ، وإنّما کان المقدّمة هو نفس المعنونات بعناوینها الأوّلیّة ، والمقدّمیّة إنّما تکون علّةً لوجوبها .</w:t>
      </w:r>
    </w:p>
    <w:p>
      <w:pPr>
        <w:pStyle w:val="BookText"/>
      </w:pPr>
      <w:r>
        <w:rPr>
          <w:rFonts w:ascii="IRNazanin" w:hAnsi="IRNazanin" w:eastAsia="IRNazanin" w:cs="IRNazanin"/>
          <w:lang w:bidi="fa-IR"/>
          <w:color w:val="111111"/>
          <w:sz w:val="28"/>
          <w:szCs w:val="28"/>
          <w:rtl/>
        </w:rPr>
        <w:t xml:space="preserve">الأمر الرابع: [ تبعیّة وجوب المقدّمة لوجوب ذیها فی الإطلاق والاشتراط ]</w:t>
      </w:r>
    </w:p>
    <w:p>
      <w:pPr>
        <w:pStyle w:val="BookText"/>
      </w:pPr>
      <w:r>
        <w:rPr>
          <w:rFonts w:ascii="IRNazanin" w:hAnsi="IRNazanin" w:eastAsia="IRNazanin" w:cs="IRNazanin"/>
          <w:lang w:bidi="fa-IR"/>
          <w:color w:val="111111"/>
          <w:sz w:val="28"/>
          <w:szCs w:val="28"/>
          <w:rtl/>
        </w:rPr>
        <w:t xml:space="preserve">لا شبهة فی أنّ وجوب المقدّمة - بناءً علی الملازمة - یتبع فی الإطلاق والاشتراط وجوبَ ذی المقدّمة ، کما أشرنا إلیه فی مطاوی کلماتنا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6"/>
      </w:pPr>
      <w:bookmarkStart w:id="844" w:name="_Toc284"/>
      <w:r>
        <w:t>کلام صاحب‌المعالم فی تبعیة وجوب المقدّمة لإرادة ذیها والإیراد علیه</w:t>
      </w:r>
      <w:bookmarkEnd w:id="844"/>
    </w:p>
    <w:p>
      <w:pPr>
        <w:pStyle w:val="BookText"/>
      </w:pPr>
      <w:r>
        <w:rPr>
          <w:rFonts w:ascii="IRNazanin" w:hAnsi="IRNazanin" w:eastAsia="IRNazanin" w:cs="IRNazanin"/>
          <w:lang w:bidi="fa-IR"/>
          <w:color w:val="111111"/>
          <w:sz w:val="28"/>
          <w:szCs w:val="28"/>
          <w:rtl/>
        </w:rPr>
        <w:t xml:space="preserve">ولا یکون مشروطاً بإرادته ، کما یُوهمه ظاهرُ عبارة صاحب المعالم رحمه الله فی بحث الضدّ ، حیث </w:t>
      </w:r>
      <w:r>
        <w:rPr>
          <w:rStyle w:val="FootnoteReference"/>
        </w:rPr>
        <w:footnoteReference w:id="456"/>
      </w:r>
      <w:r>
        <w:rPr>
          <w:rFonts w:ascii="IRNazanin" w:hAnsi="IRNazanin" w:eastAsia="IRNazanin" w:cs="IRNazanin"/>
          <w:lang w:bidi="fa-IR"/>
          <w:color w:val="111111"/>
          <w:sz w:val="28"/>
          <w:szCs w:val="28"/>
          <w:rtl/>
        </w:rPr>
        <w:t xml:space="preserve">قال: « وأیضاً فحجّة القول بوجوب المقدّمة </w:t>
      </w:r>
      <w:r>
        <w:rPr>
          <w:rStyle w:val="FootnoteReference"/>
        </w:rPr>
        <w:footnoteReference w:id="457"/>
      </w:r>
      <w:r>
        <w:rPr>
          <w:rFonts w:ascii="IRNazanin" w:hAnsi="IRNazanin" w:eastAsia="IRNazanin" w:cs="IRNazanin"/>
          <w:lang w:bidi="fa-IR"/>
          <w:color w:val="111111"/>
          <w:sz w:val="28"/>
          <w:szCs w:val="28"/>
          <w:rtl/>
        </w:rPr>
        <w:t xml:space="preserve">- علی تقدیر تسلیمها - إنّما تنهض دلیلاً علی الوجوب فی حال کون المکلّف مریداً للفعل المتوقّف علیها ، کما لا یخفی علی من أعطاها حقّ النظر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2" w:name="pg14419_166860"/>
    <w:bookmarkEnd w:id="122"/>
    <w:p>
      <w:pPr>
        <w:pStyle w:val="BookText"/>
      </w:pPr>
      <w:r>
        <w:rPr>
          <w:rFonts w:ascii="IRNazanin" w:hAnsi="IRNazanin" w:eastAsia="IRNazanin" w:cs="IRNazanin"/>
          <w:lang w:bidi="fa-IR"/>
          <w:color w:val="111111"/>
          <w:sz w:val="28"/>
          <w:szCs w:val="28"/>
          <w:rtl/>
        </w:rPr>
        <w:t xml:space="preserve">وأنت خبیر بأنّ نهوضها علی التبعیّة واضحٌ لا یکاد یخفی ، وإن کان نهوضها علی أصل الملازمة لم یکن بهذه المثابة ، کما لا یخفی .</w:t>
      </w:r>
    </w:p>
    <w:p>
      <w:pPr>
        <w:pStyle w:val="Heading6"/>
      </w:pPr>
      <w:bookmarkStart w:id="845" w:name="_Toc285"/>
      <w:r>
        <w:t>هل یعتبر قصد التوصّل فی المقدّمة أو ترتّب ذی المقدمة علیها؟</w:t>
      </w:r>
      <w:bookmarkEnd w:id="845"/>
    </w:p>
    <w:p>
      <w:pPr>
        <w:pStyle w:val="BookText"/>
      </w:pPr>
      <w:r>
        <w:rPr>
          <w:rFonts w:ascii="IRNazanin" w:hAnsi="IRNazanin" w:eastAsia="IRNazanin" w:cs="IRNazanin"/>
          <w:lang w:bidi="fa-IR"/>
          <w:color w:val="111111"/>
          <w:sz w:val="28"/>
          <w:szCs w:val="28"/>
          <w:rtl/>
        </w:rPr>
        <w:t xml:space="preserve">وهل یُعتبر فی وقوعها علی صفة الوجوب أن یکون الإتیان بها بداعی التوصّل بها إلی ذی المقدّمة ، کما یظهر ممّا نَسَبه إلی شیخنا العلّامة - أعلی اللّٰه مقامه - بعضُ أفاضل مقرّری بحثِه </w:t>
      </w:r>
      <w:r>
        <w:rPr>
          <w:rStyle w:val="FootnoteReference"/>
        </w:rPr>
        <w:footnoteReference w:id="4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ترتّب ذی المقدّمة علیها ، بحیث لو لم یترتّب علیها لَکشف عن عدم وقوعها علی صفة الوجوب ، کما زعمه صاحب الفصول رحمه الله </w:t>
      </w:r>
      <w:r>
        <w:rPr>
          <w:rStyle w:val="FootnoteReference"/>
        </w:rPr>
        <w:footnoteReference w:id="4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لا یعتبر فی وقوعها کذلک شیءٌ منهما؟</w:t>
      </w:r>
    </w:p>
    <w:p>
      <w:pPr>
        <w:pStyle w:val="BookText"/>
      </w:pPr>
      <w:r>
        <w:rPr>
          <w:rFonts w:ascii="IRNazanin" w:hAnsi="IRNazanin" w:eastAsia="IRNazanin" w:cs="IRNazanin"/>
          <w:lang w:bidi="fa-IR"/>
          <w:color w:val="111111"/>
          <w:sz w:val="28"/>
          <w:szCs w:val="28"/>
          <w:rtl/>
        </w:rPr>
        <w:t xml:space="preserve">الظاهر : عدم الاعتبار :</w:t>
      </w:r>
    </w:p>
    <w:p>
      <w:pPr>
        <w:pStyle w:val="Heading6"/>
      </w:pPr>
      <w:bookmarkStart w:id="846" w:name="_Toc286"/>
      <w:r>
        <w:t>المناقشة فی اعتبار قصد التوصّل</w:t>
      </w:r>
      <w:bookmarkEnd w:id="8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عدم اعتبار قصد التوصّل : فلأجل أنّ الوجوب لم یکن بحکم العقل إلّا لأجل المقدّمیّة والتوقّف، وعدم دخل قصد التوصّل فیه واضحٌ، ولذا اعترف بالاجتزاء بما لم یقصد به ذلک فی غیر المقدّمات العبادیّة ؛ لحصول ذات الواجب </w:t>
      </w:r>
      <w:r>
        <w:rPr>
          <w:rStyle w:val="FootnoteReference"/>
        </w:rPr>
        <w:footnoteReference w:id="461"/>
      </w:r>
      <w:r>
        <w:rPr>
          <w:rFonts w:ascii="IRNazanin" w:hAnsi="IRNazanin" w:eastAsia="IRNazanin" w:cs="IRNazanin"/>
          <w:lang w:bidi="fa-IR"/>
          <w:color w:val="111111"/>
          <w:sz w:val="28"/>
          <w:szCs w:val="28"/>
          <w:rtl/>
        </w:rPr>
        <w:t xml:space="preserve">، فیکون تخصیص الوجوب بخصوص ما قصد به التوصّل من المقدّمة بلا مخصِّص ، فافهم .</w:t>
      </w:r>
    </w:p>
    <w:p>
      <w:pPr>
        <w:pStyle w:val="BookText"/>
      </w:pPr>
      <w:r>
        <w:rPr>
          <w:rFonts w:ascii="IRNazanin" w:hAnsi="IRNazanin" w:eastAsia="IRNazanin" w:cs="IRNazanin"/>
          <w:lang w:bidi="fa-IR"/>
          <w:color w:val="111111"/>
          <w:sz w:val="28"/>
          <w:szCs w:val="28"/>
          <w:rtl/>
        </w:rPr>
        <w:t xml:space="preserve">نعم ، إنّما اعتبر ذلک فی الامتثال ؛ لما عرفت </w:t>
      </w:r>
      <w:r>
        <w:rPr>
          <w:rStyle w:val="FootnoteReference"/>
        </w:rPr>
        <w:footnoteReference w:id="462"/>
      </w:r>
      <w:r>
        <w:rPr>
          <w:rFonts w:ascii="IRNazanin" w:hAnsi="IRNazanin" w:eastAsia="IRNazanin" w:cs="IRNazanin"/>
          <w:lang w:bidi="fa-IR"/>
          <w:color w:val="111111"/>
          <w:sz w:val="28"/>
          <w:szCs w:val="28"/>
          <w:rtl/>
        </w:rPr>
        <w:t xml:space="preserve">من أنّه لا یکاد یکون</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الآتی بها بدونه ممتثلاً لأمرها ، وآخذاً فی امتثال الأمر بذیها ، فیثاب بثواب أشقّ الأعمال .</w:t>
      </w:r>
    </w:p>
    <w:p>
      <w:pPr>
        <w:pStyle w:val="BookText"/>
      </w:pPr>
      <w:r>
        <w:rPr>
          <w:rFonts w:ascii="IRNazanin" w:hAnsi="IRNazanin" w:eastAsia="IRNazanin" w:cs="IRNazanin"/>
          <w:lang w:bidi="fa-IR"/>
          <w:color w:val="111111"/>
          <w:sz w:val="28"/>
          <w:szCs w:val="28"/>
          <w:rtl/>
        </w:rPr>
        <w:t xml:space="preserve">فیقع الفعل المقدّمیّ علی صفة الوجوب ، ولو لم یُقصد به التوصّل - کسائر الواجبات التوصّلیّة - لا علی حکمه السابق الثابت له لولا عروض صفة توقّف الواجب الفعلیّ المنجّز علیه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فیقع الدخول فی ملک الغیر واجباً إذا کان </w:t>
      </w:r>
      <w:r>
        <w:rPr>
          <w:rStyle w:val="FootnoteReference"/>
        </w:rPr>
        <w:footnoteReference w:id="464"/>
      </w:r>
      <w:r>
        <w:rPr>
          <w:rFonts w:ascii="Amiri" w:hAnsi="Amiri" w:eastAsia="Amiri" w:cs="Amiri"/>
          <w:lang w:bidi="ar-SA"/>
          <w:color w:val="111111"/>
          <w:sz w:val="28"/>
          <w:szCs w:val="28"/>
          <w:rtl/>
        </w:rPr>
        <w:t xml:space="preserve">مقدّمةً لإنقاذ غریقٍ أو إطفاء حریقٍ واجبٍ فعلیٍّ ، لا حراماً ، وإن لم یلتفت إلی التوقّف والمقدّمیّة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غایة الأمر یکون حینئذٍ متجرّءاً فیه .</w:t>
      </w:r>
    </w:p>
    <w:p>
      <w:pPr>
        <w:pStyle w:val="BookText"/>
      </w:pPr>
      <w:r>
        <w:rPr>
          <w:rFonts w:ascii="IRNazanin" w:hAnsi="IRNazanin" w:eastAsia="IRNazanin" w:cs="IRNazanin"/>
          <w:lang w:bidi="fa-IR"/>
          <w:color w:val="111111"/>
          <w:sz w:val="28"/>
          <w:szCs w:val="28"/>
          <w:rtl/>
        </w:rPr>
        <w:t xml:space="preserve">کما أنّه مع الالتفات یتجرّأ بالنسبة إلی ذی المقدّمة ، فی ما لم یقصد التوصّل إلیه أصلاً .</w:t>
      </w:r>
    </w:p>
    <w:p>
      <w:pPr>
        <w:pStyle w:val="BookText"/>
      </w:pPr>
      <w:r>
        <w:rPr>
          <w:rFonts w:ascii="Amiri" w:hAnsi="Amiri" w:eastAsia="Amiri" w:cs="Amiri"/>
          <w:lang w:bidi="ar-SA"/>
          <w:color w:val="111111"/>
          <w:sz w:val="28"/>
          <w:szCs w:val="28"/>
          <w:rtl/>
        </w:rPr>
        <w:t xml:space="preserve">وأمّا إذا قصده ولکنّه لم یأتِ بها بهذا الداعی ، بل بداعٍ آخر أکّده بقصد التوصّل ، فلا یکون متجرّءاً أصلاً .</w:t>
      </w:r>
    </w:p>
    <w:p>
      <w:pPr>
        <w:pStyle w:val="BookText"/>
      </w:pPr>
      <w:r>
        <w:rPr>
          <w:rFonts w:ascii="IRNazanin" w:hAnsi="IRNazanin" w:eastAsia="IRNazanin" w:cs="IRNazanin"/>
          <w:lang w:bidi="fa-IR"/>
          <w:color w:val="111111"/>
          <w:sz w:val="28"/>
          <w:szCs w:val="28"/>
          <w:rtl/>
        </w:rPr>
        <w:t xml:space="preserve">وبالجملة: یکون التوصّل بها إلی ذی المقدّمة من الفوائد المترتّبة علی المقدّمة الواجبة ، لا أن یکون قصده قیداً وشرطاً لوقوعها علی صفة الوجوب ؛ لثبوت ملاک الوجوب </w:t>
      </w:r>
      <w:r>
        <w:rPr>
          <w:rStyle w:val="FootnoteReference"/>
        </w:rPr>
        <w:footnoteReference w:id="465"/>
      </w:r>
      <w:r>
        <w:rPr>
          <w:rFonts w:ascii="IRNazanin" w:hAnsi="IRNazanin" w:eastAsia="IRNazanin" w:cs="IRNazanin"/>
          <w:lang w:bidi="fa-IR"/>
          <w:color w:val="111111"/>
          <w:sz w:val="28"/>
          <w:szCs w:val="28"/>
          <w:rtl/>
        </w:rPr>
        <w:t xml:space="preserve">فی نفسها بلا دخلٍ له فیه أصلاً ، وإلّا لما حصل ذات الواجب ، ولما سقط الوجوب به ، کما لا یخفی .</w:t>
      </w:r>
    </w:p>
    <w:p>
      <w:pPr>
        <w:pStyle w:val="BookText"/>
      </w:pPr>
      <w:r>
        <w:rPr>
          <w:rFonts w:ascii="IRNazanin" w:hAnsi="IRNazanin" w:eastAsia="IRNazanin" w:cs="IRNazanin"/>
          <w:lang w:bidi="fa-IR"/>
          <w:color w:val="111111"/>
          <w:sz w:val="28"/>
          <w:szCs w:val="28"/>
          <w:rtl/>
        </w:rPr>
        <w:t xml:space="preserve">ولا یقاس علی ما إذا أتی بالفرد المحرّم منها ؛ حیث یسقط به الوجوب مع أنّه لیس بواجب ؛ وذلک لأنّ الفرد المحرَّم إنّما یسقط به الوجوب لکونه کغیره فی حصول الغرض به بلا تفاوت أصلاً ، إلّاأنّه لأجل </w:t>
      </w:r>
      <w:r>
        <w:rPr>
          <w:rStyle w:val="FootnoteReference"/>
        </w:rPr>
        <w:footnoteReference w:id="466"/>
      </w:r>
      <w:r>
        <w:rPr>
          <w:rFonts w:ascii="IRNazanin" w:hAnsi="IRNazanin" w:eastAsia="IRNazanin" w:cs="IRNazanin"/>
          <w:lang w:bidi="fa-IR"/>
          <w:color w:val="111111"/>
          <w:sz w:val="28"/>
          <w:szCs w:val="28"/>
          <w:rtl/>
        </w:rPr>
        <w:t xml:space="preserve">وقوعه علی صفة</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3" w:name="pg14419_166862"/>
    <w:bookmarkEnd w:id="123"/>
    <w:p>
      <w:pPr>
        <w:pStyle w:val="BookText"/>
      </w:pPr>
      <w:r>
        <w:rPr>
          <w:rFonts w:ascii="IRNazanin" w:hAnsi="IRNazanin" w:eastAsia="IRNazanin" w:cs="IRNazanin"/>
          <w:lang w:bidi="fa-IR"/>
          <w:color w:val="111111"/>
          <w:sz w:val="28"/>
          <w:szCs w:val="28"/>
          <w:rtl/>
        </w:rPr>
        <w:t xml:space="preserve">الحرمة لا یکاد یقع علی صفة الوجوب .</w:t>
      </w:r>
    </w:p>
    <w:p>
      <w:pPr>
        <w:pStyle w:val="BookText"/>
      </w:pPr>
      <w:r>
        <w:rPr>
          <w:rFonts w:ascii="IRNazanin" w:hAnsi="IRNazanin" w:eastAsia="IRNazanin" w:cs="IRNazanin"/>
          <w:lang w:bidi="fa-IR"/>
          <w:color w:val="111111"/>
          <w:sz w:val="28"/>
          <w:szCs w:val="28"/>
          <w:rtl/>
        </w:rPr>
        <w:t xml:space="preserve">وهذا بخلاف ما هاهنا </w:t>
      </w:r>
      <w:r>
        <w:rPr>
          <w:rStyle w:val="FootnoteReference"/>
        </w:rPr>
        <w:footnoteReference w:id="467"/>
      </w:r>
      <w:r>
        <w:rPr>
          <w:rFonts w:ascii="IRNazanin" w:hAnsi="IRNazanin" w:eastAsia="IRNazanin" w:cs="IRNazanin"/>
          <w:lang w:bidi="fa-IR"/>
          <w:color w:val="111111"/>
          <w:sz w:val="28"/>
          <w:szCs w:val="28"/>
          <w:rtl/>
        </w:rPr>
        <w:t xml:space="preserve">، فإنّه إن کان کغیره ممّا یُقصد به التوصّل فی حصول الغرض ، فلابدّ أن یقع علی صفة الوجوب مثله ؛ لثبوت المقتضی فیه بلا مانع ، وإلّا لما کان یسقط به الوجوب ضرورةً ، والتالی باطل بداهةً ، فیکشف هذا عن عدم اعتبار قصده فی الوقوع علی صفة الوجوب قطعاً ، وانتظِر لذلک تتمّةَ توضیح </w:t>
      </w:r>
      <w:r>
        <w:rPr>
          <w:rStyle w:val="FootnoteReference"/>
        </w:rPr>
        <w:footnoteReference w:id="468"/>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والعجب أنّه شدّد النکیر علی القول بالمقدّمة الموصلة ، واعتبارِ ترتّب ذی المقدّمة علیها فی وقوعها علی صفة الوجوب - علی ما حرّره بعض مقرّری بحثه قدس سره - بما یتوجّه علی اعتبار قصد التوصّل فی وقوعها کذلک ، فراجع تمام کلامه - زید فی علوّ مقامه - وتأمّل فی نقضه وإبرامه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6"/>
      </w:pPr>
      <w:bookmarkStart w:id="847" w:name="_Toc287"/>
      <w:r>
        <w:t>المقدّمة الموصلة وما یرد علیها :</w:t>
      </w:r>
      <w:bookmarkEnd w:id="847"/>
    </w:p>
    <w:p>
      <w:pPr>
        <w:pStyle w:val="BookText"/>
      </w:pPr>
      <w:r>
        <w:rPr>
          <w:rFonts w:ascii="IRNazanin" w:hAnsi="IRNazanin" w:eastAsia="IRNazanin" w:cs="IRNazanin"/>
          <w:lang w:bidi="fa-IR"/>
          <w:color w:val="111111"/>
          <w:sz w:val="28"/>
          <w:szCs w:val="28"/>
          <w:rtl/>
        </w:rPr>
        <w:t xml:space="preserve">وأمّا عدم اعتبار ترتُّبِ ذی المقدّمة علیها فی وقوعها علی صفة الوجوب:</w:t>
      </w:r>
    </w:p>
    <w:p>
      <w:pPr>
        <w:pStyle w:val="Heading6"/>
      </w:pPr>
      <w:bookmarkStart w:id="848" w:name="_Toc288"/>
      <w:r>
        <w:t>الإشکال الأول</w:t>
      </w:r>
      <w:bookmarkEnd w:id="848"/>
    </w:p>
    <w:p>
      <w:pPr>
        <w:pStyle w:val="BookText"/>
      </w:pPr>
      <w:r>
        <w:rPr>
          <w:rFonts w:ascii="IRNazanin" w:hAnsi="IRNazanin" w:eastAsia="IRNazanin" w:cs="IRNazanin"/>
          <w:lang w:bidi="fa-IR"/>
          <w:color w:val="111111"/>
          <w:sz w:val="28"/>
          <w:szCs w:val="28"/>
          <w:rtl/>
        </w:rPr>
        <w:t xml:space="preserve">فلأنّه لا یکاد یعتبر فی الواجب إلّاما له دخْلٌ فی غرضه الداعی إلی إیجابه ، والباعث علی طلبه ، ولیس الغرض من المقدّمة إلّاحصول ما لولاه لما أمکن حصول ذی المقدّمة ؛ ضرورةَ أنّه لا یکاد یکون الغرض إلّاما یترتّب علیه من فائدته وأثره ، ولا یترتّب علی المقدّمة إلّاذلک ، ولا تفاوت فیه بین ما یترتّب علیه الواجب، وما لایترتّب علیه أصلاً، وأنّه لا محالة یترتّب علیهما، کما لایخفی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4" w:name="pg14419_166863"/>
    <w:bookmarkEnd w:id="124"/>
    <w:p>
      <w:pPr>
        <w:pStyle w:val="BookText"/>
      </w:pPr>
      <w:r>
        <w:rPr>
          <w:rFonts w:ascii="IRNazanin" w:hAnsi="IRNazanin" w:eastAsia="IRNazanin" w:cs="IRNazanin"/>
          <w:lang w:bidi="fa-IR"/>
          <w:color w:val="111111"/>
          <w:sz w:val="28"/>
          <w:szCs w:val="28"/>
          <w:rtl/>
        </w:rPr>
        <w:t xml:space="preserve">وأمّا ترتّب الواجب ، فلا یعقل أن یکون الغرضَ الداعی إلی إیجابها والباعثَ علی طلبها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فإنّه لیس بأثر تمام المقدّمات - فضلاً عن إحداها - فی غالب الواجبات ؛ فإنّ الواجب - إِلّا ما قلَّ - فی الشرعیّات والعرفیّات فعلٌ اختیاریٌّ یختار المکلّف تارةً إتیانه بعدَ وجود تمام مقدّماته ، وأُخری عدمَ إتیانه، فکیف یکون اختیار إتیانه </w:t>
      </w:r>
      <w:r>
        <w:rPr>
          <w:rStyle w:val="FootnoteReference"/>
        </w:rPr>
        <w:footnoteReference w:id="472"/>
      </w:r>
      <w:r>
        <w:rPr>
          <w:rFonts w:ascii="IRNazanin" w:hAnsi="IRNazanin" w:eastAsia="IRNazanin" w:cs="IRNazanin"/>
          <w:lang w:bidi="fa-IR"/>
          <w:color w:val="111111"/>
          <w:sz w:val="28"/>
          <w:szCs w:val="28"/>
          <w:rtl/>
        </w:rPr>
        <w:t xml:space="preserve">غرضاً من إیجاب کلّ واحدة من مقدّماته، مع عدم ترتّبه علی تمامها </w:t>
      </w:r>
      <w:r>
        <w:rPr>
          <w:rStyle w:val="FootnoteReference"/>
        </w:rPr>
        <w:footnoteReference w:id="473"/>
      </w:r>
      <w:r>
        <w:rPr>
          <w:rFonts w:ascii="IRNazanin" w:hAnsi="IRNazanin" w:eastAsia="IRNazanin" w:cs="IRNazanin"/>
          <w:lang w:bidi="fa-IR"/>
          <w:color w:val="111111"/>
          <w:sz w:val="28"/>
          <w:szCs w:val="28"/>
          <w:rtl/>
        </w:rPr>
        <w:t xml:space="preserve">، فضلاً عن کلّ واحدة منها ؟</w:t>
      </w:r>
    </w:p>
    <w:p>
      <w:pPr>
        <w:pStyle w:val="BookText"/>
      </w:pPr>
      <w:r>
        <w:rPr>
          <w:rFonts w:ascii="IRNazanin" w:hAnsi="IRNazanin" w:eastAsia="IRNazanin" w:cs="IRNazanin"/>
          <w:lang w:bidi="fa-IR"/>
          <w:color w:val="111111"/>
          <w:sz w:val="28"/>
          <w:szCs w:val="28"/>
          <w:rtl/>
        </w:rPr>
        <w:t xml:space="preserve">نعم ، فی ما کان الواجب من الأفعال التسبیبیّة والتولیدیّة ، کان مترتّباً - لا محالة - علی تمام مقدّماته ؛ لعدم تخلّف المعلول عن علّته .</w:t>
      </w:r>
    </w:p>
    <w:p>
      <w:pPr>
        <w:pStyle w:val="BookText"/>
      </w:pPr>
      <w:r>
        <w:rPr>
          <w:rFonts w:ascii="IRNazanin" w:hAnsi="IRNazanin" w:eastAsia="IRNazanin" w:cs="IRNazanin"/>
          <w:lang w:bidi="fa-IR"/>
          <w:color w:val="111111"/>
          <w:sz w:val="28"/>
          <w:szCs w:val="28"/>
          <w:rtl/>
        </w:rPr>
        <w:t xml:space="preserve">ومن هنا قد انقدح : أنّ القول بالمقدّمة الموصلة یستلزم إنکارَ وجوب المقدّمة فی غالب الواجبات ، والقولَ بوجوب خصوص العلّة التامّة فی خصوص الواجبات التولیدیّة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 ما من واجب إلّا و له علّة تامّة ؛ ضرورةَ استحالة وجود الممکن بدونها ، فالتخصیص بالواجبات التولیدیّة بلا مخصِّص .</w:t>
      </w:r>
    </w:p>
    <w:p>
      <w:pPr>
        <w:pStyle w:val="BookText"/>
      </w:pPr>
      <w:r>
        <w:rPr>
          <w:rFonts w:ascii="IRNazanin" w:hAnsi="IRNazanin" w:eastAsia="IRNazanin" w:cs="IRNazanin"/>
          <w:lang w:bidi="fa-IR"/>
          <w:color w:val="111111"/>
          <w:sz w:val="28"/>
          <w:szCs w:val="28"/>
          <w:rtl/>
        </w:rPr>
        <w:t xml:space="preserve">قلت: نعم ، وإن استحال صدور الممکن بلا علّة ، إلّاأنّ مبادئ اختیار الفعل الاختیاریّ من أجزاء علّته ، وهی لا تکاد تتّصف بالوجوب ؛ لعدم کونها بالاختیار ، وإلّا لتسلسل ، کما هو واضح لمن تأمّل .</w:t>
      </w:r>
    </w:p>
    <w:p>
      <w:pPr>
        <w:pStyle w:val="Heading6"/>
      </w:pPr>
      <w:bookmarkStart w:id="849" w:name="_Toc289"/>
      <w:r>
        <w:t>الإشکال الثانی</w:t>
      </w:r>
      <w:bookmarkEnd w:id="849"/>
    </w:p>
    <w:p>
      <w:pPr>
        <w:pStyle w:val="BookText"/>
      </w:pPr>
      <w:r>
        <w:rPr>
          <w:rFonts w:ascii="IRNazanin" w:hAnsi="IRNazanin" w:eastAsia="IRNazanin" w:cs="IRNazanin"/>
          <w:lang w:bidi="fa-IR"/>
          <w:color w:val="111111"/>
          <w:sz w:val="28"/>
          <w:szCs w:val="28"/>
          <w:rtl/>
        </w:rPr>
        <w:t xml:space="preserve">ولأنّه لو کان معتبراً فیه الترتّب لما کان الطلب یسقط بمجرّد الإتیان بها ، من دون انتظارٍ لترتّب الواجب علیها ، بحیث لا یبقی فی البین إلّاطلبُه</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5" w:name="pg14419_166864"/>
    <w:bookmarkEnd w:id="125"/>
    <w:p>
      <w:pPr>
        <w:pStyle w:val="BookText"/>
      </w:pPr>
      <w:r>
        <w:rPr>
          <w:rFonts w:ascii="IRNazanin" w:hAnsi="IRNazanin" w:eastAsia="IRNazanin" w:cs="IRNazanin"/>
          <w:lang w:bidi="fa-IR"/>
          <w:color w:val="111111"/>
          <w:sz w:val="28"/>
          <w:szCs w:val="28"/>
          <w:rtl/>
        </w:rPr>
        <w:t xml:space="preserve">وإیجابه ، کما إذا لم تکن هذه بمقدّمته </w:t>
      </w:r>
      <w:r>
        <w:rPr>
          <w:rStyle w:val="FootnoteReference"/>
        </w:rPr>
        <w:footnoteReference w:id="474"/>
      </w:r>
      <w:r>
        <w:rPr>
          <w:rFonts w:ascii="IRNazanin" w:hAnsi="IRNazanin" w:eastAsia="IRNazanin" w:cs="IRNazanin"/>
          <w:lang w:bidi="fa-IR"/>
          <w:color w:val="111111"/>
          <w:sz w:val="28"/>
          <w:szCs w:val="28"/>
          <w:rtl/>
        </w:rPr>
        <w:t xml:space="preserve">، أو کانت حاصلة من الأوّل قبل إیجابه ، مع أنّ الطلب لا یکاد یسقط إلّابالموافقة ، أو بالعصیان والمخالفة ، أو بارتفاع موضوع التکلیف - کما فی سقوط الأمر بالکفن أو الدفن بسبب غرق المیّت أحیاناً أو حرقه - ، ولا یکون الإتیان بها - بالضرورة - من هذه الاُمور غیرِ الموافقة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 کما یسقط الأمر بتلک </w:t>
      </w:r>
      <w:r>
        <w:rPr>
          <w:rStyle w:val="FootnoteReference"/>
        </w:rPr>
        <w:footnoteReference w:id="476"/>
      </w:r>
      <w:r>
        <w:rPr>
          <w:rFonts w:ascii="IRNazanin" w:hAnsi="IRNazanin" w:eastAsia="IRNazanin" w:cs="IRNazanin"/>
          <w:lang w:bidi="fa-IR"/>
          <w:color w:val="111111"/>
          <w:sz w:val="28"/>
          <w:szCs w:val="28"/>
          <w:rtl/>
        </w:rPr>
        <w:t xml:space="preserve">الأُمور ، کذلک یسقط بما لیس بالمأمور به فی ما </w:t>
      </w:r>
      <w:r>
        <w:rPr>
          <w:rStyle w:val="FootnoteReference"/>
        </w:rPr>
        <w:footnoteReference w:id="477"/>
      </w:r>
      <w:r>
        <w:rPr>
          <w:rFonts w:ascii="IRNazanin" w:hAnsi="IRNazanin" w:eastAsia="IRNazanin" w:cs="IRNazanin"/>
          <w:lang w:bidi="fa-IR"/>
          <w:color w:val="111111"/>
          <w:sz w:val="28"/>
          <w:szCs w:val="28"/>
          <w:rtl/>
        </w:rPr>
        <w:t xml:space="preserve">یحصل به الغرض منه ، کسقوطه فی التوصّلیّات بفعل الغیر أو المحرّمات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 نعم ، ولکن لا محیص عن أن یکون ما یحصل به الغرض ، من الفعل الاختیاریّ للمکلّف متعلّقاً للطلب فی ما لم یکن فیه مانع - وهو کونه بالفعل محرّماً - ؛ ضرورةَ أنّه لا یکون بینهما تفاوت أصلاً ، فکیف یکون أحدهما متعلّقاً له فعلاً ، دون الآخَر؟</w:t>
      </w:r>
    </w:p>
    <w:p>
      <w:pPr>
        <w:pStyle w:val="Heading6"/>
      </w:pPr>
      <w:bookmarkStart w:id="850" w:name="_Toc290"/>
      <w:r>
        <w:t>استدلال صاحب الفصول علی وجوب خصوص المقدّمة الموصلة :</w:t>
      </w:r>
      <w:bookmarkEnd w:id="850"/>
    </w:p>
    <w:p>
      <w:pPr>
        <w:pStyle w:val="BookText"/>
      </w:pPr>
      <w:r>
        <w:rPr>
          <w:rFonts w:ascii="IRNazanin" w:hAnsi="IRNazanin" w:eastAsia="IRNazanin" w:cs="IRNazanin"/>
          <w:lang w:bidi="fa-IR"/>
          <w:color w:val="111111"/>
          <w:sz w:val="28"/>
          <w:szCs w:val="28"/>
          <w:rtl/>
        </w:rPr>
        <w:t xml:space="preserve">وقد استدلّ صاحب الفصول علی ما ذهب إلیه بوجوه ، حیث قال - بعد بیان أنّ التوصّل بها إلی الواجب من قبیل شرط الوجود لها ، لا من قبیل شرط الوجوب - ما هذا لفظه:</w:t>
      </w:r>
    </w:p>
    <w:p>
      <w:pPr>
        <w:pStyle w:val="Heading6"/>
      </w:pPr>
      <w:bookmarkStart w:id="851" w:name="_Toc291"/>
      <w:r>
        <w:t>الدلیل الأول</w:t>
      </w:r>
      <w:bookmarkEnd w:id="851"/>
    </w:p>
    <w:p>
      <w:pPr>
        <w:pStyle w:val="BookText"/>
      </w:pPr>
      <w:r>
        <w:rPr>
          <w:rFonts w:ascii="IRNazanin" w:hAnsi="IRNazanin" w:eastAsia="IRNazanin" w:cs="IRNazanin"/>
          <w:lang w:bidi="fa-IR"/>
          <w:color w:val="111111"/>
          <w:sz w:val="28"/>
          <w:szCs w:val="28"/>
          <w:rtl/>
        </w:rPr>
        <w:t xml:space="preserve">« والّذی یدلّک علی هذا - یعنی الاشتراط بالتوصّل - أنّ وجوب المقدّمة لمّا کان من باب الملازمة العقلیّة ، فالعقل لا یدلّ علیه زائداً علی القدر المذکور .</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6" w:name="pg14419_166865"/>
    <w:bookmarkEnd w:id="126"/>
    <w:p>
      <w:pPr>
        <w:pStyle w:val="Heading6"/>
      </w:pPr>
      <w:bookmarkStart w:id="852" w:name="_Toc292"/>
      <w:r>
        <w:t>الدلیل الثانی</w:t>
      </w:r>
      <w:bookmarkEnd w:id="852"/>
    </w:p>
    <w:p>
      <w:pPr>
        <w:pStyle w:val="BookText"/>
      </w:pPr>
      <w:r>
        <w:rPr>
          <w:rFonts w:ascii="IRNazanin" w:hAnsi="IRNazanin" w:eastAsia="IRNazanin" w:cs="IRNazanin"/>
          <w:lang w:bidi="fa-IR"/>
          <w:color w:val="111111"/>
          <w:sz w:val="28"/>
          <w:szCs w:val="28"/>
          <w:rtl/>
        </w:rPr>
        <w:t xml:space="preserve">وأیضاً لا یأبی العقل أن یقول الآمر الحکیم: أُرید الحجّ ، وأُرید المسیر الّذی یتوصّل به إلی فعل الواجب ، دون ما لم یتوصّل به إلیه ، بل الضرورة قاضیة بجواز تصریح الآمر بمثل ذلک ، کما أنّها قاضیة بقبح التصریح بعدم مطلوبیّتها له مطلقاً ، أو علی تقدیر التوصّل بها إلیه ، وذلک آیةُ عدم الملازمة بین وجوبه ووجوب مقدّماته علی تقدیر عدم التوصّل بها إلیه .</w:t>
      </w:r>
    </w:p>
    <w:p>
      <w:pPr>
        <w:pStyle w:val="Heading6"/>
      </w:pPr>
      <w:bookmarkStart w:id="853" w:name="_Toc293"/>
      <w:r>
        <w:t>الدلیل الثالث</w:t>
      </w:r>
      <w:bookmarkEnd w:id="853"/>
    </w:p>
    <w:p>
      <w:pPr>
        <w:pStyle w:val="BookText"/>
      </w:pPr>
      <w:r>
        <w:rPr>
          <w:rFonts w:ascii="IRNazanin" w:hAnsi="IRNazanin" w:eastAsia="IRNazanin" w:cs="IRNazanin"/>
          <w:lang w:bidi="fa-IR"/>
          <w:color w:val="111111"/>
          <w:sz w:val="28"/>
          <w:szCs w:val="28"/>
          <w:rtl/>
        </w:rPr>
        <w:t xml:space="preserve">وأیضاً حیث إنّ المطلوب بالمقدّمة مجرّد التوصّل بها إلی الواجب وحصوله ، فلا جرم یکون التوصّل بها إلیه وحصولُه معتبراً فی مطلوبیّتها ، فلا تکون مطلوبةً إذا انفکّت عنه ، وصریح الوجدان قاضٍ بأنّ من یرید شیئاً لمجرّد حصول شیءٍ آخر ، لا یریده إذا وقع مجرّداً عنه ، ویلزم منه أن یکون وقوعه علی وجه المطلوب منوطاً بحصوله » </w:t>
      </w:r>
      <w:r>
        <w:rPr>
          <w:rStyle w:val="FootnoteReference"/>
        </w:rPr>
        <w:footnoteReference w:id="478"/>
      </w:r>
      <w:r>
        <w:rPr>
          <w:rFonts w:ascii="IRNazanin" w:hAnsi="IRNazanin" w:eastAsia="IRNazanin" w:cs="IRNazanin"/>
          <w:lang w:bidi="fa-IR"/>
          <w:color w:val="111111"/>
          <w:sz w:val="28"/>
          <w:szCs w:val="28"/>
          <w:rtl/>
        </w:rPr>
        <w:t xml:space="preserve">. إنتهی موضعُ الحاجة من کلامه ، زید فی علوّ مقامه .</w:t>
      </w:r>
    </w:p>
    <w:p>
      <w:pPr>
        <w:pStyle w:val="Heading6"/>
      </w:pPr>
      <w:bookmarkStart w:id="854" w:name="_Toc294"/>
      <w:r>
        <w:t>الإشکال فی أدلّة الفصول :</w:t>
      </w:r>
      <w:bookmarkEnd w:id="85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الإشکال علی الدلیل الأول</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479"/>
      </w:r>
      <w:r>
        <w:rPr>
          <w:rFonts w:ascii="IRNazanin" w:hAnsi="IRNazanin" w:eastAsia="IRNazanin" w:cs="IRNazanin"/>
          <w:lang w:bidi="fa-IR"/>
          <w:color w:val="111111"/>
          <w:sz w:val="28"/>
          <w:szCs w:val="28"/>
          <w:rtl/>
        </w:rPr>
        <w:t xml:space="preserve">بما لا مزید علیه : أنّ العقل الحاکم بالملازمة دلّ علی وجوب مطلق المقدّمة ، لا خصوص ما إذا ترتّب علیها الواجب ، فی ما لم یکن هناک مانع عن وجوبه - کما إذا کان بعض مصادیقه محکوماً فعلاً بالحرمة - ؛ لثبوت مناط الوجوب حینئذٍ فی مطلقها ، وعدمِ اختصاصه بالمقیّد بذلک منها .</w:t>
      </w:r>
    </w:p>
    <w:p>
      <w:pPr>
        <w:pStyle w:val="Heading6"/>
      </w:pPr>
      <w:bookmarkStart w:id="855" w:name="_Toc295"/>
      <w:r>
        <w:t>الإشکال علی الدلیل الثانی</w:t>
      </w:r>
      <w:bookmarkEnd w:id="855"/>
    </w:p>
    <w:p>
      <w:pPr>
        <w:pStyle w:val="BookText"/>
      </w:pPr>
      <w:r>
        <w:rPr>
          <w:rFonts w:ascii="IRNazanin" w:hAnsi="IRNazanin" w:eastAsia="IRNazanin" w:cs="IRNazanin"/>
          <w:lang w:bidi="fa-IR"/>
          <w:color w:val="111111"/>
          <w:sz w:val="28"/>
          <w:szCs w:val="28"/>
          <w:rtl/>
        </w:rPr>
        <w:t xml:space="preserve">وقد انقدح منه: أنّه لیس للآمر الحکیم - غیر المجازف بالقول - ذلک التصریحُ ، وأنّ دعوی : أنّ الضرورة قاضیة بجوازه ، مجازفةٌ . کیف یکون ذا ، مع ثبوت الملاک فی الصورتین بلا تفاوت أصلاً ؟ کما عرفت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إنّما یکون التفاوت بینهما فی حصول المطلوب النفسیّ فی إحداهما ، وعدمِ حصوله فی الاُخری ، من دون دخلٍ لها فی ذلک أصلاً ، بل کان بحُسْنِ اختیار المکلّف وسوء اختیاره ، وجاز للآمر أن یصرّح بحصول هذا المطلوب فی إحداهما ، وعدمِ حصوله فی الاُخری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وحیث </w:t>
      </w:r>
      <w:r>
        <w:rPr>
          <w:rStyle w:val="FootnoteReference"/>
        </w:rPr>
        <w:footnoteReference w:id="481"/>
      </w:r>
      <w:r>
        <w:rPr>
          <w:rFonts w:ascii="IRNazanin" w:hAnsi="IRNazanin" w:eastAsia="IRNazanin" w:cs="IRNazanin"/>
          <w:lang w:bidi="fa-IR"/>
          <w:color w:val="111111"/>
          <w:sz w:val="28"/>
          <w:szCs w:val="28"/>
          <w:rtl/>
        </w:rPr>
        <w:t xml:space="preserve">إنّ الملحوظ بالذات هو هذا المطلوب - وإنّما کان الواجب الغیریُّ ملحوظاً إجمالاً بتبعه ، کما یأتی </w:t>
      </w:r>
      <w:r>
        <w:rPr>
          <w:rStyle w:val="FootnoteReference"/>
        </w:rPr>
        <w:footnoteReference w:id="482"/>
      </w:r>
      <w:r>
        <w:rPr>
          <w:rFonts w:ascii="IRNazanin" w:hAnsi="IRNazanin" w:eastAsia="IRNazanin" w:cs="IRNazanin"/>
          <w:lang w:bidi="fa-IR"/>
          <w:color w:val="111111"/>
          <w:sz w:val="28"/>
          <w:szCs w:val="28"/>
          <w:rtl/>
        </w:rPr>
        <w:t xml:space="preserve">أنّ وجوب المقدّمة علی الملازمة تبعیٌّ - جاز فی صورة عدم حصول المطلوب النفسیّ التصریحُ بعدم حصول المطلوب أصلاً ؛ لعدم الالتفات </w:t>
      </w:r>
      <w:r>
        <w:rPr>
          <w:rStyle w:val="FootnoteReference"/>
        </w:rPr>
        <w:footnoteReference w:id="483"/>
      </w:r>
      <w:r>
        <w:rPr>
          <w:rFonts w:ascii="IRNazanin" w:hAnsi="IRNazanin" w:eastAsia="IRNazanin" w:cs="IRNazanin"/>
          <w:lang w:bidi="fa-IR"/>
          <w:color w:val="111111"/>
          <w:sz w:val="28"/>
          <w:szCs w:val="28"/>
          <w:rtl/>
        </w:rPr>
        <w:t xml:space="preserve">إلی ما حصل من المقدّمة ، فضلاً عن کونها مطلوبة ، کما جاز التصریح بحصول الغیریّ مع عدم فائدته لو التفت إلیها ، کما لا یخفی ، فافهم .</w:t>
      </w:r>
    </w:p>
    <w:p>
      <w:pPr>
        <w:pStyle w:val="BookText"/>
      </w:pPr>
      <w:r>
        <w:rPr>
          <w:rFonts w:ascii="IRNazanin" w:hAnsi="IRNazanin" w:eastAsia="IRNazanin" w:cs="IRNazanin"/>
          <w:lang w:bidi="fa-IR"/>
          <w:color w:val="111111"/>
          <w:sz w:val="28"/>
          <w:szCs w:val="28"/>
          <w:rtl/>
        </w:rPr>
        <w:t xml:space="preserve">إن قلت: لعلّ التفاوت بینهما فی صحّة اتّصاف إحداهما بعنوان الموصلیّة دون الاُخری ، أوجب التفاوتَ بینهما فی المطلوبیّة وعدمِها ، وجوازِ التصریح بهما ، وإن لم یکن بینهما تفاوت فی الأثر ، کما مرّ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14419_166867"/>
    <w:bookmarkEnd w:id="127"/>
    <w:p>
      <w:pPr>
        <w:pStyle w:val="BookText"/>
      </w:pPr>
      <w:r>
        <w:rPr>
          <w:rFonts w:ascii="IRNazanin" w:hAnsi="IRNazanin" w:eastAsia="IRNazanin" w:cs="IRNazanin"/>
          <w:lang w:bidi="fa-IR"/>
          <w:color w:val="111111"/>
          <w:sz w:val="28"/>
          <w:szCs w:val="28"/>
          <w:rtl/>
        </w:rPr>
        <w:t xml:space="preserve">قلت: إنّما یوجب ذلک تفاوتاً فیهما لو کان ذلک لأجل تفاوتٍ فی ناحیة المقدّمة ، لا فی ما إذا لم یکن تفاوتٌ فی ناحیتها أصلاً ، کما هاهنا ؛ ضرورة أنّ الموصلیّة إنّما تُنتزع من وجود الواجب وترتّبِه علیها ، من دون اختلاف فی ناحیتها ، وکونها فی کلتا </w:t>
      </w:r>
      <w:r>
        <w:rPr>
          <w:rStyle w:val="FootnoteReference"/>
        </w:rPr>
        <w:footnoteReference w:id="485"/>
      </w:r>
      <w:r>
        <w:rPr>
          <w:rFonts w:ascii="IRNazanin" w:hAnsi="IRNazanin" w:eastAsia="IRNazanin" w:cs="IRNazanin"/>
          <w:lang w:bidi="fa-IR"/>
          <w:color w:val="111111"/>
          <w:sz w:val="28"/>
          <w:szCs w:val="28"/>
          <w:rtl/>
        </w:rPr>
        <w:t xml:space="preserve">الصورتین علی نحوٍ واحد وخصوصیّةٍ واحدة ؛ ضرورةَ أنّ الإتیان بالواجب بعد الإتیان بها بالاختیار تارةً ، وعدمَ الإتیان به کذلک أُخری ، لایوجب تفاوتاً فیها ، کما لا یخفی .</w:t>
      </w:r>
    </w:p>
    <w:p>
      <w:pPr>
        <w:pStyle w:val="Heading6"/>
      </w:pPr>
      <w:bookmarkStart w:id="856" w:name="_Toc296"/>
      <w:r>
        <w:t>الإشکال علی الدلیل الثالث</w:t>
      </w:r>
      <w:bookmarkEnd w:id="8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وأمّا ما أفاده قدس سره : من أنّ مطلوبیّة المقدّمة حیث کانت بمجرّد التوصّل بها ، فلا جرم یکون التوصّل بها إلی الواجب معتبراً فیها .</w:t>
      </w:r>
    </w:p>
    <w:p>
      <w:pPr>
        <w:pStyle w:val="BookText"/>
      </w:pPr>
      <w:r>
        <w:rPr>
          <w:rFonts w:ascii="IRNazanin" w:hAnsi="IRNazanin" w:eastAsia="IRNazanin" w:cs="IRNazanin"/>
          <w:lang w:bidi="fa-IR"/>
          <w:color w:val="111111"/>
          <w:sz w:val="28"/>
          <w:szCs w:val="28"/>
          <w:rtl/>
        </w:rPr>
        <w:t xml:space="preserve">ففیه: أنّه إنّما کانت مطلوبیّتها لأجل عدم التمکّن من التوصّل بدونها ، لا لأجل التوصّل بها ؛ لما عرفت </w:t>
      </w:r>
      <w:r>
        <w:rPr>
          <w:rStyle w:val="FootnoteReference"/>
        </w:rPr>
        <w:footnoteReference w:id="486"/>
      </w:r>
      <w:r>
        <w:rPr>
          <w:rFonts w:ascii="IRNazanin" w:hAnsi="IRNazanin" w:eastAsia="IRNazanin" w:cs="IRNazanin"/>
          <w:lang w:bidi="fa-IR"/>
          <w:color w:val="111111"/>
          <w:sz w:val="28"/>
          <w:szCs w:val="28"/>
          <w:rtl/>
        </w:rPr>
        <w:t xml:space="preserve">من أنّه لیس من آثارها ، بل ممّا یترتّب علیها </w:t>
      </w:r>
      <w:r>
        <w:rPr>
          <w:rStyle w:val="FootnoteReference"/>
        </w:rPr>
        <w:footnoteReference w:id="487"/>
      </w:r>
      <w:r>
        <w:rPr>
          <w:rFonts w:ascii="IRNazanin" w:hAnsi="IRNazanin" w:eastAsia="IRNazanin" w:cs="IRNazanin"/>
          <w:lang w:bidi="fa-IR"/>
          <w:color w:val="111111"/>
          <w:sz w:val="28"/>
          <w:szCs w:val="28"/>
          <w:rtl/>
        </w:rPr>
        <w:t xml:space="preserve">أحیاناً بالاختیار بمقدّمات أُخری - وهی مبادئ اختیاره </w:t>
      </w:r>
      <w:r>
        <w:rPr>
          <w:rStyle w:val="FootnoteReference"/>
        </w:rPr>
        <w:footnoteReference w:id="488"/>
      </w:r>
      <w:r>
        <w:rPr>
          <w:rFonts w:ascii="IRNazanin" w:hAnsi="IRNazanin" w:eastAsia="IRNazanin" w:cs="IRNazanin"/>
          <w:lang w:bidi="fa-IR"/>
          <w:color w:val="111111"/>
          <w:sz w:val="28"/>
          <w:szCs w:val="28"/>
          <w:rtl/>
        </w:rPr>
        <w:t xml:space="preserve">- ، ولا یکاد یکون مثل ذا غایةً لمطلوبیّتها ، وداعیاً إلی إیجابها .</w:t>
      </w:r>
    </w:p>
    <w:p>
      <w:pPr>
        <w:pStyle w:val="BookText"/>
      </w:pPr>
      <w:r>
        <w:rPr>
          <w:rFonts w:ascii="IRNazanin" w:hAnsi="IRNazanin" w:eastAsia="IRNazanin" w:cs="IRNazanin"/>
          <w:lang w:bidi="fa-IR"/>
          <w:color w:val="111111"/>
          <w:sz w:val="28"/>
          <w:szCs w:val="28"/>
          <w:rtl/>
        </w:rPr>
        <w:t xml:space="preserve">وصریح الوجدان إنّما یقضی بأنّ ما أُرید لأجل غایةٍ ، وتجرَّدَ عن الغایة - بسبب عدم حصول سائر ما له دَخْلٌ فی حصولها - ، یقعُ علی ما هو علیه من المطلوبیّة الغیریّة ، کیف ؟ وإلّا یلزم أن یکون وجودها من قیوده ، ومقدّمةً</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14419_166868"/>
    <w:bookmarkEnd w:id="128"/>
    <w:p>
      <w:pPr>
        <w:pStyle w:val="BookText"/>
      </w:pPr>
      <w:r>
        <w:rPr>
          <w:rFonts w:ascii="IRNazanin" w:hAnsi="IRNazanin" w:eastAsia="IRNazanin" w:cs="IRNazanin"/>
          <w:lang w:bidi="fa-IR"/>
          <w:color w:val="111111"/>
          <w:sz w:val="28"/>
          <w:szCs w:val="28"/>
          <w:rtl/>
        </w:rPr>
        <w:t xml:space="preserve">لوقوعه علی نحوٍ تکون الملازمة بین وجوبه بذاک النحو ووجوبها ، وهو کما تری ؛ ضرورةَ أنّ الغایة لا تکاد تکون قیداً لذی الغایة ، بحیث کان تخلّفها موجباً لعدم وقوع ذی الغایة علی ما هو علیه من المطلوبیّة الغیریّة ، وإلّا یلزم أن تکون مطلوبةً بطلبه کسائر قیوده ، فلا یکون وقوعه علی هذه الصفة منوطاً بحصولها ، کما أفاده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ولعلّ </w:t>
      </w:r>
      <w:r>
        <w:rPr>
          <w:rStyle w:val="FootnoteReference"/>
        </w:rPr>
        <w:footnoteReference w:id="489"/>
      </w:r>
      <w:r>
        <w:rPr>
          <w:rFonts w:ascii="Amiri" w:hAnsi="Amiri" w:eastAsia="Amiri" w:cs="Amiri"/>
          <w:lang w:bidi="ar-SA"/>
          <w:color w:val="111111"/>
          <w:sz w:val="28"/>
          <w:szCs w:val="28"/>
          <w:rtl/>
        </w:rPr>
        <w:t xml:space="preserve">منشأ توهّمه : خَلْطُه بین الجهة التقییدیّة والتعلیلیّة ، هذا .</w:t>
      </w:r>
    </w:p>
    <w:p>
      <w:pPr>
        <w:pStyle w:val="BookText"/>
      </w:pPr>
      <w:r>
        <w:rPr>
          <w:rFonts w:ascii="IRNazanin" w:hAnsi="IRNazanin" w:eastAsia="IRNazanin" w:cs="IRNazanin"/>
          <w:lang w:bidi="fa-IR"/>
          <w:color w:val="111111"/>
          <w:sz w:val="28"/>
          <w:szCs w:val="28"/>
          <w:rtl/>
        </w:rPr>
        <w:t xml:space="preserve">مع ما عرفت من عدم التخلّف هاهنا ، وأنّ الغایة إنّما هو حصول ما لولاه لما تمکّن من التوصّل إلی المطلوب النفسیّ ، فافهم واغتنم .</w:t>
      </w:r>
    </w:p>
    <w:p>
      <w:pPr>
        <w:pStyle w:val="Heading6"/>
      </w:pPr>
      <w:bookmarkStart w:id="857" w:name="_Toc297"/>
      <w:r>
        <w:t>دلیلٌ آخر علی وجوب خصوص المقدّمة الموصلة والمناقشة فیه</w:t>
      </w:r>
      <w:bookmarkEnd w:id="857"/>
    </w:p>
    <w:p>
      <w:pPr>
        <w:pStyle w:val="BookText"/>
      </w:pPr>
      <w:r>
        <w:rPr>
          <w:rFonts w:ascii="IRNazanin" w:hAnsi="IRNazanin" w:eastAsia="IRNazanin" w:cs="IRNazanin"/>
          <w:lang w:bidi="fa-IR"/>
          <w:color w:val="111111"/>
          <w:sz w:val="28"/>
          <w:szCs w:val="28"/>
          <w:rtl/>
        </w:rPr>
        <w:t xml:space="preserve">ثمّ إنّه لا شهادة علی الاعتبار فی صحّة منع المولی عن مقدّماته بأنحائها ، إلّا فی ما إذا رتّب </w:t>
      </w:r>
      <w:r>
        <w:rPr>
          <w:rStyle w:val="FootnoteReference"/>
        </w:rPr>
        <w:footnoteReference w:id="490"/>
      </w:r>
      <w:r>
        <w:rPr>
          <w:rFonts w:ascii="IRNazanin" w:hAnsi="IRNazanin" w:eastAsia="IRNazanin" w:cs="IRNazanin"/>
          <w:lang w:bidi="fa-IR"/>
          <w:color w:val="111111"/>
          <w:sz w:val="28"/>
          <w:szCs w:val="28"/>
          <w:rtl/>
        </w:rPr>
        <w:t xml:space="preserve">علیه الواجب </w:t>
      </w:r>
      <w:r>
        <w:rPr>
          <w:rStyle w:val="FootnoteReference"/>
        </w:rPr>
        <w:footnoteReference w:id="491"/>
      </w:r>
      <w:r>
        <w:rPr>
          <w:rFonts w:ascii="IRNazanin" w:hAnsi="IRNazanin" w:eastAsia="IRNazanin" w:cs="IRNazanin"/>
          <w:lang w:bidi="fa-IR"/>
          <w:color w:val="111111"/>
          <w:sz w:val="28"/>
          <w:szCs w:val="28"/>
          <w:rtl/>
        </w:rPr>
        <w:t xml:space="preserve">- لو سلّم - أصلاً ؛ ضرورةَ أنّه وإن لم یکن الواجب منها حینئذٍ غیرَ الموصلة ، إلّاأنّه لیس لأجل اختصاص الوجوب بها فی باب المقدّمة ، بل لأجل المنع عن غیرها المانعِ عن الاتّصاف بالوجوب هاهنا ، کما لا یخفی .</w:t>
      </w:r>
    </w:p>
    <w:p>
      <w:pPr>
        <w:pStyle w:val="BookText"/>
      </w:pPr>
      <w:r>
        <w:rPr>
          <w:rFonts w:ascii="Amiri" w:hAnsi="Amiri" w:eastAsia="Amiri" w:cs="Amiri"/>
          <w:lang w:bidi="ar-SA"/>
          <w:color w:val="111111"/>
          <w:sz w:val="28"/>
          <w:szCs w:val="28"/>
          <w:rtl/>
        </w:rPr>
        <w:t xml:space="preserve">مع أنّ فی صحّة المنع عنه </w:t>
      </w:r>
      <w:r>
        <w:rPr>
          <w:rStyle w:val="FootnoteReference"/>
        </w:rPr>
        <w:footnoteReference w:id="492"/>
      </w:r>
      <w:r>
        <w:rPr>
          <w:rFonts w:ascii="Amiri" w:hAnsi="Amiri" w:eastAsia="Amiri" w:cs="Amiri"/>
          <w:lang w:bidi="ar-SA"/>
          <w:color w:val="111111"/>
          <w:sz w:val="28"/>
          <w:szCs w:val="28"/>
          <w:rtl/>
        </w:rPr>
        <w:t xml:space="preserve">کذلک نظراً </w:t>
      </w:r>
      <w:r>
        <w:rPr>
          <w:rStyle w:val="FootnoteReference"/>
        </w:rPr>
        <w:footnoteReference w:id="493"/>
      </w:r>
      <w:r>
        <w:rPr>
          <w:rFonts w:ascii="IRNazanin" w:hAnsi="IRNazanin" w:eastAsia="IRNazanin" w:cs="IRNazanin"/>
          <w:lang w:bidi="fa-IR"/>
          <w:color w:val="111111"/>
          <w:sz w:val="28"/>
          <w:szCs w:val="28"/>
          <w:rtl/>
        </w:rPr>
        <w:t xml:space="preserve">، وجهُه : أنّه یلزم أن لا یکون ترکُ الواجب حینئذٍ مخالفةً وعصیاناً ؛ لعدم التمکّن شرعاً منه ؛ لاختصاص جواز مقدّمته بصورة الإتیان به .</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14419_166869"/>
    <w:bookmarkEnd w:id="129"/>
    <w:p>
      <w:pPr>
        <w:pStyle w:val="BookText"/>
      </w:pPr>
      <w:r>
        <w:rPr>
          <w:rFonts w:ascii="Amiri" w:hAnsi="Amiri" w:eastAsia="Amiri" w:cs="Amiri"/>
          <w:lang w:bidi="ar-SA"/>
          <w:color w:val="111111"/>
          <w:sz w:val="28"/>
          <w:szCs w:val="28"/>
          <w:rtl/>
        </w:rPr>
        <w:t xml:space="preserve">وبالجملة </w:t>
      </w:r>
      <w:r>
        <w:rPr>
          <w:rStyle w:val="FootnoteReference"/>
        </w:rPr>
        <w:footnoteReference w:id="494"/>
      </w:r>
      <w:r>
        <w:rPr>
          <w:rFonts w:ascii="IRNazanin" w:hAnsi="IRNazanin" w:eastAsia="IRNazanin" w:cs="IRNazanin"/>
          <w:lang w:bidi="fa-IR"/>
          <w:color w:val="111111"/>
          <w:sz w:val="28"/>
          <w:szCs w:val="28"/>
          <w:rtl/>
        </w:rPr>
        <w:t xml:space="preserve">: یلزم أن یکون الإیجابُ مختصّاً بصورة الإتیان؛ لاختصاص جواز المقدّمة بها ، وهو محال ، فإنّه یکون من طلب الحاصل المحال </w:t>
      </w:r>
      <w:r>
        <w:rPr>
          <w:rStyle w:val="FootnoteReference"/>
        </w:rPr>
        <w:footnoteReference w:id="495"/>
      </w:r>
      <w:r>
        <w:rPr>
          <w:rFonts w:ascii="Amiri" w:hAnsi="Amiri" w:eastAsia="Amiri" w:cs="Amiri"/>
          <w:lang w:bidi="ar-SA"/>
          <w:color w:val="111111"/>
          <w:sz w:val="28"/>
          <w:szCs w:val="28"/>
          <w:rtl/>
        </w:rPr>
        <w:t xml:space="preserve"> ، فتدبّر جیّداً .</w:t>
      </w:r>
    </w:p>
    <w:p>
      <w:pPr>
        <w:pStyle w:val="Heading6"/>
      </w:pPr>
      <w:bookmarkStart w:id="858" w:name="_Toc298"/>
      <w:r>
        <w:t>ثمرة القول بالمقدّمة الموصلة</w:t>
      </w:r>
      <w:bookmarkEnd w:id="8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بقی شیء:</w:t>
      </w:r>
    </w:p>
    <w:p>
      <w:pPr>
        <w:pStyle w:val="BookText"/>
      </w:pPr>
      <w:r>
        <w:rPr>
          <w:rFonts w:ascii="IRNazanin" w:hAnsi="IRNazanin" w:eastAsia="IRNazanin" w:cs="IRNazanin"/>
          <w:lang w:bidi="fa-IR"/>
          <w:color w:val="111111"/>
          <w:sz w:val="28"/>
          <w:szCs w:val="28"/>
          <w:rtl/>
        </w:rPr>
        <w:t xml:space="preserve">وهو: أنّ ثمرة القول بالمقدّمة الموصلة هی : تصحیح العبادة الّتی یتوقّف علی ترکها فعل الواجب ، بناءً علی کون ترک الضدّ ممّا یتوقّف علیه فعل ضدّه ؛ فإنّ ترکها - علی هذا القول - لا یکون مطلقاً واجباً ، - لیکون فعلها محرّماً ، فتکون فاسدةً - ، بل فی ما یترتّب علیه الضدّ الواجب ، ومع الإتیان بها لا یکاد یکون هناک ترتّب ، فلا یکون ترکها مع ذلک واجباً ، فلا یکون فعلها منهیّاً عنه ، فلا تکون فاسدة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6"/>
      </w:pPr>
      <w:bookmarkStart w:id="859" w:name="_Toc299"/>
      <w:r>
        <w:t>إیراد الشیخ الأنصاری علی الثمرة</w:t>
      </w:r>
      <w:bookmarkEnd w:id="859"/>
    </w:p>
    <w:p>
      <w:pPr>
        <w:pStyle w:val="BookText"/>
      </w:pPr>
      <w:r>
        <w:rPr>
          <w:rFonts w:ascii="Amiri" w:hAnsi="Amiri" w:eastAsia="Amiri" w:cs="Amiri"/>
          <w:lang w:bidi="ar-SA"/>
          <w:color w:val="111111"/>
          <w:sz w:val="28"/>
          <w:szCs w:val="28"/>
          <w:rtl/>
        </w:rPr>
        <w:t xml:space="preserve">وربّما أُورد </w:t>
      </w:r>
      <w:r>
        <w:rPr>
          <w:rStyle w:val="FootnoteReference"/>
        </w:rPr>
        <w:footnoteReference w:id="497"/>
      </w:r>
      <w:r>
        <w:rPr>
          <w:rFonts w:ascii="IRNazanin" w:hAnsi="IRNazanin" w:eastAsia="IRNazanin" w:cs="IRNazanin"/>
          <w:lang w:bidi="fa-IR"/>
          <w:color w:val="111111"/>
          <w:sz w:val="28"/>
          <w:szCs w:val="28"/>
          <w:rtl/>
        </w:rPr>
        <w:t xml:space="preserve">علی تفریع هذه الثمرة بما حاصله:</w:t>
      </w:r>
    </w:p>
    <w:p>
      <w:pPr>
        <w:pStyle w:val="BookText"/>
      </w:pPr>
      <w:r>
        <w:rPr>
          <w:rFonts w:ascii="Amiri" w:hAnsi="Amiri" w:eastAsia="Amiri" w:cs="Amiri"/>
          <w:lang w:bidi="ar-SA"/>
          <w:color w:val="111111"/>
          <w:sz w:val="28"/>
          <w:szCs w:val="28"/>
          <w:rtl/>
        </w:rPr>
        <w:t xml:space="preserve">أنّ </w:t>
      </w:r>
      <w:r>
        <w:rPr>
          <w:rStyle w:val="FootnoteReference"/>
        </w:rPr>
        <w:footnoteReference w:id="498"/>
      </w:r>
      <w:r>
        <w:rPr>
          <w:rFonts w:ascii="IRNazanin" w:hAnsi="IRNazanin" w:eastAsia="IRNazanin" w:cs="IRNazanin"/>
          <w:lang w:bidi="fa-IR"/>
          <w:color w:val="111111"/>
          <w:sz w:val="28"/>
          <w:szCs w:val="28"/>
          <w:rtl/>
        </w:rPr>
        <w:t xml:space="preserve">فعل الضدّ وإن لم‌یکن نقیضاً للترک الواجب مقدّمةً - بناءً علی المقدّمة الموصلة - ، إلّاأنّه لازمٌ لما هو من أفراد النقیض </w:t>
      </w:r>
      <w:r>
        <w:rPr>
          <w:rStyle w:val="FootnoteReference"/>
        </w:rPr>
        <w:footnoteReference w:id="499"/>
      </w:r>
      <w:r>
        <w:rPr>
          <w:rFonts w:ascii="IRNazanin" w:hAnsi="IRNazanin" w:eastAsia="IRNazanin" w:cs="IRNazanin"/>
          <w:lang w:bidi="fa-IR"/>
          <w:color w:val="111111"/>
          <w:sz w:val="28"/>
          <w:szCs w:val="28"/>
          <w:rtl/>
        </w:rPr>
        <w:t xml:space="preserve">؛ حیث إنّ نقیض ذاک الترک الخاصّ رفعُهُ ، وهو أعمّ من الفعل والترک الآخر المجرّد .</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14419_166870"/>
    <w:bookmarkEnd w:id="130"/>
    <w:p>
      <w:pPr>
        <w:pStyle w:val="BookText"/>
      </w:pPr>
      <w:r>
        <w:rPr>
          <w:rFonts w:ascii="IRNazanin" w:hAnsi="IRNazanin" w:eastAsia="IRNazanin" w:cs="IRNazanin"/>
          <w:lang w:bidi="fa-IR"/>
          <w:color w:val="111111"/>
          <w:sz w:val="28"/>
          <w:szCs w:val="28"/>
          <w:rtl/>
        </w:rPr>
        <w:t xml:space="preserve">وهذا یکفی فی إثبات الحرمة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وإلّا لم یکن الفعل المطلق محرّماً فی ما إذا کان الترک المطلق واجباً ؛ لأنّ الفعل أیضاً لیس نقیضاً للترک ؛ لأنّه أمر وجودیّ ، ونقیضُ الترک إنّما هو رفعُه ، ورفعُ الترک إنّما یلازم الفعلَ مصداقاً ، ولیس عینَه ، فکما أنّ هذه الملازمة تکفی فی إثبات الحرمة لمطلق الفعل ، فکذلک تکفی فی المقام . غایة الأمر أنّ ما هو النقیض فی مطلق الترک إنّما ینحصر مصداقه فی الفعل فقط ، وأمّا النقیض للترک الخاصّ فله فردان ، وذلک لا یوجب فرقاً فی ما نحن بصدده ، کما لا یخفی .</w:t>
      </w:r>
    </w:p>
    <w:p>
      <w:pPr>
        <w:pStyle w:val="Heading6"/>
      </w:pPr>
      <w:bookmarkStart w:id="860" w:name="_Toc300"/>
      <w:r>
        <w:t>الجواب عمّا أورده الشیخ علی الثمرة</w:t>
      </w:r>
      <w:bookmarkEnd w:id="860"/>
    </w:p>
    <w:p>
      <w:pPr>
        <w:pStyle w:val="BookText"/>
      </w:pPr>
      <w:r>
        <w:rPr>
          <w:rFonts w:ascii="IRNazanin" w:hAnsi="IRNazanin" w:eastAsia="IRNazanin" w:cs="IRNazanin"/>
          <w:lang w:bidi="fa-IR"/>
          <w:color w:val="111111"/>
          <w:sz w:val="28"/>
          <w:szCs w:val="28"/>
          <w:rtl/>
        </w:rPr>
        <w:t xml:space="preserve">قلت: وأنت خبیر بما بینهما من الفرق ؛ فإنّ الفعل فی الأوّل لا یکون إلّا مقارناً لما هو النقیض ، من رفع الترک المجامع معه تارةً ، ومع الترک المجرّد أُخری ، ولا تکاد تسری حرمة الشیء إلی ما یلازمه ، فضلاً عمّا یقارنه أحیاناً . نعم ، لابدّ أن لا یکون الملازم محکوماً فعلاً بحکمٍ آخر علی خلاف حکمه ، لا أن یکون محکوماً بحکمه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وهذا بخلاف الفعل فی الثانی ؛ فإنّه بنفسه یعاند الترکَ المطلق وینافیه ، لا ملازم لمعانده ومنافیه ، فلو لم یکن عین ما یناقضه بحسب الاصطلاح مفهوماً ، لکنّه متّحد معه عیناً وخارجاً . فإذا کان الترک واجباً فلا محالة یکون الفعل منهیّاً عنه قطعاً ، فتدبّر جیّداً .</w:t>
      </w:r>
    </w:p>
    <w:p>
      <w:pPr>
        <w:pStyle w:val="Heading6"/>
      </w:pPr>
      <w:bookmarkStart w:id="861" w:name="_Toc301"/>
      <w:r>
        <w:t>الواجب الأصلی والتبعی</w:t>
      </w:r>
      <w:bookmarkEnd w:id="861"/>
    </w:p>
    <w:p>
      <w:pPr>
        <w:pStyle w:val="BookText"/>
      </w:pPr>
      <w:r>
        <w:rPr>
          <w:rFonts w:ascii="IRNazanin" w:hAnsi="IRNazanin" w:eastAsia="IRNazanin" w:cs="IRNazanin"/>
          <w:lang w:bidi="fa-IR"/>
          <w:color w:val="111111"/>
          <w:sz w:val="28"/>
          <w:szCs w:val="28"/>
          <w:rtl/>
        </w:rPr>
        <w:t xml:space="preserve">ومنها: تقسیمه إلی الأصلیّ والتبعیّ </w:t>
      </w:r>
      <w:r>
        <w:rPr>
          <w:rStyle w:val="FootnoteReference"/>
        </w:rPr>
        <w:footnoteReference w:id="500"/>
      </w:r>
    </w:p>
    <w:p>
      <w:pPr>
        <w:pStyle w:val="Heading6"/>
      </w:pPr>
      <w:bookmarkStart w:id="862" w:name="_Toc302"/>
      <w:r>
        <w:t>هذا التقسیم بلحاظ الثبوت لا الإثبات</w:t>
      </w:r>
      <w:bookmarkEnd w:id="862"/>
    </w:p>
    <w:p>
      <w:pPr>
        <w:pStyle w:val="BookText"/>
      </w:pPr>
      <w:r>
        <w:rPr>
          <w:rFonts w:ascii="IRNazanin" w:hAnsi="IRNazanin" w:eastAsia="IRNazanin" w:cs="IRNazanin"/>
          <w:lang w:bidi="fa-IR"/>
          <w:color w:val="111111"/>
          <w:sz w:val="28"/>
          <w:szCs w:val="28"/>
          <w:rtl/>
        </w:rPr>
        <w:t xml:space="preserve">والظاهر أن یکون هذا التقسیم بلحاظ الأصالة والتبعیّة فی الواقع ومقام</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14419_166871"/>
    <w:bookmarkEnd w:id="131"/>
    <w:p>
      <w:pPr>
        <w:pStyle w:val="BookText"/>
      </w:pPr>
      <w:r>
        <w:rPr>
          <w:rFonts w:ascii="IRNazanin" w:hAnsi="IRNazanin" w:eastAsia="IRNazanin" w:cs="IRNazanin"/>
          <w:lang w:bidi="fa-IR"/>
          <w:color w:val="111111"/>
          <w:sz w:val="28"/>
          <w:szCs w:val="28"/>
          <w:rtl/>
        </w:rPr>
        <w:t xml:space="preserve">الثبوت </w:t>
      </w:r>
      <w:r>
        <w:rPr>
          <w:rStyle w:val="FootnoteReference"/>
        </w:rPr>
        <w:footnoteReference w:id="501"/>
      </w:r>
      <w:r>
        <w:rPr>
          <w:rFonts w:ascii="IRNazanin" w:hAnsi="IRNazanin" w:eastAsia="IRNazanin" w:cs="IRNazanin"/>
          <w:lang w:bidi="fa-IR"/>
          <w:color w:val="111111"/>
          <w:sz w:val="28"/>
          <w:szCs w:val="28"/>
          <w:rtl/>
        </w:rPr>
        <w:t xml:space="preserve">؛ حیث یکون الشیء تارةً متعلّقاً للإرادة والطلب مستقلاًّ ؛ للالتفات إلیه بما هو علیه ممّا یوجب طلبَه ، فیطلبه - کان طلبه نفسیّاً أو غیریّاً - . وأُخری متعلّقاً للإرادة تبعاً لإرادة غیره ، لأجل کون إرادته لازمة لإرادته ، من دون التفات إلیه بما یوجب إرادته .</w:t>
      </w:r>
    </w:p>
    <w:p>
      <w:pPr>
        <w:pStyle w:val="BookText"/>
      </w:pPr>
      <w:r>
        <w:rPr>
          <w:rFonts w:ascii="IRNazanin" w:hAnsi="IRNazanin" w:eastAsia="IRNazanin" w:cs="IRNazanin"/>
          <w:lang w:bidi="fa-IR"/>
          <w:color w:val="111111"/>
          <w:sz w:val="28"/>
          <w:szCs w:val="28"/>
          <w:rtl/>
        </w:rPr>
        <w:t xml:space="preserve">لا بلحاظ الأصالة والتبعیّة فی مقام الدلالة والإثبات </w:t>
      </w:r>
      <w:r>
        <w:rPr>
          <w:rStyle w:val="FootnoteReference"/>
        </w:rPr>
        <w:footnoteReference w:id="502"/>
      </w:r>
      <w:r>
        <w:rPr>
          <w:rFonts w:ascii="IRNazanin" w:hAnsi="IRNazanin" w:eastAsia="IRNazanin" w:cs="IRNazanin"/>
          <w:lang w:bidi="fa-IR"/>
          <w:color w:val="111111"/>
          <w:sz w:val="28"/>
          <w:szCs w:val="28"/>
          <w:rtl/>
        </w:rPr>
        <w:t xml:space="preserve">؛ فإنّه یکون فی هذا المقام أیضاً </w:t>
      </w:r>
      <w:r>
        <w:rPr>
          <w:rStyle w:val="FootnoteReference"/>
        </w:rPr>
        <w:footnoteReference w:id="503"/>
      </w:r>
      <w:r>
        <w:rPr>
          <w:rFonts w:ascii="IRNazanin" w:hAnsi="IRNazanin" w:eastAsia="IRNazanin" w:cs="IRNazanin"/>
          <w:lang w:bidi="fa-IR"/>
          <w:color w:val="111111"/>
          <w:sz w:val="28"/>
          <w:szCs w:val="28"/>
          <w:rtl/>
        </w:rPr>
        <w:t xml:space="preserve">تارةً مقصوداً بالإفادة ، وأُخری غیرَ مقصود بها علی حدة ، إلّا أنّه لازم الخطاب ، کما فی دلالة الإشارة ونحوها .</w:t>
      </w:r>
    </w:p>
    <w:p>
      <w:pPr>
        <w:pStyle w:val="Heading6"/>
      </w:pPr>
      <w:bookmarkStart w:id="863" w:name="_Toc303"/>
      <w:r>
        <w:t>انقسام الواجب الغیری إلیهما</w:t>
      </w:r>
      <w:bookmarkEnd w:id="863"/>
    </w:p>
    <w:p>
      <w:pPr>
        <w:pStyle w:val="BookText"/>
      </w:pPr>
      <w:r>
        <w:rPr>
          <w:rFonts w:ascii="IRNazanin" w:hAnsi="IRNazanin" w:eastAsia="IRNazanin" w:cs="IRNazanin"/>
          <w:lang w:bidi="fa-IR"/>
          <w:color w:val="111111"/>
          <w:sz w:val="28"/>
          <w:szCs w:val="28"/>
          <w:rtl/>
        </w:rPr>
        <w:t xml:space="preserve">وعلی ذلک، فلا شبهة فی انقسام الواجب الغیریّ إلیهما، واتّصافِه بالأصالة والتبعیّة کلتیهما ، حیث یکون </w:t>
      </w:r>
      <w:r>
        <w:rPr>
          <w:rStyle w:val="FootnoteReference"/>
        </w:rPr>
        <w:footnoteReference w:id="504"/>
      </w:r>
      <w:r>
        <w:rPr>
          <w:rFonts w:ascii="IRNazanin" w:hAnsi="IRNazanin" w:eastAsia="IRNazanin" w:cs="IRNazanin"/>
          <w:lang w:bidi="fa-IR"/>
          <w:color w:val="111111"/>
          <w:sz w:val="28"/>
          <w:szCs w:val="28"/>
          <w:rtl/>
        </w:rPr>
        <w:t xml:space="preserve">متعلّقاً للإرادة علی حدة عند الالتفات إلیه بما هو مقدّمة ، وأُخری لا یکون متعلّقاً لها کذلک عند عدم الالتفات إلیه کذلک ، فإنّه یکون لا محالة مراداً تبعاً لإرادة ذی المقدّمة علی الملازمة .</w:t>
      </w:r>
    </w:p>
    <w:p>
      <w:pPr>
        <w:pStyle w:val="Heading6"/>
      </w:pPr>
      <w:bookmarkStart w:id="864" w:name="_Toc304"/>
      <w:r>
        <w:t>الواجب النفسی یتصف بالأصالة دون التبعیّة</w:t>
      </w:r>
      <w:bookmarkEnd w:id="864"/>
    </w:p>
    <w:p>
      <w:pPr>
        <w:pStyle w:val="BookText"/>
      </w:pPr>
      <w:r>
        <w:rPr>
          <w:rFonts w:ascii="IRNazanin" w:hAnsi="IRNazanin" w:eastAsia="IRNazanin" w:cs="IRNazanin"/>
          <w:lang w:bidi="fa-IR"/>
          <w:color w:val="111111"/>
          <w:sz w:val="28"/>
          <w:szCs w:val="28"/>
          <w:rtl/>
        </w:rPr>
        <w:t xml:space="preserve">کما لا شبهة فی اتّصاف النفسیّ أیضاً بالأصالة ، ولکنّه لا یتّصف بالتبعیّة ؛ ضرورةَ أنّه لا یکاد یتعلّق به الطلب النفسیّ ما لم تکن فیه مصلحة نفسیّة ، ومعها یتعلّق بها </w:t>
      </w:r>
      <w:r>
        <w:rPr>
          <w:rStyle w:val="FootnoteReference"/>
        </w:rPr>
        <w:footnoteReference w:id="505"/>
      </w:r>
      <w:r>
        <w:rPr>
          <w:rFonts w:ascii="IRNazanin" w:hAnsi="IRNazanin" w:eastAsia="IRNazanin" w:cs="IRNazanin"/>
          <w:lang w:bidi="fa-IR"/>
          <w:color w:val="111111"/>
          <w:sz w:val="28"/>
          <w:szCs w:val="28"/>
          <w:rtl/>
        </w:rPr>
        <w:t xml:space="preserve">الطلب </w:t>
      </w:r>
      <w:r>
        <w:rPr>
          <w:rStyle w:val="FootnoteReference"/>
        </w:rPr>
        <w:footnoteReference w:id="506"/>
      </w:r>
      <w:r>
        <w:rPr>
          <w:rFonts w:ascii="Amiri" w:hAnsi="Amiri" w:eastAsia="Amiri" w:cs="Amiri"/>
          <w:lang w:bidi="ar-SA"/>
          <w:color w:val="111111"/>
          <w:sz w:val="28"/>
          <w:szCs w:val="28"/>
          <w:rtl/>
        </w:rPr>
        <w:t xml:space="preserve">مستقّلاً ، ولو لم یکن هناک شیءٌ آخر مطلوبٌ أصلاً ، کما لا یخفی .</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14419_166872"/>
    <w:bookmarkEnd w:id="13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لو کان الاتّصاف بهما بلحاظ الدلالة ، اتّصف النفسیُّ بهما أیضاً ؛ ضرورةَ أنّه قد یکون غیرَ مقصود بالإفادة ، بل افید بتبع غیره المقصودِ بها .</w:t>
      </w:r>
    </w:p>
    <w:p>
      <w:pPr>
        <w:pStyle w:val="BookText"/>
      </w:pPr>
      <w:r>
        <w:rPr>
          <w:rFonts w:ascii="Amiri" w:hAnsi="Amiri" w:eastAsia="Amiri" w:cs="Amiri"/>
          <w:lang w:bidi="ar-SA"/>
          <w:color w:val="111111"/>
          <w:sz w:val="28"/>
          <w:szCs w:val="28"/>
          <w:rtl/>
        </w:rPr>
        <w:t xml:space="preserve">لکنّ الظاهر : - کما مرّ </w:t>
      </w:r>
      <w:r>
        <w:rPr>
          <w:rStyle w:val="FootnoteReference"/>
        </w:rPr>
        <w:footnoteReference w:id="507"/>
      </w:r>
      <w:r>
        <w:rPr>
          <w:rFonts w:ascii="IRNazanin" w:hAnsi="IRNazanin" w:eastAsia="IRNazanin" w:cs="IRNazanin"/>
          <w:lang w:bidi="fa-IR"/>
          <w:color w:val="111111"/>
          <w:sz w:val="28"/>
          <w:szCs w:val="28"/>
          <w:rtl/>
        </w:rPr>
        <w:t xml:space="preserve">- أنّ الاتّصاف بهما إنّما هو فی نفسه ، لا بلحاظ حال الدلالة علیه ، وإلّا لما اتّصف بواحدةٍ </w:t>
      </w:r>
      <w:r>
        <w:rPr>
          <w:rStyle w:val="FootnoteReference"/>
        </w:rPr>
        <w:footnoteReference w:id="508"/>
      </w:r>
      <w:r>
        <w:rPr>
          <w:rFonts w:ascii="IRNazanin" w:hAnsi="IRNazanin" w:eastAsia="IRNazanin" w:cs="IRNazanin"/>
          <w:lang w:bidi="fa-IR"/>
          <w:color w:val="111111"/>
          <w:sz w:val="28"/>
          <w:szCs w:val="28"/>
          <w:rtl/>
        </w:rPr>
        <w:t xml:space="preserve">منهما إذا لم یکن بعدُ مفادَ دلیلٍ ، وهو کما تری .</w:t>
      </w:r>
    </w:p>
    <w:p>
      <w:pPr>
        <w:pStyle w:val="Heading6"/>
      </w:pPr>
      <w:bookmarkStart w:id="865" w:name="_Toc305"/>
      <w:r>
        <w:t>إذا شکّ فی واجب أنّه أصلیّ أو تبعیّ</w:t>
      </w:r>
      <w:bookmarkEnd w:id="865"/>
    </w:p>
    <w:p>
      <w:pPr>
        <w:pStyle w:val="BookText"/>
      </w:pPr>
      <w:r>
        <w:rPr>
          <w:rFonts w:ascii="Amiri" w:hAnsi="Amiri" w:eastAsia="Amiri" w:cs="Amiri"/>
          <w:lang w:bidi="ar-SA"/>
          <w:color w:val="111111"/>
          <w:sz w:val="28"/>
          <w:szCs w:val="28"/>
          <w:rtl/>
        </w:rPr>
        <w:t xml:space="preserve">ثمّ إنّه إذا کان الواجب التبعیّ ما لم یتعلّق به إرادةٌ مستقلّة ، فإذا شُکّ فی واجب أنّه أصلیٌّ أو تبعیٌّ ، فبأصالة عدم تعلّق إرادة مستقلّة به یثبت أنّه تبعیٌّ </w:t>
      </w:r>
      <w:r>
        <w:rPr>
          <w:rStyle w:val="FootnoteReference"/>
        </w:rPr>
        <w:footnoteReference w:id="509"/>
      </w:r>
      <w:r>
        <w:rPr>
          <w:rFonts w:ascii="IRNazanin" w:hAnsi="IRNazanin" w:eastAsia="IRNazanin" w:cs="IRNazanin"/>
          <w:lang w:bidi="fa-IR"/>
          <w:color w:val="111111"/>
          <w:sz w:val="28"/>
          <w:szCs w:val="28"/>
          <w:rtl/>
        </w:rPr>
        <w:t xml:space="preserve">ویترتّب علیه آثاره إذا فرض له أثرٌ شرعیّ </w:t>
      </w:r>
      <w:r>
        <w:rPr>
          <w:rStyle w:val="FootnoteReference"/>
        </w:rPr>
        <w:footnoteReference w:id="510"/>
      </w:r>
      <w:r>
        <w:rPr>
          <w:rFonts w:ascii="IRNazanin" w:hAnsi="IRNazanin" w:eastAsia="IRNazanin" w:cs="IRNazanin"/>
          <w:lang w:bidi="fa-IR"/>
          <w:color w:val="111111"/>
          <w:sz w:val="28"/>
          <w:szCs w:val="28"/>
          <w:rtl/>
        </w:rPr>
        <w:t xml:space="preserve">، کسائر الموضوعات المتقوّمة باُمور عدمیّة .</w:t>
      </w:r>
    </w:p>
    <w:p>
      <w:pPr>
        <w:pStyle w:val="BookText"/>
      </w:pPr>
      <w:r>
        <w:rPr>
          <w:rFonts w:ascii="IRNazanin" w:hAnsi="IRNazanin" w:eastAsia="IRNazanin" w:cs="IRNazanin"/>
          <w:lang w:bidi="fa-IR"/>
          <w:color w:val="111111"/>
          <w:sz w:val="28"/>
          <w:szCs w:val="28"/>
          <w:rtl/>
        </w:rPr>
        <w:t xml:space="preserve">نعم ، لو کان التبعیّ أمراً وجودیّاً خاصّاً غیرَ متقوّم بعدمیٍّ - وإن کان یلزمه - لما کان یثبت بها إلّاعلی القول بالأصل المثبت ، کما هو واضح ، فافهم .</w:t>
      </w:r>
    </w:p>
    <w:p>
      <w:pPr>
        <w:pStyle w:val="Heading6"/>
      </w:pPr>
      <w:bookmarkStart w:id="866" w:name="_Toc306"/>
      <w:r>
        <w:t>ثمرة النزاع فی وجوب المقدّمة</w:t>
      </w:r>
      <w:bookmarkEnd w:id="866"/>
    </w:p>
    <w:p>
      <w:pPr>
        <w:pStyle w:val="BookText"/>
      </w:pPr>
      <w:r>
        <w:rPr>
          <w:rFonts w:ascii="IRNazanin" w:hAnsi="IRNazanin" w:eastAsia="IRNazanin" w:cs="IRNazanin"/>
          <w:lang w:bidi="fa-IR"/>
          <w:color w:val="111111"/>
          <w:sz w:val="28"/>
          <w:szCs w:val="28"/>
          <w:rtl/>
        </w:rPr>
        <w:t xml:space="preserve">تذنیب </w:t>
      </w:r>
      <w:r>
        <w:rPr>
          <w:rStyle w:val="FootnoteReference"/>
        </w:rPr>
        <w:footnoteReference w:id="511"/>
      </w:r>
      <w:r>
        <w:rPr>
          <w:rFonts w:ascii="IRNazanin" w:hAnsi="IRNazanin" w:eastAsia="IRNazanin" w:cs="IRNazanin"/>
          <w:lang w:bidi="fa-IR"/>
          <w:color w:val="111111"/>
          <w:sz w:val="28"/>
          <w:szCs w:val="28"/>
          <w:rtl/>
        </w:rPr>
        <w:t xml:space="preserve">: فی بیان الثمرة</w:t>
      </w:r>
    </w:p>
    <w:p>
      <w:pPr>
        <w:pStyle w:val="BookText"/>
      </w:pPr>
      <w:r>
        <w:rPr>
          <w:rFonts w:ascii="IRNazanin" w:hAnsi="IRNazanin" w:eastAsia="IRNazanin" w:cs="IRNazanin"/>
          <w:lang w:bidi="fa-IR"/>
          <w:color w:val="111111"/>
          <w:sz w:val="28"/>
          <w:szCs w:val="28"/>
          <w:rtl/>
        </w:rPr>
        <w:t xml:space="preserve">وهی فی المسألة الاُصولیّة - کما عرفت سابقاً </w:t>
      </w:r>
      <w:r>
        <w:rPr>
          <w:rStyle w:val="FootnoteReference"/>
        </w:rPr>
        <w:footnoteReference w:id="512"/>
      </w:r>
      <w:r>
        <w:rPr>
          <w:rFonts w:ascii="IRNazanin" w:hAnsi="IRNazanin" w:eastAsia="IRNazanin" w:cs="IRNazanin"/>
          <w:lang w:bidi="fa-IR"/>
          <w:color w:val="111111"/>
          <w:sz w:val="28"/>
          <w:szCs w:val="28"/>
          <w:rtl/>
        </w:rPr>
        <w:t xml:space="preserve">- لیست إلّاأن تکون</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14419_166873"/>
    <w:bookmarkEnd w:id="133"/>
    <w:p>
      <w:pPr>
        <w:pStyle w:val="BookText"/>
      </w:pPr>
      <w:r>
        <w:rPr>
          <w:rFonts w:ascii="IRNazanin" w:hAnsi="IRNazanin" w:eastAsia="IRNazanin" w:cs="IRNazanin"/>
          <w:lang w:bidi="fa-IR"/>
          <w:color w:val="111111"/>
          <w:sz w:val="28"/>
          <w:szCs w:val="28"/>
          <w:rtl/>
        </w:rPr>
        <w:t xml:space="preserve">نتیجتها </w:t>
      </w:r>
      <w:r>
        <w:rPr>
          <w:rStyle w:val="FootnoteReference"/>
        </w:rPr>
        <w:footnoteReference w:id="513"/>
      </w:r>
      <w:r>
        <w:rPr>
          <w:rFonts w:ascii="IRNazanin" w:hAnsi="IRNazanin" w:eastAsia="IRNazanin" w:cs="IRNazanin"/>
          <w:lang w:bidi="fa-IR"/>
          <w:color w:val="111111"/>
          <w:sz w:val="28"/>
          <w:szCs w:val="28"/>
          <w:rtl/>
        </w:rPr>
        <w:t xml:space="preserve">صالحةً للوقوع فی طریق الاجتهاد واستنباط حکم فرعیّ ، کما لو قیل بالملازمة فی المسألة ، فإنّه بضمیمة مقدّمة کون شیءٍ مقدّمةً لواجبٍ ، یستنتج أنّه واجب .</w:t>
      </w:r>
    </w:p>
    <w:p>
      <w:pPr>
        <w:pStyle w:val="Heading6"/>
      </w:pPr>
      <w:bookmarkStart w:id="867" w:name="_Toc307"/>
      <w:r>
        <w:t>الفروع الثلاثة التی ذکروها ثمرةً والمناقشة فیها</w:t>
      </w:r>
      <w:bookmarkEnd w:id="867"/>
    </w:p>
    <w:p>
      <w:pPr>
        <w:pStyle w:val="BookText"/>
      </w:pPr>
      <w:r>
        <w:rPr>
          <w:rFonts w:ascii="IRNazanin" w:hAnsi="IRNazanin" w:eastAsia="IRNazanin" w:cs="IRNazanin"/>
          <w:lang w:bidi="fa-IR"/>
          <w:color w:val="111111"/>
          <w:sz w:val="28"/>
          <w:szCs w:val="28"/>
          <w:rtl/>
        </w:rPr>
        <w:t xml:space="preserve">ومنه قد انقدح : أنّه لیس منها مثل بُرء النذر بإتیان مقدّمةِ واجبٍ ، عند نذر الواجب ، وحصولِ الفسق بترک واجبٍ واحدٍ بمقدّماته ، إذا کانت له مقدّمات کثیرة ؛ لصِدْق الإصرار علی الحرام بذلک ، وعدمِ جواز أخذ الاُجرة علی المقدّمة .</w:t>
      </w:r>
    </w:p>
    <w:p>
      <w:pPr>
        <w:pStyle w:val="Heading6"/>
      </w:pPr>
      <w:bookmarkStart w:id="868" w:name="_Toc308"/>
      <w:r>
        <w:t>إشکال الثمرة الأُولی</w:t>
      </w:r>
      <w:bookmarkEnd w:id="8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البُرء وعدمه إنّما یتبعان قصد الناذر ، فلا بُرء بإتیان المقدّمة لو قصد الوجوب النفسیّ - کما هو المنصرف عند إطلاقه - ولو قیل بالملازمة .</w:t>
      </w:r>
    </w:p>
    <w:p>
      <w:pPr>
        <w:pStyle w:val="BookText"/>
      </w:pPr>
      <w:r>
        <w:rPr>
          <w:rFonts w:ascii="IRNazanin" w:hAnsi="IRNazanin" w:eastAsia="IRNazanin" w:cs="IRNazanin"/>
          <w:lang w:bidi="fa-IR"/>
          <w:color w:val="111111"/>
          <w:sz w:val="28"/>
          <w:szCs w:val="28"/>
          <w:rtl/>
        </w:rPr>
        <w:t xml:space="preserve">وربما یحصل البُرء به لو قصد ما یعمّ المقدّمة ولو قیل بعدمها ، کما لا یخفی .</w:t>
      </w:r>
    </w:p>
    <w:p>
      <w:pPr>
        <w:pStyle w:val="Heading6"/>
      </w:pPr>
      <w:bookmarkStart w:id="869" w:name="_Toc309"/>
      <w:r>
        <w:t>إشکال الثمرة الثانیة</w:t>
      </w:r>
      <w:bookmarkEnd w:id="869"/>
    </w:p>
    <w:p>
      <w:pPr>
        <w:pStyle w:val="BookText"/>
      </w:pPr>
      <w:r>
        <w:rPr>
          <w:rFonts w:ascii="IRNazanin" w:hAnsi="IRNazanin" w:eastAsia="IRNazanin" w:cs="IRNazanin"/>
          <w:lang w:bidi="fa-IR"/>
          <w:color w:val="111111"/>
          <w:sz w:val="28"/>
          <w:szCs w:val="28"/>
          <w:rtl/>
        </w:rPr>
        <w:t xml:space="preserve">ولا یکاد یحصل الإصرارُ علی الحرام بترک واجب ، ولو کانت له مقدّمات غیر عدیدة ؛ لحصول العصیان بترک أوّل مقدّمةٍ لا یتمکّن معه من الواجب ، ولا یکون ترک سائر المقدّمات بحرام أصلاً ؛ لسقوط التکلیف حینئذٍ ، کما هو واضح لا یخفی .</w:t>
      </w:r>
    </w:p>
    <w:p>
      <w:pPr>
        <w:pStyle w:val="Heading6"/>
      </w:pPr>
      <w:bookmarkStart w:id="870" w:name="_Toc310"/>
      <w:r>
        <w:t>إشکال الثمرة الثالثة</w:t>
      </w:r>
      <w:bookmarkEnd w:id="870"/>
    </w:p>
    <w:p>
      <w:pPr>
        <w:pStyle w:val="BookText"/>
      </w:pPr>
      <w:r>
        <w:rPr>
          <w:rFonts w:ascii="IRNazanin" w:hAnsi="IRNazanin" w:eastAsia="IRNazanin" w:cs="IRNazanin"/>
          <w:lang w:bidi="fa-IR"/>
          <w:color w:val="111111"/>
          <w:sz w:val="28"/>
          <w:szCs w:val="28"/>
          <w:rtl/>
        </w:rPr>
        <w:t xml:space="preserve">وأخذ الأُجرة علی الواجب لا بأس به إذا لم یکن إیجابُه علی المکلّف مجّاناً وبلا عوض ، بل کان وجوده المطلق مطلوباً ، کالصناعات الواجبة کفایةً </w:t>
      </w:r>
      <w:r>
        <w:rPr>
          <w:rStyle w:val="FootnoteReference"/>
        </w:rPr>
        <w:footnoteReference w:id="514"/>
      </w:r>
      <w:r>
        <w:rPr>
          <w:rFonts w:ascii="IRNazanin" w:hAnsi="IRNazanin" w:eastAsia="IRNazanin" w:cs="IRNazanin"/>
          <w:lang w:bidi="fa-IR"/>
          <w:color w:val="111111"/>
          <w:sz w:val="28"/>
          <w:szCs w:val="28"/>
          <w:rtl/>
        </w:rPr>
        <w:t xml:space="preserve">الّتی لا یکاد ینتظم بدونها البلاد ، ویختلّ لولاها معاش العباد ، بل ربما یجب</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14419_166874"/>
    <w:bookmarkEnd w:id="134"/>
    <w:p>
      <w:pPr>
        <w:pStyle w:val="BookText"/>
      </w:pPr>
      <w:r>
        <w:rPr>
          <w:rFonts w:ascii="IRNazanin" w:hAnsi="IRNazanin" w:eastAsia="IRNazanin" w:cs="IRNazanin"/>
          <w:lang w:bidi="fa-IR"/>
          <w:color w:val="111111"/>
          <w:sz w:val="28"/>
          <w:szCs w:val="28"/>
          <w:rtl/>
        </w:rPr>
        <w:t xml:space="preserve">أخذ الأُجرة علیها لذلک ، أی: لزوم الاختلال وعدم الانتظام لولا أخذُها .</w:t>
      </w:r>
    </w:p>
    <w:p>
      <w:pPr>
        <w:pStyle w:val="BookText"/>
      </w:pPr>
      <w:r>
        <w:rPr>
          <w:rFonts w:ascii="IRNazanin" w:hAnsi="IRNazanin" w:eastAsia="IRNazanin" w:cs="IRNazanin"/>
          <w:lang w:bidi="fa-IR"/>
          <w:color w:val="111111"/>
          <w:sz w:val="28"/>
          <w:szCs w:val="28"/>
          <w:rtl/>
        </w:rPr>
        <w:t xml:space="preserve">هذا فی الواجبات التوصّلیّة .</w:t>
      </w:r>
    </w:p>
    <w:p>
      <w:pPr>
        <w:pStyle w:val="BookText"/>
      </w:pPr>
      <w:r>
        <w:rPr>
          <w:rFonts w:ascii="IRNazanin" w:hAnsi="IRNazanin" w:eastAsia="IRNazanin" w:cs="IRNazanin"/>
          <w:lang w:bidi="fa-IR"/>
          <w:color w:val="111111"/>
          <w:sz w:val="28"/>
          <w:szCs w:val="28"/>
          <w:rtl/>
        </w:rPr>
        <w:t xml:space="preserve">وأمّا الواجبات التعبّدیّة: فیمکن أن یقال بجواز أخذ الاُجرة علی إتیانها بداعی امتثالها ، لا علی نفس الإتیان کی ینافیَ عبادیّتَها ، فیکون من قبیل الداعی إلی الداعی .</w:t>
      </w:r>
    </w:p>
    <w:p>
      <w:pPr>
        <w:pStyle w:val="BookText"/>
      </w:pPr>
      <w:r>
        <w:rPr>
          <w:rFonts w:ascii="IRNazanin" w:hAnsi="IRNazanin" w:eastAsia="IRNazanin" w:cs="IRNazanin"/>
          <w:lang w:bidi="fa-IR"/>
          <w:color w:val="111111"/>
          <w:sz w:val="28"/>
          <w:szCs w:val="28"/>
          <w:rtl/>
        </w:rPr>
        <w:t xml:space="preserve">غایة الأمر یعتبر فیها - کغیرها - أن یکون فیها منفعةٌ عائدة إلی المستأجر ، کی لا تکون المعاملة سفهیّةً ، وأخذُ الاُجرة علیها أکلاً بالباطل .</w:t>
      </w:r>
    </w:p>
    <w:p>
      <w:pPr>
        <w:pStyle w:val="Heading6"/>
      </w:pPr>
      <w:bookmarkStart w:id="871" w:name="_Toc311"/>
      <w:r>
        <w:t>ثمرة أُخری لمسألة المقدّمة والمناقشة فیها</w:t>
      </w:r>
      <w:bookmarkEnd w:id="8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وربما یُجعل من الثمرة اجتماع الوجوب والحرمة إذا قیل بالملازمة ، فی ما کانت المقدّمة محرّمة ، فیبتنی علی جواز اجتماع الأمر والنهی وعدمه ، بخلاف ما لو قیل بعدمها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أوّلاً: أنّه لا یکون من باب الاجتماع کی تکون مبتنیةً علیه ؛ لما أشرنا إلیه غیر مرّة : أنّ الواجب ما هو بالحمل الشائع مقدّمةٌ ، لا بعنوان المقدّمة ، فیکون علی الملازمة من باب النهی فی العبادة والمعاملة .</w:t>
      </w:r>
    </w:p>
    <w:p>
      <w:pPr>
        <w:pStyle w:val="BookText"/>
      </w:pPr>
      <w:r>
        <w:rPr>
          <w:rFonts w:ascii="Amiri" w:hAnsi="Amiri" w:eastAsia="Amiri" w:cs="Amiri"/>
          <w:lang w:bidi="ar-SA"/>
          <w:color w:val="111111"/>
          <w:sz w:val="28"/>
          <w:szCs w:val="28"/>
          <w:rtl/>
        </w:rPr>
        <w:t xml:space="preserve">وثانیاً </w:t>
      </w:r>
      <w:r>
        <w:rPr>
          <w:rStyle w:val="FootnoteReference"/>
        </w:rPr>
        <w:footnoteReference w:id="516"/>
      </w:r>
      <w:r>
        <w:rPr>
          <w:rFonts w:ascii="Amiri" w:hAnsi="Amiri" w:eastAsia="Amiri" w:cs="Amiri"/>
          <w:lang w:bidi="ar-SA"/>
          <w:color w:val="111111"/>
          <w:sz w:val="28"/>
          <w:szCs w:val="28"/>
          <w:rtl/>
        </w:rPr>
        <w:t xml:space="preserve">: أنّ الاجتماع وعدمَه لا دخْلَ له فی التوصّل بالمقدّمة المحرّمة</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14419_166875"/>
    <w:bookmarkEnd w:id="135"/>
    <w:p>
      <w:pPr>
        <w:pStyle w:val="BookText"/>
      </w:pPr>
      <w:r>
        <w:rPr>
          <w:rFonts w:ascii="IRNazanin" w:hAnsi="IRNazanin" w:eastAsia="IRNazanin" w:cs="IRNazanin"/>
          <w:lang w:bidi="fa-IR"/>
          <w:color w:val="111111"/>
          <w:sz w:val="28"/>
          <w:szCs w:val="28"/>
          <w:rtl/>
        </w:rPr>
        <w:t xml:space="preserve">وعدمِه أصلاً ؛ فإنّه یمکن التوصّل بها إن کانت توصّلیّة ، ولو لم نقل بجواز الاجتماع ، وعدمُ جواز </w:t>
      </w:r>
      <w:r>
        <w:rPr>
          <w:rStyle w:val="FootnoteReference"/>
        </w:rPr>
        <w:footnoteReference w:id="517"/>
      </w:r>
      <w:r>
        <w:rPr>
          <w:rFonts w:ascii="IRNazanin" w:hAnsi="IRNazanin" w:eastAsia="IRNazanin" w:cs="IRNazanin"/>
          <w:lang w:bidi="fa-IR"/>
          <w:color w:val="111111"/>
          <w:sz w:val="28"/>
          <w:szCs w:val="28"/>
          <w:rtl/>
        </w:rPr>
        <w:t xml:space="preserve">التوصّل بها إن کانت تعبّدیّة علی القول بالامتناع - قیل بوجوب المقدّمة أو بعدمه - ، وجوازُ التوصّل بها علی القول بالجواز کذلک - أی قیل بالوجوب أو بعدمه - .</w:t>
      </w:r>
    </w:p>
    <w:p>
      <w:pPr>
        <w:pStyle w:val="BookText"/>
      </w:pPr>
      <w:r>
        <w:rPr>
          <w:rFonts w:ascii="IRNazanin" w:hAnsi="IRNazanin" w:eastAsia="IRNazanin" w:cs="IRNazanin"/>
          <w:lang w:bidi="fa-IR"/>
          <w:color w:val="111111"/>
          <w:sz w:val="28"/>
          <w:szCs w:val="28"/>
          <w:rtl/>
        </w:rPr>
        <w:t xml:space="preserve">وبالجملة: لا یتفاوت الحال فی جواز التوصّل بها وعدم جوازه أصلاً بین أن یقال بالوجوب أو یقال بعدمه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 تأسیس الأصل فی المسألة :</w:t>
      </w:r>
    </w:p>
    <w:p>
      <w:pPr>
        <w:pStyle w:val="Heading6"/>
      </w:pPr>
      <w:bookmarkStart w:id="872" w:name="_Toc312"/>
      <w:r>
        <w:t>لا أصل فی مسألة الملازمة</w:t>
      </w:r>
      <w:bookmarkEnd w:id="872"/>
    </w:p>
    <w:p>
      <w:pPr>
        <w:pStyle w:val="BookText"/>
      </w:pPr>
      <w:r>
        <w:rPr>
          <w:rFonts w:ascii="IRNazanin" w:hAnsi="IRNazanin" w:eastAsia="IRNazanin" w:cs="IRNazanin"/>
          <w:lang w:bidi="fa-IR"/>
          <w:color w:val="111111"/>
          <w:sz w:val="28"/>
          <w:szCs w:val="28"/>
          <w:rtl/>
        </w:rPr>
        <w:t xml:space="preserve">اعلم : أنّه لا أصل فی محلّ البحث فی المسألة ؛ فإنّ الملازمة بین وجوب المقدّمة ووجوب ذی المقدّمة وعدمَها لیست لها حالةٌ سابقة ، بل تکون الملازمة أو عدمُها أزلیّةً .</w:t>
      </w:r>
    </w:p>
    <w:p>
      <w:pPr>
        <w:pStyle w:val="Heading6"/>
      </w:pPr>
      <w:bookmarkStart w:id="873" w:name="_Toc313"/>
      <w:r>
        <w:t>جریان استصحاب عدم وجوب المقدّمة</w:t>
      </w:r>
      <w:bookmarkEnd w:id="873"/>
    </w:p>
    <w:p>
      <w:pPr>
        <w:pStyle w:val="BookText"/>
      </w:pPr>
      <w:r>
        <w:rPr>
          <w:rFonts w:ascii="IRNazanin" w:hAnsi="IRNazanin" w:eastAsia="IRNazanin" w:cs="IRNazanin"/>
          <w:lang w:bidi="fa-IR"/>
          <w:color w:val="111111"/>
          <w:sz w:val="28"/>
          <w:szCs w:val="28"/>
          <w:rtl/>
        </w:rPr>
        <w:t xml:space="preserve">نعم ، نفس وجوب المقدّمة یکون مسبوقاً بالعدم ، حیث یکون حادثاً بحدوث وجوب ذی المقدّمة ، فالأصل عدم وجوبها .</w:t>
      </w:r>
    </w:p>
    <w:p>
      <w:pPr>
        <w:pStyle w:val="BookText"/>
      </w:pPr>
      <w:r>
        <w:rPr>
          <w:rFonts w:ascii="IRNazanin" w:hAnsi="IRNazanin" w:eastAsia="IRNazanin" w:cs="IRNazanin"/>
          <w:lang w:bidi="fa-IR"/>
          <w:color w:val="111111"/>
          <w:sz w:val="28"/>
          <w:szCs w:val="28"/>
          <w:rtl/>
        </w:rPr>
        <w:t xml:space="preserve">وتوهّم : عدم جریانه؛ لکون وجوبها علی الملازمة من قبیل لوازم الماهیّة غیر مجعولة ، ولا أثر آخر </w:t>
      </w:r>
      <w:r>
        <w:rPr>
          <w:rStyle w:val="FootnoteReference"/>
        </w:rPr>
        <w:footnoteReference w:id="518"/>
      </w:r>
      <w:r>
        <w:rPr>
          <w:rFonts w:ascii="IRNazanin" w:hAnsi="IRNazanin" w:eastAsia="IRNazanin" w:cs="IRNazanin"/>
          <w:lang w:bidi="fa-IR"/>
          <w:color w:val="111111"/>
          <w:sz w:val="28"/>
          <w:szCs w:val="28"/>
          <w:rtl/>
        </w:rPr>
        <w:t xml:space="preserve">مجعول مترتّب علیه ، ولو کان لم یکن بمهمّ هاهنا .</w:t>
      </w:r>
    </w:p>
    <w:p>
      <w:pPr>
        <w:pStyle w:val="BookText"/>
      </w:pPr>
      <w:r>
        <w:rPr>
          <w:rFonts w:ascii="IRNazanin" w:hAnsi="IRNazanin" w:eastAsia="IRNazanin" w:cs="IRNazanin"/>
          <w:lang w:bidi="fa-IR"/>
          <w:color w:val="111111"/>
          <w:sz w:val="28"/>
          <w:szCs w:val="28"/>
          <w:rtl/>
        </w:rPr>
        <w:t xml:space="preserve">مدفوعٌ : بأنّه وإن کان غیرَ مجعول بالذات ، - لا بالجعل البسیط الّذی هو مفاد « کان » التامّة ، ولا بالجعل التألیفیّ الّذی هو مفاد « کان » الناقصة - ، إلّاأنّه مجعول بالعرض ، وبتبع جعل وجوب ذی المقدّمة ، وهو کافٍ فی جریان الأصل .</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14419_166876"/>
    <w:bookmarkEnd w:id="136"/>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ولزومُ التفکیک بین الوجوبین مع الشکّ لا محالة ؛ - لأصالة عدم وجوب المقدّمة مع وجوب ذی المقدّمة - لا ینافی الملازمة بین الواقعیّین </w:t>
      </w:r>
      <w:r>
        <w:rPr>
          <w:rStyle w:val="FootnoteReference"/>
        </w:rPr>
        <w:footnoteReference w:id="519"/>
      </w:r>
      <w:r>
        <w:rPr>
          <w:rFonts w:ascii="IRNazanin" w:hAnsi="IRNazanin" w:eastAsia="IRNazanin" w:cs="IRNazanin"/>
          <w:lang w:bidi="fa-IR"/>
          <w:color w:val="111111"/>
          <w:sz w:val="28"/>
          <w:szCs w:val="28"/>
          <w:rtl/>
        </w:rPr>
        <w:t xml:space="preserve">، وإنّما ینافی الملازمة بین الفعلیّین .</w:t>
      </w:r>
    </w:p>
    <w:p>
      <w:pPr>
        <w:pStyle w:val="BookText"/>
      </w:pPr>
      <w:r>
        <w:rPr>
          <w:rFonts w:ascii="IRNazanin" w:hAnsi="IRNazanin" w:eastAsia="IRNazanin" w:cs="IRNazanin"/>
          <w:lang w:bidi="fa-IR"/>
          <w:color w:val="111111"/>
          <w:sz w:val="28"/>
          <w:szCs w:val="28"/>
          <w:rtl/>
        </w:rPr>
        <w:t xml:space="preserve">نعم ، لو کانت الدعوی هی الملازمة المطلقة حتّی فی المرتبة الفعلیّة ، لما صحّ التمسّک بالأصل </w:t>
      </w:r>
      <w:r>
        <w:rPr>
          <w:rStyle w:val="FootnoteReference"/>
        </w:rPr>
        <w:footnoteReference w:id="520"/>
      </w:r>
      <w:r>
        <w:rPr>
          <w:rFonts w:ascii="IRNazanin" w:hAnsi="IRNazanin" w:eastAsia="IRNazanin" w:cs="IRNazanin"/>
          <w:lang w:bidi="fa-IR"/>
          <w:color w:val="111111"/>
          <w:sz w:val="28"/>
          <w:szCs w:val="28"/>
          <w:rtl/>
        </w:rPr>
        <w:t xml:space="preserve">، کما لا یخفی .</w:t>
      </w:r>
    </w:p>
    <w:p>
      <w:pPr>
        <w:pStyle w:val="Heading6"/>
      </w:pPr>
      <w:bookmarkStart w:id="874" w:name="_Toc314"/>
      <w:r>
        <w:t>الاستدلال علی وجوب المقدّمة</w:t>
      </w:r>
      <w:bookmarkEnd w:id="874"/>
    </w:p>
    <w:p>
      <w:pPr>
        <w:pStyle w:val="BookText"/>
      </w:pPr>
      <w:r>
        <w:rPr>
          <w:rFonts w:ascii="IRNazanin" w:hAnsi="IRNazanin" w:eastAsia="IRNazanin" w:cs="IRNazanin"/>
          <w:lang w:bidi="fa-IR"/>
          <w:color w:val="111111"/>
          <w:sz w:val="28"/>
          <w:szCs w:val="28"/>
          <w:rtl/>
        </w:rPr>
        <w:t xml:space="preserve">إذا عرفت ما ذکرنا: فقد تصدّی غیر واحد من الأفاضل لإقامة البرهان علی الملازمة ، وما أتی منهم بواحدٍ خالٍ عن الخلل .</w:t>
      </w:r>
    </w:p>
    <w:p>
      <w:pPr>
        <w:pStyle w:val="BookText"/>
      </w:pPr>
      <w:r>
        <w:rPr>
          <w:rFonts w:ascii="IRNazanin" w:hAnsi="IRNazanin" w:eastAsia="IRNazanin" w:cs="IRNazanin"/>
          <w:lang w:bidi="fa-IR"/>
          <w:color w:val="111111"/>
          <w:sz w:val="28"/>
          <w:szCs w:val="28"/>
          <w:rtl/>
        </w:rPr>
        <w:t xml:space="preserve">والأولی: إحالة ذلک إلی الوجدان؛ حیث إنّه أقویٰ شاهدٍ علی أنّ الإنسان إذا أراد شیئاً له مقدّمات ، أراد تلک المقدّمات لو التفت إلیها ، بحیث ربّما یجعلها فی قالب الطلب مثله ، ویقول مولویّاً: « ادخل السوق واشتر اللحم » - مثلاً - ؛ بداهَة أنّ الطلب المُنشأ بخطاب: « ادخلْ » مثل المُنشأ بخطاب « اشترْ » فی کونه بعثاً مولویّاً ، وأنّه حیث تعلّقت إرادته بإیجاد عبده الاشتراء ، ترشّحت منها له إرادة أُخری بدخول السوق، بعد الالتفات إلیه، وأنّه یکون مقدّمةً له، کما لا یخفی.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ویؤیّد </w:t>
      </w:r>
      <w:r>
        <w:rPr>
          <w:rStyle w:val="FootnoteReference"/>
        </w:rPr>
        <w:footnoteReference w:id="521"/>
      </w:r>
      <w:r>
        <w:rPr>
          <w:rFonts w:ascii="IRNazanin" w:hAnsi="IRNazanin" w:eastAsia="IRNazanin" w:cs="IRNazanin"/>
          <w:lang w:bidi="fa-IR"/>
          <w:color w:val="111111"/>
          <w:sz w:val="28"/>
          <w:szCs w:val="28"/>
          <w:rtl/>
        </w:rPr>
        <w:t xml:space="preserve">الوجدانَ - بل یکون من أوضح البرهان - : وجودُ الأوامر الغیریّة</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14419_166877"/>
    <w:bookmarkEnd w:id="137"/>
    <w:p>
      <w:pPr>
        <w:pStyle w:val="BookText"/>
      </w:pPr>
      <w:r>
        <w:rPr>
          <w:rFonts w:ascii="Amiri" w:hAnsi="Amiri" w:eastAsia="Amiri" w:cs="Amiri"/>
          <w:lang w:bidi="ar-SA"/>
          <w:color w:val="111111"/>
          <w:sz w:val="28"/>
          <w:szCs w:val="28"/>
          <w:rtl/>
        </w:rPr>
        <w:t xml:space="preserve">فی الشرعیّات والعرفیّات ؛ لوضوح أنّه لایکاد یتعلّق بمقدّمة أمرٌ غیریٌّ إلّاإذا کان فیها مناطُه . وإذا کان فیها کان فی مثلها ، فیصحّ تعلّقه به أیضاً ؛ لتحقّق ملاکه ومناطه .</w:t>
      </w:r>
    </w:p>
    <w:p>
      <w:pPr>
        <w:pStyle w:val="BookText"/>
      </w:pPr>
      <w:r>
        <w:rPr>
          <w:rFonts w:ascii="IRNazanin" w:hAnsi="IRNazanin" w:eastAsia="IRNazanin" w:cs="IRNazanin"/>
          <w:lang w:bidi="fa-IR"/>
          <w:color w:val="111111"/>
          <w:sz w:val="28"/>
          <w:szCs w:val="28"/>
          <w:rtl/>
        </w:rPr>
        <w:t xml:space="preserve">والتفصیل بین السبب وغیره ، والشرطِ الشرعیّ وغیره سیأتی بطلانَه ، وأنّه لا تفاوت فی باب الملازمة بین مقدّمةٍ ومقدّمة .</w:t>
      </w:r>
    </w:p>
    <w:p>
      <w:pPr>
        <w:pStyle w:val="Heading6"/>
      </w:pPr>
      <w:bookmarkStart w:id="875" w:name="_Toc315"/>
      <w:r>
        <w:t>استدلال البصری علی وجوب المقدّمة والإشکال علیه</w:t>
      </w:r>
      <w:bookmarkEnd w:id="875"/>
    </w:p>
    <w:p>
      <w:pPr>
        <w:pStyle w:val="BookText"/>
      </w:pPr>
      <w:r>
        <w:rPr>
          <w:rFonts w:ascii="IRNazanin" w:hAnsi="IRNazanin" w:eastAsia="IRNazanin" w:cs="IRNazanin"/>
          <w:lang w:bidi="fa-IR"/>
          <w:color w:val="111111"/>
          <w:sz w:val="28"/>
          <w:szCs w:val="28"/>
          <w:rtl/>
        </w:rPr>
        <w:t xml:space="preserve">ولا بأس بذکر الاستدلال الّذی هو کالأصل لغیره ، - ممّا ذکره الأفاضل من الاستدلالات - ، وهو ما ذکره أبو [ الحسین ] </w:t>
      </w:r>
      <w:r>
        <w:rPr>
          <w:rStyle w:val="FootnoteReference"/>
        </w:rPr>
        <w:footnoteReference w:id="522"/>
      </w:r>
      <w:r>
        <w:rPr>
          <w:rFonts w:ascii="IRNazanin" w:hAnsi="IRNazanin" w:eastAsia="IRNazanin" w:cs="IRNazanin"/>
          <w:lang w:bidi="fa-IR"/>
          <w:color w:val="111111"/>
          <w:sz w:val="28"/>
          <w:szCs w:val="28"/>
          <w:rtl/>
        </w:rPr>
        <w:t xml:space="preserve">البصریّ ، وهو: أنّه لو لم تجب المقدّمة لجاز ترکها ، وحینئذٍ فإن بقی الواجب علی وجوبه یلزم التکلیف بما لا یطاق ، وإلّا خرج الواجب المطلق عن کونه واجباً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بعد إصلاحه بإرادة « عدم المنع الشرعیّ » من التالی فی الشرطیّة الأُولی ، لا « الإباحِة الشرعیّة » ، وإلّا کانت الملازمة واضحةَ البطلان ، وإرادةِ « الترک » </w:t>
      </w:r>
      <w:r>
        <w:rPr>
          <w:rStyle w:val="FootnoteReference"/>
        </w:rPr>
        <w:footnoteReference w:id="524"/>
      </w:r>
      <w:r>
        <w:rPr>
          <w:rFonts w:ascii="IRNazanin" w:hAnsi="IRNazanin" w:eastAsia="IRNazanin" w:cs="IRNazanin"/>
          <w:lang w:bidi="fa-IR"/>
          <w:color w:val="111111"/>
          <w:sz w:val="28"/>
          <w:szCs w:val="28"/>
          <w:rtl/>
        </w:rPr>
        <w:t xml:space="preserve">عمّا اضیف إلیه الظرف ، لا « نفسِ الجواز » </w:t>
      </w:r>
      <w:r>
        <w:rPr>
          <w:rStyle w:val="FootnoteReference"/>
        </w:rPr>
        <w:footnoteReference w:id="525"/>
      </w:r>
      <w:r>
        <w:rPr>
          <w:rFonts w:ascii="Amiri" w:hAnsi="Amiri" w:eastAsia="Amiri" w:cs="Amiri"/>
          <w:lang w:bidi="ar-SA"/>
          <w:color w:val="111111"/>
          <w:sz w:val="28"/>
          <w:szCs w:val="28"/>
          <w:rtl/>
        </w:rPr>
        <w:t xml:space="preserve">، وإلّا فبمجرّد </w:t>
      </w:r>
      <w:r>
        <w:rPr>
          <w:rStyle w:val="FootnoteReference"/>
        </w:rPr>
        <w:footnoteReference w:id="526"/>
      </w:r>
      <w:r>
        <w:rPr>
          <w:rFonts w:ascii="IRNazanin" w:hAnsi="IRNazanin" w:eastAsia="IRNazanin" w:cs="IRNazanin"/>
          <w:lang w:bidi="fa-IR"/>
          <w:color w:val="111111"/>
          <w:sz w:val="28"/>
          <w:szCs w:val="28"/>
          <w:rtl/>
        </w:rPr>
        <w:t xml:space="preserve">الجواز بدون الترک ، لا یکاد یتوهّم صدق القضیّة الشرطیّة الثانیة - : 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فإنّ الترک </w:t>
      </w:r>
      <w:r>
        <w:rPr>
          <w:rStyle w:val="FootnoteReference"/>
        </w:rPr>
        <w:footnoteReference w:id="527"/>
      </w:r>
      <w:r>
        <w:rPr>
          <w:rStyle w:val="FootnoteReference"/>
        </w:rPr>
        <w:footnoteReference w:id="528"/>
      </w:r>
      <w:r>
        <w:rPr>
          <w:rFonts w:ascii="IRNazanin" w:hAnsi="IRNazanin" w:eastAsia="IRNazanin" w:cs="IRNazanin"/>
          <w:lang w:bidi="fa-IR"/>
          <w:color w:val="111111"/>
          <w:sz w:val="28"/>
          <w:szCs w:val="28"/>
          <w:rtl/>
        </w:rPr>
        <w:t xml:space="preserve">بمجرّد عدم المنع شرعاً لا یوجب صدق إحدی الشرطیّتین ،</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14419_166878"/>
    <w:bookmarkEnd w:id="138"/>
    <w:p>
      <w:pPr>
        <w:pStyle w:val="BookText"/>
      </w:pPr>
      <w:r>
        <w:rPr>
          <w:rFonts w:ascii="IRNazanin" w:hAnsi="IRNazanin" w:eastAsia="IRNazanin" w:cs="IRNazanin"/>
          <w:lang w:bidi="fa-IR"/>
          <w:color w:val="111111"/>
          <w:sz w:val="28"/>
          <w:szCs w:val="28"/>
          <w:rtl/>
        </w:rPr>
        <w:t xml:space="preserve">ولا یلزم </w:t>
      </w:r>
      <w:r>
        <w:rPr>
          <w:rStyle w:val="FootnoteReference"/>
        </w:rPr>
        <w:footnoteReference w:id="529"/>
      </w:r>
      <w:r>
        <w:rPr>
          <w:rFonts w:ascii="IRNazanin" w:hAnsi="IRNazanin" w:eastAsia="IRNazanin" w:cs="IRNazanin"/>
          <w:lang w:bidi="fa-IR"/>
          <w:color w:val="111111"/>
          <w:sz w:val="28"/>
          <w:szCs w:val="28"/>
          <w:rtl/>
        </w:rPr>
        <w:t xml:space="preserve">أحد المحذورین </w:t>
      </w:r>
      <w:r>
        <w:rPr>
          <w:rStyle w:val="FootnoteReference"/>
        </w:rPr>
        <w:footnoteReference w:id="530"/>
      </w:r>
      <w:r>
        <w:rPr>
          <w:rFonts w:ascii="IRNazanin" w:hAnsi="IRNazanin" w:eastAsia="IRNazanin" w:cs="IRNazanin"/>
          <w:lang w:bidi="fa-IR"/>
          <w:color w:val="111111"/>
          <w:sz w:val="28"/>
          <w:szCs w:val="28"/>
          <w:rtl/>
        </w:rPr>
        <w:t xml:space="preserve">؛ فإنّه وإن لم یبق له وجوب معه ، إلّاأنّه کان ذلک بالعصیان ؛ لکونه متمکّناً من الإطاعة والإتیان ، وقد اختار ترکه بترک مقدّمته بسوء اختیاره ، مع حکم العقل بلزوم إتیانها ، إرشاداً إلی ما فی ترکها من العصیان المستتبع للعقاب .</w:t>
      </w:r>
    </w:p>
    <w:p>
      <w:pPr>
        <w:pStyle w:val="BookText"/>
      </w:pPr>
      <w:r>
        <w:rPr>
          <w:rFonts w:ascii="IRNazanin" w:hAnsi="IRNazanin" w:eastAsia="IRNazanin" w:cs="IRNazanin"/>
          <w:lang w:bidi="fa-IR"/>
          <w:color w:val="111111"/>
          <w:sz w:val="28"/>
          <w:szCs w:val="28"/>
          <w:rtl/>
        </w:rPr>
        <w:t xml:space="preserve">نعم ، لو کان المراد من الجواز جوازَ الترک شرعاً وعقلاً للزم أحد المحذورین </w:t>
      </w:r>
      <w:r>
        <w:rPr>
          <w:rStyle w:val="FootnoteReference"/>
        </w:rPr>
        <w:footnoteReference w:id="531"/>
      </w:r>
      <w:r>
        <w:rPr>
          <w:rFonts w:ascii="IRNazanin" w:hAnsi="IRNazanin" w:eastAsia="IRNazanin" w:cs="IRNazanin"/>
          <w:lang w:bidi="fa-IR"/>
          <w:color w:val="111111"/>
          <w:sz w:val="28"/>
          <w:szCs w:val="28"/>
          <w:rtl/>
        </w:rPr>
        <w:t xml:space="preserve">، إلّاأنّ الملازمة علی هذا فی الشرطیّة الأُولی ممنوعة ؛ بداهَة أنّه لو لم یجب شرعاً لا یلزم أن یکون جائزاً شرعاً وعقلاً ؛ لإمکان أن لا یکون محکوماً بحکمٍ شرعاً وإن کان واجباً </w:t>
      </w:r>
      <w:r>
        <w:rPr>
          <w:rStyle w:val="FootnoteReference"/>
        </w:rPr>
        <w:footnoteReference w:id="532"/>
      </w:r>
      <w:r>
        <w:rPr>
          <w:rFonts w:ascii="IRNazanin" w:hAnsi="IRNazanin" w:eastAsia="IRNazanin" w:cs="IRNazanin"/>
          <w:lang w:bidi="fa-IR"/>
          <w:color w:val="111111"/>
          <w:sz w:val="28"/>
          <w:szCs w:val="28"/>
          <w:rtl/>
        </w:rPr>
        <w:t xml:space="preserve">عقلاً إرشاداً ، وهذا واضح .</w:t>
      </w:r>
    </w:p>
    <w:p>
      <w:pPr>
        <w:pStyle w:val="Heading6"/>
      </w:pPr>
      <w:bookmarkStart w:id="876" w:name="_Toc316"/>
      <w:r>
        <w:t>التفصیل بین السبب وغیره والإشکال فیه</w:t>
      </w:r>
      <w:bookmarkEnd w:id="876"/>
    </w:p>
    <w:p>
      <w:pPr>
        <w:pStyle w:val="BookText"/>
      </w:pPr>
      <w:r>
        <w:rPr>
          <w:rFonts w:ascii="IRNazanin" w:hAnsi="IRNazanin" w:eastAsia="IRNazanin" w:cs="IRNazanin"/>
          <w:lang w:bidi="fa-IR"/>
          <w:color w:val="111111"/>
          <w:sz w:val="28"/>
          <w:szCs w:val="28"/>
          <w:rtl/>
        </w:rPr>
        <w:t xml:space="preserve">وأمّا التفصیل بین السبب وغیره </w:t>
      </w:r>
      <w:r>
        <w:rPr>
          <w:rStyle w:val="FootnoteReference"/>
        </w:rPr>
        <w:footnoteReference w:id="533"/>
      </w:r>
      <w:r>
        <w:rPr>
          <w:rFonts w:ascii="IRNazanin" w:hAnsi="IRNazanin" w:eastAsia="IRNazanin" w:cs="IRNazanin"/>
          <w:lang w:bidi="fa-IR"/>
          <w:color w:val="111111"/>
          <w:sz w:val="28"/>
          <w:szCs w:val="28"/>
          <w:rtl/>
        </w:rPr>
        <w:t xml:space="preserve">: فقد استدلّ علی وجوب السبب بأنّ التکلیف لا یکاد یتعلق إلّابالمقدور ، والمقدور لا یکون إلّاهو السبب ، وإنّما المسبّب من آثاره المترتّبة علیه قهراً ، ولا یکون من أفعال المکلّف وحرکاته أو سکناته ، فلابدّ من صرف الأمر المتوجّه إلیه عنه إلی سببه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ولا یخفی ما فیه : من </w:t>
      </w:r>
      <w:r>
        <w:rPr>
          <w:rStyle w:val="FootnoteReference"/>
        </w:rPr>
        <w:footnoteReference w:id="534"/>
      </w:r>
      <w:r>
        <w:rPr>
          <w:rFonts w:ascii="IRNazanin" w:hAnsi="IRNazanin" w:eastAsia="IRNazanin" w:cs="IRNazanin"/>
          <w:lang w:bidi="fa-IR"/>
          <w:color w:val="111111"/>
          <w:sz w:val="28"/>
          <w:szCs w:val="28"/>
          <w:rtl/>
        </w:rPr>
        <w:t xml:space="preserve">أنّه لیس بدلیل علی التفصیل ، بل علی أنّ الأمر</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14419_166879"/>
    <w:bookmarkEnd w:id="139"/>
    <w:p>
      <w:pPr>
        <w:pStyle w:val="BookText"/>
      </w:pPr>
      <w:r>
        <w:rPr>
          <w:rFonts w:ascii="IRNazanin" w:hAnsi="IRNazanin" w:eastAsia="IRNazanin" w:cs="IRNazanin"/>
          <w:lang w:bidi="fa-IR"/>
          <w:color w:val="111111"/>
          <w:sz w:val="28"/>
          <w:szCs w:val="28"/>
          <w:rtl/>
        </w:rPr>
        <w:t xml:space="preserve">النفسیّ إنّما یکون متعلّقاً بالسبب دون المسبّب ، مع وضوح فساده ؛ ضرورةَ أنّ المسبّب مقدور المکلّف ، وهو متمکّن منه بواسطة السبب ، ولا یعتبر فی التکلیف أزید من القدرة ، کانت بلا واسطة أو معها ، کما لا یخفی .</w:t>
      </w:r>
    </w:p>
    <w:p>
      <w:pPr>
        <w:pStyle w:val="Heading6"/>
      </w:pPr>
      <w:bookmarkStart w:id="877" w:name="_Toc317"/>
      <w:r>
        <w:t>التفصیل بین الشرط الشرعی وغیره والإشکال علیه</w:t>
      </w:r>
      <w:bookmarkEnd w:id="877"/>
    </w:p>
    <w:p>
      <w:pPr>
        <w:pStyle w:val="BookText"/>
      </w:pPr>
      <w:r>
        <w:rPr>
          <w:rFonts w:ascii="IRNazanin" w:hAnsi="IRNazanin" w:eastAsia="IRNazanin" w:cs="IRNazanin"/>
          <w:lang w:bidi="fa-IR"/>
          <w:color w:val="111111"/>
          <w:sz w:val="28"/>
          <w:szCs w:val="28"/>
          <w:rtl/>
        </w:rPr>
        <w:t xml:space="preserve">وأمّا التفصیل بین الشرط الشرعیّ وغیره </w:t>
      </w:r>
      <w:r>
        <w:rPr>
          <w:rStyle w:val="FootnoteReference"/>
        </w:rPr>
        <w:footnoteReference w:id="535"/>
      </w:r>
      <w:r>
        <w:rPr>
          <w:rFonts w:ascii="Amiri" w:hAnsi="Amiri" w:eastAsia="Amiri" w:cs="Amiri"/>
          <w:lang w:bidi="ar-SA"/>
          <w:color w:val="111111"/>
          <w:sz w:val="28"/>
          <w:szCs w:val="28"/>
          <w:rtl/>
        </w:rPr>
        <w:t xml:space="preserve">: فقد استدلّ علی الوجوب فی الأوّل : بأنّه لولا وجوبه شرعاً لما کان شرطاً ؛ حیث إنّه لیس ممّا لابدّ منه عقلاً أو عادةً .</w:t>
      </w:r>
    </w:p>
    <w:p>
      <w:pPr>
        <w:pStyle w:val="BookText"/>
      </w:pPr>
      <w:r>
        <w:rPr>
          <w:rFonts w:ascii="IRNazanin" w:hAnsi="IRNazanin" w:eastAsia="IRNazanin" w:cs="IRNazanin"/>
          <w:lang w:bidi="fa-IR"/>
          <w:color w:val="111111"/>
          <w:sz w:val="28"/>
          <w:szCs w:val="28"/>
          <w:rtl/>
        </w:rPr>
        <w:t xml:space="preserve">وفیه - مضافاً إلی ما عرفت </w:t>
      </w:r>
      <w:r>
        <w:rPr>
          <w:rStyle w:val="FootnoteReference"/>
        </w:rPr>
        <w:footnoteReference w:id="536"/>
      </w:r>
      <w:r>
        <w:rPr>
          <w:rFonts w:ascii="IRNazanin" w:hAnsi="IRNazanin" w:eastAsia="IRNazanin" w:cs="IRNazanin"/>
          <w:lang w:bidi="fa-IR"/>
          <w:color w:val="111111"/>
          <w:sz w:val="28"/>
          <w:szCs w:val="28"/>
          <w:rtl/>
        </w:rPr>
        <w:t xml:space="preserve">من رجوع الشرط الشرعیّ إلی العقلیّ - : أنّه لا یکاد یتعلّق الأمر الغیریّ إلّابما هو مقدّمة الواجب ، فلو کانت </w:t>
      </w:r>
      <w:r>
        <w:rPr>
          <w:rStyle w:val="FootnoteReference"/>
        </w:rPr>
        <w:footnoteReference w:id="537"/>
      </w:r>
      <w:r>
        <w:rPr>
          <w:rFonts w:ascii="Amiri" w:hAnsi="Amiri" w:eastAsia="Amiri" w:cs="Amiri"/>
          <w:lang w:bidi="ar-SA"/>
          <w:color w:val="111111"/>
          <w:sz w:val="28"/>
          <w:szCs w:val="28"/>
          <w:rtl/>
        </w:rPr>
        <w:t xml:space="preserve">مقدّمیّته متوقّفة علی تعلّقه بها لدار .</w:t>
      </w:r>
    </w:p>
    <w:p>
      <w:pPr>
        <w:pStyle w:val="BookText"/>
      </w:pPr>
      <w:r>
        <w:rPr>
          <w:rFonts w:ascii="IRNazanin" w:hAnsi="IRNazanin" w:eastAsia="IRNazanin" w:cs="IRNazanin"/>
          <w:lang w:bidi="fa-IR"/>
          <w:color w:val="111111"/>
          <w:sz w:val="28"/>
          <w:szCs w:val="28"/>
          <w:rtl/>
        </w:rPr>
        <w:t xml:space="preserve">والشرطیّة وإن کانت منتزعةً عن التکلیف ، إلّاأنّه عن التکلیف النفسیّ المتعلّق بما قیّد بالشرط ، لا عن الغیریّ ، فافهم .</w:t>
      </w:r>
    </w:p>
    <w:p>
      <w:pPr>
        <w:pStyle w:val="Heading6"/>
      </w:pPr>
      <w:bookmarkStart w:id="878" w:name="_Toc318"/>
      <w:r>
        <w:t>مقدّمة المستحبّ والحرام والمکروه</w:t>
      </w:r>
      <w:bookmarkEnd w:id="878"/>
    </w:p>
    <w:p>
      <w:pPr>
        <w:pStyle w:val="BookText"/>
      </w:pPr>
      <w:r>
        <w:rPr>
          <w:rFonts w:ascii="Amiri" w:hAnsi="Amiri" w:eastAsia="Amiri" w:cs="Amiri"/>
          <w:lang w:bidi="ar-SA"/>
          <w:color w:val="111111"/>
          <w:sz w:val="28"/>
          <w:szCs w:val="28"/>
          <w:rtl/>
        </w:rPr>
        <w:t xml:space="preserve">تتمّة :</w:t>
      </w:r>
    </w:p>
    <w:p>
      <w:pPr>
        <w:pStyle w:val="BookText"/>
      </w:pPr>
      <w:r>
        <w:rPr>
          <w:rFonts w:ascii="IRNazanin" w:hAnsi="IRNazanin" w:eastAsia="IRNazanin" w:cs="IRNazanin"/>
          <w:lang w:bidi="fa-IR"/>
          <w:color w:val="111111"/>
          <w:sz w:val="28"/>
          <w:szCs w:val="28"/>
          <w:rtl/>
        </w:rPr>
        <w:t xml:space="preserve">لاشبهة فی أنّ مقدّمة المستحبّ کمقدّمة الواجب ، فتکون مستحبّة لو قیل بالملازمة .</w:t>
      </w:r>
    </w:p>
    <w:p>
      <w:pPr>
        <w:pStyle w:val="BookText"/>
      </w:pPr>
      <w:r>
        <w:rPr>
          <w:rFonts w:ascii="IRNazanin" w:hAnsi="IRNazanin" w:eastAsia="IRNazanin" w:cs="IRNazanin"/>
          <w:lang w:bidi="fa-IR"/>
          <w:color w:val="111111"/>
          <w:sz w:val="28"/>
          <w:szCs w:val="28"/>
          <w:rtl/>
        </w:rPr>
        <w:t xml:space="preserve">وأمّا مقدّمة الحرام والمکروه فلا تکاد تتّصف بالحرمة أو الکراهة ؛ إذ منها ما یتمکّن معه من ترک الحرام أو المکروه اختیاراً ، کما کان متمکّناً قبله ، فلا دَخْلَ له أصلاً فی حصول ما هو المطلوب من ترک الحرام أو المکروه ، فلم یترشّح من طلبه طلبُ ترک مقدّمتهما .</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ما لم یتمکّن معه من الترک المطلوب ، لا محالة یکون مطلوبَ الترک ، ویترشّح من طلب ترکهما طَلبُ ترکِ خصوص هذه المقدّمة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فلو لم یکن للحرام مقدّمةٌ لا یبقی معها اختیارُ ترکه لما اتّصف بالحرمة مقدّمةٌ من مقدّماته .</w:t>
      </w:r>
    </w:p>
    <w:p>
      <w:pPr>
        <w:pStyle w:val="BookText"/>
      </w:pPr>
      <w:r>
        <w:rPr>
          <w:rFonts w:ascii="IRNazanin" w:hAnsi="IRNazanin" w:eastAsia="IRNazanin" w:cs="IRNazanin"/>
          <w:lang w:bidi="fa-IR"/>
          <w:color w:val="111111"/>
          <w:sz w:val="28"/>
          <w:szCs w:val="28"/>
          <w:rtl/>
        </w:rPr>
        <w:t xml:space="preserve">لا یقال: کیف؟ ولا یکاد یکون فعلٌ إلّاعن مقدّمةٍ لا محالة معها یوجد ؛ ضرورةَ أنّ الشیء ما لم یجب لم یوجد .</w:t>
      </w:r>
    </w:p>
    <w:p>
      <w:pPr>
        <w:pStyle w:val="BookText"/>
      </w:pPr>
      <w:r>
        <w:rPr>
          <w:rFonts w:ascii="IRNazanin" w:hAnsi="IRNazanin" w:eastAsia="IRNazanin" w:cs="IRNazanin"/>
          <w:lang w:bidi="fa-IR"/>
          <w:color w:val="111111"/>
          <w:sz w:val="28"/>
          <w:szCs w:val="28"/>
          <w:rtl/>
        </w:rPr>
        <w:t xml:space="preserve">فإنّه یقال: نعم ، لا محالة یکون من جملتها ما یجب معه صدور الحرام ، لکنّه لا یلزم أن یکون ذلک من المقدّمات الاختیاریّة ، بل من المقدّمات غیر الاختیاریّة ، کمبادئ الاختیار الّتی لا تکون بالاختیار ، وإلّا لتسلسل ، فلا تغفل وتأمّل .</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0" w:name="pg14419_166881"/>
    <w:bookmarkEnd w:id="140"/>
    <w:p>
      <w:pPr>
        <w:pStyle w:val="Heading6"/>
      </w:pPr>
      <w:bookmarkStart w:id="879" w:name="_Toc319"/>
      <w:r>
        <w:t>فصل لأمر بالشیء هل یقتضی النهی عن ضدّه أو لا ؟</w:t>
      </w:r>
      <w:bookmarkEnd w:id="879"/>
    </w:p>
    <w:p>
      <w:pPr>
        <w:pStyle w:val="Heading6"/>
      </w:pPr>
      <w:bookmarkStart w:id="880" w:name="_Toc320"/>
      <w:r>
        <w:t>اشارة</w:t>
      </w:r>
      <w:bookmarkEnd w:id="880"/>
    </w:p>
    <w:p>
      <w:pPr>
        <w:pStyle w:val="BookText"/>
      </w:pPr>
      <w:r>
        <w:rPr>
          <w:rFonts w:ascii="IRNazanin" w:hAnsi="IRNazanin" w:eastAsia="IRNazanin" w:cs="IRNazanin"/>
          <w:lang w:bidi="fa-IR"/>
          <w:color w:val="111111"/>
          <w:sz w:val="28"/>
          <w:szCs w:val="28"/>
          <w:rtl/>
        </w:rPr>
        <w:t xml:space="preserve">فیه أقوال :</w:t>
      </w:r>
    </w:p>
    <w:p>
      <w:pPr>
        <w:pStyle w:val="Heading6"/>
      </w:pPr>
      <w:bookmarkStart w:id="881" w:name="_Toc321"/>
      <w:r>
        <w:t>تقدیم أُمور :</w:t>
      </w:r>
      <w:bookmarkEnd w:id="881"/>
    </w:p>
    <w:p>
      <w:pPr>
        <w:pStyle w:val="Heading6"/>
      </w:pPr>
      <w:bookmarkStart w:id="882" w:name="_Toc322"/>
      <w:r>
        <w:t>اشارة</w:t>
      </w:r>
      <w:bookmarkEnd w:id="882"/>
    </w:p>
    <w:p>
      <w:pPr>
        <w:pStyle w:val="BookText"/>
      </w:pPr>
      <w:r>
        <w:rPr>
          <w:rFonts w:ascii="IRNazanin" w:hAnsi="IRNazanin" w:eastAsia="IRNazanin" w:cs="IRNazanin"/>
          <w:lang w:bidi="fa-IR"/>
          <w:color w:val="111111"/>
          <w:sz w:val="28"/>
          <w:szCs w:val="28"/>
          <w:rtl/>
        </w:rPr>
        <w:t xml:space="preserve">وتحقیق الحال یستدعی رسم أُمور:</w:t>
      </w:r>
    </w:p>
    <w:p>
      <w:pPr>
        <w:pStyle w:val="Heading6"/>
      </w:pPr>
      <w:bookmarkStart w:id="883" w:name="_Toc323"/>
      <w:r>
        <w:t>1 - المراد من« الاقتضاء »و « الضد »</w:t>
      </w:r>
      <w:bookmarkEnd w:id="883"/>
    </w:p>
    <w:p>
      <w:pPr>
        <w:pStyle w:val="BookText"/>
      </w:pPr>
      <w:r>
        <w:rPr>
          <w:rFonts w:ascii="IRNazanin" w:hAnsi="IRNazanin" w:eastAsia="IRNazanin" w:cs="IRNazanin"/>
          <w:lang w:bidi="fa-IR"/>
          <w:color w:val="111111"/>
          <w:sz w:val="28"/>
          <w:szCs w:val="28"/>
          <w:rtl/>
        </w:rPr>
        <w:t xml:space="preserve">الأوّل: الاقتضاء فی العنوان أعمُّ من أن یکون بنحو العینیّة ، أو الجزئیّة ، أو اللزوم - من جهة التلازم بین طلب أحد الضدّین وطلب ترک الآخر ، أو المقدّمیّة - ، علی ما سیظهر .</w:t>
      </w:r>
    </w:p>
    <w:p>
      <w:pPr>
        <w:pStyle w:val="BookText"/>
      </w:pPr>
      <w:r>
        <w:rPr>
          <w:rFonts w:ascii="IRNazanin" w:hAnsi="IRNazanin" w:eastAsia="IRNazanin" w:cs="IRNazanin"/>
          <w:lang w:bidi="fa-IR"/>
          <w:color w:val="111111"/>
          <w:sz w:val="28"/>
          <w:szCs w:val="28"/>
          <w:rtl/>
        </w:rPr>
        <w:t xml:space="preserve">کما أنّ المراد بالضدّ هاهنا هو : مطلق المعاند والمنافی ، وجودیّاً کان أو عدمیّاً .</w:t>
      </w:r>
    </w:p>
    <w:p>
      <w:pPr>
        <w:pStyle w:val="Heading6"/>
      </w:pPr>
      <w:bookmarkStart w:id="884" w:name="_Toc324"/>
      <w:r>
        <w:t>2 - توهّم‌مقدّمیة ترک‌أحد الضدّین لوجود الآخر</w:t>
      </w:r>
      <w:bookmarkEnd w:id="884"/>
    </w:p>
    <w:p>
      <w:pPr>
        <w:pStyle w:val="BookText"/>
      </w:pPr>
      <w:r>
        <w:rPr>
          <w:rFonts w:ascii="IRNazanin" w:hAnsi="IRNazanin" w:eastAsia="IRNazanin" w:cs="IRNazanin"/>
          <w:lang w:bidi="fa-IR"/>
          <w:color w:val="111111"/>
          <w:sz w:val="28"/>
          <w:szCs w:val="28"/>
          <w:rtl/>
        </w:rPr>
        <w:t xml:space="preserve">الثانی : أنّ الجهة المبحوث عنها فی المسألة ، وإن کانت أنّه هل یکون للأمر اقتضاءٌ بنحوٍ من الأنحاء المذکورة ؟ إلّا أنّه لمّا کان عمدة القائلین بالاقتضاء فی الضدّ الخاصّ ، إنّما ذهبوا إلیه لأجل توهّم مقدّمیّة ترک الضدّ ، کان المهمُّ صرفَ عنان الکلام فی المقام إلی بیان الحال وتحقیق المقال فی المقدّمیّة وعدمها ، فنقول - وعلی اللّٰه الإتّکال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توهّم توقّف الشیء علی ترک ضدّه لیس إلّامن جهة المضادّة والمعاندة بین الوجودین ، وقضیّتها الممانعة بینهما ، ومن الواضحات أنّ عدم المانع من المقدّمات .</w:t>
      </w:r>
    </w:p>
    <w:p>
      <w:pPr>
        <w:pStyle w:val="Heading6"/>
      </w:pPr>
      <w:bookmarkStart w:id="885" w:name="_Toc325"/>
      <w:r>
        <w:t>الجواب عن التوهّم</w:t>
      </w:r>
      <w:bookmarkEnd w:id="885"/>
    </w:p>
    <w:p>
      <w:pPr>
        <w:pStyle w:val="BookText"/>
      </w:pPr>
      <w:r>
        <w:rPr>
          <w:rFonts w:ascii="IRNazanin" w:hAnsi="IRNazanin" w:eastAsia="IRNazanin" w:cs="IRNazanin"/>
          <w:lang w:bidi="fa-IR"/>
          <w:color w:val="111111"/>
          <w:sz w:val="28"/>
          <w:szCs w:val="28"/>
          <w:rtl/>
        </w:rPr>
        <w:t xml:space="preserve">وهو توهّمٌ فاسدٌ ؛ وذلک لأنّ المعاندة والمنافرة بین الشیئین لا تقتضی إلّا عدمَ اجتماعهما فی التحقّق ، وحیث لا منافاة أصلاً بین أحد العینین وما هو</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1" w:name="pg14419_166882"/>
    <w:bookmarkEnd w:id="141"/>
    <w:p>
      <w:pPr>
        <w:pStyle w:val="BookText"/>
      </w:pPr>
      <w:r>
        <w:rPr>
          <w:rFonts w:ascii="IRNazanin" w:hAnsi="IRNazanin" w:eastAsia="IRNazanin" w:cs="IRNazanin"/>
          <w:lang w:bidi="fa-IR"/>
          <w:color w:val="111111"/>
          <w:sz w:val="28"/>
          <w:szCs w:val="28"/>
          <w:rtl/>
        </w:rPr>
        <w:t xml:space="preserve">نقیضُ الآخر وبدیلُه ، بل بینهما کمال الملاءمة ، کان أحد العینین مع نقیض الآخر وما هو بدیلُه فی مرتبةٍ واحدةٍ ، من دون أن یکون فی البین ما یقتضی تقدُّمَ أحدهما علی الآخر ، کما لا یخفی .</w:t>
      </w:r>
    </w:p>
    <w:p>
      <w:pPr>
        <w:pStyle w:val="BookText"/>
      </w:pPr>
      <w:r>
        <w:rPr>
          <w:rFonts w:ascii="IRNazanin" w:hAnsi="IRNazanin" w:eastAsia="IRNazanin" w:cs="IRNazanin"/>
          <w:lang w:bidi="fa-IR"/>
          <w:color w:val="111111"/>
          <w:sz w:val="28"/>
          <w:szCs w:val="28"/>
          <w:rtl/>
        </w:rPr>
        <w:t xml:space="preserve">فکما أنّ المنافاة </w:t>
      </w:r>
      <w:r>
        <w:rPr>
          <w:rStyle w:val="FootnoteReference"/>
        </w:rPr>
        <w:footnoteReference w:id="538"/>
      </w:r>
      <w:r>
        <w:rPr>
          <w:rFonts w:ascii="IRNazanin" w:hAnsi="IRNazanin" w:eastAsia="IRNazanin" w:cs="IRNazanin"/>
          <w:lang w:bidi="fa-IR"/>
          <w:color w:val="111111"/>
          <w:sz w:val="28"/>
          <w:szCs w:val="28"/>
          <w:rtl/>
        </w:rPr>
        <w:t xml:space="preserve">بین المتناقضین لا تقتضی تقدُّمَ ارتفاع أحدهما فی ثبوت الآخر ، کذلک فی المتضادّین .</w:t>
      </w:r>
    </w:p>
    <w:p>
      <w:pPr>
        <w:pStyle w:val="Heading6"/>
      </w:pPr>
      <w:bookmarkStart w:id="886" w:name="_Toc326"/>
      <w:r>
        <w:t>جوابٌ آخر عن التوهّم ، بلزوم الدور</w:t>
      </w:r>
      <w:bookmarkEnd w:id="886"/>
    </w:p>
    <w:p>
      <w:pPr>
        <w:pStyle w:val="BookText"/>
      </w:pPr>
      <w:r>
        <w:rPr>
          <w:rFonts w:ascii="Amiri" w:hAnsi="Amiri" w:eastAsia="Amiri" w:cs="Amiri"/>
          <w:lang w:bidi="ar-SA"/>
          <w:color w:val="111111"/>
          <w:sz w:val="28"/>
          <w:szCs w:val="28"/>
          <w:rtl/>
        </w:rPr>
        <w:t xml:space="preserve">کیف؟ ولو اقتضی التضادُّ توقُّفَ وجودِ الشیء علی عدم ضدّه - توقُّفَ الشیءِ علی عدم مانعه - لاقتضی توقُّفَ عدم الضدّ علی وجود الشیء - توقُّفَ عدم الشیء علی مانعه -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بداهةَ ثبوت المانعیّة فی الطرفین ، وکون المطاردة من الجانبین ، وهو دور واضح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887" w:name="_Toc327"/>
      <w:r>
        <w:t>جواب المحقّق الخونساری عن إشکال الدور</w:t>
      </w:r>
      <w:bookmarkEnd w:id="887"/>
    </w:p>
    <w:p>
      <w:pPr>
        <w:pStyle w:val="BookText"/>
      </w:pPr>
      <w:r>
        <w:rPr>
          <w:rFonts w:ascii="IRNazanin" w:hAnsi="IRNazanin" w:eastAsia="IRNazanin" w:cs="IRNazanin"/>
          <w:lang w:bidi="fa-IR"/>
          <w:color w:val="111111"/>
          <w:sz w:val="28"/>
          <w:szCs w:val="28"/>
          <w:rtl/>
        </w:rPr>
        <w:t xml:space="preserve">وما قیل </w:t>
      </w:r>
      <w:r>
        <w:rPr>
          <w:rStyle w:val="FootnoteReference"/>
        </w:rPr>
        <w:footnoteReference w:id="540"/>
      </w:r>
      <w:r>
        <w:rPr>
          <w:rFonts w:ascii="IRNazanin" w:hAnsi="IRNazanin" w:eastAsia="IRNazanin" w:cs="IRNazanin"/>
          <w:lang w:bidi="fa-IR"/>
          <w:color w:val="111111"/>
          <w:sz w:val="28"/>
          <w:szCs w:val="28"/>
          <w:rtl/>
        </w:rPr>
        <w:t xml:space="preserve">- فی التفصّی عن هذا الدور - بأنّ التوقّف من طرف الوجود فعلیٌّ ، بخلاف التوقّف من طرف العدم ، فإنّه یتوقّف علی فرض ثبوت المقتضی له ، مع شراشر شرائطه غیر عدم وجود ضدّه ، ولعلّه کان محالاً ، لأجل انتهیاء عدم وجود أحد الضدّین - مع وجود الآخر - إلی عدم تعلّق الإرادة الأزلیّة به ، وتعلّقها بالآخر حَسَبَ ما اقتضته الحکمة البالغة ، فیکون العدم دائماً مستنداً إلی عدم المقتضی ، فلا یکاد یکون مستنداً إلی وجود المانع ، کی یلزم الدور .</w:t>
      </w:r>
    </w:p>
    <w:p>
      <w:pPr>
        <w:pStyle w:val="BookText"/>
      </w:pPr>
      <w:r>
        <w:rPr>
          <w:rFonts w:ascii="IRNazanin" w:hAnsi="IRNazanin" w:eastAsia="IRNazanin" w:cs="IRNazanin"/>
          <w:lang w:bidi="fa-IR"/>
          <w:color w:val="111111"/>
          <w:sz w:val="28"/>
          <w:szCs w:val="28"/>
          <w:rtl/>
        </w:rPr>
        <w:t xml:space="preserve">إن قلت: هذا إذا لوحظا منتهیین إلی إرادة شخص واحد . وأمّا إذا کان کلٌّ منهما متعلّقاً لإرادة شخص ، فأراد - مثلاً - أحد الشخصین حرکةَ شیءٍ ،</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2" w:name="pg14419_166883"/>
    <w:bookmarkEnd w:id="142"/>
    <w:p>
      <w:pPr>
        <w:pStyle w:val="BookText"/>
      </w:pPr>
      <w:r>
        <w:rPr>
          <w:rFonts w:ascii="IRNazanin" w:hAnsi="IRNazanin" w:eastAsia="IRNazanin" w:cs="IRNazanin"/>
          <w:lang w:bidi="fa-IR"/>
          <w:color w:val="111111"/>
          <w:sz w:val="28"/>
          <w:szCs w:val="28"/>
          <w:rtl/>
        </w:rPr>
        <w:t xml:space="preserve">وأراد الآخرُ سکونَه ، فیکون المقتضی لکلٍّ منهما حینئذٍ موجوداً ، فالعدم - لا محالة - یکون فعلاً مستنداً إلی وجود المانع .</w:t>
      </w:r>
    </w:p>
    <w:p>
      <w:pPr>
        <w:pStyle w:val="BookText"/>
      </w:pPr>
      <w:r>
        <w:rPr>
          <w:rFonts w:ascii="Amiri" w:hAnsi="Amiri" w:eastAsia="Amiri" w:cs="Amiri"/>
          <w:lang w:bidi="ar-SA"/>
          <w:color w:val="111111"/>
          <w:sz w:val="28"/>
          <w:szCs w:val="28"/>
          <w:rtl/>
        </w:rPr>
        <w:t xml:space="preserve">قلت: هاهنا أیضاً مستندٌ </w:t>
      </w:r>
      <w:r>
        <w:rPr>
          <w:rStyle w:val="FootnoteReference"/>
        </w:rPr>
        <w:footnoteReference w:id="541"/>
      </w:r>
      <w:r>
        <w:rPr>
          <w:rFonts w:ascii="IRNazanin" w:hAnsi="IRNazanin" w:eastAsia="IRNazanin" w:cs="IRNazanin"/>
          <w:lang w:bidi="fa-IR"/>
          <w:color w:val="111111"/>
          <w:sz w:val="28"/>
          <w:szCs w:val="28"/>
          <w:rtl/>
        </w:rPr>
        <w:t xml:space="preserve">إلی عدم قدرة المغلوب منهما فی إرادته - وهی ممّا لابدّ منه فی وجود المراد ، ولا یکاد یکون بمجرّد الإرادة بدونها - ، لا إلی وجود الضدّ ؛ لکونه مسبوقاً بعدم قدرته ، کما لا یخفی .</w:t>
      </w:r>
    </w:p>
    <w:p>
      <w:pPr>
        <w:pStyle w:val="Heading6"/>
      </w:pPr>
      <w:bookmarkStart w:id="888" w:name="_Toc328"/>
      <w:r>
        <w:t>المناقشة فی ما أفاده المحقّق الخونساری</w:t>
      </w:r>
      <w:bookmarkEnd w:id="8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غیر سدید ؛ فإنّه وإن کان قد ارتفع به الدور ، إلّاأنّ غائلة لزوم توقّف الشیء علی ما یصلح أنّ یتوقّف علیه علی حالها ؛ لاستحالة أن یکون الشیءُ الصالحُ لأن یکون موقوفاً علیه الشیء </w:t>
      </w:r>
      <w:r>
        <w:rPr>
          <w:rStyle w:val="FootnoteReference"/>
        </w:rPr>
        <w:footnoteReference w:id="542"/>
      </w:r>
      <w:r>
        <w:rPr>
          <w:rStyle w:val="FootnoteReference"/>
        </w:rPr>
        <w:footnoteReference w:id="543"/>
      </w:r>
      <w:r>
        <w:rPr>
          <w:rFonts w:ascii="IRNazanin" w:hAnsi="IRNazanin" w:eastAsia="IRNazanin" w:cs="IRNazanin"/>
          <w:lang w:bidi="fa-IR"/>
          <w:color w:val="111111"/>
          <w:sz w:val="28"/>
          <w:szCs w:val="28"/>
          <w:rtl/>
        </w:rPr>
        <w:t xml:space="preserve">، موقوفاً علیه ؛ ضرورةَ أنّه لو کان فی مرتبة یصلح لأن یُستند إلیه ، لما کاد یصحّ أن یستند فعلاً إلیه .</w:t>
      </w:r>
    </w:p>
    <w:p>
      <w:pPr>
        <w:pStyle w:val="BookText"/>
      </w:pPr>
      <w:r>
        <w:rPr>
          <w:rFonts w:ascii="IRNazanin" w:hAnsi="IRNazanin" w:eastAsia="IRNazanin" w:cs="IRNazanin"/>
          <w:lang w:bidi="fa-IR"/>
          <w:color w:val="111111"/>
          <w:sz w:val="28"/>
          <w:szCs w:val="28"/>
          <w:rtl/>
        </w:rPr>
        <w:t xml:space="preserve">والمنع عن صلوحه لذلک ، بدعوی : أنّ قضیّة کون العدم مستنداً إلی وجود الضدّ ، - لو کان مجتمعاً مع وجود المقتضی - وإن کانت صادقة ، إلّاأنّ صدقها لا یقتضی کونَ الضدّ صالحاً لذلک ؛ لعدم اقتضاء صدق الشرطیّة صِدْقَ طرفَیْها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مساوقٌ لمنع مانعیّة الضدّ </w:t>
      </w:r>
      <w:r>
        <w:rPr>
          <w:rStyle w:val="FootnoteReference"/>
        </w:rPr>
        <w:footnoteReference w:id="544"/>
      </w:r>
      <w:r>
        <w:rPr>
          <w:rFonts w:ascii="IRNazanin" w:hAnsi="IRNazanin" w:eastAsia="IRNazanin" w:cs="IRNazanin"/>
          <w:lang w:bidi="fa-IR"/>
          <w:color w:val="111111"/>
          <w:sz w:val="28"/>
          <w:szCs w:val="28"/>
          <w:rtl/>
        </w:rPr>
        <w:t xml:space="preserve">، وهو یوجب رفع التوقّف رأساً من البین ؛</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أنّه لا منشأ لتوهُّمِ توقّف أحد الضدّین علی عدم الآخر إلّا توهّم مانعیّة الضدّ - کما أشرنا إلیه </w:t>
      </w:r>
      <w:r>
        <w:rPr>
          <w:rStyle w:val="FootnoteReference"/>
        </w:rPr>
        <w:footnoteReference w:id="545"/>
      </w:r>
      <w:r>
        <w:rPr>
          <w:rFonts w:ascii="Amiri" w:hAnsi="Amiri" w:eastAsia="Amiri" w:cs="Amiri"/>
          <w:lang w:bidi="ar-SA"/>
          <w:color w:val="111111"/>
          <w:sz w:val="28"/>
          <w:szCs w:val="28"/>
          <w:rtl/>
        </w:rPr>
        <w:t xml:space="preserve">- وصلوحِه لها .</w:t>
      </w:r>
    </w:p>
    <w:p>
      <w:pPr>
        <w:pStyle w:val="BookText"/>
      </w:pPr>
      <w:r>
        <w:rPr>
          <w:rFonts w:ascii="IRNazanin" w:hAnsi="IRNazanin" w:eastAsia="IRNazanin" w:cs="IRNazanin"/>
          <w:lang w:bidi="fa-IR"/>
          <w:color w:val="111111"/>
          <w:sz w:val="28"/>
          <w:szCs w:val="28"/>
          <w:rtl/>
        </w:rPr>
        <w:t xml:space="preserve">إن قلت: التمانع بین الضدّین کالنار علی المنار ، بل کالشمس فی رابعة النهار ، وکذا کون عدم المانع ممّا یتوقّف علیه ، ممّا لا یقبل الإنکار ، فلیس ما ذُکر إلّاشبهة فی مقابل البدیهة .</w:t>
      </w:r>
    </w:p>
    <w:p>
      <w:pPr>
        <w:pStyle w:val="BookText"/>
      </w:pPr>
      <w:r>
        <w:rPr>
          <w:rFonts w:ascii="IRNazanin" w:hAnsi="IRNazanin" w:eastAsia="IRNazanin" w:cs="IRNazanin"/>
          <w:lang w:bidi="fa-IR"/>
          <w:color w:val="111111"/>
          <w:sz w:val="28"/>
          <w:szCs w:val="28"/>
          <w:rtl/>
        </w:rPr>
        <w:t xml:space="preserve">قلت: التمانع بمعنی التنافی والتعاند الموجب لاستحالة الاجتماع ممّا لا ریب فیه ولا شبهة تعتریه، إلّاأنّه لا یقتضی إلّاامتناعَ الاجتماع، وعدمَ وجود أحدهما إلّا مع عدم الآخر الّذی هو بدیلُ وجودِهِ المعاند له ، فیکون فی مرتبته ، لا مقدّماً علیه ولو طبعاً </w:t>
      </w:r>
      <w:r>
        <w:rPr>
          <w:rStyle w:val="FootnoteReference"/>
        </w:rPr>
        <w:footnoteReference w:id="546"/>
      </w:r>
      <w:r>
        <w:rPr>
          <w:rFonts w:ascii="IRNazanin" w:hAnsi="IRNazanin" w:eastAsia="IRNazanin" w:cs="IRNazanin"/>
          <w:lang w:bidi="fa-IR"/>
          <w:color w:val="111111"/>
          <w:sz w:val="28"/>
          <w:szCs w:val="28"/>
          <w:rtl/>
        </w:rPr>
        <w:t xml:space="preserve">. والمانع الّذی یکون موقوفاً علی عدمه الوجود </w:t>
      </w:r>
      <w:r>
        <w:rPr>
          <w:rStyle w:val="FootnoteReference"/>
        </w:rPr>
        <w:footnoteReference w:id="547"/>
      </w:r>
      <w:r>
        <w:rPr>
          <w:rFonts w:ascii="IRNazanin" w:hAnsi="IRNazanin" w:eastAsia="IRNazanin" w:cs="IRNazanin"/>
          <w:lang w:bidi="fa-IR"/>
          <w:color w:val="111111"/>
          <w:sz w:val="28"/>
          <w:szCs w:val="28"/>
          <w:rtl/>
        </w:rPr>
        <w:t xml:space="preserve">هو ما کان ینافی ویزاحم المقتضی فی تأثیره ، لا ما یعاند الشیء ویزاحمه فی وجوده .</w:t>
      </w:r>
    </w:p>
    <w:p>
      <w:pPr>
        <w:pStyle w:val="BookText"/>
      </w:pPr>
      <w:r>
        <w:rPr>
          <w:rFonts w:ascii="IRNazanin" w:hAnsi="IRNazanin" w:eastAsia="IRNazanin" w:cs="IRNazanin"/>
          <w:lang w:bidi="fa-IR"/>
          <w:color w:val="111111"/>
          <w:sz w:val="28"/>
          <w:szCs w:val="28"/>
          <w:rtl/>
        </w:rPr>
        <w:t xml:space="preserve">نعم ، العلّة التامّة لأحد الضدّین ربما تکون مانعاً عن الآخر ، ومزاحماً </w:t>
      </w:r>
      <w:r>
        <w:rPr>
          <w:rStyle w:val="FootnoteReference"/>
        </w:rPr>
        <w:footnoteReference w:id="548"/>
      </w:r>
      <w:r>
        <w:rPr>
          <w:rFonts w:ascii="IRNazanin" w:hAnsi="IRNazanin" w:eastAsia="IRNazanin" w:cs="IRNazanin"/>
          <w:lang w:bidi="fa-IR"/>
          <w:color w:val="111111"/>
          <w:sz w:val="28"/>
          <w:szCs w:val="28"/>
          <w:rtl/>
        </w:rPr>
        <w:t xml:space="preserve">لمقتضیه فی تأثیره ، مثلاً: تکون شدّة الشفقة علی الولد الغریق وکثرة المحبّة له ، تمنع عن أن یؤثّر ما فی الأخ الغریق من المحبّة والشفقة ، لإرادة إنقاذه مع</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3" w:name="pg14419_166885"/>
    <w:bookmarkEnd w:id="143"/>
    <w:p>
      <w:pPr>
        <w:pStyle w:val="BookText"/>
      </w:pPr>
      <w:r>
        <w:rPr>
          <w:rFonts w:ascii="Amiri" w:hAnsi="Amiri" w:eastAsia="Amiri" w:cs="Amiri"/>
          <w:lang w:bidi="ar-SA"/>
          <w:color w:val="111111"/>
          <w:sz w:val="28"/>
          <w:szCs w:val="28"/>
          <w:rtl/>
        </w:rPr>
        <w:t xml:space="preserve">المزاحمة ، فیُنقذ به الولد دونه ، فتأمّل جیّداً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وممّا ذکرنا ظهر : أنّه لا فرق بین الضدّ الموجود والمعدوم ، فی أنّ عدمه - الملائم للشیء المناقض لوجوده المعاند لذاک - لابدّ أن یجامع معه من غیر مقتضٍ لسبقه ، بل قد عرفت </w:t>
      </w:r>
      <w:r>
        <w:rPr>
          <w:rStyle w:val="FootnoteReference"/>
        </w:rPr>
        <w:footnoteReference w:id="549"/>
      </w:r>
      <w:r>
        <w:rPr>
          <w:rFonts w:ascii="IRNazanin" w:hAnsi="IRNazanin" w:eastAsia="IRNazanin" w:cs="IRNazanin"/>
          <w:lang w:bidi="fa-IR"/>
          <w:color w:val="111111"/>
          <w:sz w:val="28"/>
          <w:szCs w:val="28"/>
          <w:rtl/>
        </w:rPr>
        <w:t xml:space="preserve">ما یقتضی عدمَ سبقه .</w:t>
      </w:r>
    </w:p>
    <w:p>
      <w:pPr>
        <w:pStyle w:val="BookText"/>
      </w:pPr>
      <w:r>
        <w:rPr>
          <w:rFonts w:ascii="IRNazanin" w:hAnsi="IRNazanin" w:eastAsia="IRNazanin" w:cs="IRNazanin"/>
          <w:lang w:bidi="fa-IR"/>
          <w:color w:val="111111"/>
          <w:sz w:val="28"/>
          <w:szCs w:val="28"/>
          <w:rtl/>
        </w:rPr>
        <w:t xml:space="preserve">فانقدح بذلک ما فی تفصیل بعض الأعلام </w:t>
      </w:r>
      <w:r>
        <w:rPr>
          <w:rStyle w:val="FootnoteReference"/>
        </w:rPr>
        <w:footnoteReference w:id="550"/>
      </w:r>
      <w:r>
        <w:rPr>
          <w:rFonts w:ascii="IRNazanin" w:hAnsi="IRNazanin" w:eastAsia="IRNazanin" w:cs="IRNazanin"/>
          <w:lang w:bidi="fa-IR"/>
          <w:color w:val="111111"/>
          <w:sz w:val="28"/>
          <w:szCs w:val="28"/>
          <w:rtl/>
        </w:rPr>
        <w:t xml:space="preserve">، حیث قال بالتوقّف علی رفع الضدّ الموجود ، وعدمِ التوقّف علی عدم الضدّ المعدوم . فتأمّل فی أطراف ما ذکرناه ، فإنّه دقیق ، وبذلک حقیق .</w:t>
      </w:r>
    </w:p>
    <w:p>
      <w:pPr>
        <w:pStyle w:val="BookText"/>
      </w:pPr>
      <w:r>
        <w:rPr>
          <w:rFonts w:ascii="Amiri" w:hAnsi="Amiri" w:eastAsia="Amiri" w:cs="Amiri"/>
          <w:lang w:bidi="ar-SA"/>
          <w:color w:val="111111"/>
          <w:sz w:val="28"/>
          <w:szCs w:val="28"/>
          <w:rtl/>
        </w:rPr>
        <w:t xml:space="preserve">فقد ظهر عدمُ حرمة الضدّ من جهة المقدِّمیّة .</w:t>
      </w:r>
    </w:p>
    <w:p>
      <w:pPr>
        <w:pStyle w:val="Heading6"/>
      </w:pPr>
      <w:bookmarkStart w:id="889" w:name="_Toc329"/>
      <w:r>
        <w:t>منع الاقتضاء من جهة التلازم</w:t>
      </w:r>
      <w:bookmarkEnd w:id="889"/>
    </w:p>
    <w:p>
      <w:pPr>
        <w:pStyle w:val="BookText"/>
      </w:pPr>
      <w:r>
        <w:rPr>
          <w:rFonts w:ascii="IRNazanin" w:hAnsi="IRNazanin" w:eastAsia="IRNazanin" w:cs="IRNazanin"/>
          <w:lang w:bidi="fa-IR"/>
          <w:color w:val="111111"/>
          <w:sz w:val="28"/>
          <w:szCs w:val="28"/>
          <w:rtl/>
        </w:rPr>
        <w:t xml:space="preserve">وأمّا من جهة لزوم عدم اختلاف المتلازمین - فی الوجود - فی الحکم ، فغایته أن لا یکون أحدهما فعلاً محکوماً بغیر ما حکم به الآخر ، لا أن یکون محکوماً بحکمه .</w:t>
      </w:r>
    </w:p>
    <w:p>
      <w:pPr>
        <w:pStyle w:val="BookText"/>
      </w:pPr>
      <w:r>
        <w:rPr>
          <w:rFonts w:ascii="IRNazanin" w:hAnsi="IRNazanin" w:eastAsia="IRNazanin" w:cs="IRNazanin"/>
          <w:lang w:bidi="fa-IR"/>
          <w:color w:val="111111"/>
          <w:sz w:val="28"/>
          <w:szCs w:val="28"/>
          <w:rtl/>
        </w:rPr>
        <w:t xml:space="preserve">وعدم خلوّ الواقعة عن الحکم ، فهو إنّما یکون بحسب الحکم الواقعیّ لا الفعلیّ ، فلا حرمة للضدّ من هذه الجهة أیضاً ، بل علی ما هو علیه - لولا الابتلاءُ بالمضادّة للواجب الفعلیّ - من الحکم الواقعیّ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4" w:name="pg14419_166886"/>
    <w:bookmarkEnd w:id="144"/>
    <w:p>
      <w:pPr>
        <w:pStyle w:val="Heading6"/>
      </w:pPr>
      <w:bookmarkStart w:id="890" w:name="_Toc330"/>
      <w:r>
        <w:t>3 - الکلام فی دلالة الأمر تضمّناً علی النهی عن الضدّ العام</w:t>
      </w:r>
      <w:bookmarkEnd w:id="890"/>
    </w:p>
    <w:p>
      <w:pPr>
        <w:pStyle w:val="Heading6"/>
      </w:pPr>
      <w:bookmarkStart w:id="891" w:name="_Toc331"/>
      <w:r>
        <w:t>اشارة</w:t>
      </w:r>
      <w:bookmarkEnd w:id="891"/>
    </w:p>
    <w:p>
      <w:pPr>
        <w:pStyle w:val="BookText"/>
      </w:pPr>
      <w:r>
        <w:rPr>
          <w:rFonts w:ascii="IRNazanin" w:hAnsi="IRNazanin" w:eastAsia="IRNazanin" w:cs="IRNazanin"/>
          <w:lang w:bidi="fa-IR"/>
          <w:color w:val="111111"/>
          <w:sz w:val="28"/>
          <w:szCs w:val="28"/>
          <w:rtl/>
        </w:rPr>
        <w:t xml:space="preserve">الأمر الثالث: أنّه قیل </w:t>
      </w:r>
      <w:r>
        <w:rPr>
          <w:rStyle w:val="FootnoteReference"/>
        </w:rPr>
        <w:footnoteReference w:id="552"/>
      </w:r>
      <w:r>
        <w:rPr>
          <w:rFonts w:ascii="IRNazanin" w:hAnsi="IRNazanin" w:eastAsia="IRNazanin" w:cs="IRNazanin"/>
          <w:lang w:bidi="fa-IR"/>
          <w:color w:val="111111"/>
          <w:sz w:val="28"/>
          <w:szCs w:val="28"/>
          <w:rtl/>
        </w:rPr>
        <w:t xml:space="preserve">بدلالة الأمر بالشیء بالتضمّن علی النهی عن الضدّ العامّ - بمعنی الترک - ، حیث إنّه یدلّ علی الوجوب المرکّب من طلب الفعل والمنع عن الترک .</w:t>
      </w:r>
    </w:p>
    <w:p>
      <w:pPr>
        <w:pStyle w:val="BookText"/>
      </w:pPr>
      <w:r>
        <w:rPr>
          <w:rFonts w:ascii="IRNazanin" w:hAnsi="IRNazanin" w:eastAsia="IRNazanin" w:cs="IRNazanin"/>
          <w:lang w:bidi="fa-IR"/>
          <w:color w:val="111111"/>
          <w:sz w:val="28"/>
          <w:szCs w:val="28"/>
          <w:rtl/>
        </w:rPr>
        <w:t xml:space="preserve">والتحقیق: أنّه لا یکون الوجوب إلّاطلباً بسیطاً ، ومرتبةً وحیدةً أکیدةً من الطلب ، لا مرکّباً من طلبین . نعم ، فی مقام تحدید تلک المرتبة وتعیینها ربما یقال: الوجوب یکون عبارة من طلب الفعل مع المنع عن الترک ، ویتخیّل منه أنّه یذکر له حدّاً .</w:t>
      </w:r>
    </w:p>
    <w:p>
      <w:pPr>
        <w:pStyle w:val="BookText"/>
      </w:pPr>
      <w:r>
        <w:rPr>
          <w:rFonts w:ascii="IRNazanin" w:hAnsi="IRNazanin" w:eastAsia="IRNazanin" w:cs="IRNazanin"/>
          <w:lang w:bidi="fa-IR"/>
          <w:color w:val="111111"/>
          <w:sz w:val="28"/>
          <w:szCs w:val="28"/>
          <w:rtl/>
        </w:rPr>
        <w:t xml:space="preserve">فالمنع عن الترک لیس من أجزاء الوجوب ومقوّماته ، بل من خواصّه ولوازمه ، بمعنی : أنّه لو التفت الآمر إلی الترک لما کان راضیاً به لا محالة ، وکان یبغضه البتّة .</w:t>
      </w:r>
    </w:p>
    <w:p>
      <w:pPr>
        <w:pStyle w:val="Heading6"/>
      </w:pPr>
      <w:bookmarkStart w:id="892" w:name="_Toc332"/>
      <w:r>
        <w:t>دعوی أنّ الأمر بالشیء عین النهی عن ضدّه العام والکلام فیها</w:t>
      </w:r>
      <w:bookmarkEnd w:id="8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ومن هنا انقدح : أنّه لا وجه لدعوی العینیّة </w:t>
      </w:r>
      <w:r>
        <w:rPr>
          <w:rStyle w:val="FootnoteReference"/>
        </w:rPr>
        <w:footnoteReference w:id="553"/>
      </w:r>
      <w:r>
        <w:rPr>
          <w:rFonts w:ascii="IRNazanin" w:hAnsi="IRNazanin" w:eastAsia="IRNazanin" w:cs="IRNazanin"/>
          <w:lang w:bidi="fa-IR"/>
          <w:color w:val="111111"/>
          <w:sz w:val="28"/>
          <w:szCs w:val="28"/>
          <w:rtl/>
        </w:rPr>
        <w:t xml:space="preserve">؛ ضرورةَ أنّ اللزوم یقتضی الاثنینیّة ، لا الاتّحاد والعینیّة .</w:t>
      </w:r>
    </w:p>
    <w:p>
      <w:pPr>
        <w:pStyle w:val="BookText"/>
      </w:pPr>
      <w:r>
        <w:rPr>
          <w:rFonts w:ascii="IRNazanin" w:hAnsi="IRNazanin" w:eastAsia="IRNazanin" w:cs="IRNazanin"/>
          <w:lang w:bidi="fa-IR"/>
          <w:color w:val="111111"/>
          <w:sz w:val="28"/>
          <w:szCs w:val="28"/>
          <w:rtl/>
        </w:rPr>
        <w:t xml:space="preserve">نعم ، لا بأس بها ، بأن یکون المراد بها أنّه یکون هناک طلب واحد ، وهو کما یکون حقیقةً منسوباً إلی الوجود وبعثاً إلیه ، کذلک یصحّ أن ینسب إلی الترک </w:t>
      </w:r>
      <w:r>
        <w:rPr>
          <w:rStyle w:val="FootnoteReference"/>
        </w:rPr>
        <w:footnoteReference w:id="554"/>
      </w:r>
      <w:r>
        <w:rPr>
          <w:rFonts w:ascii="Amiri" w:hAnsi="Amiri" w:eastAsia="Amiri" w:cs="Amiri"/>
          <w:lang w:bidi="ar-SA"/>
          <w:color w:val="111111"/>
          <w:sz w:val="28"/>
          <w:szCs w:val="28"/>
          <w:rtl/>
        </w:rPr>
        <w:t xml:space="preserve">بالعرض والمجاز ، ویکون زَجْراً ورَدْعاً عنه ، فافهم .</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5" w:name="pg14419_166887"/>
    <w:bookmarkEnd w:id="145"/>
    <w:p>
      <w:pPr>
        <w:pStyle w:val="Heading6"/>
      </w:pPr>
      <w:bookmarkStart w:id="893" w:name="_Toc333"/>
      <w:r>
        <w:t>4- ثمرة المسألة</w:t>
      </w:r>
      <w:bookmarkEnd w:id="893"/>
    </w:p>
    <w:p>
      <w:pPr>
        <w:pStyle w:val="Heading6"/>
      </w:pPr>
      <w:bookmarkStart w:id="894" w:name="_Toc334"/>
      <w:r>
        <w:t>اشارة</w:t>
      </w:r>
      <w:bookmarkEnd w:id="894"/>
    </w:p>
    <w:p>
      <w:pPr>
        <w:pStyle w:val="BookText"/>
      </w:pPr>
      <w:r>
        <w:rPr>
          <w:rFonts w:ascii="IRNazanin" w:hAnsi="IRNazanin" w:eastAsia="IRNazanin" w:cs="IRNazanin"/>
          <w:lang w:bidi="fa-IR"/>
          <w:color w:val="111111"/>
          <w:sz w:val="28"/>
          <w:szCs w:val="28"/>
          <w:rtl/>
        </w:rPr>
        <w:t xml:space="preserve">الأمر الرابع: تظهر الثمرة فی أنّ نتیجة المسألة - وهی النهی عن الضدّ ، بناءً علی الاقتضاء - بضمیمة أنّ النهی فی العبادات یقتضی الفساد ، یُنتج فسادَه إذا کان عبادة .</w:t>
      </w:r>
    </w:p>
    <w:p>
      <w:pPr>
        <w:pStyle w:val="Heading6"/>
      </w:pPr>
      <w:bookmarkStart w:id="895" w:name="_Toc335"/>
      <w:r>
        <w:t>إنکار البهائی للثمرة والإشکال علی ما أفاده</w:t>
      </w:r>
      <w:bookmarkEnd w:id="895"/>
    </w:p>
    <w:p>
      <w:pPr>
        <w:pStyle w:val="BookText"/>
      </w:pPr>
      <w:r>
        <w:rPr>
          <w:rFonts w:ascii="IRNazanin" w:hAnsi="IRNazanin" w:eastAsia="IRNazanin" w:cs="IRNazanin"/>
          <w:lang w:bidi="fa-IR"/>
          <w:color w:val="111111"/>
          <w:sz w:val="28"/>
          <w:szCs w:val="28"/>
          <w:rtl/>
        </w:rPr>
        <w:t xml:space="preserve">وعن البهائیّ رحمه الله </w:t>
      </w:r>
      <w:r>
        <w:rPr>
          <w:rStyle w:val="FootnoteReference"/>
        </w:rPr>
        <w:footnoteReference w:id="555"/>
      </w:r>
      <w:r>
        <w:rPr>
          <w:rFonts w:ascii="IRNazanin" w:hAnsi="IRNazanin" w:eastAsia="IRNazanin" w:cs="IRNazanin"/>
          <w:lang w:bidi="fa-IR"/>
          <w:color w:val="111111"/>
          <w:sz w:val="28"/>
          <w:szCs w:val="28"/>
          <w:rtl/>
        </w:rPr>
        <w:t xml:space="preserve">أنّه أنکر الثمرة ، بدعوی أنّه لا یحتاج فی استنتاج الفساد إلی النهی عن الضدّ ، بل یکفی عدم الأمر به ؛ لاحتیاج العبادة إلی الأمر .</w:t>
      </w:r>
    </w:p>
    <w:p>
      <w:pPr>
        <w:pStyle w:val="BookText"/>
      </w:pPr>
      <w:r>
        <w:rPr>
          <w:rFonts w:ascii="IRNazanin" w:hAnsi="IRNazanin" w:eastAsia="IRNazanin" w:cs="IRNazanin"/>
          <w:lang w:bidi="fa-IR"/>
          <w:color w:val="111111"/>
          <w:sz w:val="28"/>
          <w:szCs w:val="28"/>
          <w:rtl/>
        </w:rPr>
        <w:t xml:space="preserve">وفیه: أنّه یکفی مجرّد الرجحان والمحبوبیّة للمولی ، کی یصحّ أن یتقرّب به منه ، کما لا یخفی . والضدّ - بناءً علی عدم حرمته - یکون کذلک ؛ فإنّ المزاحمة - علی هذا - لا توجب إلّاارتفاعَ الأمر المتعلّق به فعلاً ، مع بقائه علی ما هو علیه من ملاکه من المصلحة - کما هو مذهب العدلیّة </w:t>
      </w:r>
      <w:r>
        <w:rPr>
          <w:rStyle w:val="FootnoteReference"/>
        </w:rPr>
        <w:footnoteReference w:id="556"/>
      </w:r>
      <w:r>
        <w:rPr>
          <w:rFonts w:ascii="Amiri" w:hAnsi="Amiri" w:eastAsia="Amiri" w:cs="Amiri"/>
          <w:lang w:bidi="ar-SA"/>
          <w:color w:val="111111"/>
          <w:sz w:val="28"/>
          <w:szCs w:val="28"/>
          <w:rtl/>
        </w:rPr>
        <w:t xml:space="preserve">- أو غیرِها ، أیِّ شیءٍ کان - کما هو مذهب الأشاعرة </w:t>
      </w:r>
      <w:r>
        <w:rPr>
          <w:rStyle w:val="FootnoteReference"/>
        </w:rPr>
        <w:footnoteReference w:id="557"/>
      </w:r>
      <w:r>
        <w:rPr>
          <w:rFonts w:ascii="IRNazanin" w:hAnsi="IRNazanin" w:eastAsia="IRNazanin" w:cs="IRNazanin"/>
          <w:lang w:bidi="fa-IR"/>
          <w:color w:val="111111"/>
          <w:sz w:val="28"/>
          <w:szCs w:val="28"/>
          <w:rtl/>
        </w:rPr>
        <w:t xml:space="preserve">- ، وعدمِ حدوث ما یوجب مبغوضیّته وخروجَه عن قابلیّة التقرّب به ، کما حدث بناءً علی الاقتضاء .</w:t>
      </w:r>
    </w:p>
    <w:p>
      <w:pPr>
        <w:pStyle w:val="Heading6"/>
      </w:pPr>
      <w:bookmarkStart w:id="896" w:name="_Toc336"/>
      <w:r>
        <w:t>الکلام فی تصحیح الأمر بالضد بنحو الترتّب</w:t>
      </w:r>
      <w:bookmarkEnd w:id="8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تصدّی جماعة من الأفاضل </w:t>
      </w:r>
      <w:r>
        <w:rPr>
          <w:rStyle w:val="FootnoteReference"/>
        </w:rPr>
        <w:footnoteReference w:id="558"/>
      </w:r>
      <w:r>
        <w:rPr>
          <w:rFonts w:ascii="IRNazanin" w:hAnsi="IRNazanin" w:eastAsia="IRNazanin" w:cs="IRNazanin"/>
          <w:lang w:bidi="fa-IR"/>
          <w:color w:val="111111"/>
          <w:sz w:val="28"/>
          <w:szCs w:val="28"/>
          <w:rtl/>
        </w:rPr>
        <w:t xml:space="preserve">لتصحیح الأمر بالضدّ بنحو الترتّب - علی العصیان وعدمِ إطاعة الأمر بالشیء بنحو الشرط المتأخّر ، أو البناءِ علی معصیته </w:t>
      </w:r>
      <w:r>
        <w:rPr>
          <w:rStyle w:val="FootnoteReference"/>
        </w:rPr>
        <w:footnoteReference w:id="559"/>
      </w:r>
      <w:r>
        <w:rPr>
          <w:rFonts w:ascii="IRNazanin" w:hAnsi="IRNazanin" w:eastAsia="IRNazanin" w:cs="IRNazanin"/>
          <w:lang w:bidi="fa-IR"/>
          <w:color w:val="111111"/>
          <w:sz w:val="28"/>
          <w:szCs w:val="28"/>
          <w:rtl/>
        </w:rPr>
        <w:t xml:space="preserve">بنحو الشرط المتقدّم أو المقارن - ، بدعویٰ أنّه لا مانع عقلاً عن تعلّق الأمر بالضدّین کذلک ، - أی‌بأن یکون الأمر بالأهمّ مطلقاً ، والأمر بغیره</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6" w:name="pg14419_166888"/>
    <w:bookmarkEnd w:id="146"/>
    <w:p>
      <w:pPr>
        <w:pStyle w:val="BookText"/>
      </w:pPr>
      <w:r>
        <w:rPr>
          <w:rFonts w:ascii="IRNazanin" w:hAnsi="IRNazanin" w:eastAsia="IRNazanin" w:cs="IRNazanin"/>
          <w:lang w:bidi="fa-IR"/>
          <w:color w:val="111111"/>
          <w:sz w:val="28"/>
          <w:szCs w:val="28"/>
          <w:rtl/>
        </w:rPr>
        <w:t xml:space="preserve">معلّقاً علی عصیان ذاک الأمر ، أو البناء والعزم علیه - ، بل هو واقعٌ کثیراً عرفاً .</w:t>
      </w:r>
    </w:p>
    <w:p>
      <w:pPr>
        <w:pStyle w:val="Heading6"/>
      </w:pPr>
      <w:bookmarkStart w:id="897" w:name="_Toc337"/>
      <w:r>
        <w:t>الإشکال علی الترتّب باستلزامه طلب الضدّین</w:t>
      </w:r>
      <w:bookmarkEnd w:id="897"/>
    </w:p>
    <w:p>
      <w:pPr>
        <w:pStyle w:val="BookText"/>
      </w:pPr>
      <w:r>
        <w:rPr>
          <w:rFonts w:ascii="IRNazanin" w:hAnsi="IRNazanin" w:eastAsia="IRNazanin" w:cs="IRNazanin"/>
          <w:lang w:bidi="fa-IR"/>
          <w:color w:val="111111"/>
          <w:sz w:val="28"/>
          <w:szCs w:val="28"/>
          <w:rtl/>
        </w:rPr>
        <w:t xml:space="preserve">قلت: ما هو ملاک استحالة طلب الضدّین فی عرضٍ واحدٍ ، آتٍ فی طلبهما کذلک ؛ فإنّه وإن لم یکن فی مرتبة طلب الأهمّ اجتماعُ طلبهما ؛ إلّاأنّه کان فی مرتبة الأمر بغیره اجتماعُهما ، بداهةَ فعلیّة الأمر بالأهمّ فی هذه المرتبة ، وعدمِ سقوطه بعدُ بمجرّد المعصیة فی ما بعد - ما لم یعصِ - ، أو العزمِ علیها ، مع فعلیّة الأمر بغیره أیضاً ؛ لتحقُّق ما هو شرط فعلیّته فرضاً .</w:t>
      </w:r>
    </w:p>
    <w:p>
      <w:pPr>
        <w:pStyle w:val="Heading6"/>
      </w:pPr>
      <w:bookmarkStart w:id="898" w:name="_Toc338"/>
      <w:r>
        <w:t>توهّم جواز طلب الضدّین إذا کان اجتماعهما بسوء الاختیار والجواب عنه</w:t>
      </w:r>
      <w:bookmarkEnd w:id="8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 نعم ، لکنّه بسوء اختیار المکلّف ، حیث یعصی فی ما بعدُ بالاختیار ، فلولاه لما کان متوجّهاً إلیه إلّاالطلب بالأهمّ ، ولا برهان علی امتناع الاجتماع إذا کان بسوء الاختیار .</w:t>
      </w:r>
    </w:p>
    <w:p>
      <w:pPr>
        <w:pStyle w:val="BookText"/>
      </w:pPr>
      <w:r>
        <w:rPr>
          <w:rFonts w:ascii="IRNazanin" w:hAnsi="IRNazanin" w:eastAsia="IRNazanin" w:cs="IRNazanin"/>
          <w:lang w:bidi="fa-IR"/>
          <w:color w:val="111111"/>
          <w:sz w:val="28"/>
          <w:szCs w:val="28"/>
          <w:rtl/>
        </w:rPr>
        <w:t xml:space="preserve">فإنّه یقال: استحالة طلب الضدّین لیس إلّالأجل استحالة طلب المحال ، واستحالةُ طلبه من الحکیم الملتفت إلی محالیّته لا تختصّ بحالٍ دون حالٍ ، وإلّا لصحّ فی ما علّق علی أمر اختیاریّ فی عرضٍ واحدٍ ، بلا حاجةٍ فی تصحیحه إلی الترتّب ، مع أنّه محالٌ بلا ریب ولا إشکال .</w:t>
      </w:r>
    </w:p>
    <w:p>
      <w:pPr>
        <w:pStyle w:val="Heading6"/>
      </w:pPr>
      <w:bookmarkStart w:id="899" w:name="_Toc339"/>
      <w:r>
        <w:t>توهّم الفرق بین الاجتماع فی عرضٍ واحد وبین الترتّب والجواب عنه</w:t>
      </w:r>
      <w:bookmarkEnd w:id="899"/>
    </w:p>
    <w:p>
      <w:pPr>
        <w:pStyle w:val="BookText"/>
      </w:pPr>
      <w:r>
        <w:rPr>
          <w:rFonts w:ascii="IRNazanin" w:hAnsi="IRNazanin" w:eastAsia="IRNazanin" w:cs="IRNazanin"/>
          <w:lang w:bidi="fa-IR"/>
          <w:color w:val="111111"/>
          <w:sz w:val="28"/>
          <w:szCs w:val="28"/>
          <w:rtl/>
        </w:rPr>
        <w:t xml:space="preserve">إن قلت: فرق بین الاجتماع فی عَرْضٍ واحد والاجتماع کذلک ؛ فإنّ الطلب فی کلٍّ منهما فی الأوّل یطارد الآخر ، بخلافه فی الثانی ؛ فإنّ الطلب بغیر الأهمّ لا یطاردُ طلب الأهمّ ؛ فإنّه یکون علی تقدیر عدم الإتیان بالأهمّ ، فلا یکاد یرید غیره علی تقدیر إتیانه ، وعدم عصیان أمره .</w:t>
      </w:r>
    </w:p>
    <w:p>
      <w:pPr>
        <w:pStyle w:val="BookText"/>
      </w:pPr>
      <w:r>
        <w:rPr>
          <w:rFonts w:ascii="IRNazanin" w:hAnsi="IRNazanin" w:eastAsia="IRNazanin" w:cs="IRNazanin"/>
          <w:lang w:bidi="fa-IR"/>
          <w:color w:val="111111"/>
          <w:sz w:val="28"/>
          <w:szCs w:val="28"/>
          <w:rtl/>
        </w:rPr>
        <w:t xml:space="preserve">قلت: لیت شعری کیف لا یطارده الأمر بغیر الأهمّ ؟ وهل یکون طرده له إلّامن جهة فعلیّته ، ومضادّة متعلّقه للأهمّ ؟ والمفروض فعلیّته ومضادّة متعلّقه له .</w:t>
      </w:r>
    </w:p>
    <w:p>
      <w:pPr>
        <w:pStyle w:val="BookText"/>
      </w:pPr>
      <w:r>
        <w:rPr>
          <w:rFonts w:ascii="IRNazanin" w:hAnsi="IRNazanin" w:eastAsia="IRNazanin" w:cs="IRNazanin"/>
          <w:lang w:bidi="fa-IR"/>
          <w:color w:val="111111"/>
          <w:sz w:val="28"/>
          <w:szCs w:val="28"/>
          <w:rtl/>
        </w:rPr>
        <w:t xml:space="preserve">وعدم إرادة غیر الأهمّ علی تقدیر الإتیان به ، لا یوجب عدمَ طرده</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7" w:name="pg14419_166889"/>
    <w:bookmarkEnd w:id="147"/>
    <w:p>
      <w:pPr>
        <w:pStyle w:val="BookText"/>
      </w:pPr>
      <w:r>
        <w:rPr>
          <w:rFonts w:ascii="IRNazanin" w:hAnsi="IRNazanin" w:eastAsia="IRNazanin" w:cs="IRNazanin"/>
          <w:lang w:bidi="fa-IR"/>
          <w:color w:val="111111"/>
          <w:sz w:val="28"/>
          <w:szCs w:val="28"/>
          <w:rtl/>
        </w:rPr>
        <w:t xml:space="preserve">لطلبه ، مع تحقّقه علی تقدیر عدم الإتیان به وعصیان أمره ، فیلزم اجتماعهما علی هذا التقدیر ، مع ما هما علیه من المطاردة من جهة المضادّة بین المتعلّقین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أنّه یکفی الطرد من طرف الأمر بالأهمّ ؛ فإنّه - علی هذا الحال - یکون طارداً لطلب الضدّ ، کما کان فی غیر هذا الحال ، فلا یکون له معه أصلاً مجال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6"/>
      </w:pPr>
      <w:bookmarkStart w:id="900" w:name="_Toc340"/>
      <w:r>
        <w:t>توهّم وقوع طلب الضدّین فی العرفیات والجواب عنه</w:t>
      </w:r>
      <w:bookmarkEnd w:id="900"/>
    </w:p>
    <w:p>
      <w:pPr>
        <w:pStyle w:val="BookText"/>
      </w:pPr>
      <w:r>
        <w:rPr>
          <w:rFonts w:ascii="IRNazanin" w:hAnsi="IRNazanin" w:eastAsia="IRNazanin" w:cs="IRNazanin"/>
          <w:lang w:bidi="fa-IR"/>
          <w:color w:val="111111"/>
          <w:sz w:val="28"/>
          <w:szCs w:val="28"/>
          <w:rtl/>
        </w:rPr>
        <w:t xml:space="preserve">إن قلت: فما الحیلة فی ما وقع کذلک من طلب الضدّین فی العرفیّات؟</w:t>
      </w:r>
    </w:p>
    <w:p>
      <w:pPr>
        <w:pStyle w:val="BookText"/>
      </w:pPr>
      <w:r>
        <w:rPr>
          <w:rFonts w:ascii="IRNazanin" w:hAnsi="IRNazanin" w:eastAsia="IRNazanin" w:cs="IRNazanin"/>
          <w:lang w:bidi="fa-IR"/>
          <w:color w:val="111111"/>
          <w:sz w:val="28"/>
          <w:szCs w:val="28"/>
          <w:rtl/>
        </w:rPr>
        <w:t xml:space="preserve">قلت: لا یخلو : إمّا أن یکون الأمر بغیر الأهمّ بعد التجاوز عن الأمر به وطلبِه حقیقةً ، وإمّا أن یکون الأمر به إرشاداً إلی محبوبیّته وبقائه علی ما هو علیه من المصلحة والغرض لو لا المزاحمة ، وأنّ الإتیان به یوجب استحقاق المثوبة ، فیذهب بها بعضُ ما استحقّه من العقوبة علی مخالفة الأمر بالأهمّ ، لا أنّه أمر مولویّ فعلیٌّ کالأمر به ، فافهم وتأمّل جیّداً .</w:t>
      </w:r>
    </w:p>
    <w:p>
      <w:pPr>
        <w:pStyle w:val="Heading6"/>
      </w:pPr>
      <w:bookmarkStart w:id="901" w:name="_Toc341"/>
      <w:r>
        <w:t>إشکالٌ آخر علی الترتّب باستلزامه تعدّد استحقاق العقوبتین فی صورة المخالفة</w:t>
      </w:r>
      <w:bookmarkEnd w:id="901"/>
    </w:p>
    <w:p>
      <w:pPr>
        <w:pStyle w:val="BookText"/>
      </w:pPr>
      <w:r>
        <w:rPr>
          <w:rFonts w:ascii="IRNazanin" w:hAnsi="IRNazanin" w:eastAsia="IRNazanin" w:cs="IRNazanin"/>
          <w:lang w:bidi="fa-IR"/>
          <w:color w:val="111111"/>
          <w:sz w:val="28"/>
          <w:szCs w:val="28"/>
          <w:rtl/>
        </w:rPr>
        <w:t xml:space="preserve">ثمّ إنّه لا أظنّ أن یلتزم القائل بالترتّب بما هو لازمه من الاستحقاق - فی صورة مخالفة الأمرین - لعقوبتین ؛ ضرورةَ قبح العقاب علی ما لا یقدر علیه العبد . ولذا کان سیّدنا الأُستاذ قدس سره </w:t>
      </w:r>
      <w:r>
        <w:rPr>
          <w:rStyle w:val="FootnoteReference"/>
        </w:rPr>
        <w:footnoteReference w:id="561"/>
      </w:r>
      <w:r>
        <w:rPr>
          <w:rFonts w:ascii="IRNazanin" w:hAnsi="IRNazanin" w:eastAsia="IRNazanin" w:cs="IRNazanin"/>
          <w:lang w:bidi="fa-IR"/>
          <w:color w:val="111111"/>
          <w:sz w:val="28"/>
          <w:szCs w:val="28"/>
          <w:rtl/>
        </w:rPr>
        <w:t xml:space="preserve">لا یلتزم به - علی ما هو ببالی - ، وکنّا نورد به علی الترتّب ، وکان بصدد تصحیحه .</w:t>
      </w:r>
    </w:p>
    <w:p>
      <w:pPr>
        <w:pStyle w:val="BookText"/>
      </w:pPr>
      <w:r>
        <w:rPr>
          <w:rFonts w:ascii="IRNazanin" w:hAnsi="IRNazanin" w:eastAsia="IRNazanin" w:cs="IRNazanin"/>
          <w:lang w:bidi="fa-IR"/>
          <w:color w:val="111111"/>
          <w:sz w:val="28"/>
          <w:szCs w:val="28"/>
          <w:rtl/>
        </w:rPr>
        <w:t xml:space="preserve">فقد ظهر : أنّه لاوجه لصحّة العبادة مع مضادّتها لما هو أهمّ منها إلّا ملاک الأمر .</w:t>
      </w:r>
    </w:p>
    <w:p>
      <w:pPr>
        <w:pStyle w:val="Heading6"/>
      </w:pPr>
      <w:bookmarkStart w:id="902" w:name="_Toc342"/>
      <w:r>
        <w:t>تصحیح الترتّب فی موردٍ خاصّ</w:t>
      </w:r>
      <w:bookmarkEnd w:id="9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 فی ما إذا کانت موسّعةً ، وکانت مزاحمةً بالأهمّ ببعض الوقت ، لا فی</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8" w:name="pg14419_166890"/>
    <w:bookmarkEnd w:id="148"/>
    <w:p>
      <w:pPr>
        <w:pStyle w:val="BookText"/>
      </w:pPr>
      <w:r>
        <w:rPr>
          <w:rFonts w:ascii="IRNazanin" w:hAnsi="IRNazanin" w:eastAsia="IRNazanin" w:cs="IRNazanin"/>
          <w:lang w:bidi="fa-IR"/>
          <w:color w:val="111111"/>
          <w:sz w:val="28"/>
          <w:szCs w:val="28"/>
          <w:rtl/>
        </w:rPr>
        <w:t xml:space="preserve">تمامه ، یمکن أن یقال: إنّه حیث کان الأمر بها علی حاله - وإن صارت مضیّقةً بخروج ما زاحمه الأهمّ من أفرادها من تحتها - أمکن أن یؤتی بما زوحم منها بداعی ذاک الأمر ؛ فإنّه وإن کان خارجاً عن تحتها بما هی مأمور بها ، إلّاأنّه لمّا کان وافیاً بغرضها - کالباقی تحتها - کان عقلاً مثله فی الإتیان به فی مقام الامتثال ، والإتیانِ به بداعی ذاک الأمر ، بلا تفاوتٍ فی نظره بینهما أصلاً .</w:t>
      </w:r>
    </w:p>
    <w:p>
      <w:pPr>
        <w:pStyle w:val="BookText"/>
      </w:pPr>
      <w:r>
        <w:rPr>
          <w:rFonts w:ascii="IRNazanin" w:hAnsi="IRNazanin" w:eastAsia="IRNazanin" w:cs="IRNazanin"/>
          <w:lang w:bidi="fa-IR"/>
          <w:color w:val="111111"/>
          <w:sz w:val="28"/>
          <w:szCs w:val="28"/>
          <w:rtl/>
        </w:rPr>
        <w:t xml:space="preserve">ودعوی : أنّ الأمر لا یکاد یدعو إلّاإلی ما هو من أفراد الطبیعة المأمور بها ، وما زوحم منها بالأهمّ وإن کان من أفراد الطبیعة ، لکنّه لیس من أفرادها بما هی مأمور بها .</w:t>
      </w:r>
    </w:p>
    <w:p>
      <w:pPr>
        <w:pStyle w:val="BookText"/>
      </w:pPr>
      <w:r>
        <w:rPr>
          <w:rFonts w:ascii="IRNazanin" w:hAnsi="IRNazanin" w:eastAsia="IRNazanin" w:cs="IRNazanin"/>
          <w:lang w:bidi="fa-IR"/>
          <w:color w:val="111111"/>
          <w:sz w:val="28"/>
          <w:szCs w:val="28"/>
          <w:rtl/>
        </w:rPr>
        <w:t xml:space="preserve">فاسدةٌ : فإنّه إنّما یوجب ذلک إذا کان خروجه عنها - بما هی کذلک - تخصیصاً ، لا مزاحمةً ، فإنّه معها وإن کان لا تعمّه </w:t>
      </w:r>
      <w:r>
        <w:rPr>
          <w:rStyle w:val="FootnoteReference"/>
        </w:rPr>
        <w:footnoteReference w:id="562"/>
      </w:r>
      <w:r>
        <w:rPr>
          <w:rFonts w:ascii="IRNazanin" w:hAnsi="IRNazanin" w:eastAsia="IRNazanin" w:cs="IRNazanin"/>
          <w:lang w:bidi="fa-IR"/>
          <w:color w:val="111111"/>
          <w:sz w:val="28"/>
          <w:szCs w:val="28"/>
          <w:rtl/>
        </w:rPr>
        <w:t xml:space="preserve">الطبیعة المأمور بها ، إلّاأنّه لیس لقصور فیه ، بل لعدم إمکان تعلّق الأمر بما یعمّه عقلاً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کلّ حال ، فالعقل لا یری تفاوتاً - فی مقام الامتثال وإطاعة الأمر بها - بین هذا الفرد وسائر الأفراد أصلاً .</w:t>
      </w:r>
    </w:p>
    <w:p>
      <w:pPr>
        <w:pStyle w:val="BookText"/>
      </w:pPr>
      <w:r>
        <w:rPr>
          <w:rFonts w:ascii="IRNazanin" w:hAnsi="IRNazanin" w:eastAsia="IRNazanin" w:cs="IRNazanin"/>
          <w:lang w:bidi="fa-IR"/>
          <w:color w:val="111111"/>
          <w:sz w:val="28"/>
          <w:szCs w:val="28"/>
          <w:rtl/>
        </w:rPr>
        <w:t xml:space="preserve">هذا علی القول بکون الأوامر متعلّقة بالطبائع .</w:t>
      </w:r>
    </w:p>
    <w:p>
      <w:pPr>
        <w:pStyle w:val="BookText"/>
      </w:pPr>
      <w:r>
        <w:rPr>
          <w:rFonts w:ascii="IRNazanin" w:hAnsi="IRNazanin" w:eastAsia="IRNazanin" w:cs="IRNazanin"/>
          <w:lang w:bidi="fa-IR"/>
          <w:color w:val="111111"/>
          <w:sz w:val="28"/>
          <w:szCs w:val="28"/>
          <w:rtl/>
        </w:rPr>
        <w:t xml:space="preserve">وأمّا بناءً علی تعلّقها بالأفراد فکذلک ، وإن کان جریانه علیه أخفی ، کما لا یخفی ، فتأمّل .</w:t>
      </w:r>
    </w:p>
    <w:p>
      <w:pPr>
        <w:pStyle w:val="Heading6"/>
      </w:pPr>
      <w:bookmarkStart w:id="903" w:name="_Toc343"/>
      <w:r>
        <w:t>إمکان الترتّب مساوقٌ لوقوعه</w:t>
      </w:r>
      <w:bookmarkEnd w:id="9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یخفی : أنّه - بناءً علی إمکان الترتّب وصحّته - لابدّ من الالتزام بوقوعه من دون انتظار دلیل آخر علیه ؛ وذلک لوضوح أنّ المزاحمة علی صحّة الترتّب لا تقتضی عقلاً إلّاامتناع الاجتماع فی عرضٍ واحد ، لا کذلک .</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9" w:name="pg14419_166891"/>
    <w:bookmarkEnd w:id="149"/>
    <w:p>
      <w:pPr>
        <w:pStyle w:val="BookText"/>
      </w:pPr>
      <w:r>
        <w:rPr>
          <w:rFonts w:ascii="IRNazanin" w:hAnsi="IRNazanin" w:eastAsia="IRNazanin" w:cs="IRNazanin"/>
          <w:lang w:bidi="fa-IR"/>
          <w:color w:val="111111"/>
          <w:sz w:val="28"/>
          <w:szCs w:val="28"/>
          <w:rtl/>
        </w:rPr>
        <w:t xml:space="preserve">فلو قیل بلزوم الأمر فی صحّة العبادة - ولم یکن فی الملاک کفایةٌ - کانت العبادة مع ترک الأهمّ صحیحةً ؛ لثبوت الأمر بها فی هذا الحال ، کما إذا لم تکن هناک مضادّة .</w:t>
      </w:r>
    </w:p>
    <w:p>
      <w:pPr>
        <w:pStyle w:val="Heading6"/>
      </w:pPr>
      <w:bookmarkStart w:id="904" w:name="_Toc344"/>
      <w:r>
        <w:t>فصل‌لا یجوز أمر الآمر مع علمه بانتفاء شرطه</w:t>
      </w:r>
      <w:bookmarkEnd w:id="904"/>
    </w:p>
    <w:p>
      <w:pPr>
        <w:pStyle w:val="Heading6"/>
      </w:pPr>
      <w:bookmarkStart w:id="905" w:name="_Toc345"/>
      <w:r>
        <w:t>اشارة</w:t>
      </w:r>
      <w:bookmarkEnd w:id="905"/>
    </w:p>
    <w:p>
      <w:pPr>
        <w:pStyle w:val="BookText"/>
      </w:pPr>
      <w:r>
        <w:rPr>
          <w:rFonts w:ascii="IRNazanin" w:hAnsi="IRNazanin" w:eastAsia="IRNazanin" w:cs="IRNazanin"/>
          <w:lang w:bidi="fa-IR"/>
          <w:color w:val="111111"/>
          <w:sz w:val="28"/>
          <w:szCs w:val="28"/>
          <w:rtl/>
        </w:rPr>
        <w:t xml:space="preserve">خلافاً لما نُسب إلی أکثر مخالفینا </w:t>
      </w:r>
      <w:r>
        <w:rPr>
          <w:rStyle w:val="FootnoteReference"/>
        </w:rPr>
        <w:footnoteReference w:id="564"/>
      </w:r>
      <w:r>
        <w:rPr>
          <w:rFonts w:ascii="IRNazanin" w:hAnsi="IRNazanin" w:eastAsia="IRNazanin" w:cs="IRNazanin"/>
          <w:lang w:bidi="fa-IR"/>
          <w:color w:val="111111"/>
          <w:sz w:val="28"/>
          <w:szCs w:val="28"/>
          <w:rtl/>
        </w:rPr>
        <w:t xml:space="preserve">- ؛ ضرورةَ أنّه لا یکاد یکون الشیء مع عدم علّته ، کما هو المفروض هاهنا ؛ فإنّ الشرط من أجزائها ، وانحلالُ المرکّب بانحلال بعض أجزائه ممّا لا یخفی .</w:t>
      </w:r>
    </w:p>
    <w:p>
      <w:pPr>
        <w:pStyle w:val="BookText"/>
      </w:pPr>
      <w:r>
        <w:rPr>
          <w:rFonts w:ascii="IRNazanin" w:hAnsi="IRNazanin" w:eastAsia="IRNazanin" w:cs="IRNazanin"/>
          <w:lang w:bidi="fa-IR"/>
          <w:color w:val="111111"/>
          <w:sz w:val="28"/>
          <w:szCs w:val="28"/>
          <w:rtl/>
        </w:rPr>
        <w:t xml:space="preserve">وکون الجواز فی العنوان بمعنی الإمکان الذاتیّ ، بعیدٌ عن محلّ الخلاف بین الأعلام .</w:t>
      </w:r>
    </w:p>
    <w:p>
      <w:pPr>
        <w:pStyle w:val="Heading6"/>
      </w:pPr>
      <w:bookmarkStart w:id="906" w:name="_Toc346"/>
      <w:r>
        <w:t>صحّة الأمر الإنشائی مع العلم بانتفاء شرط الفعلیّة</w:t>
      </w:r>
      <w:bookmarkEnd w:id="906"/>
    </w:p>
    <w:p>
      <w:pPr>
        <w:pStyle w:val="BookText"/>
      </w:pPr>
      <w:r>
        <w:rPr>
          <w:rFonts w:ascii="IRNazanin" w:hAnsi="IRNazanin" w:eastAsia="IRNazanin" w:cs="IRNazanin"/>
          <w:lang w:bidi="fa-IR"/>
          <w:color w:val="111111"/>
          <w:sz w:val="28"/>
          <w:szCs w:val="28"/>
          <w:rtl/>
        </w:rPr>
        <w:t xml:space="preserve">نعم ، لو کان المراد من لفظ « الأمر » : الأمرَ ببعض مراتبه ، ومن الضمیر الراجع إلیه : بعضَ </w:t>
      </w:r>
      <w:r>
        <w:rPr>
          <w:rStyle w:val="FootnoteReference"/>
        </w:rPr>
        <w:footnoteReference w:id="565"/>
      </w:r>
      <w:r>
        <w:rPr>
          <w:rFonts w:ascii="IRNazanin" w:hAnsi="IRNazanin" w:eastAsia="IRNazanin" w:cs="IRNazanin"/>
          <w:lang w:bidi="fa-IR"/>
          <w:color w:val="111111"/>
          <w:sz w:val="28"/>
          <w:szCs w:val="28"/>
          <w:rtl/>
        </w:rPr>
        <w:t xml:space="preserve">مراتبه الاُخر - بأن یکون النزاع فی أنّ أمر الآمر یجوز إنشاؤه </w:t>
      </w:r>
      <w:r>
        <w:rPr>
          <w:rStyle w:val="FootnoteReference"/>
        </w:rPr>
        <w:footnoteReference w:id="566"/>
      </w:r>
      <w:r>
        <w:rPr>
          <w:rFonts w:ascii="IRNazanin" w:hAnsi="IRNazanin" w:eastAsia="IRNazanin" w:cs="IRNazanin"/>
          <w:lang w:bidi="fa-IR"/>
          <w:color w:val="111111"/>
          <w:sz w:val="28"/>
          <w:szCs w:val="28"/>
          <w:rtl/>
        </w:rPr>
        <w:t xml:space="preserve">مع علمه بانتفاء شرطه بمرتبة فعلیّته ؟ وبعبارة أُخری: کان النزاع فی جواز إنشائه مع العلم بعدم بلوغه إلی المرتبة الفعلیّة ؛ لعدم شرطه - .</w:t>
      </w:r>
    </w:p>
    <w:p>
      <w:pPr>
        <w:pStyle w:val="BookText"/>
      </w:pPr>
      <w:r>
        <w:rPr>
          <w:rFonts w:ascii="IRNazanin" w:hAnsi="IRNazanin" w:eastAsia="IRNazanin" w:cs="IRNazanin"/>
          <w:lang w:bidi="fa-IR"/>
          <w:color w:val="111111"/>
          <w:sz w:val="28"/>
          <w:szCs w:val="28"/>
          <w:rtl/>
        </w:rPr>
        <w:t xml:space="preserve">لکان جائزاً ، وفی وقوعه فی الشرعیّات والعرفیّات غنیً وکفایةٌ ، ولا یحتاج معه إلی مزید بیان أو مؤونة برهان .</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0" w:name="pg14419_166892"/>
    <w:bookmarkEnd w:id="150"/>
    <w:p>
      <w:pPr>
        <w:pStyle w:val="BookText"/>
      </w:pPr>
      <w:r>
        <w:rPr>
          <w:rFonts w:ascii="IRNazanin" w:hAnsi="IRNazanin" w:eastAsia="IRNazanin" w:cs="IRNazanin"/>
          <w:lang w:bidi="fa-IR"/>
          <w:color w:val="111111"/>
          <w:sz w:val="28"/>
          <w:szCs w:val="28"/>
          <w:rtl/>
        </w:rPr>
        <w:t xml:space="preserve">وقد عرفت سابقاً </w:t>
      </w:r>
      <w:r>
        <w:rPr>
          <w:rStyle w:val="FootnoteReference"/>
        </w:rPr>
        <w:footnoteReference w:id="567"/>
      </w:r>
      <w:r>
        <w:rPr>
          <w:rFonts w:ascii="IRNazanin" w:hAnsi="IRNazanin" w:eastAsia="IRNazanin" w:cs="IRNazanin"/>
          <w:lang w:bidi="fa-IR"/>
          <w:color w:val="111111"/>
          <w:sz w:val="28"/>
          <w:szCs w:val="28"/>
          <w:rtl/>
        </w:rPr>
        <w:t xml:space="preserve">: أنّ داعی إنشاء الطلب لا ینحصر بالبعث والتحریک جدّاً حقیقةً ، بل قد یکون صوریّاً امتحاناً ، وربما یکون غیر ذلک .</w:t>
      </w:r>
    </w:p>
    <w:p>
      <w:pPr>
        <w:pStyle w:val="BookText"/>
      </w:pPr>
      <w:r>
        <w:rPr>
          <w:rFonts w:ascii="IRNazanin" w:hAnsi="IRNazanin" w:eastAsia="IRNazanin" w:cs="IRNazanin"/>
          <w:lang w:bidi="fa-IR"/>
          <w:color w:val="111111"/>
          <w:sz w:val="28"/>
          <w:szCs w:val="28"/>
          <w:rtl/>
        </w:rPr>
        <w:t xml:space="preserve">ومنعُ کونه أمراً إذا لم یکن بداعی البعث جدّاً واقعاً ، وإن کان فی محلّه ، إلّا أنّ إطلاق الأمر علیه - إذا کانت هناک قرینةٌ علی أنّه بداعٍ آخر غیر البعث - توسّعاً ، ممّا لا بأس به أصلاً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وقد ظهر بذلک حال ما ذکره الأعلام فی المقام من النقض والإبرام .</w:t>
      </w:r>
    </w:p>
    <w:p>
      <w:pPr>
        <w:pStyle w:val="BookText"/>
      </w:pPr>
      <w:r>
        <w:rPr>
          <w:rFonts w:ascii="IRNazanin" w:hAnsi="IRNazanin" w:eastAsia="IRNazanin" w:cs="IRNazanin"/>
          <w:lang w:bidi="fa-IR"/>
          <w:color w:val="111111"/>
          <w:sz w:val="28"/>
          <w:szCs w:val="28"/>
          <w:rtl/>
        </w:rPr>
        <w:t xml:space="preserve">وربما یقع به التصالح بین الجانبین ، ویرتفع النزاع من البین ، فتأمّل جیّداً .</w:t>
      </w:r>
    </w:p>
    <w:p>
      <w:pPr>
        <w:pStyle w:val="Heading6"/>
      </w:pPr>
      <w:bookmarkStart w:id="907" w:name="_Toc347"/>
      <w:r>
        <w:t>فصل تعلّق الأوامر والنواهی بالطبائع</w:t>
      </w:r>
      <w:bookmarkEnd w:id="907"/>
    </w:p>
    <w:p>
      <w:pPr>
        <w:pStyle w:val="Heading6"/>
      </w:pPr>
      <w:bookmarkStart w:id="908" w:name="_Toc348"/>
      <w:r>
        <w:t>اشارة</w:t>
      </w:r>
      <w:bookmarkEnd w:id="908"/>
    </w:p>
    <w:p>
      <w:pPr>
        <w:pStyle w:val="BookText"/>
      </w:pPr>
      <w:r>
        <w:rPr>
          <w:rFonts w:ascii="IRNazanin" w:hAnsi="IRNazanin" w:eastAsia="IRNazanin" w:cs="IRNazanin"/>
          <w:lang w:bidi="fa-IR"/>
          <w:color w:val="111111"/>
          <w:sz w:val="28"/>
          <w:szCs w:val="28"/>
          <w:rtl/>
        </w:rPr>
        <w:t xml:space="preserve">ألحقّ : أنّ الأوامر والنواهی تکون متعلّقةً بالطبائع دون الأفراد .</w:t>
      </w:r>
    </w:p>
    <w:p>
      <w:pPr>
        <w:pStyle w:val="BookText"/>
      </w:pPr>
      <w:r>
        <w:rPr>
          <w:rFonts w:ascii="IRNazanin" w:hAnsi="IRNazanin" w:eastAsia="IRNazanin" w:cs="IRNazanin"/>
          <w:lang w:bidi="fa-IR"/>
          <w:color w:val="111111"/>
          <w:sz w:val="28"/>
          <w:szCs w:val="28"/>
          <w:rtl/>
        </w:rPr>
        <w:t xml:space="preserve">ولا یخفی أنّ المراد : أنّ متعلّق الطلب فی الأوامر هو صِرف الإیجاد ، کما أنّ متعلّقه فی النواهی هو محض الترک ، ومتعلّقهما هو نفس الطبیعة المحدودة بحدود ، والمقیّدة بقیود ، تکون بها موافقةً للغرض والمقصود ، من دون تعلُّقِ غرضٍ بإحدی الخصوصیّات اللازمة للوجودات ، بحیث لو کان الانفکاک عنها بأسرها ممکناً ، لما کان ذلک ممّا یضرّ بالمقصود أصلاً ، کما هو الحال فی القضیّة الطبیعیّة فی غیر الأحکام ، بل فی المحصورة علی ما حقّق فی غیر المقام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1" w:name="pg14419_166893"/>
    <w:bookmarkEnd w:id="151"/>
    <w:p>
      <w:pPr>
        <w:pStyle w:val="Heading6"/>
      </w:pPr>
      <w:bookmarkStart w:id="909" w:name="_Toc349"/>
      <w:r>
        <w:t>کفایة الوجدان عن إقامة البرهان علی المسألة</w:t>
      </w:r>
      <w:bookmarkEnd w:id="909"/>
    </w:p>
    <w:p>
      <w:pPr>
        <w:pStyle w:val="BookText"/>
      </w:pPr>
      <w:r>
        <w:rPr>
          <w:rFonts w:ascii="IRNazanin" w:hAnsi="IRNazanin" w:eastAsia="IRNazanin" w:cs="IRNazanin"/>
          <w:lang w:bidi="fa-IR"/>
          <w:color w:val="111111"/>
          <w:sz w:val="28"/>
          <w:szCs w:val="28"/>
          <w:rtl/>
        </w:rPr>
        <w:t xml:space="preserve">وفی مراجعة الوجدان للإنسان غنیً وکفایةٌ عن إقامة البرهان علی ذلک ؛ حیث یری - إذا راجعه - أنّه لا غرض له فی مطلوباته إلّانفس الطبائع ، ولا نظر له إلّاإلیها ، من دون نظر إلی خصوصیّاتها الخارجیّة وعوارضها العینیّة ، وأنّ نفس وجودها السِعیّ - بما هو وجودها - تمامُ المطلوب ، وإن کان ذاک الوجود لا یکاد ینفکّ فی الخارج عن الخصوصیّة .</w:t>
      </w:r>
    </w:p>
    <w:p>
      <w:pPr>
        <w:pStyle w:val="Heading6"/>
      </w:pPr>
      <w:bookmarkStart w:id="910" w:name="_Toc350"/>
      <w:r>
        <w:t>المراد بتعلّق الأوامر بالطبائع</w:t>
      </w:r>
      <w:bookmarkEnd w:id="910"/>
    </w:p>
    <w:p>
      <w:pPr>
        <w:pStyle w:val="BookText"/>
      </w:pPr>
      <w:r>
        <w:rPr>
          <w:rFonts w:ascii="IRNazanin" w:hAnsi="IRNazanin" w:eastAsia="IRNazanin" w:cs="IRNazanin"/>
          <w:lang w:bidi="fa-IR"/>
          <w:color w:val="111111"/>
          <w:sz w:val="28"/>
          <w:szCs w:val="28"/>
          <w:rtl/>
        </w:rPr>
        <w:t xml:space="preserve">فانقدح بذلک أنّ المراد بتعلّق الأوامر بالطبائع دون الأفراد : أنّها بوجودها السِعیّ بما هو وجودها - قبالاً لخصوص الوجود - متعلّقةٌ للطلب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أنّها بما هی هی کانت متعلّقة له - کما ربما یتوهّم - ؛ فإنّها کذلک لیست إلّا هی . نعم ، هی کذلک تکون متعلّقة للأمر ، فإنّه طلب الوجود ، فافهم .</w:t>
      </w:r>
    </w:p>
    <w:p>
      <w:pPr>
        <w:pStyle w:val="Heading6"/>
      </w:pPr>
      <w:bookmarkStart w:id="911" w:name="_Toc351"/>
      <w:r>
        <w:t>دفع وهْمٍ فی المسألة</w:t>
      </w:r>
      <w:bookmarkEnd w:id="911"/>
    </w:p>
    <w:p>
      <w:pPr>
        <w:pStyle w:val="BookText"/>
      </w:pPr>
      <w:r>
        <w:rPr>
          <w:rFonts w:ascii="Amiri" w:hAnsi="Amiri" w:eastAsia="Amiri" w:cs="Amiri"/>
          <w:lang w:bidi="ar-SA"/>
          <w:color w:val="111111"/>
          <w:sz w:val="28"/>
          <w:szCs w:val="28"/>
          <w:rtl/>
        </w:rPr>
        <w:t xml:space="preserve">دَفْعُ وهْمٍ :</w:t>
      </w:r>
    </w:p>
    <w:p>
      <w:pPr>
        <w:pStyle w:val="BookText"/>
      </w:pPr>
      <w:r>
        <w:rPr>
          <w:rFonts w:ascii="IRNazanin" w:hAnsi="IRNazanin" w:eastAsia="IRNazanin" w:cs="IRNazanin"/>
          <w:lang w:bidi="fa-IR"/>
          <w:color w:val="111111"/>
          <w:sz w:val="28"/>
          <w:szCs w:val="28"/>
          <w:rtl/>
        </w:rPr>
        <w:t xml:space="preserve">لا یخفی : أنّ کون وجود الطبیعة أو الفرد متعلّقاً للطلب ، إنّما یکون بمعنی أنّ الطالب یرید صدورَ الوجود من العبد ، وجعْلَه بسیطاً - الّذی هو مفاد « کان » التامّة - وإفاضتَه . لا أنّه یرید ما هو صادرٌ وثابتٌ فی الخارج ، کی یلزم طلب الحاصل - کما تُوُهّم </w:t>
      </w:r>
      <w:r>
        <w:rPr>
          <w:rStyle w:val="FootnoteReference"/>
        </w:rPr>
        <w:footnoteReference w:id="569"/>
      </w:r>
      <w:r>
        <w:rPr>
          <w:rFonts w:ascii="Amiri" w:hAnsi="Amiri" w:eastAsia="Amiri" w:cs="Amiri"/>
          <w:lang w:bidi="ar-SA"/>
          <w:color w:val="111111"/>
          <w:sz w:val="28"/>
          <w:szCs w:val="28"/>
          <w:rtl/>
        </w:rPr>
        <w:t xml:space="preserve">- . ولا جعْلَ الطلب متعلّقاً بنفس الطبیعة ، وقد جُعِل وجودها غایةً لطلبها .</w:t>
      </w:r>
    </w:p>
    <w:p>
      <w:pPr>
        <w:pStyle w:val="BookText"/>
      </w:pPr>
      <w:r>
        <w:rPr>
          <w:rFonts w:ascii="IRNazanin" w:hAnsi="IRNazanin" w:eastAsia="IRNazanin" w:cs="IRNazanin"/>
          <w:lang w:bidi="fa-IR"/>
          <w:color w:val="111111"/>
          <w:sz w:val="28"/>
          <w:szCs w:val="28"/>
          <w:rtl/>
        </w:rPr>
        <w:t xml:space="preserve">وقد عرفت : أنّ الطبیعة بما هی هی لیست إلّاهی ، لا یعقل أن یتعلّق بها طلب لتوجد أو تترک ، وأنّه لابدّ فی تعلّق الطلب من لحاظ الوجود أو العدم معها ، فیلاحظ وجودها ، فیطلبه ویبعث إلیه کی یکون ویصدر منه .</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2" w:name="pg14419_166894"/>
    <w:bookmarkEnd w:id="152"/>
    <w:p>
      <w:pPr>
        <w:pStyle w:val="BookText"/>
      </w:pPr>
      <w:r>
        <w:rPr>
          <w:rFonts w:ascii="IRNazanin" w:hAnsi="IRNazanin" w:eastAsia="IRNazanin" w:cs="IRNazanin"/>
          <w:lang w:bidi="fa-IR"/>
          <w:color w:val="111111"/>
          <w:sz w:val="28"/>
          <w:szCs w:val="28"/>
          <w:rtl/>
        </w:rPr>
        <w:t xml:space="preserve">هذا بناءً علی أصالة الوجود .</w:t>
      </w:r>
    </w:p>
    <w:p>
      <w:pPr>
        <w:pStyle w:val="BookText"/>
      </w:pPr>
      <w:r>
        <w:rPr>
          <w:rFonts w:ascii="IRNazanin" w:hAnsi="IRNazanin" w:eastAsia="IRNazanin" w:cs="IRNazanin"/>
          <w:lang w:bidi="fa-IR"/>
          <w:color w:val="111111"/>
          <w:sz w:val="28"/>
          <w:szCs w:val="28"/>
          <w:rtl/>
        </w:rPr>
        <w:t xml:space="preserve">وأمّا بناءً علی أصالة الماهیّة فمتعلّق الطلب لیس هو الطبیعة بما هی أیضاً ، بل بما هی بنفسها فی الخارج ، فیطلبها کذلک ، لکی یجعلها بنفسها من الخارجیّات والأعیان الثابتات ، لا بوجودها ، کما کان الأمر بالعکس علی أصالة الوجود .</w:t>
      </w:r>
    </w:p>
    <w:p>
      <w:pPr>
        <w:pStyle w:val="BookText"/>
      </w:pPr>
      <w:r>
        <w:rPr>
          <w:rFonts w:ascii="IRNazanin" w:hAnsi="IRNazanin" w:eastAsia="IRNazanin" w:cs="IRNazanin"/>
          <w:lang w:bidi="fa-IR"/>
          <w:color w:val="111111"/>
          <w:sz w:val="28"/>
          <w:szCs w:val="28"/>
          <w:rtl/>
        </w:rPr>
        <w:t xml:space="preserve">وکیف کان ، فیلحظ الآمر ما هو المقصود من الماهیّة الخارجیّة أو الوجود ، فیطلبه ویبعث نحوه ، لیصدر منه ، ویکون ما لم یکن ، فافهم وتأمّل جیّداً .</w:t>
      </w:r>
    </w:p>
    <w:p>
      <w:pPr>
        <w:pStyle w:val="Heading6"/>
      </w:pPr>
      <w:bookmarkStart w:id="912" w:name="_Toc352"/>
      <w:r>
        <w:t>فصل هل یبقی الجواز بعد نسخ الوجوب ؟</w:t>
      </w:r>
      <w:bookmarkEnd w:id="912"/>
    </w:p>
    <w:p>
      <w:pPr>
        <w:pStyle w:val="Heading6"/>
      </w:pPr>
      <w:bookmarkStart w:id="913" w:name="_Toc353"/>
      <w:r>
        <w:t>اشارة</w:t>
      </w:r>
      <w:bookmarkEnd w:id="9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نُسِخَ الوجوب فلا دلالة لدلیل الناسخ ولا المنسوخ علی بقاء الجواز بالمعنی الأعمّ ، ولا بالمعنی الأخصّ ، کما لا دلالة لهما علی ثبوت غیره من الأحکام ؛ ضرورةَ أنّ ثبوت کلِّ واحدٍ من الأحکام الأربعة الباقیة - بعد ارتفاع الوجوب واقعاً - ممکنٌ ، ولا دلالة لواحدٍ من دلیلَیِ الناسخ والمنسوخ - بإحدی الدلالات - علی تعیین واحدٍ منها ، کما هو أوضح من أن یخفی ؛ فلابدّ للتعیین من دلیلٍ آخر .</w:t>
      </w:r>
    </w:p>
    <w:p>
      <w:pPr>
        <w:pStyle w:val="Heading6"/>
      </w:pPr>
      <w:bookmarkStart w:id="914" w:name="_Toc354"/>
      <w:r>
        <w:t>عدم جریان‌استصحاب الجواز</w:t>
      </w:r>
      <w:bookmarkEnd w:id="914"/>
    </w:p>
    <w:p>
      <w:pPr>
        <w:pStyle w:val="BookText"/>
      </w:pPr>
      <w:r>
        <w:rPr>
          <w:rFonts w:ascii="IRNazanin" w:hAnsi="IRNazanin" w:eastAsia="IRNazanin" w:cs="IRNazanin"/>
          <w:lang w:bidi="fa-IR"/>
          <w:color w:val="111111"/>
          <w:sz w:val="28"/>
          <w:szCs w:val="28"/>
          <w:rtl/>
        </w:rPr>
        <w:t xml:space="preserve">ولا مجال لاستصحاب الجواز إلّابناءً علی جریانه فی القسم الثالث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3" w:name="pg14419_166895"/>
    <w:bookmarkEnd w:id="153"/>
    <w:p>
      <w:pPr>
        <w:pStyle w:val="BookText"/>
      </w:pPr>
      <w:r>
        <w:rPr>
          <w:rFonts w:ascii="IRNazanin" w:hAnsi="IRNazanin" w:eastAsia="IRNazanin" w:cs="IRNazanin"/>
          <w:lang w:bidi="fa-IR"/>
          <w:color w:val="111111"/>
          <w:sz w:val="28"/>
          <w:szCs w:val="28"/>
          <w:rtl/>
        </w:rPr>
        <w:t xml:space="preserve">من أقسام استصحاب الکلیّ ، وهو ما إذا شکّ فی حدوث فرد کلّیّ ، مقارناً لارتفاع فرده الآخر .</w:t>
      </w:r>
    </w:p>
    <w:p>
      <w:pPr>
        <w:pStyle w:val="BookText"/>
      </w:pPr>
      <w:r>
        <w:rPr>
          <w:rFonts w:ascii="Amiri" w:hAnsi="Amiri" w:eastAsia="Amiri" w:cs="Amiri"/>
          <w:lang w:bidi="ar-SA"/>
          <w:color w:val="111111"/>
          <w:sz w:val="28"/>
          <w:szCs w:val="28"/>
          <w:rtl/>
        </w:rPr>
        <w:t xml:space="preserve">وقد حقّقنا فی محلّه </w:t>
      </w:r>
      <w:r>
        <w:rPr>
          <w:rStyle w:val="FootnoteReference"/>
        </w:rPr>
        <w:footnoteReference w:id="571"/>
      </w:r>
      <w:r>
        <w:rPr>
          <w:rFonts w:ascii="IRNazanin" w:hAnsi="IRNazanin" w:eastAsia="IRNazanin" w:cs="IRNazanin"/>
          <w:lang w:bidi="fa-IR"/>
          <w:color w:val="111111"/>
          <w:sz w:val="28"/>
          <w:szCs w:val="28"/>
          <w:rtl/>
        </w:rPr>
        <w:t xml:space="preserve">: أنّه لا یجری الاستصحاب فیه ما لم یکن الحادث المشکوک من المراتب القویّة أو الضعیفة المتّصلة بالمرتفع </w:t>
      </w:r>
      <w:r>
        <w:rPr>
          <w:rStyle w:val="FootnoteReference"/>
        </w:rPr>
        <w:footnoteReference w:id="572"/>
      </w:r>
      <w:r>
        <w:rPr>
          <w:rFonts w:ascii="Amiri" w:hAnsi="Amiri" w:eastAsia="Amiri" w:cs="Amiri"/>
          <w:lang w:bidi="ar-SA"/>
          <w:color w:val="111111"/>
          <w:sz w:val="28"/>
          <w:szCs w:val="28"/>
          <w:rtl/>
        </w:rPr>
        <w:t xml:space="preserve">، بحیث عُدَّ عرفاً - لو کان </w:t>
      </w:r>
      <w:r>
        <w:rPr>
          <w:rStyle w:val="FootnoteReference"/>
        </w:rPr>
        <w:footnoteReference w:id="573"/>
      </w:r>
      <w:r>
        <w:rPr>
          <w:rFonts w:ascii="Amiri" w:hAnsi="Amiri" w:eastAsia="Amiri" w:cs="Amiri"/>
          <w:lang w:bidi="ar-SA"/>
          <w:color w:val="111111"/>
          <w:sz w:val="28"/>
          <w:szCs w:val="28"/>
          <w:rtl/>
        </w:rPr>
        <w:t xml:space="preserve">- أنّه باقٍ ، لا أنّه أمرٌ حادثٌ غیرُه .</w:t>
      </w:r>
    </w:p>
    <w:p>
      <w:pPr>
        <w:pStyle w:val="BookText"/>
      </w:pPr>
      <w:r>
        <w:rPr>
          <w:rFonts w:ascii="IRNazanin" w:hAnsi="IRNazanin" w:eastAsia="IRNazanin" w:cs="IRNazanin"/>
          <w:lang w:bidi="fa-IR"/>
          <w:color w:val="111111"/>
          <w:sz w:val="28"/>
          <w:szCs w:val="28"/>
          <w:rtl/>
        </w:rPr>
        <w:t xml:space="preserve">ومن المعلوم : أنّ کلَّ واحدٍ من الأحکام مع الآخر - عقلاً وعرفاً - من المباینات والمتضادّات ، غیر الوجوب والاستحباب ؛ فإنّه وإن کان بینهما التفاوت بالمرتبة والشدّة والضعف عقلاً ، إلّاأنّهما متباینان عرفاً ، فلا مجال للاستصحاب إذا شکّ فی تبدّل أحدهما بالآخر ؛ فإنّ حکم العرف ونظره یکون متّبعاً فی هذا الباب .</w:t>
      </w:r>
    </w:p>
    <w:p>
      <w:pPr>
        <w:pStyle w:val="Heading6"/>
      </w:pPr>
      <w:bookmarkStart w:id="915" w:name="_Toc355"/>
      <w:r>
        <w:t>فصل الواجب التخییری</w:t>
      </w:r>
      <w:bookmarkEnd w:id="915"/>
    </w:p>
    <w:p>
      <w:pPr>
        <w:pStyle w:val="Heading6"/>
      </w:pPr>
      <w:bookmarkStart w:id="916" w:name="_Toc356"/>
      <w:r>
        <w:t>اشارة</w:t>
      </w:r>
      <w:bookmarkEnd w:id="9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إذا تعلّق الأمر بأحد الشیئین أو الأشیاء :</w:t>
      </w:r>
    </w:p>
    <w:p>
      <w:pPr>
        <w:pStyle w:val="BookText"/>
      </w:pPr>
      <w:r>
        <w:rPr>
          <w:rFonts w:ascii="IRNazanin" w:hAnsi="IRNazanin" w:eastAsia="IRNazanin" w:cs="IRNazanin"/>
          <w:lang w:bidi="fa-IR"/>
          <w:color w:val="111111"/>
          <w:sz w:val="28"/>
          <w:szCs w:val="28"/>
          <w:rtl/>
        </w:rPr>
        <w:t xml:space="preserve">ففی وجوب کلِّ واحدٍ علی التخییر - بمعنی عدم جواز ترکه إلّاإلی بدلٍ - .</w:t>
      </w:r>
    </w:p>
    <w:p>
      <w:pPr>
        <w:pStyle w:val="BookText"/>
      </w:pPr>
      <w:r>
        <w:rPr>
          <w:rFonts w:ascii="IRNazanin" w:hAnsi="IRNazanin" w:eastAsia="IRNazanin" w:cs="IRNazanin"/>
          <w:lang w:bidi="fa-IR"/>
          <w:color w:val="111111"/>
          <w:sz w:val="28"/>
          <w:szCs w:val="28"/>
          <w:rtl/>
        </w:rPr>
        <w:t xml:space="preserve">أو وجوبِ الواحد لا بعینه .</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4" w:name="pg14419_166896"/>
    <w:bookmarkEnd w:id="154"/>
    <w:p>
      <w:pPr>
        <w:pStyle w:val="BookText"/>
      </w:pPr>
      <w:r>
        <w:rPr>
          <w:rFonts w:ascii="Amiri" w:hAnsi="Amiri" w:eastAsia="Amiri" w:cs="Amiri"/>
          <w:lang w:bidi="ar-SA"/>
          <w:color w:val="111111"/>
          <w:sz w:val="28"/>
          <w:szCs w:val="28"/>
          <w:rtl/>
        </w:rPr>
        <w:t xml:space="preserve">أو وجوب کلٍّ منهما </w:t>
      </w:r>
      <w:r>
        <w:rPr>
          <w:rStyle w:val="FootnoteReference"/>
        </w:rPr>
        <w:footnoteReference w:id="574"/>
      </w:r>
      <w:r>
        <w:rPr>
          <w:rFonts w:ascii="IRNazanin" w:hAnsi="IRNazanin" w:eastAsia="IRNazanin" w:cs="IRNazanin"/>
          <w:lang w:bidi="fa-IR"/>
          <w:color w:val="111111"/>
          <w:sz w:val="28"/>
          <w:szCs w:val="28"/>
          <w:rtl/>
        </w:rPr>
        <w:t xml:space="preserve">مع السقوط بفعل أحدهما .</w:t>
      </w:r>
    </w:p>
    <w:p>
      <w:pPr>
        <w:pStyle w:val="BookText"/>
      </w:pPr>
      <w:r>
        <w:rPr>
          <w:rFonts w:ascii="Amiri" w:hAnsi="Amiri" w:eastAsia="Amiri" w:cs="Amiri"/>
          <w:lang w:bidi="ar-SA"/>
          <w:color w:val="111111"/>
          <w:sz w:val="28"/>
          <w:szCs w:val="28"/>
          <w:rtl/>
        </w:rPr>
        <w:t xml:space="preserve">أو وجوب المعیّن عند اللّٰه ، أقوالٌ :</w:t>
      </w:r>
    </w:p>
    <w:p>
      <w:pPr>
        <w:pStyle w:val="Heading6"/>
      </w:pPr>
      <w:bookmarkStart w:id="917" w:name="_Toc357"/>
      <w:r>
        <w:t>التخییر العقلی</w:t>
      </w:r>
      <w:bookmarkEnd w:id="917"/>
    </w:p>
    <w:p>
      <w:pPr>
        <w:pStyle w:val="BookText"/>
      </w:pPr>
      <w:r>
        <w:rPr>
          <w:rFonts w:ascii="IRNazanin" w:hAnsi="IRNazanin" w:eastAsia="IRNazanin" w:cs="IRNazanin"/>
          <w:lang w:bidi="fa-IR"/>
          <w:color w:val="111111"/>
          <w:sz w:val="28"/>
          <w:szCs w:val="28"/>
          <w:rtl/>
        </w:rPr>
        <w:t xml:space="preserve">والتحقیق أن یقال: إنّه إن کان الأمر بأحد الشیئین ، بملاک أنّه هناک غرضٌ واحدٌ یقوم به کلُّ واحدٍ منهما ، - بحیث إذا أتی بأحدهما حصل به تمام الغرض ، ولذا یسقط به الأمر - ، کان الواجب فی الحقیقة هو الجامع بینهما ، وکان التخییر بینهما بحسب الواقع عقلیّاً لا شرعیّاً ؛ وذلک لوضوح أنّ الواحد لا یکاد یصدر من الاثنین بما هما اثنان ، ما لم یکن بینهما جامع فی البین ؛ لاعتبار نحوٍ من السنخیّة بین العلّة والمعلول .</w:t>
      </w:r>
    </w:p>
    <w:p>
      <w:pPr>
        <w:pStyle w:val="BookText"/>
      </w:pPr>
      <w:r>
        <w:rPr>
          <w:rFonts w:ascii="IRNazanin" w:hAnsi="IRNazanin" w:eastAsia="IRNazanin" w:cs="IRNazanin"/>
          <w:lang w:bidi="fa-IR"/>
          <w:color w:val="111111"/>
          <w:sz w:val="28"/>
          <w:szCs w:val="28"/>
          <w:rtl/>
        </w:rPr>
        <w:t xml:space="preserve">وعلیه : فجَعْلهما متعلّقین للخطاب الشرعیّ ، لبیان أنّ الواجب هو الجامع بین هذین الاثنین .</w:t>
      </w:r>
    </w:p>
    <w:p>
      <w:pPr>
        <w:pStyle w:val="Heading6"/>
      </w:pPr>
      <w:bookmarkStart w:id="918" w:name="_Toc358"/>
      <w:r>
        <w:t>التخییر الشرعی</w:t>
      </w:r>
      <w:bookmarkEnd w:id="91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وإن کان بملاک أنّه یکون فی کلِّ واحدٍ منهما غرضٌ لا یکاد یحصل مع حصول الغرض فی الآخر بإتیانه ، کان کلُّ واحدٍ واجباً بنحوٍ من الوجوب ، یستکشف عنه تبعاته ، من : عدم جواز ترکه إلّاإلی الآخر ، وترتّبِ الثواب علی فعل الواحد منهما ، والعقاب علی ترکهما .</w:t>
      </w:r>
    </w:p>
    <w:p>
      <w:pPr>
        <w:pStyle w:val="BookText"/>
      </w:pPr>
      <w:r>
        <w:rPr>
          <w:rFonts w:ascii="IRNazanin" w:hAnsi="IRNazanin" w:eastAsia="IRNazanin" w:cs="IRNazanin"/>
          <w:lang w:bidi="fa-IR"/>
          <w:color w:val="111111"/>
          <w:sz w:val="28"/>
          <w:szCs w:val="28"/>
          <w:rtl/>
        </w:rPr>
        <w:t xml:space="preserve">فلا وجه فی مثله للقول بکون الواجب هو أحدهما </w:t>
      </w:r>
      <w:r>
        <w:rPr>
          <w:rStyle w:val="FootnoteReference"/>
        </w:rPr>
        <w:footnoteReference w:id="575"/>
      </w:r>
      <w:r>
        <w:rPr>
          <w:rFonts w:ascii="IRNazanin" w:hAnsi="IRNazanin" w:eastAsia="IRNazanin" w:cs="IRNazanin"/>
          <w:lang w:bidi="fa-IR"/>
          <w:color w:val="111111"/>
          <w:sz w:val="28"/>
          <w:szCs w:val="28"/>
          <w:rtl/>
        </w:rPr>
        <w:t xml:space="preserve"> لا بعینه مصداقاً</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5" w:name="pg14419_166897"/>
    <w:bookmarkEnd w:id="155"/>
    <w:p>
      <w:pPr>
        <w:pStyle w:val="BookText"/>
      </w:pPr>
      <w:r>
        <w:rPr>
          <w:rFonts w:ascii="Amiri" w:hAnsi="Amiri" w:eastAsia="Amiri" w:cs="Amiri"/>
          <w:lang w:bidi="ar-SA"/>
          <w:color w:val="111111"/>
          <w:sz w:val="28"/>
          <w:szCs w:val="28"/>
          <w:rtl/>
        </w:rPr>
        <w:t xml:space="preserve">ولا مفهوماً </w:t>
      </w:r>
      <w:r>
        <w:rPr>
          <w:rStyle w:val="FootnoteReference"/>
        </w:rPr>
        <w:footnoteReference w:id="576"/>
      </w:r>
      <w:r>
        <w:rPr>
          <w:rFonts w:ascii="IRNazanin" w:hAnsi="IRNazanin" w:eastAsia="IRNazanin" w:cs="IRNazanin"/>
          <w:lang w:bidi="fa-IR"/>
          <w:color w:val="111111"/>
          <w:sz w:val="28"/>
          <w:szCs w:val="28"/>
          <w:rtl/>
        </w:rPr>
        <w:t xml:space="preserve">، کما هو واضح ، إلّاأن یرجع إلی ما ذکرناه </w:t>
      </w:r>
      <w:r>
        <w:rPr>
          <w:rStyle w:val="FootnoteReference"/>
        </w:rPr>
        <w:footnoteReference w:id="577"/>
      </w:r>
      <w:r>
        <w:rPr>
          <w:rFonts w:ascii="IRNazanin" w:hAnsi="IRNazanin" w:eastAsia="IRNazanin" w:cs="IRNazanin"/>
          <w:lang w:bidi="fa-IR"/>
          <w:color w:val="111111"/>
          <w:sz w:val="28"/>
          <w:szCs w:val="28"/>
          <w:rtl/>
        </w:rPr>
        <w:t xml:space="preserve">فی ما إذا کان الأمر بأحدهما بالملاک الأوّل ، من أنّ الواجب هو الواحد الجامع بینهما .</w:t>
      </w:r>
    </w:p>
    <w:p>
      <w:pPr>
        <w:pStyle w:val="BookText"/>
      </w:pPr>
      <w:r>
        <w:rPr>
          <w:rFonts w:ascii="Amiri" w:hAnsi="Amiri" w:eastAsia="Amiri" w:cs="Amiri"/>
          <w:lang w:bidi="ar-SA"/>
          <w:color w:val="111111"/>
          <w:sz w:val="28"/>
          <w:szCs w:val="28"/>
          <w:rtl/>
        </w:rPr>
        <w:t xml:space="preserve">ولا أحدُهما معیّناً ، مع کون کلٍّ منهما مثل الآخر فی أنّه وافٍ بالغرض .</w:t>
      </w:r>
    </w:p>
    <w:p>
      <w:pPr>
        <w:pStyle w:val="BookText"/>
      </w:pPr>
      <w:r>
        <w:rPr>
          <w:rFonts w:ascii="Amiri" w:hAnsi="Amiri" w:eastAsia="Amiri" w:cs="Amiri"/>
          <w:lang w:bidi="ar-SA"/>
          <w:color w:val="111111"/>
          <w:sz w:val="28"/>
          <w:szCs w:val="28"/>
          <w:rtl/>
        </w:rPr>
        <w:t xml:space="preserve">[ ولا کلّ واحد منهما معیّناً </w:t>
      </w:r>
      <w:r>
        <w:rPr>
          <w:rStyle w:val="FootnoteReference"/>
        </w:rPr>
        <w:footnoteReference w:id="578"/>
      </w:r>
      <w:r>
        <w:rPr>
          <w:rFonts w:ascii="IRNazanin" w:hAnsi="IRNazanin" w:eastAsia="IRNazanin" w:cs="IRNazanin"/>
          <w:lang w:bidi="fa-IR"/>
          <w:color w:val="111111"/>
          <w:sz w:val="28"/>
          <w:szCs w:val="28"/>
          <w:rtl/>
        </w:rPr>
        <w:t xml:space="preserve">مع السقوط بفعل أحدهما ؛ بداهةَ عدم السقوط مع إمکان استیفاء ما فی کلّ منهما من الغرض ، وعدمِ جواز الإیجاب کذلک مع عدم إمکانه ] </w:t>
      </w:r>
      <w:r>
        <w:rPr>
          <w:rStyle w:val="FootnoteReference"/>
        </w:rPr>
        <w:footnoteReference w:id="579"/>
      </w:r>
      <w:r>
        <w:rPr>
          <w:rFonts w:ascii="Amiri" w:hAnsi="Amiri" w:eastAsia="Amiri" w:cs="Amiri"/>
          <w:lang w:bidi="ar-SA"/>
          <w:color w:val="111111"/>
          <w:sz w:val="28"/>
          <w:szCs w:val="28"/>
          <w:rtl/>
        </w:rPr>
        <w:t xml:space="preserve">، فتدبّر .</w:t>
      </w:r>
    </w:p>
    <w:p>
      <w:pPr>
        <w:pStyle w:val="Heading6"/>
      </w:pPr>
      <w:bookmarkStart w:id="919" w:name="_Toc359"/>
      <w:r>
        <w:t>الکلام فی التخییر بین الأقلّ والأکثر</w:t>
      </w:r>
      <w:bookmarkEnd w:id="919"/>
    </w:p>
    <w:p>
      <w:pPr>
        <w:pStyle w:val="BookText"/>
      </w:pPr>
      <w:r>
        <w:rPr>
          <w:rFonts w:ascii="IRNazanin" w:hAnsi="IRNazanin" w:eastAsia="IRNazanin" w:cs="IRNazanin"/>
          <w:lang w:bidi="fa-IR"/>
          <w:color w:val="111111"/>
          <w:sz w:val="28"/>
          <w:szCs w:val="28"/>
          <w:rtl/>
        </w:rPr>
        <w:t xml:space="preserve">بقی الکلام فی أنّه هل یمکن التخییر عقلاً أو شرعاً بین الأقلّ والأکثر ، أو لا؟</w:t>
      </w:r>
    </w:p>
    <w:p>
      <w:pPr>
        <w:pStyle w:val="BookText"/>
      </w:pPr>
      <w:r>
        <w:rPr>
          <w:rFonts w:ascii="IRNazanin" w:hAnsi="IRNazanin" w:eastAsia="IRNazanin" w:cs="IRNazanin"/>
          <w:lang w:bidi="fa-IR"/>
          <w:color w:val="111111"/>
          <w:sz w:val="28"/>
          <w:szCs w:val="28"/>
          <w:rtl/>
        </w:rPr>
        <w:t xml:space="preserve">ربما یقال بأنّه محال ؛ فإنّ الأقلّ إذا وجد کان هو الواجب لامحالة ، ولو کان فی ضمن الأکثر ؛ لحصول الغرض به ، وکان الزائد علیه من أجزاء الأکثر زائداً علی الواجب .</w:t>
      </w:r>
    </w:p>
    <w:p>
      <w:pPr>
        <w:pStyle w:val="BookText"/>
      </w:pPr>
      <w:r>
        <w:rPr>
          <w:rFonts w:ascii="IRNazanin" w:hAnsi="IRNazanin" w:eastAsia="IRNazanin" w:cs="IRNazanin"/>
          <w:lang w:bidi="fa-IR"/>
          <w:color w:val="111111"/>
          <w:sz w:val="28"/>
          <w:szCs w:val="28"/>
          <w:rtl/>
        </w:rPr>
        <w:t xml:space="preserve">لکنّه لیس کذلک ؛ فإنّه إذا فُرِضَ أنّ المحصِّل للغرض فی ما إذا وُجد الأکثر هو الأکثر ، لا الأقلّ الّذی فی ضمنه - بمعنی أن یکون لجمیع أجزائه حینئذٍ دخلٌ فی حصوله ، وإن کان الأقلّ لو لم یکن فی ضمنه کان وافیاً به أیضاً - فلا محیص عن التخییر بینهما ؛ إذ تخصیص الأقلّ بالوجوب حینئذٍ کان</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مخصّص ؛ فإنّ الأکثر بحدّه یکون مثلَه علی الفرض ، مثلُ أن یکون الغرض الحاصل من رسم الخطّ مترتّباً علی الطویل إذا رُسم بما له من الحدّ ، لا علی القصیر فی ضمنه ، ومعه کیف یجوز تخصیصه بما لا یعمّه؟ ومن الواضح کون هذا الفرض بمکانٍ من الإمکان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إن قلت: هَبه فی مثل ما إذا کان للأکثر وجودٌ واحدٌ ، لم یکن للأقلّ فی ضمنه وجودٌ علی حدة - کالخطّ الطویل الّذی رسم دفعةً بلا تخلّل سکونٍ فی البین - ، لکنّه ممنوع فی ما کان له فی ضمنه وجود - کتسبیحةٍ فی ضمن تسبیحات ثلاث ، أو خطٍّ طویل رُسم مع تخلُّل العدم فی رسمه - ، فإنّ الأقلّ قد وُجد بحدّه ، وبه یحصل الغرض علی الفرض ، ومعه لا محالة یکون الزائد علیه ممّا لا دخل له فی حصوله ، فیکون زائداً علی الواجب ، لا من أجزائه .</w:t>
      </w:r>
    </w:p>
    <w:p>
      <w:pPr>
        <w:pStyle w:val="BookText"/>
      </w:pPr>
      <w:r>
        <w:rPr>
          <w:rFonts w:ascii="IRNazanin" w:hAnsi="IRNazanin" w:eastAsia="IRNazanin" w:cs="IRNazanin"/>
          <w:lang w:bidi="fa-IR"/>
          <w:color w:val="111111"/>
          <w:sz w:val="28"/>
          <w:szCs w:val="28"/>
          <w:rtl/>
        </w:rPr>
        <w:t xml:space="preserve">قلت: لا یکاد یختلف الحال بذلک ؛ فإنّه مع الفرض لا یکاد یترتّب الغرض علی الأقلّ فی ضمن الأکثر ، وإنّما یترتّب علیه بشرط عدم الانضمام ، ومعه کان مترتّباً علی الأکثر بالتمام .</w:t>
      </w:r>
    </w:p>
    <w:p>
      <w:pPr>
        <w:pStyle w:val="BookText"/>
      </w:pPr>
      <w:r>
        <w:rPr>
          <w:rFonts w:ascii="IRNazanin" w:hAnsi="IRNazanin" w:eastAsia="IRNazanin" w:cs="IRNazanin"/>
          <w:lang w:bidi="fa-IR"/>
          <w:color w:val="111111"/>
          <w:sz w:val="28"/>
          <w:szCs w:val="28"/>
          <w:rtl/>
        </w:rPr>
        <w:t xml:space="preserve">وبالجملة: إذا کان کلّ واحدٍ من الأقلّ والأکثر بحدّه ممّا یترتّب علیه الغرض، فلا محالة یکون الواجب هو الجامع بینهما ، وکان التخییر بینهما عقلیّاً إن کان هناک غرض واحد ، وتخییراً شرعیّاً فی ما کان هناک غرضان علی ما عرفت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 لو کان الغرض مترتّباً علی الأقلّ من دون دخل للزائد ، لَما کان الأکثر مثل الأقلّ وعِدْلاً له ، بل کان فیه اجتماع الواجب وغیره - مستحبّاً کان أو غیره - ، حَسَب اختلاف الموارد ، فتدبّر جیّداً .</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6" w:name="pg14419_166899"/>
    <w:bookmarkEnd w:id="156"/>
    <w:p>
      <w:pPr>
        <w:pStyle w:val="Heading6"/>
      </w:pPr>
      <w:bookmarkStart w:id="920" w:name="_Toc360"/>
      <w:r>
        <w:t>فصلٌ فی الوجوب الکفائیّ</w:t>
      </w:r>
      <w:bookmarkEnd w:id="920"/>
    </w:p>
    <w:p>
      <w:pPr>
        <w:pStyle w:val="BookText"/>
      </w:pPr>
      <w:r>
        <w:rPr>
          <w:rFonts w:ascii="Amiri" w:hAnsi="Amiri" w:eastAsia="Amiri" w:cs="Amiri"/>
          <w:lang w:bidi="ar-SA"/>
          <w:color w:val="111111"/>
          <w:sz w:val="28"/>
          <w:szCs w:val="28"/>
          <w:rtl/>
        </w:rPr>
        <w:t xml:space="preserve">والتحقیق : أنّه سِنْخٌ من الوجوب ، وله تعلُّقٌ بکلِّ واحدٍ ، بحیث لو أخلّ بامتثاله الکلُّ لعُوقبوا علی مخالفته جمیعاً ، وإن سقط عنهم لو أتی به بعضهم ؛ وذلک لأنّه قضیّة ما إذا کان هناک غرضٌ واحدٌ ، حَصَل بفعلٍ واحدٍ صادرٍ عن الکلّ أو البعض .</w:t>
      </w:r>
    </w:p>
    <w:p>
      <w:pPr>
        <w:pStyle w:val="BookText"/>
      </w:pPr>
      <w:r>
        <w:rPr>
          <w:rFonts w:ascii="IRNazanin" w:hAnsi="IRNazanin" w:eastAsia="IRNazanin" w:cs="IRNazanin"/>
          <w:lang w:bidi="fa-IR"/>
          <w:color w:val="111111"/>
          <w:sz w:val="28"/>
          <w:szCs w:val="28"/>
          <w:rtl/>
        </w:rPr>
        <w:t xml:space="preserve">کما أنّ الظاهر هو : امتثال الجمیع لو أتوا به دفعةً ، واستحقاقُهم للمثوبة ، وسقوط الغرض بفعل الکلّ، کما هو قضیّة توارد العلل المتعدّدة علی معلول واحد.</w:t>
      </w:r>
    </w:p>
    <w:p>
      <w:pPr>
        <w:pStyle w:val="Heading6"/>
      </w:pPr>
      <w:bookmarkStart w:id="921" w:name="_Toc361"/>
      <w:r>
        <w:t>فصل الواجب الموقّت وغیر الموقّت والمضیّق والموسّع</w:t>
      </w:r>
      <w:bookmarkEnd w:id="921"/>
    </w:p>
    <w:p>
      <w:pPr>
        <w:pStyle w:val="Heading6"/>
      </w:pPr>
      <w:bookmarkStart w:id="922" w:name="_Toc362"/>
      <w:r>
        <w:t>اشارة</w:t>
      </w:r>
      <w:bookmarkEnd w:id="922"/>
    </w:p>
    <w:p>
      <w:pPr>
        <w:pStyle w:val="BookText"/>
      </w:pPr>
      <w:r>
        <w:rPr>
          <w:rFonts w:ascii="Amiri" w:hAnsi="Amiri" w:eastAsia="Amiri" w:cs="Amiri"/>
          <w:lang w:bidi="ar-SA"/>
          <w:color w:val="111111"/>
          <w:sz w:val="28"/>
          <w:szCs w:val="28"/>
          <w:rtl/>
        </w:rPr>
        <w:t xml:space="preserve">لا یخفی : أنّه وإن کان الزمان ممّا لابدّ منه عقلاً فی الواجب ، إلّاأنّه تارةً : ممّا له دَخْلٌ فیه شرعاً ، فیکون « موقّتاً » ، وأُخری : لا دخل له فیه أصلاً </w:t>
      </w:r>
      <w:r>
        <w:rPr>
          <w:rStyle w:val="FootnoteReference"/>
        </w:rPr>
        <w:footnoteReference w:id="581"/>
      </w:r>
      <w:r>
        <w:rPr>
          <w:rFonts w:ascii="IRNazanin" w:hAnsi="IRNazanin" w:eastAsia="IRNazanin" w:cs="IRNazanin"/>
          <w:lang w:bidi="fa-IR"/>
          <w:color w:val="111111"/>
          <w:sz w:val="28"/>
          <w:szCs w:val="28"/>
          <w:rtl/>
        </w:rPr>
        <w:t xml:space="preserve">، فهو « غیر موقّت » .</w:t>
      </w:r>
    </w:p>
    <w:p>
      <w:pPr>
        <w:pStyle w:val="BookText"/>
      </w:pPr>
      <w:r>
        <w:rPr>
          <w:rFonts w:ascii="IRNazanin" w:hAnsi="IRNazanin" w:eastAsia="IRNazanin" w:cs="IRNazanin"/>
          <w:lang w:bidi="fa-IR"/>
          <w:color w:val="111111"/>
          <w:sz w:val="28"/>
          <w:szCs w:val="28"/>
          <w:rtl/>
        </w:rPr>
        <w:t xml:space="preserve">والموقّت : إمّا أن یکون الزمان المأخوذ فیه بقدره ف « مضیّقٌ » ، وإمّا أن یکون أوسع منه ف « موسّعٌ » .</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7" w:name="pg14419_166900"/>
    <w:bookmarkEnd w:id="157"/>
    <w:p>
      <w:pPr>
        <w:pStyle w:val="Heading6"/>
      </w:pPr>
      <w:bookmarkStart w:id="923" w:name="_Toc363"/>
      <w:r>
        <w:t>التخییر بین أفراد الموسّع عقلیّ لا شرعی</w:t>
      </w:r>
      <w:bookmarkEnd w:id="923"/>
    </w:p>
    <w:p>
      <w:pPr>
        <w:pStyle w:val="BookText"/>
      </w:pPr>
      <w:r>
        <w:rPr>
          <w:rFonts w:ascii="IRNazanin" w:hAnsi="IRNazanin" w:eastAsia="IRNazanin" w:cs="IRNazanin"/>
          <w:lang w:bidi="fa-IR"/>
          <w:color w:val="111111"/>
          <w:sz w:val="28"/>
          <w:szCs w:val="28"/>
          <w:rtl/>
        </w:rPr>
        <w:t xml:space="preserve">ولا یذهب علیک: أنّ الموسّع کلّیّ ، کما کان له أفراد دفعیّة ، کان له أفراد تدریجیّة ، یکون التخییر بینها - کالتخییر بین أفرادها الدفعیّة - عقلیّاً .</w:t>
      </w:r>
    </w:p>
    <w:p>
      <w:pPr>
        <w:pStyle w:val="BookText"/>
      </w:pPr>
      <w:r>
        <w:rPr>
          <w:rFonts w:ascii="IRNazanin" w:hAnsi="IRNazanin" w:eastAsia="IRNazanin" w:cs="IRNazanin"/>
          <w:lang w:bidi="fa-IR"/>
          <w:color w:val="111111"/>
          <w:sz w:val="28"/>
          <w:szCs w:val="28"/>
          <w:rtl/>
        </w:rPr>
        <w:t xml:space="preserve">ولا وجه لتوهّم أن یکون التخییر بینها شرعیّاً </w:t>
      </w:r>
      <w:r>
        <w:rPr>
          <w:rStyle w:val="FootnoteReference"/>
        </w:rPr>
        <w:footnoteReference w:id="582"/>
      </w:r>
      <w:r>
        <w:rPr>
          <w:rFonts w:ascii="IRNazanin" w:hAnsi="IRNazanin" w:eastAsia="IRNazanin" w:cs="IRNazanin"/>
          <w:lang w:bidi="fa-IR"/>
          <w:color w:val="111111"/>
          <w:sz w:val="28"/>
          <w:szCs w:val="28"/>
          <w:rtl/>
        </w:rPr>
        <w:t xml:space="preserve">؛ ضرورة أنّ نسبتها إلی الواجب نسبةُ أفراد الطبائع إلیها ، کما لا یخفی .</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ووقوع الموسّع - فضلاً عن إمکانه - ممّا لا ریب فیه ، ولا شبهة تعتریه ، ولا اعتناء ببعض التسویلات ، کما یظهر من المطوّلات .</w:t>
      </w:r>
    </w:p>
    <w:p>
      <w:pPr>
        <w:pStyle w:val="Heading6"/>
      </w:pPr>
      <w:bookmarkStart w:id="924" w:name="_Toc364"/>
      <w:r>
        <w:t>هل القضاء تابعٌ للأداء ؟</w:t>
      </w:r>
      <w:bookmarkEnd w:id="924"/>
    </w:p>
    <w:p>
      <w:pPr>
        <w:pStyle w:val="BookText"/>
      </w:pPr>
      <w:r>
        <w:rPr>
          <w:rFonts w:ascii="IRNazanin" w:hAnsi="IRNazanin" w:eastAsia="IRNazanin" w:cs="IRNazanin"/>
          <w:lang w:bidi="fa-IR"/>
          <w:color w:val="111111"/>
          <w:sz w:val="28"/>
          <w:szCs w:val="28"/>
          <w:rtl/>
        </w:rPr>
        <w:t xml:space="preserve">ثمّ إنّه لا دلالة للأمر بالموقّت - بوجهٍ - علی الأمر به فی خارج الوقت ، بعد فوته فی الوقت ، لو لم نقل بدلالته علی عدم الأمر به .</w:t>
      </w:r>
    </w:p>
    <w:p>
      <w:pPr>
        <w:pStyle w:val="BookText"/>
      </w:pPr>
      <w:r>
        <w:rPr>
          <w:rFonts w:ascii="IRNazanin" w:hAnsi="IRNazanin" w:eastAsia="IRNazanin" w:cs="IRNazanin"/>
          <w:lang w:bidi="fa-IR"/>
          <w:color w:val="111111"/>
          <w:sz w:val="28"/>
          <w:szCs w:val="28"/>
          <w:rtl/>
        </w:rPr>
        <w:t xml:space="preserve">نعم ، لو کان التوقیت بدلیل منفصل لم یکن له إطلاقِ علی التقیید بالوقت ، وکان لدلیل الواجب إطلاق ، لکان قضیّة إطلاقه ثبوت الوجوب بعد انقضاء الوقت ، وکونَ التقیید به بحسب تمام المطلوب لا أصلِه .</w:t>
      </w:r>
    </w:p>
    <w:p>
      <w:pPr>
        <w:pStyle w:val="BookText"/>
      </w:pPr>
      <w:r>
        <w:rPr>
          <w:rFonts w:ascii="IRNazanin" w:hAnsi="IRNazanin" w:eastAsia="IRNazanin" w:cs="IRNazanin"/>
          <w:lang w:bidi="fa-IR"/>
          <w:color w:val="111111"/>
          <w:sz w:val="28"/>
          <w:szCs w:val="28"/>
          <w:rtl/>
        </w:rPr>
        <w:t xml:space="preserve">وبالجملة: التقیید بالوقت کما یکون بنحو وحدة المطلوب ، کذلک ربما یکون بنحو تعدّد المطلوب - بحیث کان أصل الفعل ولو فی خارج الوقت مطلوباً فی الجملة ، وإن لم یکن بتمام المطلوب - ، إلّاأنّه لابدّ فی إثبات أنّه بهذا النحو من دلالةٍ ، ولا یکفی الدلیل علی الوقت إلّافی ما عرفت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8" w:name="pg14419_166901"/>
    <w:bookmarkEnd w:id="158"/>
    <w:p>
      <w:pPr>
        <w:pStyle w:val="BookText"/>
      </w:pPr>
      <w:r>
        <w:rPr>
          <w:rFonts w:ascii="IRNazanin" w:hAnsi="IRNazanin" w:eastAsia="IRNazanin" w:cs="IRNazanin"/>
          <w:lang w:bidi="fa-IR"/>
          <w:color w:val="111111"/>
          <w:sz w:val="28"/>
          <w:szCs w:val="28"/>
          <w:rtl/>
        </w:rPr>
        <w:t xml:space="preserve">ومع عدم الدلالة فقضیّة أصالة البراءة عدم وجوبها </w:t>
      </w:r>
      <w:r>
        <w:rPr>
          <w:rStyle w:val="FootnoteReference"/>
        </w:rPr>
        <w:footnoteReference w:id="584"/>
      </w:r>
      <w:r>
        <w:rPr>
          <w:rFonts w:ascii="IRNazanin" w:hAnsi="IRNazanin" w:eastAsia="IRNazanin" w:cs="IRNazanin"/>
          <w:lang w:bidi="fa-IR"/>
          <w:color w:val="111111"/>
          <w:sz w:val="28"/>
          <w:szCs w:val="28"/>
          <w:rtl/>
        </w:rPr>
        <w:t xml:space="preserve">فی خارج الوقت . ولامجال لاستصحاب وجوب الموقّت بعد انقضاء الوقت ، فتدبّر جیّداً .</w:t>
      </w:r>
    </w:p>
    <w:p>
      <w:pPr>
        <w:pStyle w:val="Heading6"/>
      </w:pPr>
      <w:bookmarkStart w:id="925" w:name="_Toc365"/>
      <w:r>
        <w:t>فصل الأمر بالأمر</w:t>
      </w:r>
      <w:bookmarkEnd w:id="925"/>
    </w:p>
    <w:p>
      <w:pPr>
        <w:pStyle w:val="BookText"/>
      </w:pPr>
      <w:r>
        <w:rPr>
          <w:rFonts w:ascii="IRNazanin" w:hAnsi="IRNazanin" w:eastAsia="IRNazanin" w:cs="IRNazanin"/>
          <w:lang w:bidi="fa-IR"/>
          <w:color w:val="111111"/>
          <w:sz w:val="28"/>
          <w:szCs w:val="28"/>
          <w:rtl/>
        </w:rPr>
        <w:t xml:space="preserve">الأمرُ بالأمر بشیء ، أمرٌ به لو کان الغرض حصوله ، ولم یکن له غرضٌ فی توسیط أمر الغیر به إلّاتبلیغَ </w:t>
      </w:r>
      <w:r>
        <w:rPr>
          <w:rStyle w:val="FootnoteReference"/>
        </w:rPr>
        <w:footnoteReference w:id="585"/>
      </w:r>
      <w:r>
        <w:rPr>
          <w:rFonts w:ascii="IRNazanin" w:hAnsi="IRNazanin" w:eastAsia="IRNazanin" w:cs="IRNazanin"/>
          <w:lang w:bidi="fa-IR"/>
          <w:color w:val="111111"/>
          <w:sz w:val="28"/>
          <w:szCs w:val="28"/>
          <w:rtl/>
        </w:rPr>
        <w:t xml:space="preserve">أمره به ، کما هو المتعارف فی أمر الرُسُلِ بالأمر أو النهی .</w:t>
      </w:r>
    </w:p>
    <w:p>
      <w:pPr>
        <w:pStyle w:val="BookText"/>
      </w:pPr>
      <w:r>
        <w:rPr>
          <w:rFonts w:ascii="IRNazanin" w:hAnsi="IRNazanin" w:eastAsia="IRNazanin" w:cs="IRNazanin"/>
          <w:lang w:bidi="fa-IR"/>
          <w:color w:val="111111"/>
          <w:sz w:val="28"/>
          <w:szCs w:val="28"/>
          <w:rtl/>
        </w:rPr>
        <w:t xml:space="preserve">وأمّا لو کان الغرض من ذلک یحصل بأمره بذاک الشیء - من دون تعلّق غرضه به ، أو مع تعلّق غرضه به لا مطلقاً ، بل بعد تعلّق أمره به - فلا یکون أمراً بذاک الشیء ، کما لا یخفی .</w:t>
      </w:r>
    </w:p>
    <w:p>
      <w:pPr>
        <w:pStyle w:val="BookText"/>
      </w:pPr>
      <w:r>
        <w:rPr>
          <w:rFonts w:ascii="IRNazanin" w:hAnsi="IRNazanin" w:eastAsia="IRNazanin" w:cs="IRNazanin"/>
          <w:lang w:bidi="fa-IR"/>
          <w:color w:val="111111"/>
          <w:sz w:val="28"/>
          <w:szCs w:val="28"/>
          <w:rtl/>
        </w:rPr>
        <w:t xml:space="preserve">وقد انقدح بذلک: أنّه لا دلالة بمجرّد الأمر بالأمر علی کونه أمراً به ، ولابدّ فی الدلالة علیه من قرینةٍ علیه .</w:t>
      </w:r>
    </w:p>
    <w:p>
      <w:pPr>
        <w:pStyle w:val="Heading6"/>
      </w:pPr>
      <w:bookmarkStart w:id="926" w:name="_Toc366"/>
      <w:r>
        <w:t>فصل الأمر بعد الأمر</w:t>
      </w:r>
      <w:bookmarkEnd w:id="926"/>
    </w:p>
    <w:p>
      <w:pPr>
        <w:pStyle w:val="BookText"/>
      </w:pPr>
      <w:r>
        <w:rPr>
          <w:rFonts w:ascii="IRNazanin" w:hAnsi="IRNazanin" w:eastAsia="IRNazanin" w:cs="IRNazanin"/>
          <w:lang w:bidi="fa-IR"/>
          <w:color w:val="111111"/>
          <w:sz w:val="28"/>
          <w:szCs w:val="28"/>
          <w:rtl/>
        </w:rPr>
        <w:t xml:space="preserve">إذا ورد أمر بشیءٍ بعد الأمر به قبل امتثاله ، فهل یوجب تکرارَ ذاک الشیء ، أو تأکیدَ الأمرِ الأوّل والبعثِ الحاصل به ؟</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قضیّة إطلاق المادّة هو التأکید ؛ فإنّ الطلب تأسیساً لا یکاد یتعلّق بطبیعةٍ واحدةٍ مرّتین ، من دون أن یجیء تقییدٌ لها فی البین ، ولو کان بمثل « مرّةً أُخری » ، کی یکون متعلّقُ کلٍّ منهما غیرَ متعلّق الآخر ، کما لا یخفی .</w:t>
      </w:r>
    </w:p>
    <w:p>
      <w:pPr>
        <w:pStyle w:val="BookText"/>
      </w:pPr>
      <w:r>
        <w:rPr>
          <w:rFonts w:ascii="IRNazanin" w:hAnsi="IRNazanin" w:eastAsia="IRNazanin" w:cs="IRNazanin"/>
          <w:lang w:bidi="fa-IR"/>
          <w:color w:val="111111"/>
          <w:sz w:val="28"/>
          <w:szCs w:val="28"/>
          <w:rtl/>
        </w:rPr>
        <w:t xml:space="preserve">والمنساق من إطلاق الهیئة وإن کان هو تأسیس الطلب لا تأکیده ، إلّاأنّ الظاهر هو انسباق التأکید عنها فی ما کانت مسبوقةً بمثلها ، ولم یذکر هناک سببٌ ، أو ذُکِرَ سببٌ واحدٌ .</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9" w:name="pg14419_166904"/>
    <w:bookmarkEnd w:id="159"/>
    <w:p>
      <w:pPr>
        <w:pStyle w:val="Heading2"/>
      </w:pPr>
      <w:bookmarkStart w:id="927" w:name="_Toc367"/>
      <w:r>
        <w:t>فقه</w:t>
      </w:r>
      <w:bookmarkEnd w:id="927"/>
    </w:p>
    <w:p>
      <w:pPr>
        <w:pStyle w:val="Heading3"/>
      </w:pPr>
      <w:bookmarkStart w:id="928" w:name="_Toc368"/>
      <w:r>
        <w:t>فقه 4 (المکاسب : از «القول فی شرایط العوضین» تا پایان «احتکار الطعام»)</w:t>
      </w:r>
      <w:bookmarkEnd w:id="928"/>
    </w:p>
    <w:p>
      <w:pPr>
        <w:pStyle w:val="Heading4"/>
      </w:pPr>
      <w:bookmarkStart w:id="929" w:name="_Toc369"/>
      <w:r>
        <w:t>المجلد 4</w:t>
      </w:r>
      <w:bookmarkEnd w:id="929"/>
    </w:p>
    <w:p>
      <w:pPr>
        <w:pStyle w:val="Heading5"/>
      </w:pPr>
      <w:bookmarkStart w:id="930" w:name="_Toc370"/>
      <w:r>
        <w:t>اشارة</w:t>
      </w:r>
      <w:bookmarkEnd w:id="930"/>
    </w:p>
    <w:p>
      <w:pPr>
        <w:pStyle w:val="BookText"/>
      </w:pPr>
      <w:r>
        <w:rPr>
          <w:rFonts w:ascii="IRNazanin" w:hAnsi="IRNazanin" w:eastAsia="IRNazanin" w:cs="IRNazanin"/>
          <w:lang w:bidi="fa-IR"/>
          <w:color w:val="111111"/>
          <w:sz w:val="28"/>
          <w:szCs w:val="28"/>
          <w:rtl/>
        </w:rPr>
        <w:t xml:space="preserve">سرشناسه : انصاری، مرتضی بن محمدامین، ۱۲۱۴ - ۱۲۸۱ق.</w:t>
      </w:r>
    </w:p>
    <w:p>
      <w:pPr>
        <w:pStyle w:val="BookText"/>
      </w:pPr>
      <w:r>
        <w:rPr>
          <w:rFonts w:ascii="IRNazanin" w:hAnsi="IRNazanin" w:eastAsia="IRNazanin" w:cs="IRNazanin"/>
          <w:lang w:bidi="fa-IR"/>
          <w:color w:val="111111"/>
          <w:sz w:val="28"/>
          <w:szCs w:val="28"/>
          <w:rtl/>
        </w:rPr>
        <w:t xml:space="preserve">عنوان و نام پدیدآور : المکاسب / المولف مرتضی الانصاری؛ اعداد لجنه تحقیق تراث الشیخ الاعظم.</w:t>
      </w:r>
    </w:p>
    <w:p>
      <w:pPr>
        <w:pStyle w:val="BookText"/>
      </w:pPr>
      <w:r>
        <w:rPr>
          <w:rFonts w:ascii="IRNazanin" w:hAnsi="IRNazanin" w:eastAsia="IRNazanin" w:cs="IRNazanin"/>
          <w:lang w:bidi="fa-IR"/>
          <w:color w:val="111111"/>
          <w:sz w:val="28"/>
          <w:szCs w:val="28"/>
          <w:rtl/>
        </w:rPr>
        <w:t xml:space="preserve">مشخصات نشر : قم : مجمع الفکر الاسلامی، ۱۴13ه.ق</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۱۹۰/۱ /الف‌۸م‌۷ ۱۳۰۰ی‌الف</w:t>
      </w:r>
    </w:p>
    <w:p>
      <w:pPr>
        <w:pStyle w:val="BookText"/>
      </w:pPr>
      <w:r>
        <w:rPr>
          <w:rFonts w:ascii="IRNazanin" w:hAnsi="IRNazanin" w:eastAsia="IRNazanin" w:cs="IRNazanin"/>
          <w:lang w:bidi="fa-IR"/>
          <w:color w:val="111111"/>
          <w:sz w:val="28"/>
          <w:szCs w:val="28"/>
          <w:rtl/>
        </w:rPr>
        <w:t xml:space="preserve">رده بندی دیویی : ۲۹۷/۳۷۲</w:t>
      </w:r>
    </w:p>
    <w:p>
      <w:pPr>
        <w:pStyle w:val="BookText"/>
      </w:pPr>
      <w:r>
        <w:rPr>
          <w:rFonts w:ascii="IRNazanin" w:hAnsi="IRNazanin" w:eastAsia="IRNazanin" w:cs="IRNazanin"/>
          <w:lang w:bidi="fa-IR"/>
          <w:color w:val="111111"/>
          <w:sz w:val="28"/>
          <w:szCs w:val="28"/>
          <w:rtl/>
        </w:rPr>
        <w:t xml:space="preserve">شماره کتابشناسی ملی : م‌۷۸-۱۹۳۷</w:t>
      </w:r>
    </w:p>
    <w:p>
      <w:pPr>
        <w:pStyle w:val="BookText"/>
      </w:pPr>
      <w:r>
        <w:rPr>
          <w:rFonts w:ascii="IRNazanin" w:hAnsi="IRNazanin" w:eastAsia="IRNazanin" w:cs="IRNazanin"/>
          <w:lang w:bidi="fa-IR"/>
          <w:color w:val="111111"/>
          <w:sz w:val="28"/>
          <w:szCs w:val="28"/>
          <w:rtl/>
        </w:rPr>
        <w:t xml:space="preserve">توضیح : این کتاب از مهمترین کتابهای فقهی شیعه تألیف شیخ الفقهاء و المجتهدین، شیخ اعظم مرتضی بن محمد امین تستری نجفی انصاری ( م ۱۲۸۱ ق) می باشد و در باب معاملات محسوب می شود و از زمان تألیف تا کنون متن درسی حوزه های علمی شیعه قرار گرفته است، مؤلف بطور استدلالی به مباحث معاملات نظر دوخته و به ذکر و تحلیل کلمات فقهای پیشین توجه عمیقی داشته است و وجوه مختلف یک مسئله فقهی را با تردیدهای ویژه خود، ترسیم می نماید مؤلف در این کتاب به سه مبحث مهم پرداخته است: مکاسب محرمه، بیع، خیارات .</w:t>
      </w:r>
    </w:p>
    <w:p>
      <w:pPr>
        <w:pStyle w:val="BookText"/>
      </w:pPr>
      <w:r>
        <w:rPr>
          <w:rFonts w:ascii="IRNazanin" w:hAnsi="IRNazanin" w:eastAsia="IRNazanin" w:cs="IRNazanin"/>
          <w:lang w:bidi="fa-IR"/>
          <w:color w:val="111111"/>
          <w:sz w:val="28"/>
          <w:szCs w:val="28"/>
          <w:rtl/>
        </w:rPr>
        <w:t xml:space="preserve">کتاب المکاسب شامل کتاب‌های مکاسب محرمه ، بیع و خیارات است که بعدها ۹ کتاب دیگر به آنها ملحق شده‌اند که عبارتند از: کتاب تقیه، رسالة فی العدالة، رسالة فی القضاء عن المیت، رسالة فی المواسعة و المضایقة، رسالة فی قاعدة من ملک شیئا ملک الإقرار به، رسالة فی قاعدة لا ضرر، رسالة فی المصاهرة، و در آخر هم کتاب مواریث که بسیار مختصر می‌باشد.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931" w:name="_Toc371"/>
      <w:r>
        <w:t>اشارة</w:t>
      </w:r>
      <w:bookmarkEnd w:id="931"/>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14419_166910"/>
    <w:bookmarkEnd w:id="160"/>
    <w:p>
      <w:pPr>
        <w:pStyle w:val="Heading5"/>
      </w:pPr>
      <w:bookmarkStart w:id="932" w:name="_Toc372"/>
      <w:r>
        <w:t>[تتمة کتاب البیع]</w:t>
      </w:r>
      <w:bookmarkEnd w:id="932"/>
    </w:p>
    <w:p>
      <w:pPr>
        <w:pStyle w:val="Heading6"/>
      </w:pPr>
      <w:bookmarkStart w:id="933" w:name="_Toc373"/>
      <w:r>
        <w:t>القول فی شرائط العوضین</w:t>
      </w:r>
      <w:bookmarkEnd w:id="933"/>
    </w:p>
    <w:p>
      <w:pPr>
        <w:pStyle w:val="Heading6"/>
      </w:pPr>
      <w:bookmarkStart w:id="934" w:name="_Toc374"/>
      <w:r>
        <w:t>اشارة</w:t>
      </w:r>
      <w:bookmarkEnd w:id="934"/>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14419_166912"/>
    <w:bookmarkEnd w:id="161"/>
    <w:p>
      <w:pPr>
        <w:pStyle w:val="Heading6"/>
      </w:pPr>
      <w:bookmarkStart w:id="935" w:name="_Toc375"/>
      <w:r>
        <w:t>[مسألة : من شروط العوضین:المالیة]</w:t>
      </w:r>
      <w:bookmarkEnd w:id="935"/>
    </w:p>
    <w:p>
      <w:pPr>
        <w:pStyle w:val="Heading6"/>
      </w:pPr>
      <w:bookmarkStart w:id="936" w:name="_Toc376"/>
      <w:r>
        <w:t>اشارة</w:t>
      </w:r>
      <w:bookmarkEnd w:id="936"/>
    </w:p>
    <w:p>
      <w:pPr>
        <w:pStyle w:val="BookText"/>
      </w:pPr>
      <w:r>
        <w:rPr>
          <w:rStyle w:val="FootnoteReference"/>
        </w:rPr>
        <w:footnoteReference w:id="586"/>
      </w:r>
      <w:r>
        <w:rPr>
          <w:rFonts w:ascii="Amiri" w:hAnsi="Amiri" w:eastAsia="Amiri" w:cs="Amiri"/>
          <w:lang w:bidi="ar-SA"/>
          <w:color w:val="111111"/>
          <w:sz w:val="28"/>
          <w:szCs w:val="28"/>
          <w:rtl/>
        </w:rPr>
        <w:t xml:space="preserve">
یشترط فی کلٍّ منهما کونه متموَّلاً؛لأنّ البیع لغةً-:مبادلة مالٍ بمال </w:t>
      </w:r>
      <w:r>
        <w:rPr>
          <w:rStyle w:val="FootnoteReference"/>
        </w:rPr>
        <w:footnoteReference w:id="587"/>
      </w:r>
      <w:r>
        <w:rPr>
          <w:rFonts w:ascii="IRNazanin" w:hAnsi="IRNazanin" w:eastAsia="IRNazanin" w:cs="IRNazanin"/>
          <w:lang w:bidi="fa-IR"/>
          <w:color w:val="111111"/>
          <w:sz w:val="28"/>
          <w:szCs w:val="28"/>
          <w:rtl/>
        </w:rPr>
        <w:t xml:space="preserve">،و قد احترزوا بهذا الشرط عمّا لا ینتفع به منفعة مقصودة للعقلاء،محلَّلة فی الشرع؛لأنّ الأوّل لیس بمالٍ عرفاً کالخنافس و الدیدان؛فإنّه یصحّ عرفاً سلب المصرف لها و نفی الفائدة عنها،و الثانی لیس بمالٍ شرعاً کالخمر و الخنزیر.</w:t>
      </w:r>
    </w:p>
    <w:p>
      <w:pPr>
        <w:pStyle w:val="BookText"/>
      </w:pPr>
      <w:r>
        <w:rPr>
          <w:rFonts w:ascii="IRNazanin" w:hAnsi="IRNazanin" w:eastAsia="IRNazanin" w:cs="IRNazanin"/>
          <w:lang w:bidi="fa-IR"/>
          <w:color w:val="111111"/>
          <w:sz w:val="28"/>
          <w:szCs w:val="28"/>
          <w:rtl/>
        </w:rPr>
        <w:t xml:space="preserve">ثمّ قسّموا عدم الانتفاع إلی ما یستند إلی خسّة الشیء کالحشرات،و إلی ما یستند إلی قلّته کحبّة حنطة،و ذکروا:أنّه لیس مالاً و إن کان یصدق علیه الملک </w:t>
      </w:r>
      <w:r>
        <w:rPr>
          <w:rStyle w:val="FootnoteReference"/>
        </w:rPr>
        <w:footnoteReference w:id="588"/>
      </w:r>
      <w:r>
        <w:rPr>
          <w:rFonts w:ascii="IRNazanin" w:hAnsi="IRNazanin" w:eastAsia="IRNazanin" w:cs="IRNazanin"/>
          <w:lang w:bidi="fa-IR"/>
          <w:color w:val="111111"/>
          <w:sz w:val="28"/>
          <w:szCs w:val="28"/>
          <w:rtl/>
        </w:rPr>
        <w:t xml:space="preserve">و لذا یحرم غصبه إجماعاً،و عن</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التذکرة:أنّه لو تلف لم یُضمن أصلاً </w:t>
      </w:r>
      <w:r>
        <w:rPr>
          <w:rStyle w:val="FootnoteReference"/>
        </w:rPr>
        <w:footnoteReference w:id="589"/>
      </w:r>
      <w:r>
        <w:rPr>
          <w:rFonts w:ascii="IRNazanin" w:hAnsi="IRNazanin" w:eastAsia="IRNazanin" w:cs="IRNazanin"/>
          <w:lang w:bidi="fa-IR"/>
          <w:color w:val="111111"/>
          <w:sz w:val="28"/>
          <w:szCs w:val="28"/>
          <w:rtl/>
        </w:rPr>
        <w:t xml:space="preserve">،و اعترضه غیر واحد ممّن تأخّر عنه </w:t>
      </w:r>
      <w:r>
        <w:rPr>
          <w:rStyle w:val="FootnoteReference"/>
        </w:rPr>
        <w:footnoteReference w:id="590"/>
      </w:r>
      <w:r>
        <w:rPr>
          <w:rFonts w:ascii="IRNazanin" w:hAnsi="IRNazanin" w:eastAsia="IRNazanin" w:cs="IRNazanin"/>
          <w:lang w:bidi="fa-IR"/>
          <w:color w:val="111111"/>
          <w:sz w:val="28"/>
          <w:szCs w:val="28"/>
          <w:rtl/>
        </w:rPr>
        <w:t xml:space="preserve">بوجوب ردّ المثل.</w:t>
      </w:r>
    </w:p>
    <w:p>
      <w:pPr>
        <w:pStyle w:val="BookText"/>
      </w:pPr>
      <w:r>
        <w:rPr>
          <w:rFonts w:ascii="IRNazanin" w:hAnsi="IRNazanin" w:eastAsia="IRNazanin" w:cs="IRNazanin"/>
          <w:lang w:bidi="fa-IR"/>
          <w:color w:val="111111"/>
          <w:sz w:val="28"/>
          <w:szCs w:val="28"/>
          <w:rtl/>
        </w:rPr>
        <w:t xml:space="preserve">و الأولی أن یقال:إنّ ما تحقّق أنّه لیس بمال عرفاً،فلا إشکال و لا خلاف فی عدم جواز وقوعه أحدَ العوضین؛إذ لا بیع إلّا فی ملک.</w:t>
      </w:r>
    </w:p>
    <w:p>
      <w:pPr>
        <w:pStyle w:val="BookText"/>
      </w:pPr>
      <w:r>
        <w:rPr>
          <w:rFonts w:ascii="IRNazanin" w:hAnsi="IRNazanin" w:eastAsia="IRNazanin" w:cs="IRNazanin"/>
          <w:lang w:bidi="fa-IR"/>
          <w:color w:val="111111"/>
          <w:sz w:val="28"/>
          <w:szCs w:val="28"/>
          <w:rtl/>
        </w:rPr>
        <w:t xml:space="preserve">و ما لم یتحقّق فیه ذلک:فإن کان أکل المال فی مقابله أکلاً بالباطل عرفاً،فالظاهر فساد المقابلة.و ما لم یتحقّق فیه ذلک:فإن ثبت دلیل من نصّ أو إجماع علی عدم جواز بیعه فهو،و إلّا فلا یخفی وجوب الرجوع إلی عموماتِ صحّة البیع و التجارة،و خصوص قوله علیه السلام فی المرویّ عن تحف العقول:«و کلّ شیءٍ یکون لهم فیه الصلاح من جهةٍ من الجهات،فکلّ ذلک حلال بیعه..إلی آخر الروایة» </w:t>
      </w:r>
      <w:r>
        <w:rPr>
          <w:rStyle w:val="FootnoteReference"/>
        </w:rPr>
        <w:footnoteReference w:id="591"/>
      </w:r>
      <w:r>
        <w:rPr>
          <w:rFonts w:ascii="IRNazanin" w:hAnsi="IRNazanin" w:eastAsia="IRNazanin" w:cs="IRNazanin"/>
          <w:lang w:bidi="fa-IR"/>
          <w:color w:val="111111"/>
          <w:sz w:val="28"/>
          <w:szCs w:val="28"/>
          <w:rtl/>
        </w:rPr>
        <w:t xml:space="preserve">،و قد تقدّمت فی أوّل الکتاب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إنّهم احترزوا باعتبار الملکیّة فی العوضین من بیع ما یَشترک فیه الناس:کالماء،و الکلأ،و السموک </w:t>
      </w:r>
      <w:r>
        <w:rPr>
          <w:rStyle w:val="FootnoteReference"/>
        </w:rPr>
        <w:footnoteReference w:id="593"/>
      </w:r>
      <w:r>
        <w:rPr>
          <w:rFonts w:ascii="IRNazanin" w:hAnsi="IRNazanin" w:eastAsia="IRNazanin" w:cs="IRNazanin"/>
          <w:lang w:bidi="fa-IR"/>
          <w:color w:val="111111"/>
          <w:sz w:val="28"/>
          <w:szCs w:val="28"/>
          <w:rtl/>
        </w:rPr>
        <w:t xml:space="preserve">و الوحوش قبل اصطیادها؛ لِکون </w:t>
      </w:r>
      <w:r>
        <w:rPr>
          <w:rStyle w:val="FootnoteReference"/>
        </w:rPr>
        <w:footnoteReference w:id="594"/>
      </w:r>
      <w:r>
        <w:rPr>
          <w:rFonts w:ascii="IRNazanin" w:hAnsi="IRNazanin" w:eastAsia="IRNazanin" w:cs="IRNazanin"/>
          <w:lang w:bidi="fa-IR"/>
          <w:color w:val="111111"/>
          <w:sz w:val="28"/>
          <w:szCs w:val="28"/>
          <w:rtl/>
        </w:rPr>
        <w:t xml:space="preserve">هذه کلّها غیر مملوکة بالفعل.</w:t>
      </w:r>
    </w:p>
    <w:p>
      <w:pPr>
        <w:pStyle w:val="BookText"/>
      </w:pPr>
      <w:r>
        <w:rPr>
          <w:rFonts w:ascii="IRNazanin" w:hAnsi="IRNazanin" w:eastAsia="IRNazanin" w:cs="IRNazanin"/>
          <w:lang w:bidi="fa-IR"/>
          <w:color w:val="111111"/>
          <w:sz w:val="28"/>
          <w:szCs w:val="28"/>
          <w:rtl/>
        </w:rPr>
        <w:t xml:space="preserve">و احترزوا أیضاً به عن الأرض المفتوحة عنوة؛و وجه الاحتراز عنها:أنّها غیر مملوکة لملّاکها علی نحو سائر الأملاک بحیث یکون لکلٍّ منهم جزءٌ معیّن من عین الأرض و إن قلّ؛و لذا لا یورَّث،بل و لا من قبیل الوقف الخاصّ علی معیَّنین؛لعدم تملّکهم للمنفعة مشاعاً،و لا کالوقف علی غیر معیَّنین کالعلماء و المؤمنین،و لا من قبیل تملّک الفقراء للزکاة و السادة للخمس بمعنی کونهم مصارف له </w:t>
      </w:r>
      <w:r>
        <w:rPr>
          <w:rStyle w:val="FootnoteReference"/>
        </w:rPr>
        <w:footnoteReference w:id="595"/>
      </w:r>
      <w:r>
        <w:rPr>
          <w:rFonts w:ascii="IRNazanin" w:hAnsi="IRNazanin" w:eastAsia="IRNazanin" w:cs="IRNazanin"/>
          <w:lang w:bidi="fa-IR"/>
          <w:color w:val="111111"/>
          <w:sz w:val="28"/>
          <w:szCs w:val="28"/>
          <w:rtl/>
        </w:rPr>
        <w:t xml:space="preserve">لعدم تملّکهم لمنافعها </w:t>
      </w:r>
      <w:r>
        <w:rPr>
          <w:rStyle w:val="FootnoteReference"/>
        </w:rPr>
        <w:footnoteReference w:id="596"/>
      </w:r>
      <w:r>
        <w:rPr>
          <w:rFonts w:ascii="IRNazanin" w:hAnsi="IRNazanin" w:eastAsia="IRNazanin" w:cs="IRNazanin"/>
          <w:lang w:bidi="fa-IR"/>
          <w:color w:val="111111"/>
          <w:sz w:val="28"/>
          <w:szCs w:val="28"/>
          <w:rtl/>
        </w:rPr>
        <w:t xml:space="preserve">بالقبض؛لأنّ مصرفه </w:t>
      </w:r>
      <w:r>
        <w:rPr>
          <w:rStyle w:val="FootnoteReference"/>
        </w:rPr>
        <w:footnoteReference w:id="597"/>
      </w:r>
      <w:r>
        <w:rPr>
          <w:rFonts w:ascii="IRNazanin" w:hAnsi="IRNazanin" w:eastAsia="IRNazanin" w:cs="IRNazanin"/>
          <w:lang w:bidi="fa-IR"/>
          <w:color w:val="111111"/>
          <w:sz w:val="28"/>
          <w:szCs w:val="28"/>
          <w:rtl/>
        </w:rPr>
        <w:t xml:space="preserve">منحصر فی مصالح المسلمین،فلا یجوز تقسیمه علیهم من دون ملاحظة مصالحهم،فهذه الملکیّة نحوٌ مستقلٌّ من الملکیّة قد دلّ علیه </w:t>
      </w:r>
      <w:r>
        <w:rPr>
          <w:rStyle w:val="FootnoteReference"/>
        </w:rPr>
        <w:footnoteReference w:id="598"/>
      </w:r>
      <w:r>
        <w:rPr>
          <w:rFonts w:ascii="IRNazanin" w:hAnsi="IRNazanin" w:eastAsia="IRNazanin" w:cs="IRNazanin"/>
          <w:lang w:bidi="fa-IR"/>
          <w:color w:val="111111"/>
          <w:sz w:val="28"/>
          <w:szCs w:val="28"/>
          <w:rtl/>
        </w:rPr>
        <w:t xml:space="preserve">الدلیل،و معناها:صرف حاصل الملک فی مصالح الملّاک.</w:t>
      </w:r>
    </w:p>
    <w:p>
      <w:pPr>
        <w:pStyle w:val="BookText"/>
      </w:pPr>
      <w:r>
        <w:rPr>
          <w:rFonts w:ascii="Amiri" w:hAnsi="Amiri" w:eastAsia="Amiri" w:cs="Amiri"/>
          <w:lang w:bidi="ar-SA"/>
          <w:color w:val="111111"/>
          <w:sz w:val="28"/>
          <w:szCs w:val="28"/>
          <w:rtl/>
        </w:rPr>
        <w:t xml:space="preserve">ثمّ إنّ کون هذه الأرض للمسلمین ممّا ادُّعی علیه الإجماع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2" w:name="pg14419_166915"/>
    <w:bookmarkEnd w:id="162"/>
    <w:p>
      <w:pPr>
        <w:pStyle w:val="BookText"/>
      </w:pPr>
      <w:r>
        <w:rPr>
          <w:rFonts w:ascii="IRNazanin" w:hAnsi="IRNazanin" w:eastAsia="IRNazanin" w:cs="IRNazanin"/>
          <w:lang w:bidi="fa-IR"/>
          <w:color w:val="111111"/>
          <w:sz w:val="28"/>
          <w:szCs w:val="28"/>
          <w:rtl/>
        </w:rPr>
        <w:t xml:space="preserve">و دلّ علیه النصّ کمرسلة حمّاد الطویلة </w:t>
      </w:r>
      <w:r>
        <w:rPr>
          <w:rStyle w:val="FootnoteReference"/>
        </w:rPr>
        <w:footnoteReference w:id="600"/>
      </w:r>
      <w:r>
        <w:rPr>
          <w:rFonts w:ascii="IRNazanin" w:hAnsi="IRNazanin" w:eastAsia="IRNazanin" w:cs="IRNazanin"/>
          <w:lang w:bidi="fa-IR"/>
          <w:color w:val="111111"/>
          <w:sz w:val="28"/>
          <w:szCs w:val="28"/>
          <w:rtl/>
        </w:rPr>
        <w:t xml:space="preserve">و غیرها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6"/>
      </w:pPr>
      <w:bookmarkStart w:id="937" w:name="_Toc377"/>
      <w:r>
        <w:t>[أقسام الأرضین و أحکامها]</w:t>
      </w:r>
      <w:bookmarkEnd w:id="937"/>
    </w:p>
    <w:p>
      <w:pPr>
        <w:pStyle w:val="Heading6"/>
      </w:pPr>
      <w:bookmarkStart w:id="938" w:name="_Toc378"/>
      <w:r>
        <w:t>اشارة</w:t>
      </w:r>
      <w:bookmarkEnd w:id="938"/>
    </w:p>
    <w:p>
      <w:pPr>
        <w:pStyle w:val="BookText"/>
      </w:pPr>
      <w:r>
        <w:rPr>
          <w:rStyle w:val="FootnoteReference"/>
        </w:rPr>
        <w:footnoteReference w:id="602"/>
      </w:r>
      <w:r>
        <w:rPr>
          <w:rFonts w:ascii="IRNazanin" w:hAnsi="IRNazanin" w:eastAsia="IRNazanin" w:cs="IRNazanin"/>
          <w:lang w:bidi="fa-IR"/>
          <w:color w:val="111111"/>
          <w:sz w:val="28"/>
          <w:szCs w:val="28"/>
          <w:rtl/>
        </w:rPr>
        <w:t xml:space="preserve">
] و حیث جری الکلام فی ذکر بعض أقسام الأرضین،فلا بأس بالإشارة إجمالاً إلی جمیع أقسام الأرضین و أحکامها،فنقول و من اللّٰه الاستعانة:</w:t>
      </w:r>
    </w:p>
    <w:p>
      <w:pPr>
        <w:pStyle w:val="BookText"/>
      </w:pPr>
      <w:r>
        <w:rPr>
          <w:rFonts w:ascii="IRNazanin" w:hAnsi="IRNazanin" w:eastAsia="IRNazanin" w:cs="IRNazanin"/>
          <w:lang w:bidi="fa-IR"/>
          <w:color w:val="111111"/>
          <w:sz w:val="28"/>
          <w:szCs w:val="28"/>
          <w:rtl/>
        </w:rPr>
        <w:t xml:space="preserve">الأرض إمّا موات و إمّا عامرة،و کلٌّ منهما إمّا أن یکون کذلک أصلیّة أو عرض لها ذلک،</w:t>
      </w:r>
    </w:p>
    <w:p>
      <w:pPr>
        <w:pStyle w:val="Heading6"/>
      </w:pPr>
      <w:bookmarkStart w:id="939" w:name="_Toc379"/>
      <w:r>
        <w:t>فالأقسام أربعة لا خامس لها</w:t>
      </w:r>
      <w:bookmarkEnd w:id="939"/>
    </w:p>
    <w:p>
      <w:pPr>
        <w:pStyle w:val="Heading6"/>
      </w:pPr>
      <w:bookmarkStart w:id="940" w:name="_Toc380"/>
      <w:r>
        <w:t>الأوّل : ما یکون مواتاً بالأصالة</w:t>
      </w:r>
      <w:bookmarkEnd w:id="940"/>
    </w:p>
    <w:p>
      <w:pPr>
        <w:pStyle w:val="BookText"/>
      </w:pPr>
      <w:r>
        <w:rPr>
          <w:rFonts w:ascii="IRNazanin" w:hAnsi="IRNazanin" w:eastAsia="IRNazanin" w:cs="IRNazanin"/>
          <w:lang w:bidi="fa-IR"/>
          <w:color w:val="111111"/>
          <w:sz w:val="28"/>
          <w:szCs w:val="28"/>
          <w:rtl/>
        </w:rPr>
        <w:t xml:space="preserve">بأن لم تکن مسبوقة بعمارة </w:t>
      </w:r>
      <w:r>
        <w:rPr>
          <w:rStyle w:val="FootnoteReference"/>
        </w:rPr>
        <w:footnoteReference w:id="603"/>
      </w:r>
      <w:r>
        <w:rPr>
          <w:rFonts w:ascii="IRNazanin" w:hAnsi="IRNazanin" w:eastAsia="IRNazanin" w:cs="IRNazanin"/>
          <w:lang w:bidi="fa-IR"/>
          <w:color w:val="111111"/>
          <w:sz w:val="28"/>
          <w:szCs w:val="28"/>
          <w:rtl/>
        </w:rPr>
        <w:t xml:space="preserve">و لا إشکال و لا خلاف منّا فی کونها للإمام علیه السلام،و الإجماع علیه محکیّ عن الخلاف </w:t>
      </w:r>
      <w:r>
        <w:rPr>
          <w:rStyle w:val="FootnoteReference"/>
        </w:rPr>
        <w:footnoteReference w:id="604"/>
      </w:r>
      <w:r>
        <w:rPr>
          <w:rFonts w:ascii="IRNazanin" w:hAnsi="IRNazanin" w:eastAsia="IRNazanin" w:cs="IRNazanin"/>
          <w:lang w:bidi="fa-IR"/>
          <w:color w:val="111111"/>
          <w:sz w:val="28"/>
          <w:szCs w:val="28"/>
          <w:rtl/>
        </w:rPr>
        <w:t xml:space="preserve">و الغنیة </w:t>
      </w:r>
      <w:r>
        <w:rPr>
          <w:rStyle w:val="FootnoteReference"/>
        </w:rPr>
        <w:footnoteReference w:id="605"/>
      </w:r>
      <w:r>
        <w:rPr>
          <w:rFonts w:ascii="IRNazanin" w:hAnsi="IRNazanin" w:eastAsia="IRNazanin" w:cs="IRNazanin"/>
          <w:lang w:bidi="fa-IR"/>
          <w:color w:val="111111"/>
          <w:sz w:val="28"/>
          <w:szCs w:val="28"/>
          <w:rtl/>
        </w:rPr>
        <w:t xml:space="preserve">و جامع المقاصد </w:t>
      </w:r>
      <w:r>
        <w:rPr>
          <w:rStyle w:val="FootnoteReference"/>
        </w:rPr>
        <w:footnoteReference w:id="606"/>
      </w:r>
      <w:r>
        <w:rPr>
          <w:rFonts w:ascii="IRNazanin" w:hAnsi="IRNazanin" w:eastAsia="IRNazanin" w:cs="IRNazanin"/>
          <w:lang w:bidi="fa-IR"/>
          <w:color w:val="111111"/>
          <w:sz w:val="28"/>
          <w:szCs w:val="28"/>
          <w:rtl/>
        </w:rPr>
        <w:t xml:space="preserve">و المسالک </w:t>
      </w:r>
      <w:r>
        <w:rPr>
          <w:rStyle w:val="FootnoteReference"/>
        </w:rPr>
        <w:footnoteReference w:id="607"/>
      </w:r>
      <w:r>
        <w:rPr>
          <w:rFonts w:ascii="IRNazanin" w:hAnsi="IRNazanin" w:eastAsia="IRNazanin" w:cs="IRNazanin"/>
          <w:lang w:bidi="fa-IR"/>
          <w:color w:val="111111"/>
          <w:sz w:val="28"/>
          <w:szCs w:val="28"/>
          <w:rtl/>
        </w:rPr>
        <w:t xml:space="preserve">و ظاهر</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أُخری </w:t>
      </w:r>
      <w:r>
        <w:rPr>
          <w:rStyle w:val="FootnoteReference"/>
        </w:rPr>
        <w:footnoteReference w:id="608"/>
      </w:r>
      <w:r>
        <w:rPr>
          <w:rFonts w:ascii="IRNazanin" w:hAnsi="IRNazanin" w:eastAsia="IRNazanin" w:cs="IRNazanin"/>
          <w:lang w:bidi="fa-IR"/>
          <w:color w:val="111111"/>
          <w:sz w:val="28"/>
          <w:szCs w:val="28"/>
          <w:rtl/>
        </w:rPr>
        <w:t xml:space="preserve">.و النصوص بذلک مستفیضة </w:t>
      </w:r>
      <w:r>
        <w:rPr>
          <w:rStyle w:val="FootnoteReference"/>
        </w:rPr>
        <w:footnoteReference w:id="609"/>
      </w:r>
      <w:r>
        <w:rPr>
          <w:rFonts w:ascii="IRNazanin" w:hAnsi="IRNazanin" w:eastAsia="IRNazanin" w:cs="IRNazanin"/>
          <w:lang w:bidi="fa-IR"/>
          <w:color w:val="111111"/>
          <w:sz w:val="28"/>
          <w:szCs w:val="28"/>
          <w:rtl/>
        </w:rPr>
        <w:t xml:space="preserve">،بل قیل:إنّها متواترة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من الأنفال،نعم أُبیح التصرّف فیها بالإحیاء بلا عوض، و علیه یُحمل ما فی النبویّ </w:t>
      </w:r>
      <w:r>
        <w:rPr>
          <w:rStyle w:val="FootnoteReference"/>
        </w:rPr>
        <w:footnoteReference w:id="611"/>
      </w:r>
      <w:r>
        <w:rPr>
          <w:rFonts w:ascii="Amiri" w:hAnsi="Amiri" w:eastAsia="Amiri" w:cs="Amiri"/>
          <w:lang w:bidi="ar-SA"/>
          <w:color w:val="111111"/>
          <w:sz w:val="28"/>
          <w:szCs w:val="28"/>
          <w:rtl/>
        </w:rPr>
        <w:t xml:space="preserve">:«مَوَتان الأرض للّٰه و لرسوله </w:t>
      </w:r>
      <w:r>
        <w:rPr>
          <w:rStyle w:val="FootnoteReference"/>
        </w:rPr>
        <w:footnoteReference w:id="612"/>
      </w:r>
      <w:r>
        <w:rPr>
          <w:rFonts w:ascii="Amiri" w:hAnsi="Amiri" w:eastAsia="Amiri" w:cs="Amiri"/>
          <w:lang w:bidi="ar-SA"/>
          <w:color w:val="111111"/>
          <w:sz w:val="28"/>
          <w:szCs w:val="28"/>
          <w:rtl/>
        </w:rPr>
        <w:t xml:space="preserve">صلّی اللّٰه علیه و آله، ثمّ هی لکم منّی أیّها المسلمون» </w:t>
      </w:r>
      <w:r>
        <w:rPr>
          <w:rStyle w:val="FootnoteReference"/>
        </w:rPr>
        <w:footnoteReference w:id="613"/>
      </w:r>
      <w:r>
        <w:rPr>
          <w:rFonts w:ascii="Amiri" w:hAnsi="Amiri" w:eastAsia="Amiri" w:cs="Amiri"/>
          <w:lang w:bidi="ar-SA"/>
          <w:color w:val="111111"/>
          <w:sz w:val="28"/>
          <w:szCs w:val="28"/>
          <w:rtl/>
        </w:rPr>
        <w:t xml:space="preserve">.و نحوه الآخر:«عادیُّ الأرض للّٰه و لرسوله،ثمّ هی لکم منّی»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ربما یکون فی بعض الأخبار وجوب أداء خراجها إلی الإمام علیه السلام کما فی صحیحة الکابلی،قال </w:t>
      </w:r>
      <w:r>
        <w:rPr>
          <w:rStyle w:val="FootnoteReference"/>
        </w:rPr>
        <w:footnoteReference w:id="615"/>
      </w:r>
      <w:r>
        <w:rPr>
          <w:rFonts w:ascii="IRNazanin" w:hAnsi="IRNazanin" w:eastAsia="IRNazanin" w:cs="IRNazanin"/>
          <w:lang w:bidi="fa-IR"/>
          <w:color w:val="111111"/>
          <w:sz w:val="28"/>
          <w:szCs w:val="28"/>
          <w:rtl/>
        </w:rPr>
        <w:t xml:space="preserve">:«وجدنا فی کتاب</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إِنَّ الْأَرْضَ لِلّٰهِ یُورِثُهٰا مَنْ یَشٰاءُ مِنْ عِبٰادِهِ وَ الْعٰاقِبَةُ لِلْمُتَّقِینَ ،أنا </w:t>
      </w:r>
      <w:r>
        <w:rPr>
          <w:rStyle w:val="FootnoteReference"/>
        </w:rPr>
        <w:footnoteReference w:id="616"/>
      </w:r>
      <w:r>
        <w:rPr>
          <w:rFonts w:ascii="Amiri" w:hAnsi="Amiri" w:eastAsia="Amiri" w:cs="Amiri"/>
          <w:lang w:bidi="ar-SA"/>
          <w:color w:val="111111"/>
          <w:sz w:val="28"/>
          <w:szCs w:val="28"/>
          <w:rtl/>
        </w:rPr>
        <w:t xml:space="preserve">و أهل بیتی الذین أورثَنَا اللّٰهُ الأرضَ،و نحن المتّقون، و الأرض کلّها لنا،فمن أحیا أرضاً </w:t>
      </w:r>
      <w:r>
        <w:rPr>
          <w:rStyle w:val="FootnoteReference"/>
        </w:rPr>
        <w:footnoteReference w:id="617"/>
      </w:r>
      <w:r>
        <w:rPr>
          <w:rFonts w:ascii="IRNazanin" w:hAnsi="IRNazanin" w:eastAsia="IRNazanin" w:cs="IRNazanin"/>
          <w:lang w:bidi="fa-IR"/>
          <w:color w:val="111111"/>
          <w:sz w:val="28"/>
          <w:szCs w:val="28"/>
          <w:rtl/>
        </w:rPr>
        <w:t xml:space="preserve">من المسلمین فلیَعمرها و لیؤدِّ خراجها إلی الإمام من أهل بیتی،و له ما أکل منها...الخبر»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مصحَّحة عمر بن یزید:«أنّه سأل رجل أبا عبد اللّٰه علیه السلام عن رجل أخذ أرضاً مواتاً ترکها أهلها،فعمّرها و أجری أنهارها و بنی فیها بیوتاً،و غرس فیها نخلاً و شجراً،فقال أبو عبد اللّٰه علیه السلام:کان أمیر المؤمنین علیه السلام یقول:من أحیا أرضاً من المؤمنین فهی له،و علیه طسقها یؤدّیه </w:t>
      </w:r>
      <w:r>
        <w:rPr>
          <w:rStyle w:val="FootnoteReference"/>
        </w:rPr>
        <w:footnoteReference w:id="619"/>
      </w:r>
      <w:r>
        <w:rPr>
          <w:rFonts w:ascii="IRNazanin" w:hAnsi="IRNazanin" w:eastAsia="IRNazanin" w:cs="IRNazanin"/>
          <w:lang w:bidi="fa-IR"/>
          <w:color w:val="111111"/>
          <w:sz w:val="28"/>
          <w:szCs w:val="28"/>
          <w:rtl/>
        </w:rPr>
        <w:t xml:space="preserve">إلی الإمام علیه السلام فی حال الهُدنة،فإذا ظهر القائم فلیوطِّن نفسه علی أن تؤخذ منه»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حملها علی بیان الاستحقاق و وجوب إیصال الطسق إذا طلبه </w:t>
      </w:r>
      <w:r>
        <w:rPr>
          <w:rStyle w:val="FootnoteReference"/>
        </w:rPr>
        <w:footnoteReference w:id="621"/>
      </w:r>
      <w:r>
        <w:rPr>
          <w:rFonts w:ascii="IRNazanin" w:hAnsi="IRNazanin" w:eastAsia="IRNazanin" w:cs="IRNazanin"/>
          <w:lang w:bidi="fa-IR"/>
          <w:color w:val="111111"/>
          <w:sz w:val="28"/>
          <w:szCs w:val="28"/>
          <w:rtl/>
        </w:rPr>
        <w:t xml:space="preserve">الإمام علیه السلام.</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الأئمّة علیهم السلام بعد أمیر المؤمنین علیه السلام حلّلوا شیعتهم، و أسقطوا ذلک عنهم،کما یدلّ علیه قوله علیه السلام:«ما کان لنا فهو لشیعتنا» </w:t>
      </w:r>
      <w:r>
        <w:rPr>
          <w:rStyle w:val="FootnoteReference"/>
        </w:rPr>
        <w:footnoteReference w:id="622"/>
      </w:r>
      <w:r>
        <w:rPr>
          <w:rFonts w:ascii="IRNazanin" w:hAnsi="IRNazanin" w:eastAsia="IRNazanin" w:cs="IRNazanin"/>
          <w:lang w:bidi="fa-IR"/>
          <w:color w:val="111111"/>
          <w:sz w:val="28"/>
          <w:szCs w:val="28"/>
          <w:rtl/>
        </w:rPr>
        <w:t xml:space="preserve">،و قوله علیه السلام فی روایة مسمع بن عبد الملک:«کلّ ما کان فی أیدی شیعتنا من الأرض فهم فیه محلّلون،یَحلُّ لهم ذلک إلی أن یقوم قائمنا،فیجبیهم طسق </w:t>
      </w:r>
      <w:r>
        <w:rPr>
          <w:rStyle w:val="FootnoteReference"/>
        </w:rPr>
        <w:footnoteReference w:id="623"/>
      </w:r>
      <w:r>
        <w:rPr>
          <w:rFonts w:ascii="IRNazanin" w:hAnsi="IRNazanin" w:eastAsia="IRNazanin" w:cs="IRNazanin"/>
          <w:lang w:bidi="fa-IR"/>
          <w:color w:val="111111"/>
          <w:sz w:val="28"/>
          <w:szCs w:val="28"/>
          <w:rtl/>
        </w:rPr>
        <w:t xml:space="preserve">ما کان فی أیدی سواهم،فإنّ کسبهم فی الأرض حرام علیهم حتّی یقوم قائمنا و یأخذ الأرض من أیدیهم، و یُخرجهم عنها صَغَرَة...الخبر»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نعم،ذکر فی التذکرة:أنّه لو تصرّف فی الموات أحدٌ بغیر إذن الإمام کان علیه طسقها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حمل هذه الأخبار المذکورة علی حال الحضور،و إلّا فالظاهر عدم الخلاف فی عدم وجوب مالٍ للإمام </w:t>
      </w:r>
      <w:r>
        <w:rPr>
          <w:rStyle w:val="FootnoteReference"/>
        </w:rPr>
        <w:footnoteReference w:id="626"/>
      </w:r>
      <w:r>
        <w:rPr>
          <w:rFonts w:ascii="IRNazanin" w:hAnsi="IRNazanin" w:eastAsia="IRNazanin" w:cs="IRNazanin"/>
          <w:lang w:bidi="fa-IR"/>
          <w:color w:val="111111"/>
          <w:sz w:val="28"/>
          <w:szCs w:val="28"/>
          <w:rtl/>
        </w:rPr>
        <w:t xml:space="preserve">فی الأراضی فی حال الغیبة،بل الأخبار متّفقة علی أنّها لمن أحیاها </w:t>
      </w:r>
      <w:r>
        <w:rPr>
          <w:rStyle w:val="FootnoteReference"/>
        </w:rPr>
        <w:footnoteReference w:id="627"/>
      </w:r>
      <w:r>
        <w:rPr>
          <w:rFonts w:ascii="IRNazanin" w:hAnsi="IRNazanin" w:eastAsia="IRNazanin" w:cs="IRNazanin"/>
          <w:lang w:bidi="fa-IR"/>
          <w:color w:val="111111"/>
          <w:sz w:val="28"/>
          <w:szCs w:val="28"/>
          <w:rtl/>
        </w:rPr>
        <w:t xml:space="preserve">،و سیأتی حکایة إجماع المسلمین علی صیرورتها ملکاً بالإحیاء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3" w:name="pg14419_166919"/>
    <w:bookmarkEnd w:id="163"/>
    <w:p>
      <w:pPr>
        <w:pStyle w:val="Heading6"/>
      </w:pPr>
      <w:bookmarkStart w:id="941" w:name="_Toc381"/>
      <w:r>
        <w:t>الثانی : ما کانت عامرة بالأصالة</w:t>
      </w:r>
      <w:bookmarkEnd w:id="941"/>
    </w:p>
    <w:p>
      <w:pPr>
        <w:pStyle w:val="BookText"/>
      </w:pPr>
      <w:r>
        <w:rPr>
          <w:rFonts w:ascii="IRNazanin" w:hAnsi="IRNazanin" w:eastAsia="IRNazanin" w:cs="IRNazanin"/>
          <w:lang w:bidi="fa-IR"/>
          <w:color w:val="111111"/>
          <w:sz w:val="28"/>
          <w:szCs w:val="28"/>
          <w:rtl/>
        </w:rPr>
        <w:t xml:space="preserve">أی لا من معمِّر و الظاهر أنّها أیضاً للإمام علیه السلام و کونها من الأنفال،و هو ظاهر إطلاق قولهم:«و کلّ أرض لم یجرِ علیها ملک مسلم فهی للإمام علیه السلام» </w:t>
      </w:r>
      <w:r>
        <w:rPr>
          <w:rStyle w:val="FootnoteReference"/>
        </w:rPr>
        <w:footnoteReference w:id="629"/>
      </w:r>
      <w:r>
        <w:rPr>
          <w:rFonts w:ascii="IRNazanin" w:hAnsi="IRNazanin" w:eastAsia="IRNazanin" w:cs="IRNazanin"/>
          <w:lang w:bidi="fa-IR"/>
          <w:color w:val="111111"/>
          <w:sz w:val="28"/>
          <w:szCs w:val="28"/>
          <w:rtl/>
        </w:rPr>
        <w:t xml:space="preserve">،و عن التذکرة:الإجماع علیه </w:t>
      </w:r>
      <w:r>
        <w:rPr>
          <w:rStyle w:val="FootnoteReference"/>
        </w:rPr>
        <w:footnoteReference w:id="630"/>
      </w:r>
      <w:r>
        <w:rPr>
          <w:rFonts w:ascii="IRNazanin" w:hAnsi="IRNazanin" w:eastAsia="IRNazanin" w:cs="IRNazanin"/>
          <w:lang w:bidi="fa-IR"/>
          <w:color w:val="111111"/>
          <w:sz w:val="28"/>
          <w:szCs w:val="28"/>
          <w:rtl/>
        </w:rPr>
        <w:t xml:space="preserve">.و فی غیرها نفی الخلاف عنه </w:t>
      </w:r>
      <w:r>
        <w:rPr>
          <w:rStyle w:val="FootnoteReference"/>
        </w:rPr>
        <w:footnoteReference w:id="631"/>
      </w:r>
      <w:r>
        <w:rPr>
          <w:rFonts w:ascii="IRNazanin" w:hAnsi="IRNazanin" w:eastAsia="IRNazanin" w:cs="IRNazanin"/>
          <w:lang w:bidi="fa-IR"/>
          <w:color w:val="111111"/>
          <w:sz w:val="28"/>
          <w:szCs w:val="28"/>
          <w:rtl/>
        </w:rPr>
        <w:t xml:space="preserve">لموثّقة أبان بن عثمان عن إسحاق بن عمّار المحکیّة عن تفسیر علیّ بن إبراهیم عن الصادق علیه السلام،حیث عَدّ من الأنفال:«کلّ أرض لا ربّ لها» </w:t>
      </w:r>
      <w:r>
        <w:rPr>
          <w:rStyle w:val="FootnoteReference"/>
        </w:rPr>
        <w:footnoteReference w:id="632"/>
      </w:r>
      <w:r>
        <w:rPr>
          <w:rFonts w:ascii="IRNazanin" w:hAnsi="IRNazanin" w:eastAsia="IRNazanin" w:cs="IRNazanin"/>
          <w:lang w:bidi="fa-IR"/>
          <w:color w:val="111111"/>
          <w:sz w:val="28"/>
          <w:szCs w:val="28"/>
          <w:rtl/>
        </w:rPr>
        <w:t xml:space="preserve">،و نحوها المحکی عن تفسیر العیاشی،عن أبی بصیر،عن أبی جعفر علیه السلام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یخصّص عموم ذلک بخصوص بعض الأخبار،حیث جُعل فیها من الأنفال«کلّ أرض میّتة لا ربّ لها» </w:t>
      </w:r>
      <w:r>
        <w:rPr>
          <w:rStyle w:val="FootnoteReference"/>
        </w:rPr>
        <w:footnoteReference w:id="634"/>
      </w:r>
      <w:r>
        <w:rPr>
          <w:rFonts w:ascii="IRNazanin" w:hAnsi="IRNazanin" w:eastAsia="IRNazanin" w:cs="IRNazanin"/>
          <w:lang w:bidi="fa-IR"/>
          <w:color w:val="111111"/>
          <w:sz w:val="28"/>
          <w:szCs w:val="28"/>
          <w:rtl/>
        </w:rPr>
        <w:t xml:space="preserve">بناءً علی ثبوت المفهوم للوصف المسوق للاحتراز؛لأنّ الظاهر ورود الوصف مورد الغالب؛لأنّ</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4" w:name="pg14419_166920"/>
    <w:bookmarkEnd w:id="164"/>
    <w:p>
      <w:pPr>
        <w:pStyle w:val="BookText"/>
      </w:pPr>
      <w:r>
        <w:rPr>
          <w:rFonts w:ascii="IRNazanin" w:hAnsi="IRNazanin" w:eastAsia="IRNazanin" w:cs="IRNazanin"/>
          <w:lang w:bidi="fa-IR"/>
          <w:color w:val="111111"/>
          <w:sz w:val="28"/>
          <w:szCs w:val="28"/>
          <w:rtl/>
        </w:rPr>
        <w:t xml:space="preserve">الغالب فی الأرض التی لا مالک لها کونها مواتاً.</w:t>
      </w:r>
    </w:p>
    <w:p>
      <w:pPr>
        <w:pStyle w:val="BookText"/>
      </w:pPr>
      <w:r>
        <w:rPr>
          <w:rFonts w:ascii="IRNazanin" w:hAnsi="IRNazanin" w:eastAsia="IRNazanin" w:cs="IRNazanin"/>
          <w:lang w:bidi="fa-IR"/>
          <w:color w:val="111111"/>
          <w:sz w:val="28"/>
          <w:szCs w:val="28"/>
          <w:rtl/>
        </w:rPr>
        <w:t xml:space="preserve">و هل تُملک هذه بالحیازة؟وجهان:من کونه مال الإمام،و من عدم منافاته للتملّک بالحیازة،کما یُملک الموات بالإحیاء مع کونه مال الإمام،فدخل فی عموم النبویّ:«من سبق إلی ما لم یسبقه إلیه مسلم فهو أحقّ به»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6"/>
      </w:pPr>
      <w:bookmarkStart w:id="942" w:name="_Toc382"/>
      <w:r>
        <w:t>الثالث : ما عرض له الحیاة بعد الموت</w:t>
      </w:r>
      <w:bookmarkEnd w:id="942"/>
    </w:p>
    <w:p>
      <w:pPr>
        <w:pStyle w:val="BookText"/>
      </w:pPr>
      <w:r>
        <w:rPr>
          <w:rFonts w:ascii="IRNazanin" w:hAnsi="IRNazanin" w:eastAsia="IRNazanin" w:cs="IRNazanin"/>
          <w:lang w:bidi="fa-IR"/>
          <w:color w:val="111111"/>
          <w:sz w:val="28"/>
          <w:szCs w:val="28"/>
          <w:rtl/>
        </w:rPr>
        <w:t xml:space="preserve">و هو ملک للمحیی،فیصیر ملکاً له بالشروط المذکورة فی باب الإحیاء بإجماع الأُمّة کما عن المهذّب </w:t>
      </w:r>
      <w:r>
        <w:rPr>
          <w:rStyle w:val="FootnoteReference"/>
        </w:rPr>
        <w:footnoteReference w:id="636"/>
      </w:r>
      <w:r>
        <w:rPr>
          <w:rFonts w:ascii="IRNazanin" w:hAnsi="IRNazanin" w:eastAsia="IRNazanin" w:cs="IRNazanin"/>
          <w:lang w:bidi="fa-IR"/>
          <w:color w:val="111111"/>
          <w:sz w:val="28"/>
          <w:szCs w:val="28"/>
          <w:rtl/>
        </w:rPr>
        <w:t xml:space="preserve">،و بإجماع المسلمین کما عن التنقیح </w:t>
      </w:r>
      <w:r>
        <w:rPr>
          <w:rStyle w:val="FootnoteReference"/>
        </w:rPr>
        <w:footnoteReference w:id="637"/>
      </w:r>
      <w:r>
        <w:rPr>
          <w:rFonts w:ascii="IRNazanin" w:hAnsi="IRNazanin" w:eastAsia="IRNazanin" w:cs="IRNazanin"/>
          <w:lang w:bidi="fa-IR"/>
          <w:color w:val="111111"/>
          <w:sz w:val="28"/>
          <w:szCs w:val="28"/>
          <w:rtl/>
        </w:rPr>
        <w:t xml:space="preserve">،و علیه عامّة فقهاء الأمصار کما عن التذکرة </w:t>
      </w:r>
      <w:r>
        <w:rPr>
          <w:rStyle w:val="FootnoteReference"/>
        </w:rPr>
        <w:footnoteReference w:id="638"/>
      </w:r>
      <w:r>
        <w:rPr>
          <w:rFonts w:ascii="IRNazanin" w:hAnsi="IRNazanin" w:eastAsia="IRNazanin" w:cs="IRNazanin"/>
          <w:lang w:bidi="fa-IR"/>
          <w:color w:val="111111"/>
          <w:sz w:val="28"/>
          <w:szCs w:val="28"/>
          <w:rtl/>
        </w:rPr>
        <w:t xml:space="preserve">،لکن ببالی من المبسوط کلام یشعر بأنّه یملک التصرّف،لا نفس الرقبة </w:t>
      </w:r>
      <w:r>
        <w:rPr>
          <w:rStyle w:val="FootnoteReference"/>
        </w:rPr>
        <w:footnoteReference w:id="639"/>
      </w:r>
      <w:r>
        <w:rPr>
          <w:rFonts w:ascii="Amiri" w:hAnsi="Amiri" w:eastAsia="Amiri" w:cs="Amiri"/>
          <w:lang w:bidi="ar-SA"/>
          <w:color w:val="111111"/>
          <w:sz w:val="28"/>
          <w:szCs w:val="28"/>
          <w:rtl/>
        </w:rPr>
        <w:t xml:space="preserve">،فلا بدّ من الملاحظة.</w:t>
      </w:r>
    </w:p>
    <w:p>
      <w:pPr>
        <w:pStyle w:val="Heading6"/>
      </w:pPr>
      <w:bookmarkStart w:id="943" w:name="_Toc383"/>
      <w:r>
        <w:t>الرابع : ما عرض له الموت بعد العمارة</w:t>
      </w:r>
      <w:bookmarkEnd w:id="943"/>
    </w:p>
    <w:p>
      <w:pPr>
        <w:pStyle w:val="BookText"/>
      </w:pPr>
      <w:r>
        <w:rPr>
          <w:rFonts w:ascii="IRNazanin" w:hAnsi="IRNazanin" w:eastAsia="IRNazanin" w:cs="IRNazanin"/>
          <w:lang w:bidi="fa-IR"/>
          <w:color w:val="111111"/>
          <w:sz w:val="28"/>
          <w:szCs w:val="28"/>
          <w:rtl/>
        </w:rPr>
        <w:t xml:space="preserve">فإن کانت العمارة أصلیّة،فهی مال الإمام علیه السلام.و إن کانت</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5" w:name="pg14419_166921"/>
    <w:bookmarkEnd w:id="165"/>
    <w:p>
      <w:pPr>
        <w:pStyle w:val="BookText"/>
      </w:pPr>
      <w:r>
        <w:rPr>
          <w:rFonts w:ascii="IRNazanin" w:hAnsi="IRNazanin" w:eastAsia="IRNazanin" w:cs="IRNazanin"/>
          <w:lang w:bidi="fa-IR"/>
          <w:color w:val="111111"/>
          <w:sz w:val="28"/>
          <w:szCs w:val="28"/>
          <w:rtl/>
        </w:rPr>
        <w:t xml:space="preserve">العمارة من معمِّر،ففی بقائها علی ملک معمِّرها،أو خروجها عنه و صیرورتها ملکاً لمن عمّرها ثانیاً،خلاف معروف فی کتاب إحیاء الموات </w:t>
      </w:r>
      <w:r>
        <w:rPr>
          <w:rStyle w:val="FootnoteReference"/>
        </w:rPr>
        <w:footnoteReference w:id="640"/>
      </w:r>
      <w:r>
        <w:rPr>
          <w:rFonts w:ascii="IRNazanin" w:hAnsi="IRNazanin" w:eastAsia="IRNazanin" w:cs="IRNazanin"/>
          <w:lang w:bidi="fa-IR"/>
          <w:color w:val="111111"/>
          <w:sz w:val="28"/>
          <w:szCs w:val="28"/>
          <w:rtl/>
        </w:rPr>
        <w:t xml:space="preserve">منشؤه اختلاف الأخبار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6"/>
      </w:pPr>
      <w:bookmarkStart w:id="944" w:name="_Toc384"/>
      <w:r>
        <w:t>[رجوع إلی أحکام القسم الثالث]</w:t>
      </w:r>
      <w:bookmarkEnd w:id="9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القسم الثالث،إمّا أن تکون العمارة فیه </w:t>
      </w:r>
      <w:r>
        <w:rPr>
          <w:rStyle w:val="FootnoteReference"/>
        </w:rPr>
        <w:footnoteReference w:id="642"/>
      </w:r>
      <w:r>
        <w:rPr>
          <w:rFonts w:ascii="IRNazanin" w:hAnsi="IRNazanin" w:eastAsia="IRNazanin" w:cs="IRNazanin"/>
          <w:lang w:bidi="fa-IR"/>
          <w:color w:val="111111"/>
          <w:sz w:val="28"/>
          <w:szCs w:val="28"/>
          <w:rtl/>
        </w:rPr>
        <w:t xml:space="preserve">من المسلمین،أو من الکفّار.</w:t>
      </w:r>
    </w:p>
    <w:p>
      <w:pPr>
        <w:pStyle w:val="Heading6"/>
      </w:pPr>
      <w:bookmarkStart w:id="945" w:name="_Toc385"/>
      <w:r>
        <w:t>[لو کانت العمارة فیها من المسلمین]</w:t>
      </w:r>
      <w:bookmarkEnd w:id="945"/>
    </w:p>
    <w:p>
      <w:pPr>
        <w:pStyle w:val="BookText"/>
      </w:pPr>
      <w:r>
        <w:rPr>
          <w:rFonts w:ascii="IRNazanin" w:hAnsi="IRNazanin" w:eastAsia="IRNazanin" w:cs="IRNazanin"/>
          <w:lang w:bidi="fa-IR"/>
          <w:color w:val="111111"/>
          <w:sz w:val="28"/>
          <w:szCs w:val="28"/>
          <w:rtl/>
        </w:rPr>
        <w:t xml:space="preserve">فإن کان </w:t>
      </w:r>
      <w:r>
        <w:rPr>
          <w:rStyle w:val="FootnoteReference"/>
        </w:rPr>
        <w:footnoteReference w:id="643"/>
      </w:r>
      <w:r>
        <w:rPr>
          <w:rFonts w:ascii="IRNazanin" w:hAnsi="IRNazanin" w:eastAsia="IRNazanin" w:cs="IRNazanin"/>
          <w:lang w:bidi="fa-IR"/>
          <w:color w:val="111111"/>
          <w:sz w:val="28"/>
          <w:szCs w:val="28"/>
          <w:rtl/>
        </w:rPr>
        <w:t xml:space="preserve">من المسلمین فملکهم لا یزول إلّا بناقل أو بطروّ الخراب علی أحد القولین.</w:t>
      </w:r>
    </w:p>
    <w:p>
      <w:pPr>
        <w:pStyle w:val="BookText"/>
      </w:pPr>
      <w:r>
        <w:rPr>
          <w:rFonts w:ascii="IRNazanin" w:hAnsi="IRNazanin" w:eastAsia="IRNazanin" w:cs="IRNazanin"/>
          <w:lang w:bidi="fa-IR"/>
          <w:color w:val="111111"/>
          <w:sz w:val="28"/>
          <w:szCs w:val="28"/>
          <w:rtl/>
        </w:rPr>
        <w:t xml:space="preserve">و إن کان من الکفّار،فکذلک إن کان فی دار الإسلام و قلنا بعدم اعتبار الإسلام،و إن اعتبرنا الإسلام،کان باقیاً علی ملک الإمام علیه السلام.و إن کان فی دار الکفر،فملکها یزول بما یزول به ملک المسلم،و بالاغتنام،کسائر أموالهم.</w:t>
      </w:r>
    </w:p>
    <w:p>
      <w:pPr>
        <w:pStyle w:val="BookText"/>
      </w:pPr>
      <w:r>
        <w:rPr>
          <w:rFonts w:ascii="IRNazanin" w:hAnsi="IRNazanin" w:eastAsia="IRNazanin" w:cs="IRNazanin"/>
          <w:lang w:bidi="fa-IR"/>
          <w:color w:val="111111"/>
          <w:sz w:val="28"/>
          <w:szCs w:val="28"/>
          <w:rtl/>
        </w:rPr>
        <w:t xml:space="preserve">ثمّ ما ملکه الکافر </w:t>
      </w:r>
      <w:r>
        <w:rPr>
          <w:rStyle w:val="FootnoteReference"/>
        </w:rPr>
        <w:footnoteReference w:id="644"/>
      </w:r>
      <w:r>
        <w:rPr>
          <w:rFonts w:ascii="IRNazanin" w:hAnsi="IRNazanin" w:eastAsia="IRNazanin" w:cs="IRNazanin"/>
          <w:lang w:bidi="fa-IR"/>
          <w:color w:val="111111"/>
          <w:sz w:val="28"/>
          <w:szCs w:val="28"/>
          <w:rtl/>
        </w:rPr>
        <w:t xml:space="preserve">من الأرض:</w:t>
      </w:r>
    </w:p>
    <w:p>
      <w:pPr>
        <w:pStyle w:val="BookText"/>
      </w:pPr>
      <w:r>
        <w:rPr>
          <w:rFonts w:ascii="IRNazanin" w:hAnsi="IRNazanin" w:eastAsia="IRNazanin" w:cs="IRNazanin"/>
          <w:lang w:bidi="fa-IR"/>
          <w:color w:val="111111"/>
          <w:sz w:val="28"/>
          <w:szCs w:val="28"/>
          <w:rtl/>
        </w:rPr>
        <w:t xml:space="preserve">إمّا أن یُسلم علیه طوعاً،فیبقی علی ملکه کسائر أملاکه.</w:t>
      </w:r>
    </w:p>
    <w:p>
      <w:pPr>
        <w:pStyle w:val="BookText"/>
      </w:pPr>
      <w:r>
        <w:rPr>
          <w:rFonts w:ascii="IRNazanin" w:hAnsi="IRNazanin" w:eastAsia="IRNazanin" w:cs="IRNazanin"/>
          <w:lang w:bidi="fa-IR"/>
          <w:color w:val="111111"/>
          <w:sz w:val="28"/>
          <w:szCs w:val="28"/>
          <w:rtl/>
        </w:rPr>
        <w:t xml:space="preserve">و إمّا أن لا یسلم علیه طوعاً.</w:t>
      </w:r>
    </w:p>
    <w:p>
      <w:pPr>
        <w:pStyle w:val="BookText"/>
      </w:pPr>
      <w:r>
        <w:rPr>
          <w:rFonts w:ascii="IRNazanin" w:hAnsi="IRNazanin" w:eastAsia="IRNazanin" w:cs="IRNazanin"/>
          <w:lang w:bidi="fa-IR"/>
          <w:color w:val="111111"/>
          <w:sz w:val="28"/>
          <w:szCs w:val="28"/>
          <w:rtl/>
        </w:rPr>
        <w:t xml:space="preserve">فإن بقی یده علیه کافراً،فهو </w:t>
      </w:r>
      <w:r>
        <w:rPr>
          <w:rStyle w:val="FootnoteReference"/>
        </w:rPr>
        <w:footnoteReference w:id="645"/>
      </w:r>
      <w:r>
        <w:rPr>
          <w:rFonts w:ascii="IRNazanin" w:hAnsi="IRNazanin" w:eastAsia="IRNazanin" w:cs="IRNazanin"/>
          <w:lang w:bidi="fa-IR"/>
          <w:color w:val="111111"/>
          <w:sz w:val="28"/>
          <w:szCs w:val="28"/>
          <w:rtl/>
        </w:rPr>
        <w:t xml:space="preserve">أیضاً کسائر أملاکه تحت یده.</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6" w:name="pg14419_166922"/>
    <w:bookmarkEnd w:id="166"/>
    <w:p>
      <w:pPr>
        <w:pStyle w:val="BookText"/>
      </w:pPr>
      <w:r>
        <w:rPr>
          <w:rFonts w:ascii="IRNazanin" w:hAnsi="IRNazanin" w:eastAsia="IRNazanin" w:cs="IRNazanin"/>
          <w:lang w:bidi="fa-IR"/>
          <w:color w:val="111111"/>
          <w:sz w:val="28"/>
          <w:szCs w:val="28"/>
          <w:rtl/>
        </w:rPr>
        <w:t xml:space="preserve">و إن ارتفعت یده عنها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فإمّا أن یکون بانجلاء المالک عنها و تخلیتها للمسلمین.</w:t>
      </w:r>
    </w:p>
    <w:p>
      <w:pPr>
        <w:pStyle w:val="BookText"/>
      </w:pPr>
      <w:r>
        <w:rPr>
          <w:rFonts w:ascii="IRNazanin" w:hAnsi="IRNazanin" w:eastAsia="IRNazanin" w:cs="IRNazanin"/>
          <w:lang w:bidi="fa-IR"/>
          <w:color w:val="111111"/>
          <w:sz w:val="28"/>
          <w:szCs w:val="28"/>
          <w:rtl/>
        </w:rPr>
        <w:t xml:space="preserve">أو بموت أهلها و عدم الوارث،فیصیر ملکاً للإمام علیه السلام،و یکون من الأنفال التی لم یوجف علیها بخیل و لا رکاب.</w:t>
      </w:r>
    </w:p>
    <w:p>
      <w:pPr>
        <w:pStyle w:val="Heading6"/>
      </w:pPr>
      <w:bookmarkStart w:id="946" w:name="_Toc386"/>
      <w:r>
        <w:t>[الأراضی المفتوحة عنوة ملک للمسلمین]</w:t>
      </w:r>
      <w:bookmarkEnd w:id="946"/>
    </w:p>
    <w:p>
      <w:pPr>
        <w:pStyle w:val="BookText"/>
      </w:pPr>
      <w:r>
        <w:rPr>
          <w:rFonts w:ascii="IRNazanin" w:hAnsi="IRNazanin" w:eastAsia="IRNazanin" w:cs="IRNazanin"/>
          <w:lang w:bidi="fa-IR"/>
          <w:color w:val="111111"/>
          <w:sz w:val="28"/>
          <w:szCs w:val="28"/>
          <w:rtl/>
        </w:rPr>
        <w:t xml:space="preserve">و إن رفعت یده عنها قهراً و عنوة،فهی کسائر ما لا یُنقل </w:t>
      </w:r>
      <w:r>
        <w:rPr>
          <w:rStyle w:val="FootnoteReference"/>
        </w:rPr>
        <w:footnoteReference w:id="647"/>
      </w:r>
      <w:r>
        <w:rPr>
          <w:rFonts w:ascii="IRNazanin" w:hAnsi="IRNazanin" w:eastAsia="IRNazanin" w:cs="IRNazanin"/>
          <w:lang w:bidi="fa-IR"/>
          <w:color w:val="111111"/>
          <w:sz w:val="28"/>
          <w:szCs w:val="28"/>
          <w:rtl/>
        </w:rPr>
        <w:t xml:space="preserve">من الغنیمة کالنخل و الأشجار و البنیان للمسلمین کافّة إجماعاً،علی ما حکاه غیر واحد،کالخلاف </w:t>
      </w:r>
      <w:r>
        <w:rPr>
          <w:rStyle w:val="FootnoteReference"/>
        </w:rPr>
        <w:footnoteReference w:id="648"/>
      </w:r>
      <w:r>
        <w:rPr>
          <w:rFonts w:ascii="IRNazanin" w:hAnsi="IRNazanin" w:eastAsia="IRNazanin" w:cs="IRNazanin"/>
          <w:lang w:bidi="fa-IR"/>
          <w:color w:val="111111"/>
          <w:sz w:val="28"/>
          <w:szCs w:val="28"/>
          <w:rtl/>
        </w:rPr>
        <w:t xml:space="preserve">و التذکرة </w:t>
      </w:r>
      <w:r>
        <w:rPr>
          <w:rStyle w:val="FootnoteReference"/>
        </w:rPr>
        <w:footnoteReference w:id="649"/>
      </w:r>
      <w:r>
        <w:rPr>
          <w:rFonts w:ascii="IRNazanin" w:hAnsi="IRNazanin" w:eastAsia="IRNazanin" w:cs="IRNazanin"/>
          <w:lang w:bidi="fa-IR"/>
          <w:color w:val="111111"/>
          <w:sz w:val="28"/>
          <w:szCs w:val="28"/>
          <w:rtl/>
        </w:rPr>
        <w:t xml:space="preserve">و غیرهما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 النصوصُ به مستفیضة :</w:t>
      </w:r>
    </w:p>
    <w:p>
      <w:pPr>
        <w:pStyle w:val="BookText"/>
      </w:pPr>
      <w:r>
        <w:rPr>
          <w:rFonts w:ascii="IRNazanin" w:hAnsi="IRNazanin" w:eastAsia="IRNazanin" w:cs="IRNazanin"/>
          <w:lang w:bidi="fa-IR"/>
          <w:color w:val="111111"/>
          <w:sz w:val="28"/>
          <w:szCs w:val="28"/>
          <w:rtl/>
        </w:rPr>
        <w:t xml:space="preserve">ففی روایة أبی بردة المسئول فیها عن بیع أرض الخراج قال علیه السلام:«من یبیعها؟!هی أرض المسلمین!قلت:یبیعها الذی فی یده.قال:یصنع بخراج المسلمین ماذا؟!ثمّ قال:لا بأس،اشتر </w:t>
      </w:r>
      <w:r>
        <w:rPr>
          <w:rStyle w:val="FootnoteReference"/>
        </w:rPr>
        <w:footnoteReference w:id="651"/>
      </w:r>
      <w:r>
        <w:rPr>
          <w:rFonts w:ascii="IRNazanin" w:hAnsi="IRNazanin" w:eastAsia="IRNazanin" w:cs="IRNazanin"/>
          <w:lang w:bidi="fa-IR"/>
          <w:color w:val="111111"/>
          <w:sz w:val="28"/>
          <w:szCs w:val="28"/>
          <w:rtl/>
        </w:rPr>
        <w:t xml:space="preserve">حقّه منها،و یحوّل حقّ المسلمین علیه،و لعلّه یکون أقوی علیها و أملی بخراجهم منه»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مرسلة حمّاد الطویلة:«لیس لمن قاتل شیء من الأرضین و ما غلبوا علیه </w:t>
      </w:r>
      <w:r>
        <w:rPr>
          <w:rStyle w:val="FootnoteReference"/>
        </w:rPr>
        <w:footnoteReference w:id="653"/>
      </w:r>
      <w:r>
        <w:rPr>
          <w:rFonts w:ascii="Amiri" w:hAnsi="Amiri" w:eastAsia="Amiri" w:cs="Amiri"/>
          <w:lang w:bidi="ar-SA"/>
          <w:color w:val="111111"/>
          <w:sz w:val="28"/>
          <w:szCs w:val="28"/>
          <w:rtl/>
        </w:rPr>
        <w:t xml:space="preserve">،إلّا ما حوی </w:t>
      </w:r>
      <w:r>
        <w:rPr>
          <w:rStyle w:val="FootnoteReference"/>
        </w:rPr>
        <w:footnoteReference w:id="654"/>
      </w:r>
      <w:r>
        <w:rPr>
          <w:rFonts w:ascii="IRNazanin" w:hAnsi="IRNazanin" w:eastAsia="IRNazanin" w:cs="IRNazanin"/>
          <w:lang w:bidi="fa-IR"/>
          <w:color w:val="111111"/>
          <w:sz w:val="28"/>
          <w:szCs w:val="28"/>
          <w:rtl/>
        </w:rPr>
        <w:t xml:space="preserve">العسکر...إلی أن قال:و الأرض التی أُخذت بخیل و رکاب فهی موقوفة متروکة فی ید من یعمرها و یحییها و یقوم علیها،علی ما صالحهم الوالی علی قدر طاقتهم من الخراج:النصف أو الثلث أو الثلثین،علی قدر ما یکون لهم صالحاً و لا یضرّ بهم </w:t>
      </w:r>
      <w:r>
        <w:rPr>
          <w:rStyle w:val="FootnoteReference"/>
        </w:rPr>
        <w:footnoteReference w:id="655"/>
      </w:r>
      <w:r>
        <w:rPr>
          <w:rFonts w:ascii="IRNazanin" w:hAnsi="IRNazanin" w:eastAsia="IRNazanin" w:cs="IRNazanin"/>
          <w:lang w:bidi="fa-IR"/>
          <w:color w:val="111111"/>
          <w:sz w:val="28"/>
          <w:szCs w:val="28"/>
          <w:rtl/>
        </w:rPr>
        <w:t xml:space="preserve">إلی أن قال:فیؤخذ ما بقی بعد </w:t>
      </w:r>
      <w:r>
        <w:rPr>
          <w:rStyle w:val="FootnoteReference"/>
        </w:rPr>
        <w:footnoteReference w:id="656"/>
      </w:r>
      <w:r>
        <w:rPr>
          <w:rFonts w:ascii="IRNazanin" w:hAnsi="IRNazanin" w:eastAsia="IRNazanin" w:cs="IRNazanin"/>
          <w:lang w:bidi="fa-IR"/>
          <w:color w:val="111111"/>
          <w:sz w:val="28"/>
          <w:szCs w:val="28"/>
          <w:rtl/>
        </w:rPr>
        <w:t xml:space="preserve">العشر،فیقسم بین الوالی و بین شرکائه الذین هم عمّال الأرض و أکَرَتها،فیدفع إلیهم أنصباءهم علی قدر ما صالحهم علیه و یأخذ الباقی فیکون ذلک أرزاق أعوانه علی دین اللّٰه،و فی مصلحة ما ینوبه،من تقویة الإسلام و تقویة الدین فی وجوه الجهاد،و غیر ذلک ممّا فیه مصلحة العامّة،لیس لنفسه من ذلک قلیل و لا کثیر...الخبر»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الحلبی :قال:«سئل أبو عبد اللّٰه علیه السلام عن السواد ما منزلته؟قال:هو لجمیع المسلمین،لمن هو الیوم،و لمن یدخل </w:t>
      </w:r>
      <w:r>
        <w:rPr>
          <w:rStyle w:val="FootnoteReference"/>
        </w:rPr>
        <w:footnoteReference w:id="658"/>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بعد الیوم،و لمن لم یخلق بعدُ.فقلنا:أ نشتریه من الدهاقین؟ قال:لا یصلح،إلّا أن تشتریها منهم علی أن تصیّرها للمسلمین،فإن شاء ولیّ الأمر أن یأخذها أخذها.قلت:فإن أخذها منه؟قال:یردّ علیه رأس ماله،و له ما أکل من غلّتها بما عمل»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ابن شریح : «سألت أبا عبد اللّٰه علیه السلام عن شراء الأرض من أرض الخراج،فکرهه و </w:t>
      </w:r>
      <w:r>
        <w:rPr>
          <w:rStyle w:val="FootnoteReference"/>
        </w:rPr>
        <w:footnoteReference w:id="660"/>
      </w:r>
      <w:r>
        <w:rPr>
          <w:rFonts w:ascii="IRNazanin" w:hAnsi="IRNazanin" w:eastAsia="IRNazanin" w:cs="IRNazanin"/>
          <w:lang w:bidi="fa-IR"/>
          <w:color w:val="111111"/>
          <w:sz w:val="28"/>
          <w:szCs w:val="28"/>
          <w:rtl/>
        </w:rPr>
        <w:t xml:space="preserve">قال:إنّما أرض الخراج للمسلمین.</w:t>
      </w:r>
    </w:p>
    <w:p>
      <w:pPr>
        <w:pStyle w:val="BookText"/>
      </w:pPr>
      <w:r>
        <w:rPr>
          <w:rFonts w:ascii="IRNazanin" w:hAnsi="IRNazanin" w:eastAsia="IRNazanin" w:cs="IRNazanin"/>
          <w:lang w:bidi="fa-IR"/>
          <w:color w:val="111111"/>
          <w:sz w:val="28"/>
          <w:szCs w:val="28"/>
          <w:rtl/>
        </w:rPr>
        <w:t xml:space="preserve">فقالوا له:فإنّه یشتریها الرجل و علیه خراجها؟فقال:لا بأس،إلّا أن یستحیی من عیب ذلک»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إسماعیل بن الفضل الهاشمی،ففیها:«و سألته عن رجل اشتری أرضاً من أرض الخراج،فبنی بها أو لم یبنِ،غیر أنّ أُناساً من أهل الذمّة نزلوها،له أن یأخذ منهم اجرة البیوت إذا أدّوا جزیة رؤوسهم؟قال:یشارطهم،فما أخذ بعد الشرط فهو حلال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خبر أبی الربیع : «لا تشتر من أرض السواد شیئاً،إلّا من </w:t>
      </w:r>
      <w:r>
        <w:rPr>
          <w:rStyle w:val="FootnoteReference"/>
        </w:rPr>
        <w:footnoteReference w:id="664"/>
      </w:r>
      <w:r>
        <w:rPr>
          <w:rFonts w:ascii="IRNazanin" w:hAnsi="IRNazanin" w:eastAsia="IRNazanin" w:cs="IRNazanin"/>
          <w:lang w:bidi="fa-IR"/>
          <w:color w:val="111111"/>
          <w:sz w:val="28"/>
          <w:szCs w:val="28"/>
          <w:rtl/>
        </w:rPr>
        <w:t xml:space="preserve">کانت له ذمّة فإنّما هی فیء للمسلمین»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7" w:name="pg14419_166925"/>
    <w:bookmarkEnd w:id="167"/>
    <w:p>
      <w:pPr>
        <w:pStyle w:val="BookText"/>
      </w:pPr>
      <w:r>
        <w:rPr>
          <w:rFonts w:ascii="IRNazanin" w:hAnsi="IRNazanin" w:eastAsia="IRNazanin" w:cs="IRNazanin"/>
          <w:lang w:bidi="fa-IR"/>
          <w:color w:val="111111"/>
          <w:sz w:val="28"/>
          <w:szCs w:val="28"/>
          <w:rtl/>
        </w:rPr>
        <w:t xml:space="preserve">إلی غیر ذلک...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ظاهره </w:t>
      </w:r>
      <w:r>
        <w:rPr>
          <w:rStyle w:val="FootnoteReference"/>
        </w:rPr>
        <w:footnoteReference w:id="667"/>
      </w:r>
      <w:r>
        <w:rPr>
          <w:rFonts w:ascii="IRNazanin" w:hAnsi="IRNazanin" w:eastAsia="IRNazanin" w:cs="IRNazanin"/>
          <w:lang w:bidi="fa-IR"/>
          <w:color w:val="111111"/>
          <w:sz w:val="28"/>
          <w:szCs w:val="28"/>
          <w:rtl/>
        </w:rPr>
        <w:t xml:space="preserve">-کما تری-عدم جواز بیعها</w:t>
      </w:r>
    </w:p>
    <w:p>
      <w:pPr>
        <w:pStyle w:val="BookText"/>
      </w:pPr>
      <w:r>
        <w:rPr>
          <w:rFonts w:ascii="IRNazanin" w:hAnsi="IRNazanin" w:eastAsia="IRNazanin" w:cs="IRNazanin"/>
          <w:lang w:bidi="fa-IR"/>
          <w:color w:val="111111"/>
          <w:sz w:val="28"/>
          <w:szCs w:val="28"/>
          <w:rtl/>
        </w:rPr>
        <w:t xml:space="preserve">حتّی تبعاً للآثار المملوکة فیها علی أن تکون جزءاً من المبیع،فیدخل فی ملک المشتری.</w:t>
      </w:r>
    </w:p>
    <w:p>
      <w:pPr>
        <w:pStyle w:val="Heading6"/>
      </w:pPr>
      <w:bookmarkStart w:id="947" w:name="_Toc387"/>
      <w:r>
        <w:t>[ثبوت حق الأولویة فیها للمشتری]</w:t>
      </w:r>
      <w:bookmarkEnd w:id="947"/>
    </w:p>
    <w:p>
      <w:pPr>
        <w:pStyle w:val="BookText"/>
      </w:pPr>
      <w:r>
        <w:rPr>
          <w:rFonts w:ascii="IRNazanin" w:hAnsi="IRNazanin" w:eastAsia="IRNazanin" w:cs="IRNazanin"/>
          <w:lang w:bidi="fa-IR"/>
          <w:color w:val="111111"/>
          <w:sz w:val="28"/>
          <w:szCs w:val="28"/>
          <w:rtl/>
        </w:rPr>
        <w:t xml:space="preserve">نعم،یکون للمشتری علی وجه کان للبائع،أعنی مجرّد الأولویّة و عدم جواز مزاحمته إذا کان التصرّف و إحداث تلک الآثار بإذن الإمام علیه السلام أو بإجازته و لو لعموم الشیعة،کما إذا کان التصرّف بتقبیل السلطان الجائر أو بإذن الحاکم الشرعی،بناءً علی عموم ولایته لأُمور المسلمین و نیابته عن الإمام علیه السلام.</w:t>
      </w:r>
    </w:p>
    <w:p>
      <w:pPr>
        <w:pStyle w:val="BookText"/>
      </w:pPr>
      <w:r>
        <w:rPr>
          <w:rFonts w:ascii="IRNazanin" w:hAnsi="IRNazanin" w:eastAsia="IRNazanin" w:cs="IRNazanin"/>
          <w:lang w:bidi="fa-IR"/>
          <w:color w:val="111111"/>
          <w:sz w:val="28"/>
          <w:szCs w:val="28"/>
          <w:rtl/>
        </w:rPr>
        <w:t xml:space="preserve">لکن ظاهر عبارة المبسوط إطلاق المنع عن التصرّف فیها،قال:</w:t>
      </w:r>
    </w:p>
    <w:p>
      <w:pPr>
        <w:pStyle w:val="BookText"/>
      </w:pPr>
      <w:r>
        <w:rPr>
          <w:rFonts w:ascii="IRNazanin" w:hAnsi="IRNazanin" w:eastAsia="IRNazanin" w:cs="IRNazanin"/>
          <w:lang w:bidi="fa-IR"/>
          <w:color w:val="111111"/>
          <w:sz w:val="28"/>
          <w:szCs w:val="28"/>
          <w:rtl/>
        </w:rPr>
        <w:t xml:space="preserve">لا یجوز التصرّف فیها </w:t>
      </w:r>
      <w:r>
        <w:rPr>
          <w:rStyle w:val="FootnoteReference"/>
        </w:rPr>
        <w:footnoteReference w:id="668"/>
      </w:r>
      <w:r>
        <w:rPr>
          <w:rFonts w:ascii="IRNazanin" w:hAnsi="IRNazanin" w:eastAsia="IRNazanin" w:cs="IRNazanin"/>
          <w:lang w:bidi="fa-IR"/>
          <w:color w:val="111111"/>
          <w:sz w:val="28"/>
          <w:szCs w:val="28"/>
          <w:rtl/>
        </w:rPr>
        <w:t xml:space="preserve">ببیعٍ و لا شراءٍ و لا هبةٍ و لا معاوضةٍ،و لا یصحّ أن یبنی دوراً و منازل و مساجد و سقایات،و لا </w:t>
      </w:r>
      <w:r>
        <w:rPr>
          <w:rStyle w:val="FootnoteReference"/>
        </w:rPr>
        <w:footnoteReference w:id="669"/>
      </w:r>
      <w:r>
        <w:rPr>
          <w:rFonts w:ascii="IRNazanin" w:hAnsi="IRNazanin" w:eastAsia="IRNazanin" w:cs="IRNazanin"/>
          <w:lang w:bidi="fa-IR"/>
          <w:color w:val="111111"/>
          <w:sz w:val="28"/>
          <w:szCs w:val="28"/>
          <w:rtl/>
        </w:rPr>
        <w:t xml:space="preserve">غیر ذلک من أنواع التصرّف الذی یتبع الملک،و متی فعل شیئاً من ذلک کان التصرّف باطلاً،و هو علی حکم الأصل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حمل کلامه علی صورة عدم الإذن من الإمام علیه السلام حال</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8" w:name="pg14419_166926"/>
    <w:bookmarkEnd w:id="168"/>
    <w:p>
      <w:pPr>
        <w:pStyle w:val="BookText"/>
      </w:pPr>
      <w:r>
        <w:rPr>
          <w:rFonts w:ascii="IRNazanin" w:hAnsi="IRNazanin" w:eastAsia="IRNazanin" w:cs="IRNazanin"/>
          <w:lang w:bidi="fa-IR"/>
          <w:color w:val="111111"/>
          <w:sz w:val="28"/>
          <w:szCs w:val="28"/>
          <w:rtl/>
        </w:rPr>
        <w:t xml:space="preserve">حضوره.و یحتمل إرادة التصرّف بالبناء علی وجه الحیازة و التملّک.</w:t>
      </w:r>
    </w:p>
    <w:p>
      <w:pPr>
        <w:pStyle w:val="Heading6"/>
      </w:pPr>
      <w:bookmarkStart w:id="948" w:name="_Toc388"/>
      <w:r>
        <w:t>[کلام الشهید فی الدروس]</w:t>
      </w:r>
      <w:bookmarkEnd w:id="948"/>
    </w:p>
    <w:p>
      <w:pPr>
        <w:pStyle w:val="BookText"/>
      </w:pPr>
      <w:r>
        <w:rPr>
          <w:rFonts w:ascii="IRNazanin" w:hAnsi="IRNazanin" w:eastAsia="IRNazanin" w:cs="IRNazanin"/>
          <w:lang w:bidi="fa-IR"/>
          <w:color w:val="111111"/>
          <w:sz w:val="28"/>
          <w:szCs w:val="28"/>
          <w:rtl/>
        </w:rPr>
        <w:t xml:space="preserve">و قال فی الدروس:لا یجوز التصرّف فی المفتوحة عنوة إلّا بإذن الإمام،سواء کان بالبیع أو الوقف أو غیرهما.نعم فی حال الغیبة ینفذ ذلک،و أطلق فی المبسوط:أنّ التصرّف فیها لا ینفذ.و قال ابن إدریس:</w:t>
      </w:r>
    </w:p>
    <w:p>
      <w:pPr>
        <w:pStyle w:val="BookText"/>
      </w:pPr>
      <w:r>
        <w:rPr>
          <w:rFonts w:ascii="IRNazanin" w:hAnsi="IRNazanin" w:eastAsia="IRNazanin" w:cs="IRNazanin"/>
          <w:lang w:bidi="fa-IR"/>
          <w:color w:val="111111"/>
          <w:sz w:val="28"/>
          <w:szCs w:val="28"/>
          <w:rtl/>
        </w:rPr>
        <w:t xml:space="preserve">إنّما نبیع و نوقف تحجیرنا </w:t>
      </w:r>
      <w:r>
        <w:rPr>
          <w:rStyle w:val="FootnoteReference"/>
        </w:rPr>
        <w:footnoteReference w:id="671"/>
      </w:r>
      <w:r>
        <w:rPr>
          <w:rFonts w:ascii="IRNazanin" w:hAnsi="IRNazanin" w:eastAsia="IRNazanin" w:cs="IRNazanin"/>
          <w:lang w:bidi="fa-IR"/>
          <w:color w:val="111111"/>
          <w:sz w:val="28"/>
          <w:szCs w:val="28"/>
          <w:rtl/>
        </w:rPr>
        <w:t xml:space="preserve">و بناءنا و تصرّفنا،لا نفس الأرض </w:t>
      </w:r>
      <w:r>
        <w:rPr>
          <w:rStyle w:val="FootnoteReference"/>
        </w:rPr>
        <w:footnoteReference w:id="67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ینسب إلی الدروس التفصیل بین زمانی الغیبة و الحضور، فیجوز التصرّف فی الأوّل و لو بالبیع و الوقف،لا فی الثانی إلّا بإذن الإمام علیه السلام </w:t>
      </w:r>
      <w:r>
        <w:rPr>
          <w:rStyle w:val="FootnoteReference"/>
        </w:rPr>
        <w:footnoteReference w:id="673"/>
      </w:r>
      <w:r>
        <w:rPr>
          <w:rFonts w:ascii="IRNazanin" w:hAnsi="IRNazanin" w:eastAsia="IRNazanin" w:cs="IRNazanin"/>
          <w:lang w:bidi="fa-IR"/>
          <w:color w:val="111111"/>
          <w:sz w:val="28"/>
          <w:szCs w:val="28"/>
          <w:rtl/>
        </w:rPr>
        <w:t xml:space="preserve">،و کذا إلی جامع المقاصد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النسبة نظر،بل الظاهر موافقتهما لفتوی جماعة </w:t>
      </w:r>
      <w:r>
        <w:rPr>
          <w:rStyle w:val="FootnoteReference"/>
        </w:rPr>
        <w:footnoteReference w:id="675"/>
      </w:r>
      <w:r>
        <w:rPr>
          <w:rFonts w:ascii="IRNazanin" w:hAnsi="IRNazanin" w:eastAsia="IRNazanin" w:cs="IRNazanin"/>
          <w:lang w:bidi="fa-IR"/>
          <w:color w:val="111111"/>
          <w:sz w:val="28"/>
          <w:szCs w:val="28"/>
          <w:rtl/>
        </w:rPr>
        <w:t xml:space="preserve">:من جواز التصرّف فیه فی زمان الغیبة بإحداث الآثار و جواز نقل الأرض تبعاً للآثار،فیفعل ذلک بالأرض تبعاً للآثار،و المعنی:أنّها مملوکة ما دام الآثار موجودة.</w:t>
      </w:r>
    </w:p>
    <w:p>
      <w:pPr>
        <w:pStyle w:val="Heading6"/>
      </w:pPr>
      <w:bookmarkStart w:id="949" w:name="_Toc389"/>
      <w:r>
        <w:t>[ظهور کلام الشهید الثانی فی جواز البیع تبعا للآثار]</w:t>
      </w:r>
      <w:bookmarkEnd w:id="949"/>
    </w:p>
    <w:p>
      <w:pPr>
        <w:pStyle w:val="BookText"/>
      </w:pPr>
      <w:r>
        <w:rPr>
          <w:rFonts w:ascii="IRNazanin" w:hAnsi="IRNazanin" w:eastAsia="IRNazanin" w:cs="IRNazanin"/>
          <w:lang w:bidi="fa-IR"/>
          <w:color w:val="111111"/>
          <w:sz w:val="28"/>
          <w:szCs w:val="28"/>
          <w:rtl/>
        </w:rPr>
        <w:t xml:space="preserve">قال فی المسالک-فی شرح قول المحقّق:«و لا یجوز بیعها و لا</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هبتها و لا وقفها»-:إنّ المراد:لا یصحّ ذلک فی رقبة الأرض مستقلّة، أمّا </w:t>
      </w:r>
      <w:r>
        <w:rPr>
          <w:rStyle w:val="FootnoteReference"/>
        </w:rPr>
        <w:footnoteReference w:id="676"/>
      </w:r>
      <w:r>
        <w:rPr>
          <w:rFonts w:ascii="IRNazanin" w:hAnsi="IRNazanin" w:eastAsia="IRNazanin" w:cs="IRNazanin"/>
          <w:lang w:bidi="fa-IR"/>
          <w:color w:val="111111"/>
          <w:sz w:val="28"/>
          <w:szCs w:val="28"/>
          <w:rtl/>
        </w:rPr>
        <w:t xml:space="preserve">فعل ذلک بها تبعاً لآثار التصرّف من بناء و غرس و زرع و نحوها-فجائز علی الأقوی.</w:t>
      </w:r>
    </w:p>
    <w:p>
      <w:pPr>
        <w:pStyle w:val="BookText"/>
      </w:pPr>
      <w:r>
        <w:rPr>
          <w:rFonts w:ascii="IRNazanin" w:hAnsi="IRNazanin" w:eastAsia="IRNazanin" w:cs="IRNazanin"/>
          <w:lang w:bidi="fa-IR"/>
          <w:color w:val="111111"/>
          <w:sz w:val="28"/>
          <w:szCs w:val="28"/>
          <w:rtl/>
        </w:rPr>
        <w:t xml:space="preserve">قال:فإذا باعها بائع مع شیء من هذه الآثار دخل فی المبیع </w:t>
      </w:r>
      <w:r>
        <w:rPr>
          <w:rStyle w:val="FootnoteReference"/>
        </w:rPr>
        <w:footnoteReference w:id="677"/>
      </w:r>
      <w:r>
        <w:rPr>
          <w:rFonts w:ascii="IRNazanin" w:hAnsi="IRNazanin" w:eastAsia="IRNazanin" w:cs="IRNazanin"/>
          <w:lang w:bidi="fa-IR"/>
          <w:color w:val="111111"/>
          <w:sz w:val="28"/>
          <w:szCs w:val="28"/>
          <w:rtl/>
        </w:rPr>
        <w:t xml:space="preserve">علی سبیل التبع،و کذا الوقف و غیره،و یستمرّ کذلک ما دام شیء من الآثار باقیاً،فإذا ذهبت أجمع انقطع حقّ المشتری و الموقوف علیه و غیرهما عنها،هکذا ذکره جمع،و علیه العمل </w:t>
      </w:r>
      <w:r>
        <w:rPr>
          <w:rStyle w:val="FootnoteReference"/>
        </w:rPr>
        <w:footnoteReference w:id="67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نعم، ربما یظهر من عبارة الشیخ فی التهذیب جواز البیع و الشراء فی نفس الرقبة،حیث قال:</w:t>
      </w:r>
    </w:p>
    <w:p>
      <w:pPr>
        <w:pStyle w:val="BookText"/>
      </w:pPr>
      <w:r>
        <w:rPr>
          <w:rFonts w:ascii="IRNazanin" w:hAnsi="IRNazanin" w:eastAsia="IRNazanin" w:cs="IRNazanin"/>
          <w:lang w:bidi="fa-IR"/>
          <w:color w:val="111111"/>
          <w:sz w:val="28"/>
          <w:szCs w:val="28"/>
          <w:rtl/>
        </w:rPr>
        <w:t xml:space="preserve">إن قال قائل:إنّ ما ذکرتموه إنّما دلّ علی إباحة التصرّف فی هذه الأرضین،و لا یدلّ علی صحّة تملّکها بالشراء و البیع،و مع عدم صحّتها </w:t>
      </w:r>
      <w:r>
        <w:rPr>
          <w:rStyle w:val="FootnoteReference"/>
        </w:rPr>
        <w:footnoteReference w:id="679"/>
      </w:r>
      <w:r>
        <w:rPr>
          <w:rFonts w:ascii="Amiri" w:hAnsi="Amiri" w:eastAsia="Amiri" w:cs="Amiri"/>
          <w:lang w:bidi="ar-SA"/>
          <w:color w:val="111111"/>
          <w:sz w:val="28"/>
          <w:szCs w:val="28"/>
          <w:rtl/>
        </w:rPr>
        <w:t xml:space="preserve">لا یصحّ ما یتفرّع علیها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قلنا:إنّا قد قسّمنا الأرضین علی ثلاثة أقسام:أرض أسلم أهلها علیها فهی ملک لهم یتصرّفون فیها،و أرض تؤخذ عنوة أو یصالح أهلها علیها،فقد أبحنا شراءَها و بیعها؛لأنّ لنا فی ذلک قسماً؛لأنّها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9" w:name="pg14419_166928"/>
    <w:bookmarkEnd w:id="169"/>
    <w:p>
      <w:pPr>
        <w:pStyle w:val="BookText"/>
      </w:pPr>
      <w:r>
        <w:rPr>
          <w:rFonts w:ascii="IRNazanin" w:hAnsi="IRNazanin" w:eastAsia="IRNazanin" w:cs="IRNazanin"/>
          <w:lang w:bidi="fa-IR"/>
          <w:color w:val="111111"/>
          <w:sz w:val="28"/>
          <w:szCs w:val="28"/>
          <w:rtl/>
        </w:rPr>
        <w:t xml:space="preserve">أراضی المسلمین،و هذا القسم أیضاً یصحّ الشراء و البیع فیه علی هذا الوجه.و أمّا الأنفال و ما یجری مجراها فلا یصحّ تملّکها بالشراء و إنّما أُبیح لنا التصرّف فیها حسب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علی أراضی الخراج بروایة أبی بردة السابقة </w:t>
      </w:r>
      <w:r>
        <w:rPr>
          <w:rStyle w:val="FootnoteReference"/>
        </w:rPr>
        <w:footnoteReference w:id="682"/>
      </w:r>
      <w:r>
        <w:rPr>
          <w:rFonts w:ascii="IRNazanin" w:hAnsi="IRNazanin" w:eastAsia="IRNazanin" w:cs="IRNazanin"/>
          <w:lang w:bidi="fa-IR"/>
          <w:color w:val="111111"/>
          <w:sz w:val="28"/>
          <w:szCs w:val="28"/>
          <w:rtl/>
        </w:rPr>
        <w:t xml:space="preserve">الدالّة علی جواز بیع آثار التصرّف دون رقبة الأرض.و دلیله قرینة علی توجیه کلامه.</w:t>
      </w:r>
    </w:p>
    <w:p>
      <w:pPr>
        <w:pStyle w:val="Heading6"/>
      </w:pPr>
      <w:bookmarkStart w:id="950" w:name="_Toc390"/>
      <w:r>
        <w:t>[المتیقن ثبوت حق الاختصاص للمتصرف لا الملک]</w:t>
      </w:r>
      <w:bookmarkEnd w:id="95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کان،فما ذکروه من حصول الملک تبعاً للآثار ممّا لا دلیل علیه إن أرادوا الانتقال.نعم،المتیقّن هو ثبوت حقّ الاختصاص للمتصرّف ما دام شیء من الآثار موجوداً.</w:t>
      </w:r>
    </w:p>
    <w:p>
      <w:pPr>
        <w:pStyle w:val="BookText"/>
      </w:pPr>
      <w:r>
        <w:rPr>
          <w:rFonts w:ascii="IRNazanin" w:hAnsi="IRNazanin" w:eastAsia="IRNazanin" w:cs="IRNazanin"/>
          <w:lang w:bidi="fa-IR"/>
          <w:color w:val="111111"/>
          <w:sz w:val="28"/>
          <w:szCs w:val="28"/>
          <w:rtl/>
        </w:rPr>
        <w:t xml:space="preserve">فالذی ینبغی أن یصرف الکلام إلیه هو بیان الوجه الذی یجوز التصرّف معه حتّی یثبت حقّ الاختصاص،فنقول:</w:t>
      </w:r>
    </w:p>
    <w:p>
      <w:pPr>
        <w:pStyle w:val="BookText"/>
      </w:pPr>
      <w:r>
        <w:rPr>
          <w:rFonts w:ascii="IRNazanin" w:hAnsi="IRNazanin" w:eastAsia="IRNazanin" w:cs="IRNazanin"/>
          <w:lang w:bidi="fa-IR"/>
          <w:color w:val="111111"/>
          <w:sz w:val="28"/>
          <w:szCs w:val="28"/>
          <w:rtl/>
        </w:rPr>
        <w:t xml:space="preserve">أمّا فی زمان الحضور و التمکّن من الاستئذان،فلا ینبغی الإشکال فی توقّف التصرّف علی إذن الإمام علیه السلام؛لأنّه ولیّ المسلمین فله نقلها عیناً و منفعة.و من الظاهر أنّ کلام الشیخ </w:t>
      </w:r>
      <w:r>
        <w:rPr>
          <w:rStyle w:val="FootnoteReference"/>
        </w:rPr>
        <w:footnoteReference w:id="683"/>
      </w:r>
      <w:r>
        <w:rPr>
          <w:rFonts w:ascii="IRNazanin" w:hAnsi="IRNazanin" w:eastAsia="IRNazanin" w:cs="IRNazanin"/>
          <w:lang w:bidi="fa-IR"/>
          <w:color w:val="111111"/>
          <w:sz w:val="28"/>
          <w:szCs w:val="28"/>
          <w:rtl/>
        </w:rPr>
        <w:t xml:space="preserve">-المطلق فی المنع عن التصرّف-محمول علی صورة عدم إذن الإمام علیه السلام مع حضوره.</w:t>
      </w:r>
    </w:p>
    <w:p>
      <w:pPr>
        <w:pStyle w:val="BookText"/>
      </w:pPr>
      <w:r>
        <w:rPr>
          <w:rFonts w:ascii="IRNazanin" w:hAnsi="IRNazanin" w:eastAsia="IRNazanin" w:cs="IRNazanin"/>
          <w:lang w:bidi="fa-IR"/>
          <w:color w:val="111111"/>
          <w:sz w:val="28"/>
          <w:szCs w:val="28"/>
          <w:rtl/>
        </w:rPr>
        <w:t xml:space="preserve">و أمّا فی زمان الغیبة،ففی:</w:t>
      </w:r>
    </w:p>
    <w:p>
      <w:pPr>
        <w:pStyle w:val="BookText"/>
      </w:pPr>
      <w:r>
        <w:rPr>
          <w:rFonts w:ascii="IRNazanin" w:hAnsi="IRNazanin" w:eastAsia="IRNazanin" w:cs="IRNazanin"/>
          <w:lang w:bidi="fa-IR"/>
          <w:color w:val="111111"/>
          <w:sz w:val="28"/>
          <w:szCs w:val="28"/>
          <w:rtl/>
        </w:rPr>
        <w:t xml:space="preserve">عدم جواز التصرّف إلّا فیما أعطاه السلطان الذی حلّ قبولَ الخراج و المقاسمة منه.</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جوازه مطلقاً؛نظراً إلی عموم ما دلّ علی تحلیل مطلق الأرض للشیعة </w:t>
      </w:r>
      <w:r>
        <w:rPr>
          <w:rStyle w:val="FootnoteReference"/>
        </w:rPr>
        <w:footnoteReference w:id="684"/>
      </w:r>
      <w:r>
        <w:rPr>
          <w:rFonts w:ascii="IRNazanin" w:hAnsi="IRNazanin" w:eastAsia="IRNazanin" w:cs="IRNazanin"/>
          <w:lang w:bidi="fa-IR"/>
          <w:color w:val="111111"/>
          <w:sz w:val="28"/>
          <w:szCs w:val="28"/>
          <w:rtl/>
        </w:rPr>
        <w:t xml:space="preserve">،لا خصوص الموات التی هی مال الإمام علیه السلام، و ربما یؤیّده جواز قبول الخراج الذی هو کاُجرة الأرض،فیجوز التصرّف فی عینها مجّاناً.</w:t>
      </w:r>
    </w:p>
    <w:p>
      <w:pPr>
        <w:pStyle w:val="BookText"/>
      </w:pPr>
      <w:r>
        <w:rPr>
          <w:rFonts w:ascii="IRNazanin" w:hAnsi="IRNazanin" w:eastAsia="IRNazanin" w:cs="IRNazanin"/>
          <w:lang w:bidi="fa-IR"/>
          <w:color w:val="111111"/>
          <w:sz w:val="28"/>
          <w:szCs w:val="28"/>
          <w:rtl/>
        </w:rPr>
        <w:t xml:space="preserve">أو عدم جوازه إلّا بإذن الحاکم الذی هو نائب الإمام علیه السلام.</w:t>
      </w:r>
    </w:p>
    <w:p>
      <w:pPr>
        <w:pStyle w:val="BookText"/>
      </w:pPr>
      <w:r>
        <w:rPr>
          <w:rFonts w:ascii="IRNazanin" w:hAnsi="IRNazanin" w:eastAsia="IRNazanin" w:cs="IRNazanin"/>
          <w:lang w:bidi="fa-IR"/>
          <w:color w:val="111111"/>
          <w:sz w:val="28"/>
          <w:szCs w:val="28"/>
          <w:rtl/>
        </w:rPr>
        <w:t xml:space="preserve">أو التفصیل بین من یستحقّ اجرة هذه الأرض،فیجوز له التصرّف فیها؛لما </w:t>
      </w:r>
      <w:r>
        <w:rPr>
          <w:rStyle w:val="FootnoteReference"/>
        </w:rPr>
        <w:footnoteReference w:id="685"/>
      </w:r>
      <w:r>
        <w:rPr>
          <w:rFonts w:ascii="IRNazanin" w:hAnsi="IRNazanin" w:eastAsia="IRNazanin" w:cs="IRNazanin"/>
          <w:lang w:bidi="fa-IR"/>
          <w:color w:val="111111"/>
          <w:sz w:val="28"/>
          <w:szCs w:val="28"/>
          <w:rtl/>
        </w:rPr>
        <w:t xml:space="preserve">یظهر من قوله علیه السلام للمخاطب فی بعض أخبار حِلِّ الخراج:«و إنّ لک نصیباً فی بیت المال» </w:t>
      </w:r>
      <w:r>
        <w:rPr>
          <w:rStyle w:val="FootnoteReference"/>
        </w:rPr>
        <w:footnoteReference w:id="686"/>
      </w:r>
      <w:r>
        <w:rPr>
          <w:rFonts w:ascii="IRNazanin" w:hAnsi="IRNazanin" w:eastAsia="IRNazanin" w:cs="IRNazanin"/>
          <w:lang w:bidi="fa-IR"/>
          <w:color w:val="111111"/>
          <w:sz w:val="28"/>
          <w:szCs w:val="28"/>
          <w:rtl/>
        </w:rPr>
        <w:t xml:space="preserve">،و بین غیره الذی یجب علیه حقّ الأرض،و لذا أفتی غیر واحد علی ما حکی </w:t>
      </w:r>
      <w:r>
        <w:rPr>
          <w:rStyle w:val="FootnoteReference"/>
        </w:rPr>
        <w:footnoteReference w:id="687"/>
      </w:r>
      <w:r>
        <w:rPr>
          <w:rFonts w:ascii="IRNazanin" w:hAnsi="IRNazanin" w:eastAsia="IRNazanin" w:cs="IRNazanin"/>
          <w:lang w:bidi="fa-IR"/>
          <w:color w:val="111111"/>
          <w:sz w:val="28"/>
          <w:szCs w:val="28"/>
          <w:rtl/>
        </w:rPr>
        <w:t xml:space="preserve">بأنّه لا یجوز حبس الخراج و سرقته عن </w:t>
      </w:r>
      <w:r>
        <w:rPr>
          <w:rStyle w:val="FootnoteReference"/>
        </w:rPr>
        <w:footnoteReference w:id="688"/>
      </w:r>
      <w:r>
        <w:rPr>
          <w:rFonts w:ascii="IRNazanin" w:hAnsi="IRNazanin" w:eastAsia="IRNazanin" w:cs="IRNazanin"/>
          <w:lang w:bidi="fa-IR"/>
          <w:color w:val="111111"/>
          <w:sz w:val="28"/>
          <w:szCs w:val="28"/>
          <w:rtl/>
        </w:rPr>
        <w:t xml:space="preserve">السلطان الجائر و الامتناع عنه، و استثنی بعضهم </w:t>
      </w:r>
      <w:r>
        <w:rPr>
          <w:rStyle w:val="FootnoteReference"/>
        </w:rPr>
        <w:footnoteReference w:id="689"/>
      </w:r>
      <w:r>
        <w:rPr>
          <w:rFonts w:ascii="IRNazanin" w:hAnsi="IRNazanin" w:eastAsia="IRNazanin" w:cs="IRNazanin"/>
          <w:lang w:bidi="fa-IR"/>
          <w:color w:val="111111"/>
          <w:sz w:val="28"/>
          <w:szCs w:val="28"/>
          <w:rtl/>
        </w:rPr>
        <w:t xml:space="preserve">ما إذا دفعه إلی نائب الإمام علیه السلام.</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0" w:name="pg14419_166930"/>
    <w:bookmarkEnd w:id="170"/>
    <w:p>
      <w:pPr>
        <w:pStyle w:val="BookText"/>
      </w:pPr>
      <w:r>
        <w:rPr>
          <w:rFonts w:ascii="IRNazanin" w:hAnsi="IRNazanin" w:eastAsia="IRNazanin" w:cs="IRNazanin"/>
          <w:lang w:bidi="fa-IR"/>
          <w:color w:val="111111"/>
          <w:sz w:val="28"/>
          <w:szCs w:val="28"/>
          <w:rtl/>
        </w:rPr>
        <w:t xml:space="preserve">أو بین ما عرض له الموت من الأرض المحیاة حال الفتح،و بین الباقیة علی عمارتها من حین الفتح فیجوز إحیاء الأوّل؛لعموم أدلّة الإحیاء </w:t>
      </w:r>
      <w:r>
        <w:rPr>
          <w:rStyle w:val="FootnoteReference"/>
        </w:rPr>
        <w:footnoteReference w:id="690"/>
      </w:r>
      <w:r>
        <w:rPr>
          <w:rFonts w:ascii="IRNazanin" w:hAnsi="IRNazanin" w:eastAsia="IRNazanin" w:cs="IRNazanin"/>
          <w:lang w:bidi="fa-IR"/>
          <w:color w:val="111111"/>
          <w:sz w:val="28"/>
          <w:szCs w:val="28"/>
          <w:rtl/>
        </w:rPr>
        <w:t xml:space="preserve">و خصوص روایة سلیمان بن خالد </w:t>
      </w:r>
      <w:r>
        <w:rPr>
          <w:rStyle w:val="FootnoteReference"/>
        </w:rPr>
        <w:footnoteReference w:id="691"/>
      </w:r>
      <w:r>
        <w:rPr>
          <w:rFonts w:ascii="IRNazanin" w:hAnsi="IRNazanin" w:eastAsia="IRNazanin" w:cs="IRNazanin"/>
          <w:lang w:bidi="fa-IR"/>
          <w:color w:val="111111"/>
          <w:sz w:val="28"/>
          <w:szCs w:val="28"/>
          <w:rtl/>
        </w:rPr>
        <w:t xml:space="preserve">و نحوها.</w:t>
      </w:r>
    </w:p>
    <w:p>
      <w:pPr>
        <w:pStyle w:val="BookText"/>
      </w:pPr>
      <w:r>
        <w:rPr>
          <w:rFonts w:ascii="IRNazanin" w:hAnsi="IRNazanin" w:eastAsia="IRNazanin" w:cs="IRNazanin"/>
          <w:lang w:bidi="fa-IR"/>
          <w:color w:val="111111"/>
          <w:sz w:val="28"/>
          <w:szCs w:val="28"/>
          <w:rtl/>
        </w:rPr>
        <w:t xml:space="preserve">وجوه،أوفقها بالقواعد الاحتمال الثالث،ثمّ الرابع،ثمّ الخامس.</w:t>
      </w:r>
    </w:p>
    <w:p>
      <w:pPr>
        <w:pStyle w:val="Heading6"/>
      </w:pPr>
      <w:bookmarkStart w:id="951" w:name="_Toc391"/>
      <w:r>
        <w:t>[حکم ما ینفصل من المفتوح عنوة]</w:t>
      </w:r>
      <w:bookmarkEnd w:id="951"/>
    </w:p>
    <w:p>
      <w:pPr>
        <w:pStyle w:val="BookText"/>
      </w:pPr>
      <w:r>
        <w:rPr>
          <w:rFonts w:ascii="IRNazanin" w:hAnsi="IRNazanin" w:eastAsia="IRNazanin" w:cs="IRNazanin"/>
          <w:lang w:bidi="fa-IR"/>
          <w:color w:val="111111"/>
          <w:sz w:val="28"/>
          <w:szCs w:val="28"/>
          <w:rtl/>
        </w:rPr>
        <w:t xml:space="preserve">و ممّا ذکرنا یعلم حال ما ینفصل من المفتوح عنوة،کأوراق الأشجار و أثمارها،و أخشاب الأبنیة و السقوف الواقعة،و الطین المأخوذ من سطح الأرض،و الجَصّ و الحجارة و نحو ذلک،فإنّ مقتضی القاعدة کون ما یحدث بعد الفتح من الأُمور المنقولة ملکاً للمسلمین؛و لذا صرّح جماعة،کالعلّامة </w:t>
      </w:r>
      <w:r>
        <w:rPr>
          <w:rStyle w:val="FootnoteReference"/>
        </w:rPr>
        <w:footnoteReference w:id="692"/>
      </w:r>
      <w:r>
        <w:rPr>
          <w:rFonts w:ascii="IRNazanin" w:hAnsi="IRNazanin" w:eastAsia="IRNazanin" w:cs="IRNazanin"/>
          <w:lang w:bidi="fa-IR"/>
          <w:color w:val="111111"/>
          <w:sz w:val="28"/>
          <w:szCs w:val="28"/>
          <w:rtl/>
        </w:rPr>
        <w:t xml:space="preserve">و الشهید </w:t>
      </w:r>
      <w:r>
        <w:rPr>
          <w:rStyle w:val="FootnoteReference"/>
        </w:rPr>
        <w:footnoteReference w:id="693"/>
      </w:r>
      <w:r>
        <w:rPr>
          <w:rFonts w:ascii="IRNazanin" w:hAnsi="IRNazanin" w:eastAsia="IRNazanin" w:cs="IRNazanin"/>
          <w:lang w:bidi="fa-IR"/>
          <w:color w:val="111111"/>
          <w:sz w:val="28"/>
          <w:szCs w:val="28"/>
          <w:rtl/>
        </w:rPr>
        <w:t xml:space="preserve">و المحقّق الثانی </w:t>
      </w:r>
      <w:r>
        <w:rPr>
          <w:rStyle w:val="FootnoteReference"/>
        </w:rPr>
        <w:footnoteReference w:id="694"/>
      </w:r>
      <w:r>
        <w:rPr>
          <w:rFonts w:ascii="IRNazanin" w:hAnsi="IRNazanin" w:eastAsia="IRNazanin" w:cs="IRNazanin"/>
          <w:lang w:bidi="fa-IR"/>
          <w:color w:val="111111"/>
          <w:sz w:val="28"/>
          <w:szCs w:val="28"/>
          <w:rtl/>
        </w:rPr>
        <w:t xml:space="preserve">و غیرهم </w:t>
      </w:r>
      <w:r>
        <w:rPr>
          <w:rStyle w:val="FootnoteReference"/>
        </w:rPr>
        <w:footnoteReference w:id="695"/>
      </w:r>
      <w:r>
        <w:rPr>
          <w:rFonts w:ascii="IRNazanin" w:hAnsi="IRNazanin" w:eastAsia="IRNazanin" w:cs="IRNazanin"/>
          <w:lang w:bidi="fa-IR"/>
          <w:color w:val="111111"/>
          <w:sz w:val="28"/>
          <w:szCs w:val="28"/>
          <w:rtl/>
        </w:rPr>
        <w:t xml:space="preserve">علی ما حکی عنهم بتقیید جواز رهن أبنیة الأرض المفتوحة عنوة بما </w:t>
      </w:r>
      <w:r>
        <w:rPr>
          <w:rStyle w:val="FootnoteReference"/>
        </w:rPr>
        <w:footnoteReference w:id="696"/>
      </w:r>
      <w:r>
        <w:rPr>
          <w:rFonts w:ascii="IRNazanin" w:hAnsi="IRNazanin" w:eastAsia="IRNazanin" w:cs="IRNazanin"/>
          <w:lang w:bidi="fa-IR"/>
          <w:color w:val="111111"/>
          <w:sz w:val="28"/>
          <w:szCs w:val="28"/>
          <w:rtl/>
        </w:rPr>
        <w:t xml:space="preserve">إذا لم تکن الآلات من تراب الأرض.نعم الموجودة فیها حال الفتح للمقاتلین؛ لأنّه ممّا ینقل.</w:t>
      </w:r>
    </w:p>
    <w:p>
      <w:pPr>
        <w:pStyle w:val="BookText"/>
      </w:pPr>
      <w:r>
        <w:rPr>
          <w:rFonts w:ascii="IRNazanin" w:hAnsi="IRNazanin" w:eastAsia="IRNazanin" w:cs="IRNazanin"/>
          <w:lang w:bidi="fa-IR"/>
          <w:color w:val="111111"/>
          <w:sz w:val="28"/>
          <w:szCs w:val="28"/>
          <w:rtl/>
        </w:rPr>
        <w:t xml:space="preserve">و حینئذٍ،فمقتضی القاعدة:عدم صحّة أخذها إلّا من السلطان الجائر أو من حاکم الشرع،مع إمکان أن یقال:لا مدخل لسلطان</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الجور؛لأنّ القدر المأذون فی تناوله منه منفعة الأرض،لا أجزاؤها،إلّا أن یکون الأخذ علی وجه الانتفاع لا التملّک،فیجوز.</w:t>
      </w:r>
    </w:p>
    <w:p>
      <w:pPr>
        <w:pStyle w:val="BookText"/>
      </w:pPr>
      <w:r>
        <w:rPr>
          <w:rFonts w:ascii="IRNazanin" w:hAnsi="IRNazanin" w:eastAsia="IRNazanin" w:cs="IRNazanin"/>
          <w:lang w:bidi="fa-IR"/>
          <w:color w:val="111111"/>
          <w:sz w:val="28"/>
          <w:szCs w:val="28"/>
          <w:rtl/>
        </w:rPr>
        <w:t xml:space="preserve">و یحتمل کون ذلک بحکم المباحات؛لعموم«من سبق إلی ما لم یسبقه </w:t>
      </w:r>
      <w:r>
        <w:rPr>
          <w:rStyle w:val="FootnoteReference"/>
        </w:rPr>
        <w:footnoteReference w:id="697"/>
      </w:r>
      <w:r>
        <w:rPr>
          <w:rFonts w:ascii="IRNazanin" w:hAnsi="IRNazanin" w:eastAsia="IRNazanin" w:cs="IRNazanin"/>
          <w:lang w:bidi="fa-IR"/>
          <w:color w:val="111111"/>
          <w:sz w:val="28"/>
          <w:szCs w:val="28"/>
          <w:rtl/>
        </w:rPr>
        <w:t xml:space="preserve">إلیه مسلم فهو أحقّ به» </w:t>
      </w:r>
      <w:r>
        <w:rPr>
          <w:rStyle w:val="FootnoteReference"/>
        </w:rPr>
        <w:footnoteReference w:id="698"/>
      </w:r>
      <w:r>
        <w:rPr>
          <w:rFonts w:ascii="IRNazanin" w:hAnsi="IRNazanin" w:eastAsia="IRNazanin" w:cs="IRNazanin"/>
          <w:lang w:bidi="fa-IR"/>
          <w:color w:val="111111"/>
          <w:sz w:val="28"/>
          <w:szCs w:val="28"/>
          <w:rtl/>
        </w:rPr>
        <w:t xml:space="preserve">.و یؤیّده،بل یدلّ علیه:استمرار السیرة خلفاً عن سلف علی بیع الأُمور المعمولة </w:t>
      </w:r>
      <w:r>
        <w:rPr>
          <w:rStyle w:val="FootnoteReference"/>
        </w:rPr>
        <w:footnoteReference w:id="699"/>
      </w:r>
      <w:r>
        <w:rPr>
          <w:rFonts w:ascii="IRNazanin" w:hAnsi="IRNazanin" w:eastAsia="IRNazanin" w:cs="IRNazanin"/>
          <w:lang w:bidi="fa-IR"/>
          <w:color w:val="111111"/>
          <w:sz w:val="28"/>
          <w:szCs w:val="28"/>
          <w:rtl/>
        </w:rPr>
        <w:t xml:space="preserve">من تربة أرض العراق من الآجر و الکوز و الأوانی و ما عمل </w:t>
      </w:r>
      <w:r>
        <w:rPr>
          <w:rStyle w:val="FootnoteReference"/>
        </w:rPr>
        <w:footnoteReference w:id="700"/>
      </w:r>
      <w:r>
        <w:rPr>
          <w:rFonts w:ascii="IRNazanin" w:hAnsi="IRNazanin" w:eastAsia="IRNazanin" w:cs="IRNazanin"/>
          <w:lang w:bidi="fa-IR"/>
          <w:color w:val="111111"/>
          <w:sz w:val="28"/>
          <w:szCs w:val="28"/>
          <w:rtl/>
        </w:rPr>
        <w:t xml:space="preserve">من التربة الحسینیة، و یقوی هذا الاحتمال بعد انفصال هذه الأجزاء من الأرض.</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1" w:name="pg14419_166932"/>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52" w:name="_Toc392"/>
      <w:r>
        <w:t>مسألة [من شروط العوضین:کونه طِلْقاً]</w:t>
      </w:r>
      <w:bookmarkEnd w:id="952"/>
    </w:p>
    <w:p>
      <w:pPr>
        <w:pStyle w:val="Heading6"/>
      </w:pPr>
      <w:bookmarkStart w:id="953" w:name="_Toc393"/>
      <w:r>
        <w:t>اشارة</w:t>
      </w:r>
      <w:bookmarkEnd w:id="953"/>
    </w:p>
    <w:p>
      <w:pPr>
        <w:pStyle w:val="BookText"/>
      </w:pPr>
      <w:r>
        <w:rPr>
          <w:rStyle w:val="FootnoteReference"/>
        </w:rPr>
        <w:footnoteReference w:id="701"/>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اعلم أنّه ذکر الفاضلان </w:t>
      </w:r>
      <w:r>
        <w:rPr>
          <w:rStyle w:val="FootnoteReference"/>
        </w:rPr>
        <w:footnoteReference w:id="702"/>
      </w:r>
      <w:r>
        <w:rPr>
          <w:rFonts w:ascii="Amiri" w:hAnsi="Amiri" w:eastAsia="Amiri" w:cs="Amiri"/>
          <w:lang w:bidi="ar-SA"/>
          <w:color w:val="111111"/>
          <w:sz w:val="28"/>
          <w:szCs w:val="28"/>
          <w:rtl/>
        </w:rPr>
        <w:t xml:space="preserve">و جمع ممّن تأخّر عنهما </w:t>
      </w:r>
      <w:r>
        <w:rPr>
          <w:rStyle w:val="FootnoteReference"/>
        </w:rPr>
        <w:footnoteReference w:id="703"/>
      </w:r>
      <w:r>
        <w:rPr>
          <w:rFonts w:ascii="IRNazanin" w:hAnsi="IRNazanin" w:eastAsia="IRNazanin" w:cs="IRNazanin"/>
          <w:lang w:bidi="fa-IR"/>
          <w:color w:val="111111"/>
          <w:sz w:val="28"/>
          <w:szCs w:val="28"/>
          <w:rtl/>
        </w:rPr>
        <w:t xml:space="preserve">فی شروط العوضین بعد الملکیة:کونه طِلْقاً.و فرّعوا علیه:عدم جواز بیع الوقف إلّا فیما استثنی،و لا الرهن إلّا بإذن المرتهن أو إجازته،و لا أُمّ الولد إلّا فی المواضع المستثناة.</w:t>
      </w:r>
    </w:p>
    <w:p>
      <w:pPr>
        <w:pStyle w:val="BookText"/>
      </w:pPr>
      <w:r>
        <w:rPr>
          <w:rFonts w:ascii="IRNazanin" w:hAnsi="IRNazanin" w:eastAsia="IRNazanin" w:cs="IRNazanin"/>
          <w:lang w:bidi="fa-IR"/>
          <w:color w:val="111111"/>
          <w:sz w:val="28"/>
          <w:szCs w:val="28"/>
          <w:rtl/>
        </w:rPr>
        <w:t xml:space="preserve">و المراد ب«الطلْق»تمام السلطنة علی الملک بحیث یکون للمالک أن یفعل بملکه ما شاء،و یکون مطلق العنان فی ذلک.</w:t>
      </w:r>
    </w:p>
    <w:p>
      <w:pPr>
        <w:pStyle w:val="BookText"/>
      </w:pPr>
      <w:r>
        <w:rPr>
          <w:rFonts w:ascii="IRNazanin" w:hAnsi="IRNazanin" w:eastAsia="IRNazanin" w:cs="IRNazanin"/>
          <w:lang w:bidi="fa-IR"/>
          <w:color w:val="111111"/>
          <w:sz w:val="28"/>
          <w:szCs w:val="28"/>
          <w:rtl/>
        </w:rPr>
        <w:t xml:space="preserve">لکن هذا المعنی فی الحقیقة راجع إلی کون الملک ممّا یستقلّ المالک بنقله و یکون نقله ماضیاً فیه؛لعدم تعلّق حقٍّ به مانعٍ عن نقله</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2" w:name="pg14419_166933"/>
    <w:bookmarkEnd w:id="172"/>
    <w:p>
      <w:pPr>
        <w:pStyle w:val="BookText"/>
      </w:pPr>
      <w:r>
        <w:rPr>
          <w:rFonts w:ascii="IRNazanin" w:hAnsi="IRNazanin" w:eastAsia="IRNazanin" w:cs="IRNazanin"/>
          <w:lang w:bidi="fa-IR"/>
          <w:color w:val="111111"/>
          <w:sz w:val="28"/>
          <w:szCs w:val="28"/>
          <w:rtl/>
        </w:rPr>
        <w:t xml:space="preserve">بدون إذن ذی الحقّ،فمرجعه </w:t>
      </w:r>
      <w:r>
        <w:rPr>
          <w:rStyle w:val="FootnoteReference"/>
        </w:rPr>
        <w:footnoteReference w:id="704"/>
      </w:r>
      <w:r>
        <w:rPr>
          <w:rFonts w:ascii="IRNazanin" w:hAnsi="IRNazanin" w:eastAsia="IRNazanin" w:cs="IRNazanin"/>
          <w:lang w:bidi="fa-IR"/>
          <w:color w:val="111111"/>
          <w:sz w:val="28"/>
          <w:szCs w:val="28"/>
          <w:rtl/>
        </w:rPr>
        <w:t xml:space="preserve">إلی:أنّ من شرط البیع أن یکون متعلّقه ممّا یصحّ للمالک بیعه مستقلا،و هذا ممّا </w:t>
      </w:r>
      <w:r>
        <w:rPr>
          <w:rStyle w:val="FootnoteReference"/>
        </w:rPr>
        <w:footnoteReference w:id="705"/>
      </w:r>
      <w:r>
        <w:rPr>
          <w:rFonts w:ascii="IRNazanin" w:hAnsi="IRNazanin" w:eastAsia="IRNazanin" w:cs="IRNazanin"/>
          <w:lang w:bidi="fa-IR"/>
          <w:color w:val="111111"/>
          <w:sz w:val="28"/>
          <w:szCs w:val="28"/>
          <w:rtl/>
        </w:rPr>
        <w:t xml:space="preserve">لا محصّل له،فالظاهر أنّ هذا العنوان لیس فی نفسه شرطاً لیتفرّع علیه عدم جواز بیع الوقف و المرهون و أُمّ الولد،بل الشرط فی الحقیقة انتفاء کلٍّ من تلک الحقوق الخاصّة و غیرها ممّا ثبت منعه عن تصرّف المالک کالنذر و الخیار و نحوهما و هذا العنوان منتزع من انتفاء تلک الحقوق.</w:t>
      </w:r>
    </w:p>
    <w:p>
      <w:pPr>
        <w:pStyle w:val="BookText"/>
      </w:pPr>
      <w:r>
        <w:rPr>
          <w:rFonts w:ascii="IRNazanin" w:hAnsi="IRNazanin" w:eastAsia="IRNazanin" w:cs="IRNazanin"/>
          <w:lang w:bidi="fa-IR"/>
          <w:color w:val="111111"/>
          <w:sz w:val="28"/>
          <w:szCs w:val="28"/>
          <w:rtl/>
        </w:rPr>
        <w:t xml:space="preserve">فمعنی«الطلْق»:أن یکون المالک مطلق العنان فی نقله غیر محبوس علیه لأحد الحقوق التی ثبت منعها للمالک عن التصرّف فی ملکه،فالتعبیر بهذا المفهوم </w:t>
      </w:r>
      <w:r>
        <w:rPr>
          <w:rStyle w:val="FootnoteReference"/>
        </w:rPr>
        <w:footnoteReference w:id="706"/>
      </w:r>
      <w:r>
        <w:rPr>
          <w:rFonts w:ascii="IRNazanin" w:hAnsi="IRNazanin" w:eastAsia="IRNazanin" w:cs="IRNazanin"/>
          <w:lang w:bidi="fa-IR"/>
          <w:color w:val="111111"/>
          <w:sz w:val="28"/>
          <w:szCs w:val="28"/>
          <w:rtl/>
        </w:rPr>
        <w:t xml:space="preserve">المنتزع تمهید لذکر الحقوق المانعة عن التصرّف،لا تأسیس لشرط لیکون ما بعده فروعاً،بل الأمر فی الفرعیّة و الأصالة بالعکس.</w:t>
      </w:r>
    </w:p>
    <w:p>
      <w:pPr>
        <w:pStyle w:val="Heading6"/>
      </w:pPr>
      <w:bookmarkStart w:id="954" w:name="_Toc394"/>
      <w:r>
        <w:t>[الحقوق المانعة عن تصرف المالک فی ملکه]</w:t>
      </w:r>
      <w:bookmarkEnd w:id="954"/>
    </w:p>
    <w:p>
      <w:pPr>
        <w:pStyle w:val="BookText"/>
      </w:pPr>
      <w:r>
        <w:rPr>
          <w:rFonts w:ascii="IRNazanin" w:hAnsi="IRNazanin" w:eastAsia="IRNazanin" w:cs="IRNazanin"/>
          <w:lang w:bidi="fa-IR"/>
          <w:color w:val="111111"/>
          <w:sz w:val="28"/>
          <w:szCs w:val="28"/>
          <w:rtl/>
        </w:rPr>
        <w:t xml:space="preserve">ثمّ إنّ أکثر من تعرّض لهذا الشرط لم یذکر من الحقوق إلّا الثلاثة المذکورة،ثمّ عنونوا حقّ الجانی </w:t>
      </w:r>
      <w:r>
        <w:rPr>
          <w:rStyle w:val="FootnoteReference"/>
        </w:rPr>
        <w:footnoteReference w:id="707"/>
      </w:r>
      <w:r>
        <w:rPr>
          <w:rFonts w:ascii="IRNazanin" w:hAnsi="IRNazanin" w:eastAsia="IRNazanin" w:cs="IRNazanin"/>
          <w:lang w:bidi="fa-IR"/>
          <w:color w:val="111111"/>
          <w:sz w:val="28"/>
          <w:szCs w:val="28"/>
          <w:rtl/>
        </w:rPr>
        <w:t xml:space="preserve">و اختلفوا فی حکم بیعه.</w:t>
      </w:r>
    </w:p>
    <w:p>
      <w:pPr>
        <w:pStyle w:val="BookText"/>
      </w:pPr>
      <w:r>
        <w:rPr>
          <w:rFonts w:ascii="IRNazanin" w:hAnsi="IRNazanin" w:eastAsia="IRNazanin" w:cs="IRNazanin"/>
          <w:lang w:bidi="fa-IR"/>
          <w:color w:val="111111"/>
          <w:sz w:val="28"/>
          <w:szCs w:val="28"/>
          <w:rtl/>
        </w:rPr>
        <w:t xml:space="preserve">و ظاهرٌ أنّ الحقوق المانعة أکثر من هذه الثلاثة أو الأربعة،و قد أنهاها بعض من عاصرناه </w:t>
      </w:r>
      <w:r>
        <w:rPr>
          <w:rStyle w:val="FootnoteReference"/>
        </w:rPr>
        <w:footnoteReference w:id="708"/>
      </w:r>
      <w:r>
        <w:rPr>
          <w:rFonts w:ascii="IRNazanin" w:hAnsi="IRNazanin" w:eastAsia="IRNazanin" w:cs="IRNazanin"/>
          <w:lang w:bidi="fa-IR"/>
          <w:color w:val="111111"/>
          <w:sz w:val="28"/>
          <w:szCs w:val="28"/>
          <w:rtl/>
        </w:rPr>
        <w:t xml:space="preserve">إلی أزید من عشرین،فذکر بعد الأربعة</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فی عبارة الأکثر-:النذر المتعلّق بالعین قبل البیع،و الخیارَ المتعلّق به،و الارتدادَ،و الحلفَ علی عدم بیعه،و تعیینَ الهدی للذبح، و اشتراطَ عتق العبد فی عقدٍ لازم،و الکتابة المشروطة أو المطلقة بالنسبة إلی ما لم یتحرّر منه؛حیث إنّ المولی ممنوع عن التصرّف بإخراجه عن ملکه قبل الأداء،و التدبیر المعلَّق علی موت غیر المولی،بناءً علی جواز ذلک،فإذا مات المولی و لم یمت من عُلِّق علیه العتق کان مملوکاً للورثة ممنوعاً من التصرّف فیه،و تعلّقَ حقّ الموصی له بالموصی به بعد موت الموصی و قبل قبوله،بناءً علی منع الوارث من التصرّف قبله </w:t>
      </w:r>
      <w:r>
        <w:rPr>
          <w:rStyle w:val="FootnoteReference"/>
        </w:rPr>
        <w:footnoteReference w:id="709"/>
      </w:r>
      <w:r>
        <w:rPr>
          <w:rFonts w:ascii="IRNazanin" w:hAnsi="IRNazanin" w:eastAsia="IRNazanin" w:cs="IRNazanin"/>
          <w:lang w:bidi="fa-IR"/>
          <w:color w:val="111111"/>
          <w:sz w:val="28"/>
          <w:szCs w:val="28"/>
          <w:rtl/>
        </w:rPr>
        <w:t xml:space="preserve">،و تعلّقَ حقّ الشفعة بالمال؛فإنّه مانع من لزوم التصرّفات الواقعة من المالک، فللشفیع بعد الأخذ بالشفعة إبطالها،و تغذیةَ الولد المملوک بنطفة سیّده فیما إذا اشتری أمةً حُبلی فوطأها فأتت بالولد،بناءً علی عدم </w:t>
      </w:r>
      <w:r>
        <w:rPr>
          <w:rStyle w:val="FootnoteReference"/>
        </w:rPr>
        <w:footnoteReference w:id="710"/>
      </w:r>
      <w:r>
        <w:rPr>
          <w:rFonts w:ascii="IRNazanin" w:hAnsi="IRNazanin" w:eastAsia="IRNazanin" w:cs="IRNazanin"/>
          <w:lang w:bidi="fa-IR"/>
          <w:color w:val="111111"/>
          <w:sz w:val="28"/>
          <w:szCs w:val="28"/>
          <w:rtl/>
        </w:rPr>
        <w:t xml:space="preserve">جواز بیعها </w:t>
      </w:r>
      <w:r>
        <w:rPr>
          <w:rStyle w:val="FootnoteReference"/>
        </w:rPr>
        <w:footnoteReference w:id="711"/>
      </w:r>
      <w:r>
        <w:rPr>
          <w:rFonts w:ascii="Amiri" w:hAnsi="Amiri" w:eastAsia="Amiri" w:cs="Amiri"/>
          <w:lang w:bidi="ar-SA"/>
          <w:color w:val="111111"/>
          <w:sz w:val="28"/>
          <w:szCs w:val="28"/>
          <w:rtl/>
        </w:rPr>
        <w:t xml:space="preserve">،و کونَه مملوکاً ولد </w:t>
      </w:r>
      <w:r>
        <w:rPr>
          <w:rStyle w:val="FootnoteReference"/>
        </w:rPr>
        <w:footnoteReference w:id="712"/>
      </w:r>
      <w:r>
        <w:rPr>
          <w:rFonts w:ascii="Amiri" w:hAnsi="Amiri" w:eastAsia="Amiri" w:cs="Amiri"/>
          <w:lang w:bidi="ar-SA"/>
          <w:color w:val="111111"/>
          <w:sz w:val="28"/>
          <w:szCs w:val="28"/>
          <w:rtl/>
        </w:rPr>
        <w:t xml:space="preserve">من حرّ شریک فی أُمّة </w:t>
      </w:r>
      <w:r>
        <w:rPr>
          <w:rStyle w:val="FootnoteReference"/>
        </w:rPr>
        <w:footnoteReference w:id="713"/>
      </w:r>
      <w:r>
        <w:rPr>
          <w:rFonts w:ascii="IRNazanin" w:hAnsi="IRNazanin" w:eastAsia="IRNazanin" w:cs="IRNazanin"/>
          <w:lang w:bidi="fa-IR"/>
          <w:color w:val="111111"/>
          <w:sz w:val="28"/>
          <w:szCs w:val="28"/>
          <w:rtl/>
        </w:rPr>
        <w:t xml:space="preserve">حال الوطء، فإنّه مملوک له،لکن لیس له التصرّف فیه إلّا بتقویمه و أخذ قیمته،</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تعارضَ السبب المملِّک و المزیل للملک،کما </w:t>
      </w:r>
      <w:r>
        <w:rPr>
          <w:rStyle w:val="FootnoteReference"/>
        </w:rPr>
        <w:footnoteReference w:id="714"/>
      </w:r>
      <w:r>
        <w:rPr>
          <w:rFonts w:ascii="Amiri" w:hAnsi="Amiri" w:eastAsia="Amiri" w:cs="Amiri"/>
          <w:lang w:bidi="ar-SA"/>
          <w:color w:val="111111"/>
          <w:sz w:val="28"/>
          <w:szCs w:val="28"/>
          <w:rtl/>
        </w:rPr>
        <w:t xml:space="preserve">لو قَهَرَ حربیٌّ أباه </w:t>
      </w:r>
      <w:r>
        <w:rPr>
          <w:rStyle w:val="FootnoteReference"/>
        </w:rPr>
        <w:footnoteReference w:id="715"/>
      </w:r>
      <w:r>
        <w:rPr>
          <w:rFonts w:ascii="IRNazanin" w:hAnsi="IRNazanin" w:eastAsia="IRNazanin" w:cs="IRNazanin"/>
          <w:lang w:bidi="fa-IR"/>
          <w:color w:val="111111"/>
          <w:sz w:val="28"/>
          <w:szCs w:val="28"/>
          <w:rtl/>
        </w:rPr>
        <w:t xml:space="preserve">، و الغنیمةَ قبل القسمة،بناءً علی حصول الملک بمجرّد الاستیلاء دون القسمة؛لاستحالة بقاء الملک بلا مالک.و غیرَ ذلک ممّا سیقف علیه المتتبّع،لکنّا نقتصر علی ما اقتصر علیه الأصحاب من ذکر الوقف،ثمّ أُمّ الولد،ثمّ الرهن،ثمّ الجنایة،إن شاء اللّٰه.</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14419_166936"/>
    <w:bookmarkEnd w:id="173"/>
    <w:p>
      <w:pPr>
        <w:pStyle w:val="Heading6"/>
      </w:pPr>
      <w:bookmarkStart w:id="955" w:name="_Toc395"/>
      <w:r>
        <w:t>مسألة : لا یجوز بیع الوقف إجماعاً محقّقاً فی الجملة و محکیّاً</w:t>
      </w:r>
      <w:bookmarkEnd w:id="955"/>
    </w:p>
    <w:p>
      <w:pPr>
        <w:pStyle w:val="Heading6"/>
      </w:pPr>
      <w:bookmarkStart w:id="956" w:name="_Toc396"/>
      <w:r>
        <w:t>اشارة</w:t>
      </w:r>
      <w:bookmarkEnd w:id="9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Style w:val="FootnoteReference"/>
        </w:rPr>
        <w:footnoteReference w:id="716"/>
      </w:r>
      <w:r>
        <w:rPr>
          <w:rFonts w:ascii="IRNazanin" w:hAnsi="IRNazanin" w:eastAsia="IRNazanin" w:cs="IRNazanin"/>
          <w:lang w:bidi="fa-IR"/>
          <w:color w:val="111111"/>
          <w:sz w:val="28"/>
          <w:szCs w:val="28"/>
          <w:rtl/>
        </w:rPr>
        <w:t xml:space="preserve">.
و لعموم قوله علیه السلام:«الوقوف علی حسب ما یوقفها أهلها»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أبی علی بن راشد،قال:«سألت أبا الحسن علیه السلام، قلت:جعلت فداک إنّی اشتریت أرضاً إلی جنب ضیعتی فلمّا عمّرتها خُبِّرت أنّها </w:t>
      </w:r>
      <w:r>
        <w:rPr>
          <w:rStyle w:val="FootnoteReference"/>
        </w:rPr>
        <w:footnoteReference w:id="718"/>
      </w:r>
      <w:r>
        <w:rPr>
          <w:rFonts w:ascii="IRNazanin" w:hAnsi="IRNazanin" w:eastAsia="IRNazanin" w:cs="IRNazanin"/>
          <w:lang w:bidi="fa-IR"/>
          <w:color w:val="111111"/>
          <w:sz w:val="28"/>
          <w:szCs w:val="28"/>
          <w:rtl/>
        </w:rPr>
        <w:t xml:space="preserve">وقف.فقال:لا یجوز شراء الوقف،و لا تدخل الغلّة فی ملکک،ادفعها إلی مَن </w:t>
      </w:r>
      <w:r>
        <w:rPr>
          <w:rStyle w:val="FootnoteReference"/>
        </w:rPr>
        <w:footnoteReference w:id="719"/>
      </w:r>
      <w:r>
        <w:rPr>
          <w:rFonts w:ascii="Amiri" w:hAnsi="Amiri" w:eastAsia="Amiri" w:cs="Amiri"/>
          <w:lang w:bidi="ar-SA"/>
          <w:color w:val="111111"/>
          <w:sz w:val="28"/>
          <w:szCs w:val="28"/>
          <w:rtl/>
        </w:rPr>
        <w:t xml:space="preserve">أُوقفت علیه.قلت:لا أعرف لها ربّاً.قال:</w:t>
      </w:r>
    </w:p>
    <w:p>
      <w:pPr>
        <w:pStyle w:val="BookText"/>
      </w:pPr>
      <w:r>
        <w:rPr>
          <w:rFonts w:ascii="Amiri" w:hAnsi="Amiri" w:eastAsia="Amiri" w:cs="Amiri"/>
          <w:lang w:bidi="ar-SA"/>
          <w:color w:val="111111"/>
          <w:sz w:val="28"/>
          <w:szCs w:val="28"/>
          <w:rtl/>
        </w:rPr>
        <w:t xml:space="preserve">تصدّق بغلّتها»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4" w:name="pg14419_166937"/>
    <w:bookmarkEnd w:id="174"/>
    <w:p>
      <w:pPr>
        <w:pStyle w:val="Heading6"/>
      </w:pPr>
      <w:bookmarkStart w:id="957" w:name="_Toc397"/>
      <w:r>
        <w:t>[صورة وقف أمیر المؤمنین علیه السلام]</w:t>
      </w:r>
      <w:bookmarkEnd w:id="957"/>
    </w:p>
    <w:p>
      <w:pPr>
        <w:pStyle w:val="BookText"/>
      </w:pPr>
      <w:r>
        <w:rPr>
          <w:rFonts w:ascii="IRNazanin" w:hAnsi="IRNazanin" w:eastAsia="IRNazanin" w:cs="IRNazanin"/>
          <w:lang w:bidi="fa-IR"/>
          <w:color w:val="111111"/>
          <w:sz w:val="28"/>
          <w:szCs w:val="28"/>
          <w:rtl/>
        </w:rPr>
        <w:t xml:space="preserve">و ما ورد من حکایة وقف أمیر المؤمنین علیه السلام و غیره من الأئمّة صلوات اللّٰه علیهم أجمعین،مثل:ما عن ربعی بن عبد اللّٰه عن أبی عبد اللّٰه علیه السلام فی صورة وقف أمیر المؤمنین علیه السلام-:« بسم اللّٰه الرحمن الرحیم ،هذا ما تصدّق به علیّ بن أبی طالب و هو حیٌّ سویٌّ:</w:t>
      </w:r>
    </w:p>
    <w:p>
      <w:pPr>
        <w:pStyle w:val="BookText"/>
      </w:pPr>
      <w:r>
        <w:rPr>
          <w:rFonts w:ascii="IRNazanin" w:hAnsi="IRNazanin" w:eastAsia="IRNazanin" w:cs="IRNazanin"/>
          <w:lang w:bidi="fa-IR"/>
          <w:color w:val="111111"/>
          <w:sz w:val="28"/>
          <w:szCs w:val="28"/>
          <w:rtl/>
        </w:rPr>
        <w:t xml:space="preserve">تصدّق بداره التی فی بنی زُریق،صدقةً لا تباع و لا توهب حتّی یرثها اللّٰه الذی یرث السماوات و الأرض،و أسکن فلاناً هذه الصدقة ما عاش و عاش عقبه </w:t>
      </w:r>
      <w:r>
        <w:rPr>
          <w:rStyle w:val="FootnoteReference"/>
        </w:rPr>
        <w:footnoteReference w:id="721"/>
      </w:r>
      <w:r>
        <w:rPr>
          <w:rFonts w:ascii="IRNazanin" w:hAnsi="IRNazanin" w:eastAsia="IRNazanin" w:cs="IRNazanin"/>
          <w:lang w:bidi="fa-IR"/>
          <w:color w:val="111111"/>
          <w:sz w:val="28"/>
          <w:szCs w:val="28"/>
          <w:rtl/>
        </w:rPr>
        <w:t xml:space="preserve">،فإذا انقرضوا فهی لذوی الحاجة من المسلمین...الخبر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من الوصف کونها صفة لنوع الصدقة لا لشخصها، و یبعد کونها شرطاً خارجاً عن </w:t>
      </w:r>
      <w:r>
        <w:rPr>
          <w:rStyle w:val="FootnoteReference"/>
        </w:rPr>
        <w:footnoteReference w:id="724"/>
      </w:r>
      <w:r>
        <w:rPr>
          <w:rFonts w:ascii="IRNazanin" w:hAnsi="IRNazanin" w:eastAsia="IRNazanin" w:cs="IRNazanin"/>
          <w:lang w:bidi="fa-IR"/>
          <w:color w:val="111111"/>
          <w:sz w:val="28"/>
          <w:szCs w:val="28"/>
          <w:rtl/>
        </w:rPr>
        <w:t xml:space="preserve">النوع مأخوذاً فی الشخص،مع أنّ سیاق الاشتراط یقتضی تأخّره عن رکن العقد،أعنی الموقوف علیهم، خصوصاً مع کونه اشتراطاً علیهم.</w:t>
      </w:r>
    </w:p>
    <w:p>
      <w:pPr>
        <w:pStyle w:val="BookText"/>
      </w:pPr>
      <w:r>
        <w:rPr>
          <w:rFonts w:ascii="IRNazanin" w:hAnsi="IRNazanin" w:eastAsia="IRNazanin" w:cs="IRNazanin"/>
          <w:lang w:bidi="fa-IR"/>
          <w:color w:val="111111"/>
          <w:sz w:val="28"/>
          <w:szCs w:val="28"/>
          <w:rtl/>
        </w:rPr>
        <w:t xml:space="preserve">مع أنّه لو جاز البیع فی بعض الأحیان کان اشتراط عدمه علی الإطلاق فاسداً،بل مفسداً؛لمخالفته للمشروع من جواز بیعه فی بعض</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الموارد:کدفع الفساد بین الموقوف علیهم أو رفعه،أو طروء الحاجة،أو صیرورته ممّا لا ینتفع به أصلاً.</w:t>
      </w:r>
    </w:p>
    <w:p>
      <w:pPr>
        <w:pStyle w:val="BookText"/>
      </w:pPr>
      <w:r>
        <w:rPr>
          <w:rFonts w:ascii="IRNazanin" w:hAnsi="IRNazanin" w:eastAsia="IRNazanin" w:cs="IRNazanin"/>
          <w:lang w:bidi="fa-IR"/>
          <w:color w:val="111111"/>
          <w:sz w:val="28"/>
          <w:szCs w:val="28"/>
          <w:rtl/>
        </w:rPr>
        <w:t xml:space="preserve">إلّا أن یقال:إنّ هذا الإطلاق نظیر الإطلاق المتقدّم فی روایة ابن راشد فی انصرافه إلی البیع لا لعذر،مع أنّ هذا التقیید ممّا لا بدّ منه علی تقدیر کون الصفة فصلاً للنوع أو شرطاً خارجیّاً.</w:t>
      </w:r>
    </w:p>
    <w:p>
      <w:pPr>
        <w:pStyle w:val="BookText"/>
      </w:pPr>
      <w:r>
        <w:rPr>
          <w:rFonts w:ascii="IRNazanin" w:hAnsi="IRNazanin" w:eastAsia="IRNazanin" w:cs="IRNazanin"/>
          <w:lang w:bidi="fa-IR"/>
          <w:color w:val="111111"/>
          <w:sz w:val="28"/>
          <w:szCs w:val="28"/>
          <w:rtl/>
        </w:rPr>
        <w:t xml:space="preserve">مع احتمال علم الإمام علیه السلام بعدم طروء هذه الأُمور المبیحة، و حینئذٍ یصحّ أن یستغنی بذلک عن التقیید علی تقدیر کون الصفة شرطاً،بخلاف ما لو جعل وصفاً داخلاً فی النوع؛فإنّ العلم بعدم طروء مسوّغات البیع فی الشخص لا یغنی عن تقیید إطلاق الوصف فی النوع، کما لا یخفی.</w:t>
      </w:r>
    </w:p>
    <w:p>
      <w:pPr>
        <w:pStyle w:val="BookText"/>
      </w:pPr>
      <w:r>
        <w:rPr>
          <w:rFonts w:ascii="IRNazanin" w:hAnsi="IRNazanin" w:eastAsia="IRNazanin" w:cs="IRNazanin"/>
          <w:lang w:bidi="fa-IR"/>
          <w:color w:val="111111"/>
          <w:sz w:val="28"/>
          <w:szCs w:val="28"/>
          <w:rtl/>
        </w:rPr>
        <w:t xml:space="preserve">فظهر:أنّ التمسّک بإطلاق المنع عن البیع علی کون الوصف داخلاً فی أصل الوقف کما صدر عن بعض من عاصرناه </w:t>
      </w:r>
      <w:r>
        <w:rPr>
          <w:rStyle w:val="FootnoteReference"/>
        </w:rPr>
        <w:footnoteReference w:id="725"/>
      </w:r>
      <w:r>
        <w:rPr>
          <w:rFonts w:ascii="IRNazanin" w:hAnsi="IRNazanin" w:eastAsia="IRNazanin" w:cs="IRNazanin"/>
          <w:lang w:bidi="fa-IR"/>
          <w:color w:val="111111"/>
          <w:sz w:val="28"/>
          <w:szCs w:val="28"/>
          <w:rtl/>
        </w:rPr>
        <w:t xml:space="preserve">لا یخلو عن نظر،و إن کان الإنصاف ما ذکرنا:من ظهور سیاق الأوصاف فی کونها أوصافاً للنوع.</w:t>
      </w:r>
    </w:p>
    <w:p>
      <w:pPr>
        <w:pStyle w:val="BookText"/>
      </w:pPr>
      <w:r>
        <w:rPr>
          <w:rFonts w:ascii="IRNazanin" w:hAnsi="IRNazanin" w:eastAsia="IRNazanin" w:cs="IRNazanin"/>
          <w:lang w:bidi="fa-IR"/>
          <w:color w:val="111111"/>
          <w:sz w:val="28"/>
          <w:szCs w:val="28"/>
          <w:rtl/>
        </w:rPr>
        <w:t xml:space="preserve">و ممّا ذکرنا ظهر أنّ المانع عن بیع الوقف أُمور ثلاثة: حقّ الواقف،حیث جعلها بمقتضی صیغة الوقف صدقة جاریة ینتفع بها.</w:t>
      </w:r>
    </w:p>
    <w:p>
      <w:pPr>
        <w:pStyle w:val="BookText"/>
      </w:pPr>
      <w:r>
        <w:rPr>
          <w:rFonts w:ascii="Amiri" w:hAnsi="Amiri" w:eastAsia="Amiri" w:cs="Amiri"/>
          <w:lang w:bidi="ar-SA"/>
          <w:color w:val="111111"/>
          <w:sz w:val="28"/>
          <w:szCs w:val="28"/>
          <w:rtl/>
        </w:rPr>
        <w:t xml:space="preserve">و حقّ البطون المتأخّرة عن بطن البائع</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5" w:name="pg14419_166939"/>
    <w:bookmarkEnd w:id="175"/>
    <w:p>
      <w:pPr>
        <w:pStyle w:val="BookText"/>
      </w:pPr>
      <w:r>
        <w:rPr>
          <w:rFonts w:ascii="IRNazanin" w:hAnsi="IRNazanin" w:eastAsia="IRNazanin" w:cs="IRNazanin"/>
          <w:lang w:bidi="fa-IR"/>
          <w:color w:val="111111"/>
          <w:sz w:val="28"/>
          <w:szCs w:val="28"/>
          <w:rtl/>
        </w:rPr>
        <w:t xml:space="preserve">و التعبّد الشرعی المکشوف عنه بالروایات؛</w:t>
      </w:r>
    </w:p>
    <w:p>
      <w:pPr>
        <w:pStyle w:val="BookText"/>
      </w:pPr>
      <w:r>
        <w:rPr>
          <w:rFonts w:ascii="Amiri" w:hAnsi="Amiri" w:eastAsia="Amiri" w:cs="Amiri"/>
          <w:lang w:bidi="ar-SA"/>
          <w:color w:val="111111"/>
          <w:sz w:val="28"/>
          <w:szCs w:val="28"/>
          <w:rtl/>
        </w:rPr>
        <w:t xml:space="preserve">فإنّ الوقف متعلّق لحقّ اللّٰه؛حیث یعتبر فیه التقرّب و یکون للّٰه تعالی عمله و علیه عوضه.</w:t>
      </w:r>
    </w:p>
    <w:p>
      <w:pPr>
        <w:pStyle w:val="BookText"/>
      </w:pPr>
      <w:r>
        <w:rPr>
          <w:rFonts w:ascii="IRNazanin" w:hAnsi="IRNazanin" w:eastAsia="IRNazanin" w:cs="IRNazanin"/>
          <w:lang w:bidi="fa-IR"/>
          <w:color w:val="111111"/>
          <w:sz w:val="28"/>
          <w:szCs w:val="28"/>
          <w:rtl/>
        </w:rPr>
        <w:t xml:space="preserve">و قد یرتفع بعض هذه الموانع فیبقی الباقی،و قد یرتفع کلّها، و سیجیء التفصیل.</w:t>
      </w:r>
    </w:p>
    <w:p>
      <w:pPr>
        <w:pStyle w:val="Heading6"/>
      </w:pPr>
      <w:bookmarkStart w:id="958" w:name="_Toc398"/>
      <w:r>
        <w:t>[هل الوقف یبطل بنفس البیع أو بجوازه]</w:t>
      </w:r>
      <w:bookmarkEnd w:id="958"/>
    </w:p>
    <w:p>
      <w:pPr>
        <w:pStyle w:val="BookText"/>
      </w:pPr>
      <w:r>
        <w:rPr>
          <w:rFonts w:ascii="IRNazanin" w:hAnsi="IRNazanin" w:eastAsia="IRNazanin" w:cs="IRNazanin"/>
          <w:lang w:bidi="fa-IR"/>
          <w:color w:val="111111"/>
          <w:sz w:val="28"/>
          <w:szCs w:val="28"/>
          <w:rtl/>
        </w:rPr>
        <w:t xml:space="preserve">ثمّ إنّ جواز البیع لا ینافی بقاء الوقف إلی أن یباع،فالوقف یبطل بنفس البیع لا بجوازه،فمعنی جواز بیع العین الموقوفة:جواز إبطال وقفها إلی بدل أو لا إلیه؛فإنّ مدلول صیغة الوقف و إن أُخذ فیه الدوام و المنع عن المعاوضة علیه،إلّا أنّه قد یعرض ما یجوِّز مخالفة هذا الإنشاء،کما أنّ مقتضی العقد الجائز کالهبة تملیک المتّهَب المقتضی لتسلّطه المنافی لجواز انتزاعه من یده،و مع ذلک یجوز مخالفته و قطع سلطنته عنه،فتأمّل.</w:t>
      </w:r>
    </w:p>
    <w:p>
      <w:pPr>
        <w:pStyle w:val="Heading6"/>
      </w:pPr>
      <w:bookmarkStart w:id="959" w:name="_Toc399"/>
      <w:r>
        <w:t>[کلام صاحب الجواهر و کاشف الغطاء فی أن الوقف یبطل بمجرد جواز البیع و المناقشة فیما أفاد صاحب الجواهر و کاشف الغطاء]</w:t>
      </w:r>
      <w:bookmarkEnd w:id="9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إلّا أنّه ذکر بعضٌ فی هذا المقام:أنّ الذی یقوی فی النظر بعد إمعانه:أنّ الوقف ما دام وقفاً لا یجوز بیعه،بل لعلّ جواز بیعه مع کونه وقفاً من التضادّ.نعم،إذا بطل الوقف اتّجه حینئذٍ جواز بیعه،ثمّ ذکر بعض مبطلات الوقف المسوّغة لبیعه </w:t>
      </w:r>
      <w:r>
        <w:rPr>
          <w:rStyle w:val="FootnoteReference"/>
        </w:rPr>
        <w:footnoteReference w:id="727"/>
      </w:r>
      <w:r>
        <w:rPr>
          <w:rFonts w:ascii="IRNazanin" w:hAnsi="IRNazanin" w:eastAsia="IRNazanin" w:cs="IRNazanin"/>
          <w:lang w:bidi="fa-IR"/>
          <w:color w:val="111111"/>
          <w:sz w:val="28"/>
          <w:szCs w:val="28"/>
          <w:rtl/>
        </w:rPr>
        <w:t xml:space="preserve">.و قد سبقه إلی ذلک بعض الأساطین فی شرحه علی القواعد،حیث استدلّ علی المنع عن بیع الوقف بعد النصّ و الإجماع،بل الضرورة-:بأنّ البیع و أضرابه ینافی حقیقة الوقف؛لأخذ الدوام فیه،و أنّ نفی المعاوضات مأخوذ فیه ابتداءً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فیه:أنّه إن أُرید من بطلانه انتفاء بعض آثاره و هو جواز البیع المسبَّب عن سقوط حقّ الموقوف علیهم عن شخص العین أو عنها و عن بدلها،حیث قلنا بکون الثمن للبطن الذی یبیع فهذا لا محصَّل له، فضلاً عن أن یحتاج إلی نظر،فضلاً عن إمعانه.</w:t>
      </w:r>
    </w:p>
    <w:p>
      <w:pPr>
        <w:pStyle w:val="BookText"/>
      </w:pPr>
      <w:r>
        <w:rPr>
          <w:rFonts w:ascii="IRNazanin" w:hAnsi="IRNazanin" w:eastAsia="IRNazanin" w:cs="IRNazanin"/>
          <w:lang w:bidi="fa-IR"/>
          <w:color w:val="111111"/>
          <w:sz w:val="28"/>
          <w:szCs w:val="28"/>
          <w:rtl/>
        </w:rPr>
        <w:t xml:space="preserve">و إن أُرید به انتفاء أصل الوقف کما هو ظاهر کلامه حیث جعل المنع من البیع من مقوّمات مفهوم الوقف،ففیه مع کونه خلاف الإجماع؛إذ لم یقل أحد ممّن أجاز بیع الوقف فی بعض الموارد ببطلان الوقف و خروج الموقوف عن ملک الموقوف علیه إلی ملک الواقف-:أنّ المنع عن البیع لیس مأخوذاً فی مفهومه،بل هو فی غیر المساجد و شبهها قسم من التملیک؛و لذا یطلق علیه الصدقة </w:t>
      </w:r>
      <w:r>
        <w:rPr>
          <w:rStyle w:val="FootnoteReference"/>
        </w:rPr>
        <w:footnoteReference w:id="729"/>
      </w:r>
      <w:r>
        <w:rPr>
          <w:rFonts w:ascii="IRNazanin" w:hAnsi="IRNazanin" w:eastAsia="IRNazanin" w:cs="IRNazanin"/>
          <w:lang w:bidi="fa-IR"/>
          <w:color w:val="111111"/>
          <w:sz w:val="28"/>
          <w:szCs w:val="28"/>
          <w:rtl/>
        </w:rPr>
        <w:t xml:space="preserve">،و یجوز إیجابه بلفظ «تصدّقت»،إلّا أنّ المالک له بطون متلاحقة،فإذا جاز بیعه مع الإبدال کان البائع ولیّاً عن جمیع الملّاک فی إبدال مالهم بمالٍ آخر،و إذا جاز لا معه کما إذا بیع لضرورة البطن الموجود علی القول بجوازه فقد جعل الشارع لهم حقّ إبطال الوقف ببیعه لأنفسهم،فإذا لم یبیعوا لم یبطل؛ و لذا </w:t>
      </w:r>
      <w:r>
        <w:rPr>
          <w:rStyle w:val="FootnoteReference"/>
        </w:rPr>
        <w:footnoteReference w:id="730"/>
      </w:r>
      <w:r>
        <w:rPr>
          <w:rFonts w:ascii="IRNazanin" w:hAnsi="IRNazanin" w:eastAsia="IRNazanin" w:cs="IRNazanin"/>
          <w:lang w:bidi="fa-IR"/>
          <w:color w:val="111111"/>
          <w:sz w:val="28"/>
          <w:szCs w:val="28"/>
          <w:rtl/>
        </w:rPr>
        <w:t xml:space="preserve">لو فرض اندفاع الضرورة بعد الحکم بجواز البیع أو لم یتّفق البیع،کان الوقف علی حاله؛و لذا صرّح فی جامع المقاصد بعدم جواز رهن الوقف و إن بلغ حدّا یجوز بیعه؛معلّلاً باحتمال طروّ الیسار للموقوف علیهم عند إرادة بیعه فی دَین المرتهن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6" w:name="pg14419_166941"/>
    <w:bookmarkEnd w:id="176"/>
    <w:p>
      <w:pPr>
        <w:pStyle w:val="Heading6"/>
      </w:pPr>
      <w:bookmarkStart w:id="960" w:name="_Toc400"/>
      <w:r>
        <w:t>[الأقوال فی الخروج عن عموم منع بیع الوقف]</w:t>
      </w:r>
      <w:bookmarkEnd w:id="960"/>
    </w:p>
    <w:p>
      <w:pPr>
        <w:pStyle w:val="BookText"/>
      </w:pPr>
      <w:r>
        <w:rPr>
          <w:rFonts w:ascii="IRNazanin" w:hAnsi="IRNazanin" w:eastAsia="IRNazanin" w:cs="IRNazanin"/>
          <w:lang w:bidi="fa-IR"/>
          <w:color w:val="111111"/>
          <w:sz w:val="28"/>
          <w:szCs w:val="28"/>
          <w:rtl/>
        </w:rPr>
        <w:t xml:space="preserve">[الأقوال فی الخروج عن عموم منع بیع الوقف]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إذا عرفت </w:t>
      </w:r>
      <w:r>
        <w:rPr>
          <w:rStyle w:val="FootnoteReference"/>
        </w:rPr>
        <w:footnoteReference w:id="733"/>
      </w:r>
      <w:r>
        <w:rPr>
          <w:rFonts w:ascii="IRNazanin" w:hAnsi="IRNazanin" w:eastAsia="IRNazanin" w:cs="IRNazanin"/>
          <w:lang w:bidi="fa-IR"/>
          <w:color w:val="111111"/>
          <w:sz w:val="28"/>
          <w:szCs w:val="28"/>
          <w:rtl/>
        </w:rPr>
        <w:t xml:space="preserve">أنّ مقتضی العمومات </w:t>
      </w:r>
      <w:r>
        <w:rPr>
          <w:rStyle w:val="FootnoteReference"/>
        </w:rPr>
        <w:footnoteReference w:id="734"/>
      </w:r>
      <w:r>
        <w:rPr>
          <w:rFonts w:ascii="IRNazanin" w:hAnsi="IRNazanin" w:eastAsia="IRNazanin" w:cs="IRNazanin"/>
          <w:lang w:bidi="fa-IR"/>
          <w:color w:val="111111"/>
          <w:sz w:val="28"/>
          <w:szCs w:val="28"/>
          <w:rtl/>
        </w:rPr>
        <w:t xml:space="preserve">فی الوقف عدم جواز البیع،</w:t>
      </w:r>
    </w:p>
    <w:p>
      <w:pPr>
        <w:pStyle w:val="Heading6"/>
      </w:pPr>
      <w:bookmarkStart w:id="961" w:name="_Toc401"/>
      <w:r>
        <w:t>فاعلم أنّ لأصحابنا فی الخروج عن عموم المنع فی الجملة أقوالاً</w:t>
      </w:r>
      <w:bookmarkEnd w:id="961"/>
    </w:p>
    <w:p>
      <w:pPr>
        <w:pStyle w:val="Heading6"/>
      </w:pPr>
      <w:bookmarkStart w:id="962" w:name="_Toc402"/>
      <w:r>
        <w:t>أحدها: عدم الخروج عنه أصلاً</w:t>
      </w:r>
      <w:bookmarkEnd w:id="962"/>
    </w:p>
    <w:p>
      <w:pPr>
        <w:pStyle w:val="BookText"/>
      </w:pPr>
      <w:r>
        <w:rPr>
          <w:rFonts w:ascii="IRNazanin" w:hAnsi="IRNazanin" w:eastAsia="IRNazanin" w:cs="IRNazanin"/>
          <w:lang w:bidi="fa-IR"/>
          <w:color w:val="111111"/>
          <w:sz w:val="28"/>
          <w:szCs w:val="28"/>
          <w:rtl/>
        </w:rPr>
        <w:t xml:space="preserve">و هو الظاهر من کلام الحلّی، حیث قال فی السرائر بعد نقل کلام المفید قدّس سرّه-:و الذی یقتضیه مذهبنا أنّه بعد وقفه و تقبیضه </w:t>
      </w:r>
      <w:r>
        <w:rPr>
          <w:rStyle w:val="FootnoteReference"/>
        </w:rPr>
        <w:footnoteReference w:id="735"/>
      </w:r>
      <w:r>
        <w:rPr>
          <w:rFonts w:ascii="IRNazanin" w:hAnsi="IRNazanin" w:eastAsia="IRNazanin" w:cs="IRNazanin"/>
          <w:lang w:bidi="fa-IR"/>
          <w:color w:val="111111"/>
          <w:sz w:val="28"/>
          <w:szCs w:val="28"/>
          <w:rtl/>
        </w:rPr>
        <w:t xml:space="preserve">لا یجوز الرجوع فیه،و لا تغییره عن وجوهه و سُبُله،و لا بیعه،سواء کان بیعه أدرّ </w:t>
      </w:r>
      <w:r>
        <w:rPr>
          <w:rStyle w:val="FootnoteReference"/>
        </w:rPr>
        <w:footnoteReference w:id="736"/>
      </w:r>
      <w:r>
        <w:rPr>
          <w:rFonts w:ascii="IRNazanin" w:hAnsi="IRNazanin" w:eastAsia="IRNazanin" w:cs="IRNazanin"/>
          <w:lang w:bidi="fa-IR"/>
          <w:color w:val="111111"/>
          <w:sz w:val="28"/>
          <w:szCs w:val="28"/>
          <w:rtl/>
        </w:rPr>
        <w:t xml:space="preserve">علیهم أم لا،و سواء خرب الوقف و لا یوجد من یراعیه بعمارة من سلطان و غیره،أو یحصل بحیث لا یجدی نفعاً،أم لا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الشهید رحمه اللّٰه بعد نقل أقوال المجوّزین-:و ابن إدریس سدَّ الباب،و هو نادر مع قوّته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ادّعی فی السرائر عدم الخلاف فی المؤبَّد،قال:إنّ الخلاف الذی حکیناه بین أصحابنا إنّما هو إذا کان الوقف علی قوم مخصوصین و لیس فیه شرط یقتضی رجوعه إلی غیرهم،و أمّا إذا کان الوقف علی قوم و مِن بعدهم علی غیرهم و کان الواقف قد اشترط رجوعه إلی غیره إلی أن یرث اللّٰه الأرض،لم یجز بیعه علی وجهٍ،بغیر خلاف بین أصحابنا </w:t>
      </w:r>
      <w:r>
        <w:rPr>
          <w:rStyle w:val="FootnoteReference"/>
        </w:rPr>
        <w:footnoteReference w:id="73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 نظر یظهر ممّا سیأتی من ظهور أقوال کثیرٍ من المجوّزین فی المؤبّد.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حکی المنع مطلقاً عن الإسکافی </w:t>
      </w:r>
      <w:r>
        <w:rPr>
          <w:rStyle w:val="FootnoteReference"/>
        </w:rPr>
        <w:footnoteReference w:id="740"/>
      </w:r>
      <w:r>
        <w:rPr>
          <w:rFonts w:ascii="IRNazanin" w:hAnsi="IRNazanin" w:eastAsia="IRNazanin" w:cs="IRNazanin"/>
          <w:lang w:bidi="fa-IR"/>
          <w:color w:val="111111"/>
          <w:sz w:val="28"/>
          <w:szCs w:val="28"/>
          <w:rtl/>
        </w:rPr>
        <w:t xml:space="preserve">و فخر الإسلام </w:t>
      </w:r>
      <w:r>
        <w:rPr>
          <w:rStyle w:val="FootnoteReference"/>
        </w:rPr>
        <w:footnoteReference w:id="741"/>
      </w:r>
      <w:r>
        <w:rPr>
          <w:rFonts w:ascii="IRNazanin" w:hAnsi="IRNazanin" w:eastAsia="IRNazanin" w:cs="IRNazanin"/>
          <w:lang w:bidi="fa-IR"/>
          <w:color w:val="111111"/>
          <w:sz w:val="28"/>
          <w:szCs w:val="28"/>
          <w:rtl/>
        </w:rPr>
        <w:t xml:space="preserve">أیضاً إلّا فی آلات الموقوف </w:t>
      </w:r>
      <w:r>
        <w:rPr>
          <w:rStyle w:val="FootnoteReference"/>
        </w:rPr>
        <w:footnoteReference w:id="742"/>
      </w:r>
      <w:r>
        <w:rPr>
          <w:rFonts w:ascii="IRNazanin" w:hAnsi="IRNazanin" w:eastAsia="IRNazanin" w:cs="IRNazanin"/>
          <w:lang w:bidi="fa-IR"/>
          <w:color w:val="111111"/>
          <w:sz w:val="28"/>
          <w:szCs w:val="28"/>
          <w:rtl/>
        </w:rPr>
        <w:t xml:space="preserve">و أجزائه التی انحصر طریق الانتفاع بها فی البیع.</w:t>
      </w:r>
    </w:p>
    <w:p>
      <w:pPr>
        <w:pStyle w:val="BookText"/>
      </w:pPr>
      <w:r>
        <w:rPr>
          <w:rFonts w:ascii="IRNazanin" w:hAnsi="IRNazanin" w:eastAsia="IRNazanin" w:cs="IRNazanin"/>
          <w:lang w:bidi="fa-IR"/>
          <w:color w:val="111111"/>
          <w:sz w:val="28"/>
          <w:szCs w:val="28"/>
          <w:rtl/>
        </w:rPr>
        <w:t xml:space="preserve">قال الإسکافی فیما </w:t>
      </w:r>
      <w:r>
        <w:rPr>
          <w:rStyle w:val="FootnoteReference"/>
        </w:rPr>
        <w:footnoteReference w:id="743"/>
      </w:r>
      <w:r>
        <w:rPr>
          <w:rFonts w:ascii="IRNazanin" w:hAnsi="IRNazanin" w:eastAsia="IRNazanin" w:cs="IRNazanin"/>
          <w:lang w:bidi="fa-IR"/>
          <w:color w:val="111111"/>
          <w:sz w:val="28"/>
          <w:szCs w:val="28"/>
          <w:rtl/>
        </w:rPr>
        <w:t xml:space="preserve">حکی عنه فی المختلف-:إنّ الموقوف </w:t>
      </w:r>
      <w:r>
        <w:rPr>
          <w:rStyle w:val="FootnoteReference"/>
        </w:rPr>
        <w:footnoteReference w:id="744"/>
      </w:r>
      <w:r>
        <w:rPr>
          <w:rFonts w:ascii="IRNazanin" w:hAnsi="IRNazanin" w:eastAsia="IRNazanin" w:cs="IRNazanin"/>
          <w:lang w:bidi="fa-IR"/>
          <w:color w:val="111111"/>
          <w:sz w:val="28"/>
          <w:szCs w:val="28"/>
          <w:rtl/>
        </w:rPr>
        <w:t xml:space="preserve">رقیقاً أو غیره لو بلغ حاله إلی زوال ما سبّله من منفعته فلا بأس ببیعه و إبدال مکانه بثمنه إن أمکن،أو صرفه فیما کان یصرف </w:t>
      </w:r>
      <w:r>
        <w:rPr>
          <w:rStyle w:val="FootnoteReference"/>
        </w:rPr>
        <w:footnoteReference w:id="745"/>
      </w:r>
      <w:r>
        <w:rPr>
          <w:rFonts w:ascii="IRNazanin" w:hAnsi="IRNazanin" w:eastAsia="IRNazanin" w:cs="IRNazanin"/>
          <w:lang w:bidi="fa-IR"/>
          <w:color w:val="111111"/>
          <w:sz w:val="28"/>
          <w:szCs w:val="28"/>
          <w:rtl/>
        </w:rPr>
        <w:t xml:space="preserve">إلیه منفعته، أو ردّ ثمنه علی منافع ما بقی من أصل ما حبس معه إذا کان</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14419_166943"/>
    <w:bookmarkEnd w:id="177"/>
    <w:p>
      <w:pPr>
        <w:pStyle w:val="BookText"/>
      </w:pPr>
      <w:r>
        <w:rPr>
          <w:rFonts w:ascii="IRNazanin" w:hAnsi="IRNazanin" w:eastAsia="IRNazanin" w:cs="IRNazanin"/>
          <w:lang w:bidi="fa-IR"/>
          <w:color w:val="111111"/>
          <w:sz w:val="28"/>
          <w:szCs w:val="28"/>
          <w:rtl/>
        </w:rPr>
        <w:t xml:space="preserve">فی ذلک صلاح </w:t>
      </w:r>
      <w:r>
        <w:rPr>
          <w:rStyle w:val="FootnoteReference"/>
        </w:rPr>
        <w:footnoteReference w:id="74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فخر الدین فی الإیضاح فی شرح قول والده قدّس سرّهما:«و لو خَلِقَ حصیر المسجد،و خرج عن الانتفاع به،أو انکسر الجذع بحیث لا ینتفع به فی غیر الإحراق،فالأقرب جواز بیعه»،قال بعد احتمال المنع،بعموم النصّ فی المنع-:</w:t>
      </w:r>
    </w:p>
    <w:p>
      <w:pPr>
        <w:pStyle w:val="BookText"/>
      </w:pPr>
      <w:r>
        <w:rPr>
          <w:rFonts w:ascii="IRNazanin" w:hAnsi="IRNazanin" w:eastAsia="IRNazanin" w:cs="IRNazanin"/>
          <w:lang w:bidi="fa-IR"/>
          <w:color w:val="111111"/>
          <w:sz w:val="28"/>
          <w:szCs w:val="28"/>
          <w:rtl/>
        </w:rPr>
        <w:t xml:space="preserve">و الأصحّ عندی جواز بیعه و صرف ثمنه فی المماثل إن أمکن،و إلّا ففی غیره </w:t>
      </w:r>
      <w:r>
        <w:rPr>
          <w:rStyle w:val="FootnoteReference"/>
        </w:rPr>
        <w:footnoteReference w:id="74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نسبة المنع إلیهما علی الإطلاق لا بدّ أن تُبنی علی خروج مثل هذا عن محلّ الخلاف،و سیظهر هذا من عبارة الحلبی فی الکافی أیضاً، فلاحظ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6"/>
      </w:pPr>
      <w:bookmarkStart w:id="963" w:name="_Toc403"/>
      <w:r>
        <w:t>الثانی الخروج عن عموم المنع فی المنقطع فی الجملة</w:t>
      </w:r>
      <w:bookmarkEnd w:id="963"/>
    </w:p>
    <w:p>
      <w:pPr>
        <w:pStyle w:val="BookText"/>
      </w:pPr>
      <w:r>
        <w:rPr>
          <w:rStyle w:val="FootnoteReference"/>
        </w:rPr>
        <w:footnoteReference w:id="749"/>
      </w:r>
      <w:r>
        <w:rPr>
          <w:rFonts w:ascii="IRNazanin" w:hAnsi="IRNazanin" w:eastAsia="IRNazanin" w:cs="IRNazanin"/>
          <w:lang w:bidi="fa-IR"/>
          <w:color w:val="111111"/>
          <w:sz w:val="28"/>
          <w:szCs w:val="28"/>
          <w:rtl/>
        </w:rPr>
        <w:t xml:space="preserve">
خاصّة دون المؤبّد،و هو المحکیّ عن القاضی،حیث قال فی محکیّ المهذّب:إذا کان الشیء وقفاً علی قوم و من بعدهم علی </w:t>
      </w:r>
      <w:r>
        <w:rPr>
          <w:rStyle w:val="FootnoteReference"/>
        </w:rPr>
        <w:footnoteReference w:id="750"/>
      </w:r>
      <w:r>
        <w:rPr>
          <w:rFonts w:ascii="IRNazanin" w:hAnsi="IRNazanin" w:eastAsia="IRNazanin" w:cs="IRNazanin"/>
          <w:lang w:bidi="fa-IR"/>
          <w:color w:val="111111"/>
          <w:sz w:val="28"/>
          <w:szCs w:val="28"/>
          <w:rtl/>
        </w:rPr>
        <w:t xml:space="preserve">غیرهم و کان الواقف قد</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اشترط رجوعه إلی غیر ذلک إلی أن یرث اللّٰه تعالی </w:t>
      </w:r>
      <w:r>
        <w:rPr>
          <w:rStyle w:val="FootnoteReference"/>
        </w:rPr>
        <w:footnoteReference w:id="751"/>
      </w:r>
      <w:r>
        <w:rPr>
          <w:rFonts w:ascii="IRNazanin" w:hAnsi="IRNazanin" w:eastAsia="IRNazanin" w:cs="IRNazanin"/>
          <w:lang w:bidi="fa-IR"/>
          <w:color w:val="111111"/>
          <w:sz w:val="28"/>
          <w:szCs w:val="28"/>
          <w:rtl/>
        </w:rPr>
        <w:t xml:space="preserve">الأرض و من علیها،لم یجز بیعه علی وجهٍ من الوجوه،فإن کان وقفاً علی قومٍ مخصوصین و لیس فیه شرطٌ یقتضی رجوعه إلی غیرهم حسب ما قدّمناه، و حصل الخوف من هلاکه أو فساده،أو کان بأربابه حاجةٌ ضروریّة یکون بیعه أصلح لهم من بقائه علیهم،أو یخاف من وقوع خُلْفٍ بینهم یؤدّی إلی فساده؛فإنّه حینئذٍ یجوز بیعه و صرف ثمنه فی مصالحهم علی حسب استحقاقهم،فإن لم یحصل شیءٌ من ذلک لم یجز بیعه علی وجهٍ من الوجوه.و لا یجوز هبة الوقف،و لا الصدقة به أیضاً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المختلف و جماعة </w:t>
      </w:r>
      <w:r>
        <w:rPr>
          <w:rStyle w:val="FootnoteReference"/>
        </w:rPr>
        <w:footnoteReference w:id="753"/>
      </w:r>
      <w:r>
        <w:rPr>
          <w:rFonts w:ascii="IRNazanin" w:hAnsi="IRNazanin" w:eastAsia="IRNazanin" w:cs="IRNazanin"/>
          <w:lang w:bidi="fa-IR"/>
          <w:color w:val="111111"/>
          <w:sz w:val="28"/>
          <w:szCs w:val="28"/>
          <w:rtl/>
        </w:rPr>
        <w:t xml:space="preserve">نسبة التفصیل إلی الحلبی،لکن العبارة المحکیّة عن کافیه لا تساعده،بل ربما استظهر </w:t>
      </w:r>
      <w:r>
        <w:rPr>
          <w:rStyle w:val="FootnoteReference"/>
        </w:rPr>
        <w:footnoteReference w:id="754"/>
      </w:r>
      <w:r>
        <w:rPr>
          <w:rFonts w:ascii="IRNazanin" w:hAnsi="IRNazanin" w:eastAsia="IRNazanin" w:cs="IRNazanin"/>
          <w:lang w:bidi="fa-IR"/>
          <w:color w:val="111111"/>
          <w:sz w:val="28"/>
          <w:szCs w:val="28"/>
          <w:rtl/>
        </w:rPr>
        <w:t xml:space="preserve">منه المنع علی الإطلاق،فراجع.</w:t>
      </w:r>
    </w:p>
    <w:p>
      <w:pPr>
        <w:pStyle w:val="BookText"/>
      </w:pPr>
      <w:r>
        <w:rPr>
          <w:rFonts w:ascii="IRNazanin" w:hAnsi="IRNazanin" w:eastAsia="IRNazanin" w:cs="IRNazanin"/>
          <w:lang w:bidi="fa-IR"/>
          <w:color w:val="111111"/>
          <w:sz w:val="28"/>
          <w:szCs w:val="28"/>
          <w:rtl/>
        </w:rPr>
        <w:t xml:space="preserve">و حکی التفصیل المذکور عن الصدوق </w:t>
      </w:r>
      <w:r>
        <w:rPr>
          <w:rStyle w:val="FootnoteReference"/>
        </w:rPr>
        <w:footnoteReference w:id="755"/>
      </w:r>
      <w:r>
        <w:rPr>
          <w:rFonts w:ascii="IRNazanin" w:hAnsi="IRNazanin" w:eastAsia="IRNazanin" w:cs="IRNazanin"/>
          <w:lang w:bidi="fa-IR"/>
          <w:color w:val="111111"/>
          <w:sz w:val="28"/>
          <w:szCs w:val="28"/>
          <w:rtl/>
        </w:rPr>
        <w:t xml:space="preserve">.و المحکی عن الفقیه:أنّه قال بعد روایة علی بن مهزیار الآتیة </w:t>
      </w:r>
      <w:r>
        <w:rPr>
          <w:rStyle w:val="FootnoteReference"/>
        </w:rPr>
        <w:footnoteReference w:id="756"/>
      </w:r>
      <w:r>
        <w:rPr>
          <w:rFonts w:ascii="IRNazanin" w:hAnsi="IRNazanin" w:eastAsia="IRNazanin" w:cs="IRNazanin"/>
          <w:lang w:bidi="fa-IR"/>
          <w:color w:val="111111"/>
          <w:sz w:val="28"/>
          <w:szCs w:val="28"/>
          <w:rtl/>
        </w:rPr>
        <w:t xml:space="preserve">-:إنّ هذا وقف کان علیهم</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مَن بعدهم،و لو کان علیهم و علی أولادهم ما تناسلوا و من بعد </w:t>
      </w:r>
      <w:r>
        <w:rPr>
          <w:rStyle w:val="FootnoteReference"/>
        </w:rPr>
        <w:footnoteReference w:id="757"/>
      </w:r>
      <w:r>
        <w:rPr>
          <w:rFonts w:ascii="IRNazanin" w:hAnsi="IRNazanin" w:eastAsia="IRNazanin" w:cs="IRNazanin"/>
          <w:lang w:bidi="fa-IR"/>
          <w:color w:val="111111"/>
          <w:sz w:val="28"/>
          <w:szCs w:val="28"/>
          <w:rtl/>
        </w:rPr>
        <w:t xml:space="preserve">علی فقراء المسلمین إلی أن یرث اللّٰه تعالی الأرض و من علیها،لم یجز بیعه أبداً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جواز بیع ما عدا الطبقة الأخیرة فی المنقطع لا یظهر من کلام الصدوق و القاضی،کما لا یخفی.</w:t>
      </w:r>
    </w:p>
    <w:p>
      <w:pPr>
        <w:pStyle w:val="BookText"/>
      </w:pPr>
      <w:r>
        <w:rPr>
          <w:rFonts w:ascii="Amiri" w:hAnsi="Amiri" w:eastAsia="Amiri" w:cs="Amiri"/>
          <w:lang w:bidi="ar-SA"/>
          <w:color w:val="111111"/>
          <w:sz w:val="28"/>
          <w:szCs w:val="28"/>
          <w:rtl/>
        </w:rPr>
        <w:t xml:space="preserve">ثمّ إنّ هؤلاء إن کانوا ممّن یقول </w:t>
      </w:r>
      <w:r>
        <w:rPr>
          <w:rStyle w:val="FootnoteReference"/>
        </w:rPr>
        <w:footnoteReference w:id="759"/>
      </w:r>
      <w:r>
        <w:rPr>
          <w:rFonts w:ascii="IRNazanin" w:hAnsi="IRNazanin" w:eastAsia="IRNazanin" w:cs="IRNazanin"/>
          <w:lang w:bidi="fa-IR"/>
          <w:color w:val="111111"/>
          <w:sz w:val="28"/>
          <w:szCs w:val="28"/>
          <w:rtl/>
        </w:rPr>
        <w:t xml:space="preserve">برجوع الوقف المنقطع إلی ورثة الموقوف علیه،فللقول بجواز بیعه وجه.أمّا إذا کان فیهم </w:t>
      </w:r>
      <w:r>
        <w:rPr>
          <w:rStyle w:val="FootnoteReference"/>
        </w:rPr>
        <w:footnoteReference w:id="760"/>
      </w:r>
      <w:r>
        <w:rPr>
          <w:rFonts w:ascii="IRNazanin" w:hAnsi="IRNazanin" w:eastAsia="IRNazanin" w:cs="IRNazanin"/>
          <w:lang w:bidi="fa-IR"/>
          <w:color w:val="111111"/>
          <w:sz w:val="28"/>
          <w:szCs w:val="28"/>
          <w:rtl/>
        </w:rPr>
        <w:t xml:space="preserve">من یقول برجوعه بعد انقراض الموقوف علیه إلی الواقف أو ورثته،فلا وجه للحکم بجواز بیعه و صرف الموقوف علیهم ثَمَنه فی مصالحهم.</w:t>
      </w:r>
    </w:p>
    <w:p>
      <w:pPr>
        <w:pStyle w:val="BookText"/>
      </w:pPr>
      <w:r>
        <w:rPr>
          <w:rFonts w:ascii="IRNazanin" w:hAnsi="IRNazanin" w:eastAsia="IRNazanin" w:cs="IRNazanin"/>
          <w:lang w:bidi="fa-IR"/>
          <w:color w:val="111111"/>
          <w:sz w:val="28"/>
          <w:szCs w:val="28"/>
          <w:rtl/>
        </w:rPr>
        <w:t xml:space="preserve">و قد حکی القول بهذین </w:t>
      </w:r>
      <w:r>
        <w:rPr>
          <w:rStyle w:val="FootnoteReference"/>
        </w:rPr>
        <w:footnoteReference w:id="761"/>
      </w:r>
      <w:r>
        <w:rPr>
          <w:rFonts w:ascii="IRNazanin" w:hAnsi="IRNazanin" w:eastAsia="IRNazanin" w:cs="IRNazanin"/>
          <w:lang w:bidi="fa-IR"/>
          <w:color w:val="111111"/>
          <w:sz w:val="28"/>
          <w:szCs w:val="28"/>
          <w:rtl/>
        </w:rPr>
        <w:t xml:space="preserve">عن القاضی </w:t>
      </w:r>
      <w:r>
        <w:rPr>
          <w:rStyle w:val="FootnoteReference"/>
        </w:rPr>
        <w:footnoteReference w:id="762"/>
      </w:r>
      <w:r>
        <w:rPr>
          <w:rFonts w:ascii="IRNazanin" w:hAnsi="IRNazanin" w:eastAsia="IRNazanin" w:cs="IRNazanin"/>
          <w:lang w:bidi="fa-IR"/>
          <w:color w:val="111111"/>
          <w:sz w:val="28"/>
          <w:szCs w:val="28"/>
          <w:rtl/>
        </w:rPr>
        <w:t xml:space="preserve">.إلّا أن یوجّه بأنّه لا یقول ببقائه علی ملک الواقف حین الوقف </w:t>
      </w:r>
      <w:r>
        <w:rPr>
          <w:rStyle w:val="FootnoteReference"/>
        </w:rPr>
        <w:footnoteReference w:id="763"/>
      </w:r>
      <w:r>
        <w:rPr>
          <w:rFonts w:ascii="IRNazanin" w:hAnsi="IRNazanin" w:eastAsia="IRNazanin" w:cs="IRNazanin"/>
          <w:lang w:bidi="fa-IR"/>
          <w:color w:val="111111"/>
          <w:sz w:val="28"/>
          <w:szCs w:val="28"/>
          <w:rtl/>
        </w:rPr>
        <w:t xml:space="preserve">حتّی یکون حبساً،بل هو وقف حقیقی و تملیک للموقوف علیهم مدّة وجودهم،و حینئذٍ فبیعهم له مع تعلّق حقّ الواقف نظیر بیع البطن الأوّل مع تعلّق حقّ سائر البطون فی الوقف المؤبّد.</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8" w:name="pg14419_166946"/>
    <w:bookmarkEnd w:id="178"/>
    <w:p>
      <w:pPr>
        <w:pStyle w:val="BookText"/>
      </w:pPr>
      <w:r>
        <w:rPr>
          <w:rFonts w:ascii="IRNazanin" w:hAnsi="IRNazanin" w:eastAsia="IRNazanin" w:cs="IRNazanin"/>
          <w:lang w:bidi="fa-IR"/>
          <w:color w:val="111111"/>
          <w:sz w:val="28"/>
          <w:szCs w:val="28"/>
          <w:rtl/>
        </w:rPr>
        <w:t xml:space="preserve">لکن هذا الوجه لا یدفع الإشکال عن الحلبی،المحکیّ عنه القول المتقدّم </w:t>
      </w:r>
      <w:r>
        <w:rPr>
          <w:rStyle w:val="FootnoteReference"/>
        </w:rPr>
        <w:footnoteReference w:id="764"/>
      </w:r>
      <w:r>
        <w:rPr>
          <w:rFonts w:ascii="IRNazanin" w:hAnsi="IRNazanin" w:eastAsia="IRNazanin" w:cs="IRNazanin"/>
          <w:lang w:bidi="fa-IR"/>
          <w:color w:val="111111"/>
          <w:sz w:val="28"/>
          <w:szCs w:val="28"/>
          <w:rtl/>
        </w:rPr>
        <w:t xml:space="preserve">،حیث إنّه یقول ببقاء </w:t>
      </w:r>
      <w:r>
        <w:rPr>
          <w:rStyle w:val="FootnoteReference"/>
        </w:rPr>
        <w:footnoteReference w:id="765"/>
      </w:r>
      <w:r>
        <w:rPr>
          <w:rFonts w:ascii="IRNazanin" w:hAnsi="IRNazanin" w:eastAsia="IRNazanin" w:cs="IRNazanin"/>
          <w:lang w:bidi="fa-IR"/>
          <w:color w:val="111111"/>
          <w:sz w:val="28"/>
          <w:szCs w:val="28"/>
          <w:rtl/>
        </w:rPr>
        <w:t xml:space="preserve">الوقف مطلقاً علی ملک الواقف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6"/>
      </w:pPr>
      <w:bookmarkStart w:id="964" w:name="_Toc404"/>
      <w:r>
        <w:t>الثالث: الخروج عن عموم المنع و الحکم بالجواز فی المؤبّد</w:t>
      </w:r>
      <w:bookmarkEnd w:id="964"/>
    </w:p>
    <w:p>
      <w:pPr>
        <w:pStyle w:val="BookText"/>
      </w:pPr>
      <w:r>
        <w:rPr>
          <w:rFonts w:ascii="IRNazanin" w:hAnsi="IRNazanin" w:eastAsia="IRNazanin" w:cs="IRNazanin"/>
          <w:lang w:bidi="fa-IR"/>
          <w:color w:val="111111"/>
          <w:sz w:val="28"/>
          <w:szCs w:val="28"/>
          <w:rtl/>
        </w:rPr>
        <w:t xml:space="preserve">الثالث: الخروج عن عموم المنع و الحکم بالجواز فی المؤبّد </w:t>
      </w:r>
      <w:r>
        <w:rPr>
          <w:rStyle w:val="FootnoteReference"/>
        </w:rPr>
        <w:footnoteReference w:id="767"/>
      </w:r>
      <w:r>
        <w:rPr>
          <w:rFonts w:ascii="IRNazanin" w:hAnsi="IRNazanin" w:eastAsia="IRNazanin" w:cs="IRNazanin"/>
          <w:lang w:bidi="fa-IR"/>
          <w:color w:val="111111"/>
          <w:sz w:val="28"/>
          <w:szCs w:val="28"/>
          <w:rtl/>
        </w:rPr>
        <w:t xml:space="preserve">فی الجملة،</w:t>
      </w:r>
    </w:p>
    <w:p>
      <w:pPr>
        <w:pStyle w:val="BookText"/>
      </w:pPr>
      <w:r>
        <w:rPr>
          <w:rFonts w:ascii="IRNazanin" w:hAnsi="IRNazanin" w:eastAsia="IRNazanin" w:cs="IRNazanin"/>
          <w:lang w:bidi="fa-IR"/>
          <w:color w:val="111111"/>
          <w:sz w:val="28"/>
          <w:szCs w:val="28"/>
          <w:rtl/>
        </w:rPr>
        <w:t xml:space="preserve">و أمّا المنقطع فلم ینصّوا علیه و إن ظهر من بعضهم التعمیم و من بعضهم التخصیص بناءً علی قوله برجوع المنقطع إلی ورثة الواقف،کالشیخ </w:t>
      </w:r>
      <w:r>
        <w:rPr>
          <w:rStyle w:val="FootnoteReference"/>
        </w:rPr>
        <w:footnoteReference w:id="768"/>
      </w:r>
      <w:r>
        <w:rPr>
          <w:rFonts w:ascii="Amiri" w:hAnsi="Amiri" w:eastAsia="Amiri" w:cs="Amiri"/>
          <w:lang w:bidi="ar-SA"/>
          <w:color w:val="111111"/>
          <w:sz w:val="28"/>
          <w:szCs w:val="28"/>
          <w:rtl/>
        </w:rPr>
        <w:t xml:space="preserve">و سلّار </w:t>
      </w:r>
      <w:r>
        <w:rPr>
          <w:rStyle w:val="FootnoteReference"/>
        </w:rPr>
        <w:footnoteReference w:id="769"/>
      </w:r>
      <w:r>
        <w:rPr>
          <w:rFonts w:ascii="IRNazanin" w:hAnsi="IRNazanin" w:eastAsia="IRNazanin" w:cs="IRNazanin"/>
          <w:lang w:bidi="fa-IR"/>
          <w:color w:val="111111"/>
          <w:sz w:val="28"/>
          <w:szCs w:val="28"/>
          <w:rtl/>
        </w:rPr>
        <w:t xml:space="preserve">قدّس سرّهما.و من حکم برجوعه بعد انقراض الموقوف علیه إلی وجوه البرّ کالسیّد أبی المکارم ابن زهرة </w:t>
      </w:r>
      <w:r>
        <w:rPr>
          <w:rStyle w:val="FootnoteReference"/>
        </w:rPr>
        <w:footnoteReference w:id="770"/>
      </w:r>
      <w:r>
        <w:rPr>
          <w:rFonts w:ascii="IRNazanin" w:hAnsi="IRNazanin" w:eastAsia="IRNazanin" w:cs="IRNazanin"/>
          <w:lang w:bidi="fa-IR"/>
          <w:color w:val="111111"/>
          <w:sz w:val="28"/>
          <w:szCs w:val="28"/>
          <w:rtl/>
        </w:rPr>
        <w:t xml:space="preserve">فلازمه جعله کالمؤبّد.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کان،فالمناسب أوّلاً نقل عبائر هؤلاء،</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قال المفید فی المقنعة: الوقوف فی الأصل صدقات لا یجوز</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فیها،إلّا أن یُحدِث الموقوف علیهم ما یمنع الشرع من معونتهم و التقرّب إلی اللّٰه بصلتهم،أو یکون تغییر الشرط فی الموقوف أدرّ </w:t>
      </w:r>
      <w:r>
        <w:rPr>
          <w:rStyle w:val="FootnoteReference"/>
        </w:rPr>
        <w:footnoteReference w:id="771"/>
      </w:r>
      <w:r>
        <w:rPr>
          <w:rFonts w:ascii="IRNazanin" w:hAnsi="IRNazanin" w:eastAsia="IRNazanin" w:cs="IRNazanin"/>
          <w:lang w:bidi="fa-IR"/>
          <w:color w:val="111111"/>
          <w:sz w:val="28"/>
          <w:szCs w:val="28"/>
          <w:rtl/>
        </w:rPr>
        <w:t xml:space="preserve">علیهم و أنفع لهم من ترکه علی حاله.و إذا أخرج الواقف الوقف عن یده إلی من وقف علیه،لم یجز له الرجوع فی شیءٍ منه،و لا تغییر شرائطه،و لا نقله عن وجوهه و سبله.و متی اشترط الواقف فی الوقف:</w:t>
      </w:r>
    </w:p>
    <w:p>
      <w:pPr>
        <w:pStyle w:val="BookText"/>
      </w:pPr>
      <w:r>
        <w:rPr>
          <w:rFonts w:ascii="IRNazanin" w:hAnsi="IRNazanin" w:eastAsia="IRNazanin" w:cs="IRNazanin"/>
          <w:lang w:bidi="fa-IR"/>
          <w:color w:val="111111"/>
          <w:sz w:val="28"/>
          <w:szCs w:val="28"/>
          <w:rtl/>
        </w:rPr>
        <w:t xml:space="preserve">أنّه متی احتاج إلیه فی حیاته لفقرٍ کان له بیعه و صرف ثمنه فی مصالحه،جاز له فعل ذلک.و لیس لأرباب الوقف بعد وفاة الواقف أن یتصرّفوا فیه ببیع أو هبة أو یغیّروا شیئاً من شروطه،إلّا أن یخرب الوقف و لا یوجد من یراعیه بعمارةٍ من سلطان أو غیره،أو یحصل بحیث لا یجدی نفعاً </w:t>
      </w:r>
      <w:r>
        <w:rPr>
          <w:rStyle w:val="FootnoteReference"/>
        </w:rPr>
        <w:footnoteReference w:id="772"/>
      </w:r>
      <w:r>
        <w:rPr>
          <w:rFonts w:ascii="IRNazanin" w:hAnsi="IRNazanin" w:eastAsia="IRNazanin" w:cs="IRNazanin"/>
          <w:lang w:bidi="fa-IR"/>
          <w:color w:val="111111"/>
          <w:sz w:val="28"/>
          <w:szCs w:val="28"/>
          <w:rtl/>
        </w:rPr>
        <w:t xml:space="preserve">،فلهم حینئذٍ بیعه و الانتفاع بثمنه.و کذلک إن حصلت لهم </w:t>
      </w:r>
      <w:r>
        <w:rPr>
          <w:rStyle w:val="FootnoteReference"/>
        </w:rPr>
        <w:footnoteReference w:id="773"/>
      </w:r>
      <w:r>
        <w:rPr>
          <w:rFonts w:ascii="IRNazanin" w:hAnsi="IRNazanin" w:eastAsia="IRNazanin" w:cs="IRNazanin"/>
          <w:lang w:bidi="fa-IR"/>
          <w:color w:val="111111"/>
          <w:sz w:val="28"/>
          <w:szCs w:val="28"/>
          <w:rtl/>
        </w:rPr>
        <w:t xml:space="preserve">ضرورة إلی ثمنه کان لهم حلّه،و لا یجوز ذلک مع عدم ما ذکرناه من الأسباب و الضرورات </w:t>
      </w:r>
      <w:r>
        <w:rPr>
          <w:rStyle w:val="FootnoteReference"/>
        </w:rPr>
        <w:footnoteReference w:id="774"/>
      </w:r>
      <w:r>
        <w:rPr>
          <w:rFonts w:ascii="Amiri" w:hAnsi="Amiri" w:eastAsia="Amiri" w:cs="Amiri"/>
          <w:lang w:bidi="ar-SA"/>
          <w:color w:val="111111"/>
          <w:sz w:val="28"/>
          <w:szCs w:val="28"/>
          <w:rtl/>
        </w:rPr>
        <w:t xml:space="preserve">.انتهی کلامه رحمه اللّٰه.</w:t>
      </w:r>
    </w:p>
    <w:p>
      <w:pPr>
        <w:pStyle w:val="BookText"/>
      </w:pPr>
      <w:r>
        <w:rPr>
          <w:rFonts w:ascii="IRNazanin" w:hAnsi="IRNazanin" w:eastAsia="IRNazanin" w:cs="IRNazanin"/>
          <w:lang w:bidi="fa-IR"/>
          <w:color w:val="111111"/>
          <w:sz w:val="28"/>
          <w:szCs w:val="28"/>
          <w:rtl/>
        </w:rPr>
        <w:t xml:space="preserve">و قد استفاد من هذا الکلام فی غایة المراد جواز </w:t>
      </w:r>
      <w:r>
        <w:rPr>
          <w:rStyle w:val="FootnoteReference"/>
        </w:rPr>
        <w:footnoteReference w:id="775"/>
      </w:r>
      <w:r>
        <w:rPr>
          <w:rFonts w:ascii="IRNazanin" w:hAnsi="IRNazanin" w:eastAsia="IRNazanin" w:cs="IRNazanin"/>
          <w:lang w:bidi="fa-IR"/>
          <w:color w:val="111111"/>
          <w:sz w:val="28"/>
          <w:szCs w:val="28"/>
          <w:rtl/>
        </w:rPr>
        <w:t xml:space="preserve">بیع الوقف فی خمسة مواضع،و ضمّ صورة جواز الرجوع و جواز تغیّر </w:t>
      </w:r>
      <w:r>
        <w:rPr>
          <w:rStyle w:val="FootnoteReference"/>
        </w:rPr>
        <w:footnoteReference w:id="776"/>
      </w:r>
      <w:r>
        <w:rPr>
          <w:rFonts w:ascii="IRNazanin" w:hAnsi="IRNazanin" w:eastAsia="IRNazanin" w:cs="IRNazanin"/>
          <w:lang w:bidi="fa-IR"/>
          <w:color w:val="111111"/>
          <w:sz w:val="28"/>
          <w:szCs w:val="28"/>
          <w:rtl/>
        </w:rPr>
        <w:t xml:space="preserve">الشرط إلی المواضع الثلاثة المذکورة بعد وصول الموقوف إلی الموقوف علیهم و وفاة</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14419_166948"/>
    <w:bookmarkEnd w:id="179"/>
    <w:p>
      <w:pPr>
        <w:pStyle w:val="BookText"/>
      </w:pPr>
      <w:r>
        <w:rPr>
          <w:rFonts w:ascii="IRNazanin" w:hAnsi="IRNazanin" w:eastAsia="IRNazanin" w:cs="IRNazanin"/>
          <w:lang w:bidi="fa-IR"/>
          <w:color w:val="111111"/>
          <w:sz w:val="28"/>
          <w:szCs w:val="28"/>
          <w:rtl/>
        </w:rPr>
        <w:t xml:space="preserve">الواقف </w:t>
      </w:r>
      <w:r>
        <w:rPr>
          <w:rStyle w:val="FootnoteReference"/>
        </w:rPr>
        <w:footnoteReference w:id="777"/>
      </w: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ثمّ إنّ العلّامة ذکر فی التحریر:أنّ قول المفید بأنّه:«لا یجوز الرجوع فی الوقف إلّا أن یحدث إلی قوله:أنفع لهم من ترکه علی حاله»،متأوّل </w:t>
      </w:r>
      <w:r>
        <w:rPr>
          <w:rStyle w:val="FootnoteReference"/>
        </w:rPr>
        <w:footnoteReference w:id="778"/>
      </w:r>
      <w:r>
        <w:rPr>
          <w:rFonts w:ascii="IRNazanin" w:hAnsi="IRNazanin" w:eastAsia="IRNazanin" w:cs="IRNazanin"/>
          <w:lang w:bidi="fa-IR"/>
          <w:color w:val="111111"/>
          <w:sz w:val="28"/>
          <w:szCs w:val="28"/>
          <w:rtl/>
        </w:rPr>
        <w:t xml:space="preserve">.و لعلّه من شدّة مخالفته للقواعد لم یرتضِ بظاهره للمفید.</w:t>
      </w:r>
    </w:p>
    <w:p>
      <w:pPr>
        <w:pStyle w:val="Heading6"/>
      </w:pPr>
      <w:bookmarkStart w:id="965" w:name="_Toc405"/>
      <w:r>
        <w:t>[کلام السید المرتضی قدس سره]</w:t>
      </w:r>
      <w:bookmarkEnd w:id="965"/>
    </w:p>
    <w:p>
      <w:pPr>
        <w:pStyle w:val="BookText"/>
      </w:pPr>
      <w:r>
        <w:rPr>
          <w:rFonts w:ascii="IRNazanin" w:hAnsi="IRNazanin" w:eastAsia="IRNazanin" w:cs="IRNazanin"/>
          <w:lang w:bidi="fa-IR"/>
          <w:color w:val="111111"/>
          <w:sz w:val="28"/>
          <w:szCs w:val="28"/>
          <w:rtl/>
        </w:rPr>
        <w:t xml:space="preserve">و قال فی الانتصار علی ما حکی عنه-:و ممّا انفردت الإمامیّة به:</w:t>
      </w:r>
    </w:p>
    <w:p>
      <w:pPr>
        <w:pStyle w:val="BookText"/>
      </w:pPr>
      <w:r>
        <w:rPr>
          <w:rFonts w:ascii="IRNazanin" w:hAnsi="IRNazanin" w:eastAsia="IRNazanin" w:cs="IRNazanin"/>
          <w:lang w:bidi="fa-IR"/>
          <w:color w:val="111111"/>
          <w:sz w:val="28"/>
          <w:szCs w:val="28"/>
          <w:rtl/>
        </w:rPr>
        <w:t xml:space="preserve">القول بأنّ الوقف متی حصل له الخراب بحیث لا یجدی نفعاً جاز لمن هو وقف علیه بیعه و الانتفاع بثمنه،و أنّ أرباب الوقف متی دعتهم ضرورة شدیدة إلی ثمنه جاز لهم بیعه،و لا یجوز لهم ذلک مع فقد الضرورة.</w:t>
      </w:r>
    </w:p>
    <w:p>
      <w:pPr>
        <w:pStyle w:val="BookText"/>
      </w:pPr>
      <w:r>
        <w:rPr>
          <w:rFonts w:ascii="Amiri" w:hAnsi="Amiri" w:eastAsia="Amiri" w:cs="Amiri"/>
          <w:lang w:bidi="ar-SA"/>
          <w:color w:val="111111"/>
          <w:sz w:val="28"/>
          <w:szCs w:val="28"/>
          <w:rtl/>
        </w:rPr>
        <w:t xml:space="preserve">ثمّ احتجّ باتّفاق الإمامیّة،ثمّ ذکر خلاف ابن الجنید،و ردّه بکونه مسبوقاً و ملحوقاً بالإجماع،و أنّه إنّما عوّل فی ذلک علی ظنونٍ له و حسبانٍ و أخبارٍ شاذّة لا یلتفت إلی مثلها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أمّا إذا صار الوقف </w:t>
      </w:r>
      <w:r>
        <w:rPr>
          <w:rStyle w:val="FootnoteReference"/>
        </w:rPr>
        <w:footnoteReference w:id="780"/>
      </w:r>
      <w:r>
        <w:rPr>
          <w:rFonts w:ascii="IRNazanin" w:hAnsi="IRNazanin" w:eastAsia="IRNazanin" w:cs="IRNazanin"/>
          <w:lang w:bidi="fa-IR"/>
          <w:color w:val="111111"/>
          <w:sz w:val="28"/>
          <w:szCs w:val="28"/>
          <w:rtl/>
        </w:rPr>
        <w:t xml:space="preserve">بحیث لا یجدی نفعاً،أو دعت أربابه الضرورة إلی ثمنه؛لشدّة فقرهم،فالأحوط ما ذکرناه:من جواز بیعه؛ لأنّه إنّما جُعل لمنافعهم،فإذا بطلت منافعهم منه فقد انتقض الغرض منه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14419_166949"/>
    <w:bookmarkEnd w:id="180"/>
    <w:p>
      <w:pPr>
        <w:pStyle w:val="BookText"/>
      </w:pPr>
      <w:r>
        <w:rPr>
          <w:rFonts w:ascii="IRNazanin" w:hAnsi="IRNazanin" w:eastAsia="IRNazanin" w:cs="IRNazanin"/>
          <w:lang w:bidi="fa-IR"/>
          <w:color w:val="111111"/>
          <w:sz w:val="28"/>
          <w:szCs w:val="28"/>
          <w:rtl/>
        </w:rPr>
        <w:t xml:space="preserve">و لم یبقَ منفعة فیه </w:t>
      </w:r>
      <w:r>
        <w:rPr>
          <w:rStyle w:val="FootnoteReference"/>
        </w:rPr>
        <w:footnoteReference w:id="782"/>
      </w:r>
      <w:r>
        <w:rPr>
          <w:rFonts w:ascii="IRNazanin" w:hAnsi="IRNazanin" w:eastAsia="IRNazanin" w:cs="IRNazanin"/>
          <w:lang w:bidi="fa-IR"/>
          <w:color w:val="111111"/>
          <w:sz w:val="28"/>
          <w:szCs w:val="28"/>
          <w:rtl/>
        </w:rPr>
        <w:t xml:space="preserve">إلّا من الوجه الذی ذکرناه </w:t>
      </w:r>
      <w:r>
        <w:rPr>
          <w:rStyle w:val="FootnoteReference"/>
        </w:rPr>
        <w:footnoteReference w:id="783"/>
      </w:r>
      <w:r>
        <w:rPr>
          <w:rFonts w:ascii="IRNazanin" w:hAnsi="IRNazanin" w:eastAsia="IRNazanin" w:cs="IRNazanin"/>
          <w:lang w:bidi="fa-IR"/>
          <w:color w:val="111111"/>
          <w:sz w:val="28"/>
          <w:szCs w:val="28"/>
          <w:rtl/>
        </w:rPr>
        <w:t xml:space="preserve">،انتهی.</w:t>
      </w:r>
    </w:p>
    <w:p>
      <w:pPr>
        <w:pStyle w:val="Heading6"/>
      </w:pPr>
      <w:bookmarkStart w:id="966" w:name="_Toc406"/>
      <w:r>
        <w:t>[کلام الشیخ الطوسی فی المبسوط]</w:t>
      </w:r>
      <w:bookmarkEnd w:id="966"/>
    </w:p>
    <w:p>
      <w:pPr>
        <w:pStyle w:val="BookText"/>
      </w:pPr>
      <w:r>
        <w:rPr>
          <w:rFonts w:ascii="IRNazanin" w:hAnsi="IRNazanin" w:eastAsia="IRNazanin" w:cs="IRNazanin"/>
          <w:lang w:bidi="fa-IR"/>
          <w:color w:val="111111"/>
          <w:sz w:val="28"/>
          <w:szCs w:val="28"/>
          <w:rtl/>
        </w:rPr>
        <w:t xml:space="preserve">و قال فی المبسوط:و إنّما یملک الموقوف علیه بیعه علی وجهٍ عندنا، و هو أنّه </w:t>
      </w:r>
      <w:r>
        <w:rPr>
          <w:rStyle w:val="FootnoteReference"/>
        </w:rPr>
        <w:footnoteReference w:id="784"/>
      </w:r>
      <w:r>
        <w:rPr>
          <w:rFonts w:ascii="IRNazanin" w:hAnsi="IRNazanin" w:eastAsia="IRNazanin" w:cs="IRNazanin"/>
          <w:lang w:bidi="fa-IR"/>
          <w:color w:val="111111"/>
          <w:sz w:val="28"/>
          <w:szCs w:val="28"/>
          <w:rtl/>
        </w:rPr>
        <w:t xml:space="preserve">إذا خیف علی الوقف الخراب،أو کان بأربابه حاجةٌ شدیدة و لا یقدِرون علی القیام به،فحینئذٍ یجوز لهم بیعه،و مع عدم ذلک لا یجوز بیعه </w:t>
      </w:r>
      <w:r>
        <w:rPr>
          <w:rStyle w:val="FootnoteReference"/>
        </w:rPr>
        <w:footnoteReference w:id="785"/>
      </w:r>
      <w:r>
        <w:rPr>
          <w:rFonts w:ascii="IRNazanin" w:hAnsi="IRNazanin" w:eastAsia="IRNazanin" w:cs="IRNazanin"/>
          <w:lang w:bidi="fa-IR"/>
          <w:color w:val="111111"/>
          <w:sz w:val="28"/>
          <w:szCs w:val="28"/>
          <w:rtl/>
        </w:rPr>
        <w:t xml:space="preserve">،انتهی.ثمّ احتجّ علی ذلک بالأخبار.</w:t>
      </w:r>
      <w:r>
        <w:rPr>
          <w:rStyle w:val="FootnoteReference"/>
        </w:rPr>
        <w:footnoteReference w:id="786"/>
      </w:r>
      <w:r>
        <w:rPr>
          <w:rFonts w:ascii="IRNazanin" w:hAnsi="IRNazanin" w:eastAsia="IRNazanin" w:cs="IRNazanin"/>
          <w:lang w:bidi="fa-IR"/>
          <w:color w:val="111111"/>
          <w:sz w:val="28"/>
          <w:szCs w:val="28"/>
          <w:rtl/>
        </w:rPr>
        <w:t xml:space="preserve">س</w:t>
      </w:r>
    </w:p>
    <w:p>
      <w:pPr>
        <w:pStyle w:val="Heading6"/>
      </w:pPr>
      <w:bookmarkStart w:id="967" w:name="_Toc407"/>
      <w:r>
        <w:t>و قال سلّار فیما حکی عنه</w:t>
      </w:r>
      <w:bookmarkEnd w:id="967"/>
    </w:p>
    <w:p>
      <w:pPr>
        <w:pStyle w:val="BookText"/>
      </w:pPr>
      <w:r>
        <w:rPr>
          <w:rFonts w:ascii="IRNazanin" w:hAnsi="IRNazanin" w:eastAsia="IRNazanin" w:cs="IRNazanin"/>
          <w:lang w:bidi="fa-IR"/>
          <w:color w:val="111111"/>
          <w:sz w:val="28"/>
          <w:szCs w:val="28"/>
          <w:rtl/>
        </w:rPr>
        <w:t xml:space="preserve">و لا یخلو الحال فی الوقف و الموقوف علیهم:من أن یبقی و یبقوا علی الحال التی وقف فیها،أو یتغیّر الحال،فإن لم یتغیّر الحال فلا یجوز بیع الموقوف علیهم الوقف و لا هبتُه و لا تغییر شیءٍ من أحواله،و إن تغیّر الحال فی الوقف حتّی لا ینتفع به علی أیّ وجهٍ کان،أو لَحِق الموقوفَ علیهم حاجةٌ شدیدة جاز بیعه و صرف ثمنه فیما هو أنفع لهم </w:t>
      </w:r>
      <w:r>
        <w:rPr>
          <w:rStyle w:val="FootnoteReference"/>
        </w:rPr>
        <w:footnoteReference w:id="787"/>
      </w:r>
      <w:r>
        <w:rPr>
          <w:rFonts w:ascii="IRNazanin" w:hAnsi="IRNazanin" w:eastAsia="IRNazanin" w:cs="IRNazanin"/>
          <w:lang w:bidi="fa-IR"/>
          <w:color w:val="111111"/>
          <w:sz w:val="28"/>
          <w:szCs w:val="28"/>
          <w:rtl/>
        </w:rPr>
        <w:t xml:space="preserve">،انتهی.</w:t>
      </w:r>
    </w:p>
    <w:p>
      <w:pPr>
        <w:pStyle w:val="Heading6"/>
      </w:pPr>
      <w:bookmarkStart w:id="968" w:name="_Toc408"/>
      <w:r>
        <w:t>و قال [ابن زهرة قدس سره] فی الغنیة علی ما حکی عنه</w:t>
      </w:r>
      <w:bookmarkEnd w:id="968"/>
    </w:p>
    <w:p>
      <w:pPr>
        <w:pStyle w:val="BookText"/>
      </w:pPr>
      <w:r>
        <w:rPr>
          <w:rFonts w:ascii="IRNazanin" w:hAnsi="IRNazanin" w:eastAsia="IRNazanin" w:cs="IRNazanin"/>
          <w:lang w:bidi="fa-IR"/>
          <w:color w:val="111111"/>
          <w:sz w:val="28"/>
          <w:szCs w:val="28"/>
          <w:rtl/>
        </w:rPr>
        <w:t xml:space="preserve">و یجوز عندنا بیع الوقف</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14419_166950"/>
    <w:bookmarkEnd w:id="181"/>
    <w:p>
      <w:pPr>
        <w:pStyle w:val="BookText"/>
      </w:pPr>
      <w:r>
        <w:rPr>
          <w:rFonts w:ascii="IRNazanin" w:hAnsi="IRNazanin" w:eastAsia="IRNazanin" w:cs="IRNazanin"/>
          <w:lang w:bidi="fa-IR"/>
          <w:color w:val="111111"/>
          <w:sz w:val="28"/>
          <w:szCs w:val="28"/>
          <w:rtl/>
        </w:rPr>
        <w:t xml:space="preserve">للموقوف علیه </w:t>
      </w:r>
      <w:r>
        <w:rPr>
          <w:rStyle w:val="FootnoteReference"/>
        </w:rPr>
        <w:footnoteReference w:id="788"/>
      </w:r>
      <w:r>
        <w:rPr>
          <w:rFonts w:ascii="IRNazanin" w:hAnsi="IRNazanin" w:eastAsia="IRNazanin" w:cs="IRNazanin"/>
          <w:lang w:bidi="fa-IR"/>
          <w:color w:val="111111"/>
          <w:sz w:val="28"/>
          <w:szCs w:val="28"/>
          <w:rtl/>
        </w:rPr>
        <w:t xml:space="preserve">إذا صار بحیث لا یجدی نفعاً و خیف خرابه،أو کانت بأربابه حاجةٌ شدیدةٌ دعتهم الضرورة إلی بیعه؛بدلیل إجماع الطائفة، و لأنّ غرض الواقف انتفاع الموقوف علیه،فإذا لم یبقَ له منفعة إلّا علی الوجه الذی ذکرنا جاز </w:t>
      </w:r>
      <w:r>
        <w:rPr>
          <w:rStyle w:val="FootnoteReference"/>
        </w:rPr>
        <w:footnoteReference w:id="789"/>
      </w:r>
      <w:r>
        <w:rPr>
          <w:rFonts w:ascii="IRNazanin" w:hAnsi="IRNazanin" w:eastAsia="IRNazanin" w:cs="IRNazanin"/>
          <w:lang w:bidi="fa-IR"/>
          <w:color w:val="111111"/>
          <w:sz w:val="28"/>
          <w:szCs w:val="28"/>
          <w:rtl/>
        </w:rPr>
        <w:t xml:space="preserve">،انتهی.</w:t>
      </w:r>
    </w:p>
    <w:p>
      <w:pPr>
        <w:pStyle w:val="Heading6"/>
      </w:pPr>
      <w:bookmarkStart w:id="969" w:name="_Toc409"/>
      <w:r>
        <w:t>و قال [ابن حمزة قدس سره] فی الوسیلة</w:t>
      </w:r>
      <w:bookmarkEnd w:id="969"/>
    </w:p>
    <w:p>
      <w:pPr>
        <w:pStyle w:val="BookText"/>
      </w:pPr>
      <w:r>
        <w:rPr>
          <w:rFonts w:ascii="IRNazanin" w:hAnsi="IRNazanin" w:eastAsia="IRNazanin" w:cs="IRNazanin"/>
          <w:lang w:bidi="fa-IR"/>
          <w:color w:val="111111"/>
          <w:sz w:val="28"/>
          <w:szCs w:val="28"/>
          <w:rtl/>
        </w:rPr>
        <w:t xml:space="preserve">و لا یجوز بیعه یعنی الوقف إلّا بأحد شرطین:الخوف من خرابه،أو حاجةٌ بالموقوف علیه شدیدةٌ لا یمکنه معها القیام به </w:t>
      </w:r>
      <w:r>
        <w:rPr>
          <w:rStyle w:val="FootnoteReference"/>
        </w:rPr>
        <w:footnoteReference w:id="790"/>
      </w:r>
      <w:r>
        <w:rPr>
          <w:rFonts w:ascii="IRNazanin" w:hAnsi="IRNazanin" w:eastAsia="IRNazanin" w:cs="IRNazanin"/>
          <w:lang w:bidi="fa-IR"/>
          <w:color w:val="111111"/>
          <w:sz w:val="28"/>
          <w:szCs w:val="28"/>
          <w:rtl/>
        </w:rPr>
        <w:t xml:space="preserve">،انتهی.</w:t>
      </w:r>
    </w:p>
    <w:p>
      <w:pPr>
        <w:pStyle w:val="Heading6"/>
      </w:pPr>
      <w:bookmarkStart w:id="970" w:name="_Toc410"/>
      <w:r>
        <w:t>و قال الراوندی فی فقه القرآن علی ما حکی عنه</w:t>
      </w:r>
      <w:bookmarkEnd w:id="970"/>
    </w:p>
    <w:p>
      <w:pPr>
        <w:pStyle w:val="BookText"/>
      </w:pPr>
      <w:r>
        <w:rPr>
          <w:rFonts w:ascii="IRNazanin" w:hAnsi="IRNazanin" w:eastAsia="IRNazanin" w:cs="IRNazanin"/>
          <w:lang w:bidi="fa-IR"/>
          <w:color w:val="111111"/>
          <w:sz w:val="28"/>
          <w:szCs w:val="28"/>
          <w:rtl/>
        </w:rPr>
        <w:t xml:space="preserve">و إنّما یملک بیعه علی وجهٍ عندنا،و هو إذا خیف علی الوقف الخراب،أو کان بأربابه حاجةٌ شدیدةٌ </w:t>
      </w:r>
      <w:r>
        <w:rPr>
          <w:rStyle w:val="FootnoteReference"/>
        </w:rPr>
        <w:footnoteReference w:id="791"/>
      </w:r>
      <w:r>
        <w:rPr>
          <w:rFonts w:ascii="IRNazanin" w:hAnsi="IRNazanin" w:eastAsia="IRNazanin" w:cs="IRNazanin"/>
          <w:lang w:bidi="fa-IR"/>
          <w:color w:val="111111"/>
          <w:sz w:val="28"/>
          <w:szCs w:val="28"/>
          <w:rtl/>
        </w:rPr>
        <w:t xml:space="preserve">،انتهی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6"/>
      </w:pPr>
      <w:bookmarkStart w:id="971" w:name="_Toc411"/>
      <w:r>
        <w:t>[کلمات ابن سعید فی الجامع و النزهة]</w:t>
      </w:r>
      <w:bookmarkEnd w:id="971"/>
    </w:p>
    <w:p>
      <w:pPr>
        <w:pStyle w:val="BookText"/>
      </w:pPr>
      <w:r>
        <w:rPr>
          <w:rFonts w:ascii="IRNazanin" w:hAnsi="IRNazanin" w:eastAsia="IRNazanin" w:cs="IRNazanin"/>
          <w:lang w:bidi="fa-IR"/>
          <w:color w:val="111111"/>
          <w:sz w:val="28"/>
          <w:szCs w:val="28"/>
          <w:rtl/>
        </w:rPr>
        <w:t xml:space="preserve">و قال فی الجامع علی ما حکی عنه-:فإن خیف خرابه،أو کان بهم حاجةٌ شدیدةٌ،أو خیف وقوع فتنةٍ بینهم تستباح بها الأنفس، جاز بیعه </w:t>
      </w:r>
      <w:r>
        <w:rPr>
          <w:rStyle w:val="FootnoteReference"/>
        </w:rPr>
        <w:footnoteReference w:id="7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عن النزهة:لا یجوز بیع الوقف إلّا أن یُخاف هلاکه،أو یؤدّی المنازعة فیه بین أربابه إلی ضررٍ عظیم،أو یکون فیهم حاجةٌ عظیمةٌ</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2" w:name="pg14419_166951"/>
    <w:bookmarkEnd w:id="182"/>
    <w:p>
      <w:pPr>
        <w:pStyle w:val="BookText"/>
      </w:pPr>
      <w:r>
        <w:rPr>
          <w:rFonts w:ascii="IRNazanin" w:hAnsi="IRNazanin" w:eastAsia="IRNazanin" w:cs="IRNazanin"/>
          <w:lang w:bidi="fa-IR"/>
          <w:color w:val="111111"/>
          <w:sz w:val="28"/>
          <w:szCs w:val="28"/>
          <w:rtl/>
        </w:rPr>
        <w:t xml:space="preserve">شدیدة و یکون بیع الوقف أصلح لهم </w:t>
      </w:r>
      <w:r>
        <w:rPr>
          <w:rStyle w:val="FootnoteReference"/>
        </w:rPr>
        <w:footnoteReference w:id="794"/>
      </w:r>
      <w:r>
        <w:rPr>
          <w:rFonts w:ascii="IRNazanin" w:hAnsi="IRNazanin" w:eastAsia="IRNazanin" w:cs="IRNazanin"/>
          <w:lang w:bidi="fa-IR"/>
          <w:color w:val="111111"/>
          <w:sz w:val="28"/>
          <w:szCs w:val="28"/>
          <w:rtl/>
        </w:rPr>
        <w:t xml:space="preserve">،انتهی.</w:t>
      </w:r>
    </w:p>
    <w:p>
      <w:pPr>
        <w:pStyle w:val="Heading6"/>
      </w:pPr>
      <w:bookmarkStart w:id="972" w:name="_Toc412"/>
      <w:r>
        <w:t>و قال [المحقق قدس سره] فی الشرائع</w:t>
      </w:r>
      <w:bookmarkEnd w:id="972"/>
    </w:p>
    <w:p>
      <w:pPr>
        <w:pStyle w:val="BookText"/>
      </w:pPr>
      <w:r>
        <w:rPr>
          <w:rFonts w:ascii="IRNazanin" w:hAnsi="IRNazanin" w:eastAsia="IRNazanin" w:cs="IRNazanin"/>
          <w:lang w:bidi="fa-IR"/>
          <w:color w:val="111111"/>
          <w:sz w:val="28"/>
          <w:szCs w:val="28"/>
          <w:rtl/>
        </w:rPr>
        <w:t xml:space="preserve">و لا یصحّ بیع الوقف ما لم یؤدّ بقاؤه إلی خرابه لخُلْفٍ بین أربابه و یکون البیع أعود.و قال فی کتاب الوقف:</w:t>
      </w:r>
    </w:p>
    <w:p>
      <w:pPr>
        <w:pStyle w:val="BookText"/>
      </w:pPr>
      <w:r>
        <w:rPr>
          <w:rFonts w:ascii="IRNazanin" w:hAnsi="IRNazanin" w:eastAsia="IRNazanin" w:cs="IRNazanin"/>
          <w:lang w:bidi="fa-IR"/>
          <w:color w:val="111111"/>
          <w:sz w:val="28"/>
          <w:szCs w:val="28"/>
          <w:rtl/>
        </w:rPr>
        <w:t xml:space="preserve">و لو وقع بین الموقوف علیهم </w:t>
      </w:r>
      <w:r>
        <w:rPr>
          <w:rStyle w:val="FootnoteReference"/>
        </w:rPr>
        <w:footnoteReference w:id="795"/>
      </w:r>
      <w:r>
        <w:rPr>
          <w:rFonts w:ascii="IRNazanin" w:hAnsi="IRNazanin" w:eastAsia="IRNazanin" w:cs="IRNazanin"/>
          <w:lang w:bidi="fa-IR"/>
          <w:color w:val="111111"/>
          <w:sz w:val="28"/>
          <w:szCs w:val="28"/>
          <w:rtl/>
        </w:rPr>
        <w:t xml:space="preserve">خُلْفٌ بحیث یُخشی خرابه جاز بیعه، و لو لم یقع خُلْفٌ و لا خُشی خرابه،بل کان البیع أنفع لهم،قیل:یجوز بیعه،و الوجه المنع </w:t>
      </w:r>
      <w:r>
        <w:rPr>
          <w:rStyle w:val="FootnoteReference"/>
        </w:rPr>
        <w:footnoteReference w:id="79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مثل عبارة الشرائع فی کتابی البیع و الوقف عبارة القواعد فی الکتابین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6"/>
      </w:pPr>
      <w:bookmarkStart w:id="973" w:name="_Toc413"/>
      <w:r>
        <w:t>[کلام العلامة فی التحریر و الإرشاد و التذکرة]</w:t>
      </w:r>
      <w:bookmarkEnd w:id="973"/>
    </w:p>
    <w:p>
      <w:pPr>
        <w:pStyle w:val="BookText"/>
      </w:pPr>
      <w:r>
        <w:rPr>
          <w:rFonts w:ascii="IRNazanin" w:hAnsi="IRNazanin" w:eastAsia="IRNazanin" w:cs="IRNazanin"/>
          <w:lang w:bidi="fa-IR"/>
          <w:color w:val="111111"/>
          <w:sz w:val="28"/>
          <w:szCs w:val="28"/>
          <w:rtl/>
        </w:rPr>
        <w:t xml:space="preserve">و قال فی التحریر:لا یجوز بیع الوقف بحال،و لو انهدمت الدار لم تخرج العَرْصَة عن الوقف،و لم یجز بیعها.و لو وقع خُلْفٌ بین أرباب الوقف بحیث یخشی خرابه جاز بیعه علی ما رواه أصحابنا.ثمّ ذکر کلام ابن إدریس و فتواه علی المنع مطلقاً و تنزیله قول بعض الأصحاب بالجواز علی المنقطع،و نفیَه الخلاف علی المنع فی المؤبّد.ثمّ قال:و لو قیل بجواز البیع إذا ذهبت منافعه بالکلیّة کدارٍ انهدمت و عادت مواتاً و لم یتمکّن من عمارتها و یشتری بثمنه ما یکون وقفاً،کان وجهاً </w:t>
      </w:r>
      <w:r>
        <w:rPr>
          <w:rStyle w:val="FootnoteReference"/>
        </w:rPr>
        <w:footnoteReference w:id="79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بیع التحریر:و لا یجوز بیع الوقف ما دام عامراً،و لو أدّی بقاؤه إلی خرابه جاز،و کذا یباع لو خشی وقوع فتنة بین أربابه</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3" w:name="pg14419_166952"/>
    <w:bookmarkEnd w:id="183"/>
    <w:p>
      <w:pPr>
        <w:pStyle w:val="BookText"/>
      </w:pPr>
      <w:r>
        <w:rPr>
          <w:rFonts w:ascii="IRNazanin" w:hAnsi="IRNazanin" w:eastAsia="IRNazanin" w:cs="IRNazanin"/>
          <w:lang w:bidi="fa-IR"/>
          <w:color w:val="111111"/>
          <w:sz w:val="28"/>
          <w:szCs w:val="28"/>
          <w:rtl/>
        </w:rPr>
        <w:t xml:space="preserve">مع بقائه علی الوقف </w:t>
      </w:r>
      <w:r>
        <w:rPr>
          <w:rStyle w:val="FootnoteReference"/>
        </w:rPr>
        <w:footnoteReference w:id="79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بیع </w:t>
      </w:r>
      <w:r>
        <w:rPr>
          <w:rStyle w:val="FootnoteReference"/>
        </w:rPr>
        <w:footnoteReference w:id="800"/>
      </w:r>
      <w:r>
        <w:rPr>
          <w:rFonts w:ascii="IRNazanin" w:hAnsi="IRNazanin" w:eastAsia="IRNazanin" w:cs="IRNazanin"/>
          <w:lang w:bidi="fa-IR"/>
          <w:color w:val="111111"/>
          <w:sz w:val="28"/>
          <w:szCs w:val="28"/>
          <w:rtl/>
        </w:rPr>
        <w:t xml:space="preserve">الإرشاد:لا یصحّ بیع الوقف إلّا أن یخرب،أو یؤدّی إلی الخُلْف بین أربابه علی رأیٍ </w:t>
      </w:r>
      <w:r>
        <w:rPr>
          <w:rStyle w:val="FootnoteReference"/>
        </w:rPr>
        <w:footnoteReference w:id="801"/>
      </w:r>
      <w:r>
        <w:rPr>
          <w:rFonts w:ascii="IRNazanin" w:hAnsi="IRNazanin" w:eastAsia="IRNazanin" w:cs="IRNazanin"/>
          <w:lang w:bidi="fa-IR"/>
          <w:color w:val="111111"/>
          <w:sz w:val="28"/>
          <w:szCs w:val="28"/>
          <w:rtl/>
        </w:rPr>
        <w:t xml:space="preserve">.و عنه فی باب الوقف:لا یصحّ بیع الوقف،إلّا أن یقع بین الموقوف علیهم </w:t>
      </w:r>
      <w:r>
        <w:rPr>
          <w:rStyle w:val="FootnoteReference"/>
        </w:rPr>
        <w:footnoteReference w:id="802"/>
      </w:r>
      <w:r>
        <w:rPr>
          <w:rFonts w:ascii="Amiri" w:hAnsi="Amiri" w:eastAsia="Amiri" w:cs="Amiri"/>
          <w:lang w:bidi="ar-SA"/>
          <w:color w:val="111111"/>
          <w:sz w:val="28"/>
          <w:szCs w:val="28"/>
          <w:rtl/>
        </w:rPr>
        <w:t xml:space="preserve">خُلْفٌ یخشی </w:t>
      </w:r>
      <w:r>
        <w:rPr>
          <w:rStyle w:val="FootnoteReference"/>
        </w:rPr>
        <w:footnoteReference w:id="803"/>
      </w:r>
      <w:r>
        <w:rPr>
          <w:rFonts w:ascii="IRNazanin" w:hAnsi="IRNazanin" w:eastAsia="IRNazanin" w:cs="IRNazanin"/>
          <w:lang w:bidi="fa-IR"/>
          <w:color w:val="111111"/>
          <w:sz w:val="28"/>
          <w:szCs w:val="28"/>
          <w:rtl/>
        </w:rPr>
        <w:t xml:space="preserve">به الخراب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التذکرة فی کتاب الوقف علی ما حکی عنه-:و الوجه أن یقال:یجوز بیع الوقف مع خرابه و عدم التمکّن من عمارته،أو خوف فتنة بین أربابه یحصل باعتبارها فساد </w:t>
      </w:r>
      <w:r>
        <w:rPr>
          <w:rStyle w:val="FootnoteReference"/>
        </w:rPr>
        <w:footnoteReference w:id="8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کتاب البیع:لا یصحّ بیع الوقف،لنقص </w:t>
      </w:r>
      <w:r>
        <w:rPr>
          <w:rStyle w:val="FootnoteReference"/>
        </w:rPr>
        <w:footnoteReference w:id="806"/>
      </w:r>
      <w:r>
        <w:rPr>
          <w:rFonts w:ascii="IRNazanin" w:hAnsi="IRNazanin" w:eastAsia="IRNazanin" w:cs="IRNazanin"/>
          <w:lang w:bidi="fa-IR"/>
          <w:color w:val="111111"/>
          <w:sz w:val="28"/>
          <w:szCs w:val="28"/>
          <w:rtl/>
        </w:rPr>
        <w:t xml:space="preserve">الملک فیه؛إذ القصد منه التأبید.نعم،لو کان بیعه أعود علیهم،لوقوع خُلْفٍ بین أربابه و خشی تلفه أو ظهور فتنة بسببه جوّز أکثر علمائنا بیعه </w:t>
      </w:r>
      <w:r>
        <w:rPr>
          <w:rStyle w:val="FootnoteReference"/>
        </w:rPr>
        <w:footnoteReference w:id="807"/>
      </w:r>
      <w:r>
        <w:rPr>
          <w:rFonts w:ascii="IRNazanin" w:hAnsi="IRNazanin" w:eastAsia="IRNazanin" w:cs="IRNazanin"/>
          <w:lang w:bidi="fa-IR"/>
          <w:color w:val="111111"/>
          <w:sz w:val="28"/>
          <w:szCs w:val="28"/>
          <w:rtl/>
        </w:rPr>
        <w:t xml:space="preserve">، انتهی.</w:t>
      </w:r>
    </w:p>
    <w:p>
      <w:pPr>
        <w:pStyle w:val="Heading6"/>
      </w:pPr>
      <w:bookmarkStart w:id="974" w:name="_Toc414"/>
      <w:r>
        <w:t>[کلمات الشهید فی غایة المراد و الدروس و اللمعة]</w:t>
      </w:r>
      <w:bookmarkEnd w:id="974"/>
    </w:p>
    <w:p>
      <w:pPr>
        <w:pStyle w:val="BookText"/>
      </w:pPr>
      <w:r>
        <w:rPr>
          <w:rFonts w:ascii="IRNazanin" w:hAnsi="IRNazanin" w:eastAsia="IRNazanin" w:cs="IRNazanin"/>
          <w:lang w:bidi="fa-IR"/>
          <w:color w:val="111111"/>
          <w:sz w:val="28"/>
          <w:szCs w:val="28"/>
          <w:rtl/>
        </w:rPr>
        <w:t xml:space="preserve">و قال فی غایة المراد:یجوز بیعه فی موضعین:خوف الفساد</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4" w:name="pg14419_166953"/>
    <w:bookmarkEnd w:id="184"/>
    <w:p>
      <w:pPr>
        <w:pStyle w:val="BookText"/>
      </w:pPr>
      <w:r>
        <w:rPr>
          <w:rFonts w:ascii="IRNazanin" w:hAnsi="IRNazanin" w:eastAsia="IRNazanin" w:cs="IRNazanin"/>
          <w:lang w:bidi="fa-IR"/>
          <w:color w:val="111111"/>
          <w:sz w:val="28"/>
          <w:szCs w:val="28"/>
          <w:rtl/>
        </w:rPr>
        <w:t xml:space="preserve">بالاختلاف،و إذا کان البیع أعود مع الحاجة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الدروس:لا یجوز بیع الوقف إلّا إذا خیف من خرابه أو خُلْفٍ أربابه المؤدّی إلی فساده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اللمعة:لو أدّی بقاؤه إلی خرابه لخُلْف أربابه،فالمشهور الجواز </w:t>
      </w:r>
      <w:r>
        <w:rPr>
          <w:rStyle w:val="FootnoteReference"/>
        </w:rPr>
        <w:footnoteReference w:id="810"/>
      </w:r>
      <w:r>
        <w:rPr>
          <w:rFonts w:ascii="IRNazanin" w:hAnsi="IRNazanin" w:eastAsia="IRNazanin" w:cs="IRNazanin"/>
          <w:lang w:bidi="fa-IR"/>
          <w:color w:val="111111"/>
          <w:sz w:val="28"/>
          <w:szCs w:val="28"/>
          <w:rtl/>
        </w:rPr>
        <w:t xml:space="preserve">،انتهی.</w:t>
      </w:r>
    </w:p>
    <w:p>
      <w:pPr>
        <w:pStyle w:val="Heading6"/>
      </w:pPr>
      <w:bookmarkStart w:id="975" w:name="_Toc415"/>
      <w:r>
        <w:t>[کلام الصیمری]</w:t>
      </w:r>
      <w:bookmarkEnd w:id="975"/>
    </w:p>
    <w:p>
      <w:pPr>
        <w:pStyle w:val="BookText"/>
      </w:pPr>
      <w:r>
        <w:rPr>
          <w:rFonts w:ascii="IRNazanin" w:hAnsi="IRNazanin" w:eastAsia="IRNazanin" w:cs="IRNazanin"/>
          <w:lang w:bidi="fa-IR"/>
          <w:color w:val="111111"/>
          <w:sz w:val="28"/>
          <w:szCs w:val="28"/>
          <w:rtl/>
        </w:rPr>
        <w:t xml:space="preserve">و قال فی تلخیص الخلاف علی ما حکی عنه-:إنّ لأصحابنا فی بیع الوقف أقوالاً متعدّدة،أشهرها:جوازه إذا وقع بین أربابه خُلْفٌ و فتنة و خُشی خرابه و لا یمکن سدّ الفتنة بدون بیعه،و هو قول الشیخین،و اختاره نجم الدین و العلّامة </w:t>
      </w:r>
      <w:r>
        <w:rPr>
          <w:rStyle w:val="FootnoteReference"/>
        </w:rPr>
        <w:footnoteReference w:id="811"/>
      </w:r>
      <w:r>
        <w:rPr>
          <w:rFonts w:ascii="IRNazanin" w:hAnsi="IRNazanin" w:eastAsia="IRNazanin" w:cs="IRNazanin"/>
          <w:lang w:bidi="fa-IR"/>
          <w:color w:val="111111"/>
          <w:sz w:val="28"/>
          <w:szCs w:val="28"/>
          <w:rtl/>
        </w:rPr>
        <w:t xml:space="preserve">،انتهی.</w:t>
      </w:r>
    </w:p>
    <w:p>
      <w:pPr>
        <w:pStyle w:val="Heading6"/>
      </w:pPr>
      <w:bookmarkStart w:id="976" w:name="_Toc416"/>
      <w:r>
        <w:t>[کلام الفاضل المقداد قدس سره]</w:t>
      </w:r>
      <w:bookmarkEnd w:id="976"/>
    </w:p>
    <w:p>
      <w:pPr>
        <w:pStyle w:val="BookText"/>
      </w:pPr>
      <w:r>
        <w:rPr>
          <w:rFonts w:ascii="IRNazanin" w:hAnsi="IRNazanin" w:eastAsia="IRNazanin" w:cs="IRNazanin"/>
          <w:lang w:bidi="fa-IR"/>
          <w:color w:val="111111"/>
          <w:sz w:val="28"/>
          <w:szCs w:val="28"/>
          <w:rtl/>
        </w:rPr>
        <w:t xml:space="preserve">و قال فی التنقیح علی ما حکی عنه-:إذا آل إلی الخراب لأجل الاختلاف بحیث لا ینتفع به أصلاً،جاز بیعه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تعلیق الإرشاد:یجوز بیعه إذا کان فسادٌ یُستباح فیه الأنفس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6"/>
      </w:pPr>
      <w:bookmarkStart w:id="977" w:name="_Toc417"/>
      <w:r>
        <w:t>[کلام الفاضل القطیفی]</w:t>
      </w:r>
      <w:bookmarkEnd w:id="977"/>
    </w:p>
    <w:p>
      <w:pPr>
        <w:pStyle w:val="BookText"/>
      </w:pPr>
      <w:r>
        <w:rPr>
          <w:rFonts w:ascii="IRNazanin" w:hAnsi="IRNazanin" w:eastAsia="IRNazanin" w:cs="IRNazanin"/>
          <w:lang w:bidi="fa-IR"/>
          <w:color w:val="111111"/>
          <w:sz w:val="28"/>
          <w:szCs w:val="28"/>
          <w:rtl/>
        </w:rPr>
        <w:t xml:space="preserve">و عن إیضاح النافع:أنّه جوّز بیعه إذا اختلف أربابه اختلافاً</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5" w:name="pg14419_166954"/>
    <w:bookmarkEnd w:id="185"/>
    <w:p>
      <w:pPr>
        <w:pStyle w:val="BookText"/>
      </w:pPr>
      <w:r>
        <w:rPr>
          <w:rFonts w:ascii="IRNazanin" w:hAnsi="IRNazanin" w:eastAsia="IRNazanin" w:cs="IRNazanin"/>
          <w:lang w:bidi="fa-IR"/>
          <w:color w:val="111111"/>
          <w:sz w:val="28"/>
          <w:szCs w:val="28"/>
          <w:rtl/>
        </w:rPr>
        <w:t xml:space="preserve">یخاف معه </w:t>
      </w:r>
      <w:r>
        <w:rPr>
          <w:rStyle w:val="FootnoteReference"/>
        </w:rPr>
        <w:footnoteReference w:id="814"/>
      </w:r>
      <w:r>
        <w:rPr>
          <w:rFonts w:ascii="IRNazanin" w:hAnsi="IRNazanin" w:eastAsia="IRNazanin" w:cs="IRNazanin"/>
          <w:lang w:bidi="fa-IR"/>
          <w:color w:val="111111"/>
          <w:sz w:val="28"/>
          <w:szCs w:val="28"/>
          <w:rtl/>
        </w:rPr>
        <w:t xml:space="preserve">القتال و نهب الأموال و لم یندفع إلّا بالبیع.قال:فلو أمکن زواله و لو بحاکم الجور لم یجز،و لا اعتبار بخشیة الخراب و عدمه </w:t>
      </w:r>
      <w:r>
        <w:rPr>
          <w:rStyle w:val="FootnoteReference"/>
        </w:rPr>
        <w:footnoteReference w:id="815"/>
      </w:r>
      <w:r>
        <w:rPr>
          <w:rFonts w:ascii="IRNazanin" w:hAnsi="IRNazanin" w:eastAsia="IRNazanin" w:cs="IRNazanin"/>
          <w:lang w:bidi="fa-IR"/>
          <w:color w:val="111111"/>
          <w:sz w:val="28"/>
          <w:szCs w:val="28"/>
          <w:rtl/>
        </w:rPr>
        <w:t xml:space="preserve">، انتهی.و مثله کلامه </w:t>
      </w:r>
      <w:r>
        <w:rPr>
          <w:rStyle w:val="FootnoteReference"/>
        </w:rPr>
        <w:footnoteReference w:id="816"/>
      </w:r>
      <w:r>
        <w:rPr>
          <w:rFonts w:ascii="IRNazanin" w:hAnsi="IRNazanin" w:eastAsia="IRNazanin" w:cs="IRNazanin"/>
          <w:lang w:bidi="fa-IR"/>
          <w:color w:val="111111"/>
          <w:sz w:val="28"/>
          <w:szCs w:val="28"/>
          <w:rtl/>
        </w:rPr>
        <w:t xml:space="preserve">المحکی عن تعلیقه علی الشرائع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6"/>
      </w:pPr>
      <w:bookmarkStart w:id="978" w:name="_Toc418"/>
      <w:r>
        <w:t>[کلام المحقق الثانی]</w:t>
      </w:r>
      <w:bookmarkEnd w:id="978"/>
    </w:p>
    <w:p>
      <w:pPr>
        <w:pStyle w:val="BookText"/>
      </w:pPr>
      <w:r>
        <w:rPr>
          <w:rFonts w:ascii="IRNazanin" w:hAnsi="IRNazanin" w:eastAsia="IRNazanin" w:cs="IRNazanin"/>
          <w:lang w:bidi="fa-IR"/>
          <w:color w:val="111111"/>
          <w:sz w:val="28"/>
          <w:szCs w:val="28"/>
          <w:rtl/>
        </w:rPr>
        <w:t xml:space="preserve">و قال فی جامع المقاصد بعد نسبة ما فی عبارة القواعد إلی موافقة الأکثر-:إنّ المعتمد جواز بیعه فی ثلاثة مواضع:</w:t>
      </w:r>
    </w:p>
    <w:p>
      <w:pPr>
        <w:pStyle w:val="BookText"/>
      </w:pPr>
      <w:r>
        <w:rPr>
          <w:rFonts w:ascii="IRNazanin" w:hAnsi="IRNazanin" w:eastAsia="IRNazanin" w:cs="IRNazanin"/>
          <w:lang w:bidi="fa-IR"/>
          <w:color w:val="111111"/>
          <w:sz w:val="28"/>
          <w:szCs w:val="28"/>
          <w:rtl/>
        </w:rPr>
        <w:t xml:space="preserve">أحدها:إذا خرب و اضمحلّ بحیث لا ینتفع به،کحُصُر </w:t>
      </w:r>
      <w:r>
        <w:rPr>
          <w:rStyle w:val="FootnoteReference"/>
        </w:rPr>
        <w:footnoteReference w:id="818"/>
      </w:r>
      <w:r>
        <w:rPr>
          <w:rFonts w:ascii="IRNazanin" w:hAnsi="IRNazanin" w:eastAsia="IRNazanin" w:cs="IRNazanin"/>
          <w:lang w:bidi="fa-IR"/>
          <w:color w:val="111111"/>
          <w:sz w:val="28"/>
          <w:szCs w:val="28"/>
          <w:rtl/>
        </w:rPr>
        <w:t xml:space="preserve">المسجد إذا اندرست و جذوعه إذا انکسرت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ثانیها:إذا حصل خُلْفٌ بین أربابه یخاف منه تلف الأموال، و مستنده صحیحة علی بن مهزیار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یُشتری بثمنه فی الموضعین ما یکون وقفاً علی وجهٍ یندفع به الخُلْفَ؛تحصیلاً لمطلوب الواقف بحسب الإمکان.و یتولّی ذلک الناظر الخاصّ إن کان،و إلّا فالحاکم.</w:t>
      </w:r>
    </w:p>
    <w:p>
      <w:pPr>
        <w:pStyle w:val="BookText"/>
      </w:pPr>
      <w:r>
        <w:rPr>
          <w:rFonts w:ascii="IRNazanin" w:hAnsi="IRNazanin" w:eastAsia="IRNazanin" w:cs="IRNazanin"/>
          <w:lang w:bidi="fa-IR"/>
          <w:color w:val="111111"/>
          <w:sz w:val="28"/>
          <w:szCs w:val="28"/>
          <w:rtl/>
        </w:rPr>
        <w:t xml:space="preserve">ثالثها:إذا لحق بالموقوف علیه </w:t>
      </w:r>
      <w:r>
        <w:rPr>
          <w:rStyle w:val="FootnoteReference"/>
        </w:rPr>
        <w:footnoteReference w:id="821"/>
      </w:r>
      <w:r>
        <w:rPr>
          <w:rFonts w:ascii="IRNazanin" w:hAnsi="IRNazanin" w:eastAsia="IRNazanin" w:cs="IRNazanin"/>
          <w:lang w:bidi="fa-IR"/>
          <w:color w:val="111111"/>
          <w:sz w:val="28"/>
          <w:szCs w:val="28"/>
          <w:rtl/>
        </w:rPr>
        <w:t xml:space="preserve">حاجةٌ شدیدة و لم یکن ما یکفیهم</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6" w:name="pg14419_166955"/>
    <w:bookmarkEnd w:id="186"/>
    <w:p>
      <w:pPr>
        <w:pStyle w:val="BookText"/>
      </w:pPr>
      <w:r>
        <w:rPr>
          <w:rFonts w:ascii="IRNazanin" w:hAnsi="IRNazanin" w:eastAsia="IRNazanin" w:cs="IRNazanin"/>
          <w:lang w:bidi="fa-IR"/>
          <w:color w:val="111111"/>
          <w:sz w:val="28"/>
          <w:szCs w:val="28"/>
          <w:rtl/>
        </w:rPr>
        <w:t xml:space="preserve">من غلّة و غیرها؛لروایة جعفر بن حنّان </w:t>
      </w:r>
      <w:r>
        <w:rPr>
          <w:rStyle w:val="FootnoteReference"/>
        </w:rPr>
        <w:footnoteReference w:id="822"/>
      </w:r>
      <w:r>
        <w:rPr>
          <w:rFonts w:ascii="IRNazanin" w:hAnsi="IRNazanin" w:eastAsia="IRNazanin" w:cs="IRNazanin"/>
          <w:lang w:bidi="fa-IR"/>
          <w:color w:val="111111"/>
          <w:sz w:val="28"/>
          <w:szCs w:val="28"/>
          <w:rtl/>
        </w:rPr>
        <w:t xml:space="preserve">عن الصادق علیه السلام </w:t>
      </w:r>
      <w:r>
        <w:rPr>
          <w:rStyle w:val="FootnoteReference"/>
        </w:rPr>
        <w:footnoteReference w:id="823"/>
      </w:r>
      <w:r>
        <w:rPr>
          <w:rFonts w:ascii="IRNazanin" w:hAnsi="IRNazanin" w:eastAsia="IRNazanin" w:cs="IRNazanin"/>
          <w:lang w:bidi="fa-IR"/>
          <w:color w:val="111111"/>
          <w:sz w:val="28"/>
          <w:szCs w:val="28"/>
          <w:rtl/>
        </w:rPr>
        <w:t xml:space="preserve">.انتهی کلامه،رفع مقامه.</w:t>
      </w:r>
    </w:p>
    <w:p>
      <w:pPr>
        <w:pStyle w:val="Heading6"/>
      </w:pPr>
      <w:bookmarkStart w:id="979" w:name="_Toc419"/>
      <w:r>
        <w:t>[کلام الشهید الثانی]</w:t>
      </w:r>
      <w:bookmarkEnd w:id="9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قال فی الروضة:و الأقوی فی المسألة ما دلّ علیه صحیحة علی ابن مهزیار عن أبی جعفر الجواد علیه السلام:من جواز بیعه إذا وقع بین أربابه خُلْفٌ شدید،و علّله علیه السلام بأنّه:«ربما جاء فیه تلف الأموال و النفوس» </w:t>
      </w:r>
      <w:r>
        <w:rPr>
          <w:rStyle w:val="FootnoteReference"/>
        </w:rPr>
        <w:footnoteReference w:id="824"/>
      </w:r>
      <w:r>
        <w:rPr>
          <w:rFonts w:ascii="IRNazanin" w:hAnsi="IRNazanin" w:eastAsia="IRNazanin" w:cs="IRNazanin"/>
          <w:lang w:bidi="fa-IR"/>
          <w:color w:val="111111"/>
          <w:sz w:val="28"/>
          <w:szCs w:val="28"/>
          <w:rtl/>
        </w:rPr>
        <w:t xml:space="preserve">،و ظاهره </w:t>
      </w:r>
      <w:r>
        <w:rPr>
          <w:rStyle w:val="FootnoteReference"/>
        </w:rPr>
        <w:footnoteReference w:id="825"/>
      </w:r>
      <w:r>
        <w:rPr>
          <w:rFonts w:ascii="IRNazanin" w:hAnsi="IRNazanin" w:eastAsia="IRNazanin" w:cs="IRNazanin"/>
          <w:lang w:bidi="fa-IR"/>
          <w:color w:val="111111"/>
          <w:sz w:val="28"/>
          <w:szCs w:val="28"/>
          <w:rtl/>
        </w:rPr>
        <w:t xml:space="preserve">أنّ خوف أدائه إلیهما و إلی أحدهما لیس بشرط،بل هو مظنّة لذلک.قال:و لا یجوز بیعه فی غیر ما ذکرناه و إن احتاج إلیه أرباب الوقف و لم یکفهم غلّته،أو کان أعود،أو غیر ذلک ممّا قیل؛لعدم دلیلٍ صالحٍ علیه </w:t>
      </w:r>
      <w:r>
        <w:rPr>
          <w:rStyle w:val="FootnoteReference"/>
        </w:rPr>
        <w:footnoteReference w:id="826"/>
      </w:r>
      <w:r>
        <w:rPr>
          <w:rFonts w:ascii="IRNazanin" w:hAnsi="IRNazanin" w:eastAsia="IRNazanin" w:cs="IRNazanin"/>
          <w:lang w:bidi="fa-IR"/>
          <w:color w:val="111111"/>
          <w:sz w:val="28"/>
          <w:szCs w:val="28"/>
          <w:rtl/>
        </w:rPr>
        <w:t xml:space="preserve">،انتهی.و نحوه ما عن الکفایة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من کلماتهم المرئیّة أو المحکیّة.و الظاهر أنّ المراد بتأدیة بقاء الوقف إلی خرابه:حصول الظنّ بذلک،الموجب لصدق الخوف،لا التأدیة علی وجه القطع،فیکون عنوان«التأدیة»فی بعض تلک العبارات متّحداً مع عنوان«خوفها»و«خشیتها»فی بعضها الآخر، و لذلک عبّر فقیهٌ واحد تارة بهذا،و أُخری بذاک کما اتّفق للفاضلین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7" w:name="pg14419_166956"/>
    <w:bookmarkEnd w:id="187"/>
    <w:p>
      <w:pPr>
        <w:pStyle w:val="BookText"/>
      </w:pPr>
      <w:r>
        <w:rPr>
          <w:rFonts w:ascii="IRNazanin" w:hAnsi="IRNazanin" w:eastAsia="IRNazanin" w:cs="IRNazanin"/>
          <w:lang w:bidi="fa-IR"/>
          <w:color w:val="111111"/>
          <w:sz w:val="28"/>
          <w:szCs w:val="28"/>
          <w:rtl/>
        </w:rPr>
        <w:t xml:space="preserve">و الشهید </w:t>
      </w:r>
      <w:r>
        <w:rPr>
          <w:rStyle w:val="FootnoteReference"/>
        </w:rPr>
        <w:footnoteReference w:id="829"/>
      </w:r>
      <w:r>
        <w:rPr>
          <w:rFonts w:ascii="IRNazanin" w:hAnsi="IRNazanin" w:eastAsia="IRNazanin" w:cs="IRNazanin"/>
          <w:lang w:bidi="fa-IR"/>
          <w:color w:val="111111"/>
          <w:sz w:val="28"/>
          <w:szCs w:val="28"/>
          <w:rtl/>
        </w:rPr>
        <w:t xml:space="preserve">.و نسب بعضهم عنوان الخوف إلی الأکثر کالعلّامة فی التذکرة </w:t>
      </w:r>
      <w:r>
        <w:rPr>
          <w:rStyle w:val="FootnoteReference"/>
        </w:rPr>
        <w:footnoteReference w:id="830"/>
      </w:r>
      <w:r>
        <w:rPr>
          <w:rFonts w:ascii="IRNazanin" w:hAnsi="IRNazanin" w:eastAsia="IRNazanin" w:cs="IRNazanin"/>
          <w:lang w:bidi="fa-IR"/>
          <w:color w:val="111111"/>
          <w:sz w:val="28"/>
          <w:szCs w:val="28"/>
          <w:rtl/>
        </w:rPr>
        <w:t xml:space="preserve">،و إلی الأشهر کما عن إیضاح النافع </w:t>
      </w:r>
      <w:r>
        <w:rPr>
          <w:rStyle w:val="FootnoteReference"/>
        </w:rPr>
        <w:footnoteReference w:id="831"/>
      </w:r>
      <w:r>
        <w:rPr>
          <w:rFonts w:ascii="IRNazanin" w:hAnsi="IRNazanin" w:eastAsia="IRNazanin" w:cs="IRNazanin"/>
          <w:lang w:bidi="fa-IR"/>
          <w:color w:val="111111"/>
          <w:sz w:val="28"/>
          <w:szCs w:val="28"/>
          <w:rtl/>
        </w:rPr>
        <w:t xml:space="preserve">،و آخرٌ عنوان التأدیة إلی الأکثر کجامع المقاصد </w:t>
      </w:r>
      <w:r>
        <w:rPr>
          <w:rStyle w:val="FootnoteReference"/>
        </w:rPr>
        <w:footnoteReference w:id="832"/>
      </w:r>
      <w:r>
        <w:rPr>
          <w:rFonts w:ascii="IRNazanin" w:hAnsi="IRNazanin" w:eastAsia="IRNazanin" w:cs="IRNazanin"/>
          <w:lang w:bidi="fa-IR"/>
          <w:color w:val="111111"/>
          <w:sz w:val="28"/>
          <w:szCs w:val="28"/>
          <w:rtl/>
        </w:rPr>
        <w:t xml:space="preserve">،أو إلی المشهور کاللمعة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من ذلک:أنّ جواز البیع بظنّ تأدیة بقائه إلی خرابه ممّا تحقّقت فیه الشهرة بین المجوِّزین،لکن المتیقَّن من فتوی المشهور:ما کان من أجل اختلاف أربابه.اللهمّ إلّا أن یستظهر من کلماتهم کالنصّ کون الاختلاف من باب المقدّمة و أنّ الغایة المجوِّزة هی مظنّة الخراب.</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834"/>
      </w:r>
      <w:r>
        <w:rPr>
          <w:rFonts w:ascii="IRNazanin" w:hAnsi="IRNazanin" w:eastAsia="IRNazanin" w:cs="IRNazanin"/>
          <w:lang w:bidi="fa-IR"/>
          <w:color w:val="111111"/>
          <w:sz w:val="28"/>
          <w:szCs w:val="28"/>
          <w:rtl/>
        </w:rPr>
        <w:t xml:space="preserve">عرفت ما ذکرنا، فیقع الکلام تارة فی الوقف المؤبّد،و أُخری فی المنقطع.</w:t>
      </w:r>
    </w:p>
    <w:p>
      <w:pPr>
        <w:pStyle w:val="Heading6"/>
      </w:pPr>
      <w:bookmarkStart w:id="980" w:name="_Toc420"/>
      <w:r>
        <w:t>[الوقف المؤبّد]</w:t>
      </w:r>
      <w:bookmarkEnd w:id="980"/>
    </w:p>
    <w:p>
      <w:pPr>
        <w:pStyle w:val="BookText"/>
      </w:pPr>
      <w:r>
        <w:rPr>
          <w:rStyle w:val="FootnoteReference"/>
        </w:rPr>
        <w:footnoteReference w:id="835"/>
      </w:r>
      <w:r>
        <w:rPr>
          <w:rFonts w:ascii="IRNazanin" w:hAnsi="IRNazanin" w:eastAsia="IRNazanin" w:cs="IRNazanin"/>
          <w:lang w:bidi="fa-IR"/>
          <w:color w:val="111111"/>
          <w:sz w:val="28"/>
          <w:szCs w:val="28"/>
          <w:rtl/>
        </w:rPr>
        <w:t xml:space="preserve">
أمّا الأوّل:فالذی ینبغی أن یقال فیه إنّ الوقف علی قسمین:</w:t>
      </w:r>
    </w:p>
    <w:p>
      <w:pPr>
        <w:pStyle w:val="BookText"/>
      </w:pPr>
      <w:r>
        <w:rPr>
          <w:rFonts w:ascii="IRNazanin" w:hAnsi="IRNazanin" w:eastAsia="IRNazanin" w:cs="IRNazanin"/>
          <w:lang w:bidi="fa-IR"/>
          <w:color w:val="111111"/>
          <w:sz w:val="28"/>
          <w:szCs w:val="28"/>
          <w:rtl/>
        </w:rPr>
        <w:t xml:space="preserve">أحدهما:ما یکون ملکاً للموقوف علیهم،فیملکون منفعته،فلهم</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استئجاره و أخذ أُجرته ممّن انتفع به بغیر حقّ.</w:t>
      </w:r>
    </w:p>
    <w:p>
      <w:pPr>
        <w:pStyle w:val="BookText"/>
      </w:pPr>
      <w:r>
        <w:rPr>
          <w:rFonts w:ascii="IRNazanin" w:hAnsi="IRNazanin" w:eastAsia="IRNazanin" w:cs="IRNazanin"/>
          <w:lang w:bidi="fa-IR"/>
          <w:color w:val="111111"/>
          <w:sz w:val="28"/>
          <w:szCs w:val="28"/>
          <w:rtl/>
        </w:rPr>
        <w:t xml:space="preserve">و الثانی:ما لا یکون ملکاً لأحد،بل یکون فکّ ملک نظیر التحریر،کما فی المساجد و المدارس و الربُط؛بناءً علی القول بعدم دخولها فی ملک المسلمین کما هو مذهب جماعة </w:t>
      </w:r>
      <w:r>
        <w:rPr>
          <w:rStyle w:val="FootnoteReference"/>
        </w:rPr>
        <w:footnoteReference w:id="836"/>
      </w:r>
      <w:r>
        <w:rPr>
          <w:rFonts w:ascii="IRNazanin" w:hAnsi="IRNazanin" w:eastAsia="IRNazanin" w:cs="IRNazanin"/>
          <w:lang w:bidi="fa-IR"/>
          <w:color w:val="111111"/>
          <w:sz w:val="28"/>
          <w:szCs w:val="28"/>
          <w:rtl/>
        </w:rPr>
        <w:t xml:space="preserve">،فإنّ الموقوف علیهم إنّما یملکون الانتفاع دون المنفعة،فلو سکنه أحدٌ بغیر حقٍّ فالظاهر أنّه لیس علیه اجرة المثل.</w:t>
      </w:r>
    </w:p>
    <w:p>
      <w:pPr>
        <w:pStyle w:val="BookText"/>
      </w:pPr>
      <w:r>
        <w:rPr>
          <w:rFonts w:ascii="IRNazanin" w:hAnsi="IRNazanin" w:eastAsia="IRNazanin" w:cs="IRNazanin"/>
          <w:lang w:bidi="fa-IR"/>
          <w:color w:val="111111"/>
          <w:sz w:val="28"/>
          <w:szCs w:val="28"/>
          <w:rtl/>
        </w:rPr>
        <w:t xml:space="preserve">و الظاهر أنّ محلّ الکلام فی بیع الوقف إنّما هو القسم الأوّل،و أمّا الثانی فالظاهر عدم الخلاف فی عدم جواز بیعه؛لعدم الملک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بالجملة،فکلامهم هنا فیما کان ملکاً غیر طلق،لا فیما لم یکن ملکاً، و حینئذٍ فلو خرب المسجد و خربت القریة و انقطعت المارّة عن الطریق الذی فیه المسجد،لم یجز بیعه و صرف ثمنه فی إحداث مسجدٍ آخر أو تعمیره،و الظاهر عدم الخلاف فی ذلک کما اعترف به غیر واحد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نعم،ذکر بعض الأساطین بعد ما ذکر:أنّه لا یصحّ بیع الوقف العامّ مطلقاً،لا </w:t>
      </w:r>
      <w:r>
        <w:rPr>
          <w:rStyle w:val="FootnoteReference"/>
        </w:rPr>
        <w:footnoteReference w:id="839"/>
      </w:r>
      <w:r>
        <w:rPr>
          <w:rFonts w:ascii="IRNazanin" w:hAnsi="IRNazanin" w:eastAsia="IRNazanin" w:cs="IRNazanin"/>
          <w:lang w:bidi="fa-IR"/>
          <w:color w:val="111111"/>
          <w:sz w:val="28"/>
          <w:szCs w:val="28"/>
          <w:rtl/>
        </w:rPr>
        <w:t xml:space="preserve">لعدم تمامیّة الملک،بل لعدم أصل الملک؛لرجوعها إلی اللّٰه و دخولها فی مشاعره-</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مع الیأس عن الانتفاع به فی الجهة المقصودة تؤجر للزراعة و نحوها،مع المحافظة علی الآداب اللازمة لها إن کان مسجداً مثلاً و إحکامِ السجلّات؛لئلّا یغلب الید فیُقضی بالملک،و تصرف فائدتها فیما یماثلها من الأوقاف مقدّماً للأقرب و الأحوج و الأفضل احتیاطاً،و مع التعارض فالمدار علی الراجح،و إن تعذّر صُرِف إلی غیر المماثل کذلک، فإن تعذّر صُرِف فی مصالح المسلمین.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غیر الأرض من الآلات و الفُرُش و الحیوانات و ثیاب الضرائح و نحوها،فإن بقیت علی حالها و أمکن الانتفاع بها فی خصوص المحلّ الذی أُعدّت له،کانت علی حالها،و إلّا جعلت فی المماثل،و إلّا فی غیره،و إلّا ففی المصالح،علی نحو ما مرّ،و إن تعذّر الانتفاع بها باقیةً علی حالها بالوجه المقصود منها أو ما قام مقامه،أشبهت الملک بعد إعراض المالک،فیقوم فیها احتمال الرجوع إلی حکم الإباحة،و العود ملکاً للمسلمین لِتُصرف فی مصالحهم،و العَوْد إلی المالک،و مع الیأس عن معرفته تدخل فی مجهول المالک،و یحتمل بقاؤه علی الوقف و یباع؛احترازاً عن التلف و الضرر و لزوم الحرج،و تُصرف مرتَّباً علی النحو السابق.و هذا هو الأقوی کما صرّح به بعضهم </w:t>
      </w:r>
      <w:r>
        <w:rPr>
          <w:rStyle w:val="FootnoteReference"/>
        </w:rPr>
        <w:footnoteReference w:id="84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فیه:أنّ إجارة الأرض و بیع الآلات حسن لو ثبت دلیل علی کونها </w:t>
      </w:r>
      <w:r>
        <w:rPr>
          <w:rStyle w:val="FootnoteReference"/>
        </w:rPr>
        <w:footnoteReference w:id="841"/>
      </w:r>
      <w:r>
        <w:rPr>
          <w:rFonts w:ascii="Amiri" w:hAnsi="Amiri" w:eastAsia="Amiri" w:cs="Amiri"/>
          <w:lang w:bidi="ar-SA"/>
          <w:color w:val="111111"/>
          <w:sz w:val="28"/>
          <w:szCs w:val="28"/>
          <w:rtl/>
        </w:rPr>
        <w:t xml:space="preserve">ملکاً </w:t>
      </w:r>
      <w:r>
        <w:rPr>
          <w:rStyle w:val="FootnoteReference"/>
        </w:rPr>
        <w:footnoteReference w:id="842"/>
      </w:r>
      <w:r>
        <w:rPr>
          <w:rFonts w:ascii="IRNazanin" w:hAnsi="IRNazanin" w:eastAsia="IRNazanin" w:cs="IRNazanin"/>
          <w:lang w:bidi="fa-IR"/>
          <w:color w:val="111111"/>
          <w:sz w:val="28"/>
          <w:szCs w:val="28"/>
          <w:rtl/>
        </w:rPr>
        <w:t xml:space="preserve">للمسلمین و لو علی نحو الأرض المفتوحة عنوة،لکنّه</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ثابت،و المتیقّن خروجه عن ملک مالکه،أمّا </w:t>
      </w:r>
      <w:r>
        <w:rPr>
          <w:rStyle w:val="FootnoteReference"/>
        </w:rPr>
        <w:footnoteReference w:id="843"/>
      </w:r>
      <w:r>
        <w:rPr>
          <w:rFonts w:ascii="IRNazanin" w:hAnsi="IRNazanin" w:eastAsia="IRNazanin" w:cs="IRNazanin"/>
          <w:lang w:bidi="fa-IR"/>
          <w:color w:val="111111"/>
          <w:sz w:val="28"/>
          <w:szCs w:val="28"/>
          <w:rtl/>
        </w:rPr>
        <w:t xml:space="preserve">دخوله فی ملک المسلمین فمنفیّ بالأصل.</w:t>
      </w:r>
    </w:p>
    <w:p>
      <w:pPr>
        <w:pStyle w:val="BookText"/>
      </w:pPr>
      <w:r>
        <w:rPr>
          <w:rFonts w:ascii="IRNazanin" w:hAnsi="IRNazanin" w:eastAsia="IRNazanin" w:cs="IRNazanin"/>
          <w:lang w:bidi="fa-IR"/>
          <w:color w:val="111111"/>
          <w:sz w:val="28"/>
          <w:szCs w:val="28"/>
          <w:rtl/>
        </w:rPr>
        <w:t xml:space="preserve">نعم،یمکن الحکم بإباحة الانتفاع للمسلمین؛لأصالة الإباحة،و لا یتعلّق علیهم اجرة.</w:t>
      </w:r>
    </w:p>
    <w:p>
      <w:pPr>
        <w:pStyle w:val="BookText"/>
      </w:pPr>
      <w:r>
        <w:rPr>
          <w:rFonts w:ascii="IRNazanin" w:hAnsi="IRNazanin" w:eastAsia="IRNazanin" w:cs="IRNazanin"/>
          <w:lang w:bidi="fa-IR"/>
          <w:color w:val="111111"/>
          <w:sz w:val="28"/>
          <w:szCs w:val="28"/>
          <w:rtl/>
        </w:rPr>
        <w:t xml:space="preserve">ثمّ إنّه ربما ینافی ما ذکرنا من عدم جواز بیع القسم الثانی من الوقف ما ورد فی بیع ثوب الکعبة وهبته،مثل روایة مروان بن عبد الملک </w:t>
      </w:r>
      <w:r>
        <w:rPr>
          <w:rStyle w:val="FootnoteReference"/>
        </w:rPr>
        <w:footnoteReference w:id="844"/>
      </w:r>
      <w:r>
        <w:rPr>
          <w:rFonts w:ascii="IRNazanin" w:hAnsi="IRNazanin" w:eastAsia="IRNazanin" w:cs="IRNazanin"/>
          <w:lang w:bidi="fa-IR"/>
          <w:color w:val="111111"/>
          <w:sz w:val="28"/>
          <w:szCs w:val="28"/>
          <w:rtl/>
        </w:rPr>
        <w:t xml:space="preserve">:«قال:سألت أبا الحسن علیه السلام عن رجل اشتری من کسوة الکعبة ما قضی ببعضه حاجتَه و بقی بعضه فی یده،هل یصلح له أن یبیع ما أراد؟قال:یبیع ما أراد،و یهب ما لم یرد،و ینتفع به و یطلب برکته.قلت:أ یکفّن به المیّت؟قال:لا»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قیل:و فی روایة أُخری:«یجوز استعماله،و بیع نفسه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r>
        <w:rPr>
          <w:rStyle w:val="FootnoteReference"/>
        </w:rPr>
        <w:footnoteReference w:id="847"/>
      </w:r>
      <w:r>
        <w:rPr>
          <w:rFonts w:ascii="IRNazanin" w:hAnsi="IRNazanin" w:eastAsia="IRNazanin" w:cs="IRNazanin"/>
          <w:lang w:bidi="fa-IR"/>
          <w:color w:val="111111"/>
          <w:sz w:val="28"/>
          <w:szCs w:val="28"/>
          <w:rtl/>
        </w:rPr>
        <w:t xml:space="preserve">و کذلک ما ذکروه فی بعض حُصُر </w:t>
      </w:r>
      <w:r>
        <w:rPr>
          <w:rStyle w:val="FootnoteReference"/>
        </w:rPr>
        <w:footnoteReference w:id="848"/>
      </w:r>
      <w:r>
        <w:rPr>
          <w:rFonts w:ascii="IRNazanin" w:hAnsi="IRNazanin" w:eastAsia="IRNazanin" w:cs="IRNazanin"/>
          <w:lang w:bidi="fa-IR"/>
          <w:color w:val="111111"/>
          <w:sz w:val="28"/>
          <w:szCs w:val="28"/>
          <w:rtl/>
        </w:rPr>
        <w:t xml:space="preserve">المسجد إذا خلقت،و جذوعه إذا خرجت عن الانتفاع،اللهمّ إلّا أن یقال:إنّ ثوب الکعبة و حصیر المسجد لیسا</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قبیل المسجد،بل هما مبذولان للبیت و المسجد،فیکون </w:t>
      </w:r>
      <w:r>
        <w:rPr>
          <w:rStyle w:val="FootnoteReference"/>
        </w:rPr>
        <w:footnoteReference w:id="849"/>
      </w:r>
      <w:r>
        <w:rPr>
          <w:rFonts w:ascii="IRNazanin" w:hAnsi="IRNazanin" w:eastAsia="IRNazanin" w:cs="IRNazanin"/>
          <w:lang w:bidi="fa-IR"/>
          <w:color w:val="111111"/>
          <w:sz w:val="28"/>
          <w:szCs w:val="28"/>
          <w:rtl/>
        </w:rPr>
        <w:t xml:space="preserve">کسائر أموالهما،و معلومٌ أنّ وقفیّة أموال المساجد و الکعبة من قبیل القسم الأوّل و لیس </w:t>
      </w:r>
      <w:r>
        <w:rPr>
          <w:rStyle w:val="FootnoteReference"/>
        </w:rPr>
        <w:footnoteReference w:id="850"/>
      </w:r>
      <w:r>
        <w:rPr>
          <w:rFonts w:ascii="IRNazanin" w:hAnsi="IRNazanin" w:eastAsia="IRNazanin" w:cs="IRNazanin"/>
          <w:lang w:bidi="fa-IR"/>
          <w:color w:val="111111"/>
          <w:sz w:val="28"/>
          <w:szCs w:val="28"/>
          <w:rtl/>
        </w:rPr>
        <w:t xml:space="preserve">من قبیل نفس المسجد،فهی ملک للمسلمین،فللناظر العامّ التصرّف فیها </w:t>
      </w:r>
      <w:r>
        <w:rPr>
          <w:rStyle w:val="FootnoteReference"/>
        </w:rPr>
        <w:footnoteReference w:id="851"/>
      </w:r>
      <w:r>
        <w:rPr>
          <w:rFonts w:ascii="IRNazanin" w:hAnsi="IRNazanin" w:eastAsia="IRNazanin" w:cs="IRNazanin"/>
          <w:lang w:bidi="fa-IR"/>
          <w:color w:val="111111"/>
          <w:sz w:val="28"/>
          <w:szCs w:val="28"/>
          <w:rtl/>
        </w:rPr>
        <w:t xml:space="preserve">بالبیع.</w:t>
      </w:r>
    </w:p>
    <w:p>
      <w:pPr>
        <w:pStyle w:val="BookText"/>
      </w:pPr>
      <w:r>
        <w:rPr>
          <w:rFonts w:ascii="IRNazanin" w:hAnsi="IRNazanin" w:eastAsia="IRNazanin" w:cs="IRNazanin"/>
          <w:lang w:bidi="fa-IR"/>
          <w:color w:val="111111"/>
          <w:sz w:val="28"/>
          <w:szCs w:val="28"/>
          <w:rtl/>
        </w:rPr>
        <w:t xml:space="preserve">نعم،فرق بین ما یکون ملکاً طلقاً کالحصیر المُشتری من مال المسجد،فهذا یجوز للناظر بیعه مع المصلحة و لو لم یخرج عن حیّز الانتفاع،بل کان جدیداً غیر مستعمل،و بین ما یکون من الأموال وقفاً علی المسجد کالحصیر الذی یشتریه الرجل و یضعه فی المسجد،و الثوب الذی یُلبس البیت،فمثل هذا یکون ملکاً للمسلمین لا یجوز لهم تغییره عن وضعه إلّا فی مواضع یسوغ فیها بیع الوقف.</w:t>
      </w:r>
    </w:p>
    <w:p>
      <w:pPr>
        <w:pStyle w:val="BookText"/>
      </w:pPr>
      <w:r>
        <w:rPr>
          <w:rFonts w:ascii="IRNazanin" w:hAnsi="IRNazanin" w:eastAsia="IRNazanin" w:cs="IRNazanin"/>
          <w:lang w:bidi="fa-IR"/>
          <w:color w:val="111111"/>
          <w:sz w:val="28"/>
          <w:szCs w:val="28"/>
          <w:rtl/>
        </w:rPr>
        <w:t xml:space="preserve">ثمّ الفرق بین ثوب الکعبة و حصیر المسجد:أنّ الحصیر یتصوّر فیه کونه وقفاً علی المسلمین،لکن </w:t>
      </w:r>
      <w:r>
        <w:rPr>
          <w:rStyle w:val="FootnoteReference"/>
        </w:rPr>
        <w:footnoteReference w:id="852"/>
      </w:r>
      <w:r>
        <w:rPr>
          <w:rFonts w:ascii="IRNazanin" w:hAnsi="IRNazanin" w:eastAsia="IRNazanin" w:cs="IRNazanin"/>
          <w:lang w:bidi="fa-IR"/>
          <w:color w:val="111111"/>
          <w:sz w:val="28"/>
          <w:szCs w:val="28"/>
          <w:rtl/>
        </w:rPr>
        <w:t xml:space="preserve">یضعه فی المسجد؛لأنّه أحد وجوه انتفاعهم،کالماء المسبّل الموضوع فی المسجد،فإذا خرب المسجد أو استغنی عنه جاز الانتفاع به و لو فی مسجد آخر،بل یمکن الانتفاع به فی غیره و لو مع حاجته.</w:t>
      </w:r>
    </w:p>
    <w:p>
      <w:pPr>
        <w:pStyle w:val="BookText"/>
      </w:pPr>
      <w:r>
        <w:rPr>
          <w:rFonts w:ascii="IRNazanin" w:hAnsi="IRNazanin" w:eastAsia="IRNazanin" w:cs="IRNazanin"/>
          <w:lang w:bidi="fa-IR"/>
          <w:color w:val="111111"/>
          <w:sz w:val="28"/>
          <w:szCs w:val="28"/>
          <w:rtl/>
        </w:rPr>
        <w:t xml:space="preserve">لکن یبقی الکلام فی مورد الشکّ،مثل ما إذا فرش حصیراً فی المسجد أو وضع حبّ ماءٍ فیه،و إن کان الظاهر فی الأوّل الاختصاص و أوضح من ذلک الترَب الموضوعة فیه و فی الثانی العموم،فیجوز</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التوضّؤ منه و إن لم یرد الصلاة فی المسجد.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 الحصیر </w:t>
      </w:r>
      <w:r>
        <w:rPr>
          <w:rStyle w:val="FootnoteReference"/>
        </w:rPr>
        <w:footnoteReference w:id="853"/>
      </w:r>
      <w:r>
        <w:rPr>
          <w:rFonts w:ascii="IRNazanin" w:hAnsi="IRNazanin" w:eastAsia="IRNazanin" w:cs="IRNazanin"/>
          <w:lang w:bidi="fa-IR"/>
          <w:color w:val="111111"/>
          <w:sz w:val="28"/>
          <w:szCs w:val="28"/>
          <w:rtl/>
        </w:rPr>
        <w:t xml:space="preserve">و شبهها الموضوعة فی المساجد و شبهها یتصوّر فیها </w:t>
      </w:r>
      <w:r>
        <w:rPr>
          <w:rStyle w:val="FootnoteReference"/>
        </w:rPr>
        <w:footnoteReference w:id="854"/>
      </w:r>
      <w:r>
        <w:rPr>
          <w:rFonts w:ascii="IRNazanin" w:hAnsi="IRNazanin" w:eastAsia="IRNazanin" w:cs="IRNazanin"/>
          <w:lang w:bidi="fa-IR"/>
          <w:color w:val="111111"/>
          <w:sz w:val="28"/>
          <w:szCs w:val="28"/>
          <w:rtl/>
        </w:rPr>
        <w:t xml:space="preserve">أقسام کثیرة یکون الملک فیها للمسلمین،و لیست من قبیل نفس المسجد و أضرابه،فتعرّض الأصحاب لبیعها لا ینافی ما ذکرنا.</w:t>
      </w:r>
    </w:p>
    <w:p>
      <w:pPr>
        <w:pStyle w:val="BookText"/>
      </w:pPr>
      <w:r>
        <w:rPr>
          <w:rFonts w:ascii="IRNazanin" w:hAnsi="IRNazanin" w:eastAsia="IRNazanin" w:cs="IRNazanin"/>
          <w:lang w:bidi="fa-IR"/>
          <w:color w:val="111111"/>
          <w:sz w:val="28"/>
          <w:szCs w:val="28"/>
          <w:rtl/>
        </w:rPr>
        <w:t xml:space="preserve">نعم،ما ذکرنا لا یجری فی الجذع المنکسر من جذوع المسجد التی هی من أجزاء البنیان،مع أنّ المحکی عن العلّامة </w:t>
      </w:r>
      <w:r>
        <w:rPr>
          <w:rStyle w:val="FootnoteReference"/>
        </w:rPr>
        <w:footnoteReference w:id="855"/>
      </w:r>
      <w:r>
        <w:rPr>
          <w:rFonts w:ascii="IRNazanin" w:hAnsi="IRNazanin" w:eastAsia="IRNazanin" w:cs="IRNazanin"/>
          <w:lang w:bidi="fa-IR"/>
          <w:color w:val="111111"/>
          <w:sz w:val="28"/>
          <w:szCs w:val="28"/>
          <w:rtl/>
        </w:rPr>
        <w:t xml:space="preserve">و ولده </w:t>
      </w:r>
      <w:r>
        <w:rPr>
          <w:rStyle w:val="FootnoteReference"/>
        </w:rPr>
        <w:footnoteReference w:id="856"/>
      </w:r>
      <w:r>
        <w:rPr>
          <w:rFonts w:ascii="IRNazanin" w:hAnsi="IRNazanin" w:eastAsia="IRNazanin" w:cs="IRNazanin"/>
          <w:lang w:bidi="fa-IR"/>
          <w:color w:val="111111"/>
          <w:sz w:val="28"/>
          <w:szCs w:val="28"/>
          <w:rtl/>
        </w:rPr>
        <w:t xml:space="preserve">و الشهیدین </w:t>
      </w:r>
      <w:r>
        <w:rPr>
          <w:rStyle w:val="FootnoteReference"/>
        </w:rPr>
        <w:footnoteReference w:id="857"/>
      </w:r>
      <w:r>
        <w:rPr>
          <w:rFonts w:ascii="IRNazanin" w:hAnsi="IRNazanin" w:eastAsia="IRNazanin" w:cs="IRNazanin"/>
          <w:lang w:bidi="fa-IR"/>
          <w:color w:val="111111"/>
          <w:sz w:val="28"/>
          <w:szCs w:val="28"/>
          <w:rtl/>
        </w:rPr>
        <w:t xml:space="preserve">و المحقّق الثانی </w:t>
      </w:r>
      <w:r>
        <w:rPr>
          <w:rStyle w:val="FootnoteReference"/>
        </w:rPr>
        <w:footnoteReference w:id="858"/>
      </w:r>
      <w:r>
        <w:rPr>
          <w:rFonts w:ascii="IRNazanin" w:hAnsi="IRNazanin" w:eastAsia="IRNazanin" w:cs="IRNazanin"/>
          <w:lang w:bidi="fa-IR"/>
          <w:color w:val="111111"/>
          <w:sz w:val="28"/>
          <w:szCs w:val="28"/>
          <w:rtl/>
        </w:rPr>
        <w:t xml:space="preserve">جواز بیعه و إن اختلفوا فی تقیید الحکم و إطلاقه کما سیجیء </w:t>
      </w:r>
      <w:r>
        <w:rPr>
          <w:rStyle w:val="FootnoteReference"/>
        </w:rPr>
        <w:footnoteReference w:id="859"/>
      </w:r>
      <w:r>
        <w:rPr>
          <w:rFonts w:ascii="Amiri" w:hAnsi="Amiri" w:eastAsia="Amiri" w:cs="Amiri"/>
          <w:lang w:bidi="ar-SA"/>
          <w:color w:val="111111"/>
          <w:sz w:val="28"/>
          <w:szCs w:val="28"/>
          <w:rtl/>
        </w:rPr>
        <w:t xml:space="preserve">،إلّا أن </w:t>
      </w:r>
      <w:r>
        <w:rPr>
          <w:rStyle w:val="FootnoteReference"/>
        </w:rPr>
        <w:footnoteReference w:id="860"/>
      </w:r>
      <w:r>
        <w:rPr>
          <w:rFonts w:ascii="IRNazanin" w:hAnsi="IRNazanin" w:eastAsia="IRNazanin" w:cs="IRNazanin"/>
          <w:lang w:bidi="fa-IR"/>
          <w:color w:val="111111"/>
          <w:sz w:val="28"/>
          <w:szCs w:val="28"/>
          <w:rtl/>
        </w:rPr>
        <w:t xml:space="preserve">نلتزم </w:t>
      </w:r>
      <w:r>
        <w:rPr>
          <w:rStyle w:val="FootnoteReference"/>
        </w:rPr>
        <w:footnoteReference w:id="861"/>
      </w:r>
      <w:r>
        <w:rPr>
          <w:rFonts w:ascii="IRNazanin" w:hAnsi="IRNazanin" w:eastAsia="IRNazanin" w:cs="IRNazanin"/>
          <w:lang w:bidi="fa-IR"/>
          <w:color w:val="111111"/>
          <w:sz w:val="28"/>
          <w:szCs w:val="28"/>
          <w:rtl/>
        </w:rPr>
        <w:t xml:space="preserve">بالفرق بین أرض المسجد،فإنّ وقفها و جعلها مسجداً فکّ ملک،بخلاف ما عداها من أجزاء البنیان کالأخشاب و الأحجار،فإنّها تصیر ملکاً للمسلمین،فتأمّل.</w:t>
      </w:r>
    </w:p>
    <w:p>
      <w:pPr>
        <w:pStyle w:val="BookText"/>
      </w:pPr>
      <w:r>
        <w:rPr>
          <w:rFonts w:ascii="IRNazanin" w:hAnsi="IRNazanin" w:eastAsia="IRNazanin" w:cs="IRNazanin"/>
          <w:lang w:bidi="fa-IR"/>
          <w:color w:val="111111"/>
          <w:sz w:val="28"/>
          <w:szCs w:val="28"/>
          <w:rtl/>
        </w:rPr>
        <w:t xml:space="preserve">و کیف کان،فالحکم فی أرض المسجد مع خروجها عن الانتفاع بها رأساً هو إبقاؤها مع التصرّف فی منافعها کما تقدّم عن بعض</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الأساطین </w:t>
      </w:r>
      <w:r>
        <w:rPr>
          <w:rStyle w:val="FootnoteReference"/>
        </w:rPr>
        <w:footnoteReference w:id="862"/>
      </w:r>
      <w:r>
        <w:rPr>
          <w:rFonts w:ascii="IRNazanin" w:hAnsi="IRNazanin" w:eastAsia="IRNazanin" w:cs="IRNazanin"/>
          <w:lang w:bidi="fa-IR"/>
          <w:color w:val="111111"/>
          <w:sz w:val="28"/>
          <w:szCs w:val="28"/>
          <w:rtl/>
        </w:rPr>
        <w:t xml:space="preserve">أو بدونه.و أمّا أجزاؤه کجذوع سقفه و آجره من حائطه المنهدم فمع المصلحة فی صرف عینه </w:t>
      </w:r>
      <w:r>
        <w:rPr>
          <w:rStyle w:val="FootnoteReference"/>
        </w:rPr>
        <w:footnoteReference w:id="863"/>
      </w:r>
      <w:r>
        <w:rPr>
          <w:rFonts w:ascii="Amiri" w:hAnsi="Amiri" w:eastAsia="Amiri" w:cs="Amiri"/>
          <w:lang w:bidi="ar-SA"/>
          <w:color w:val="111111"/>
          <w:sz w:val="28"/>
          <w:szCs w:val="28"/>
          <w:rtl/>
        </w:rPr>
        <w:t xml:space="preserve">فیه تعیّن </w:t>
      </w:r>
      <w:r>
        <w:rPr>
          <w:rStyle w:val="FootnoteReference"/>
        </w:rPr>
        <w:footnoteReference w:id="864"/>
      </w:r>
      <w:r>
        <w:rPr>
          <w:rFonts w:ascii="IRNazanin" w:hAnsi="IRNazanin" w:eastAsia="IRNazanin" w:cs="IRNazanin"/>
          <w:lang w:bidi="fa-IR"/>
          <w:color w:val="111111"/>
          <w:sz w:val="28"/>
          <w:szCs w:val="28"/>
          <w:rtl/>
        </w:rPr>
        <w:t xml:space="preserve">لأنّ مقتضی وجوب إبقاء الوقوف و أجزائها </w:t>
      </w:r>
      <w:r>
        <w:rPr>
          <w:rStyle w:val="FootnoteReference"/>
        </w:rPr>
        <w:footnoteReference w:id="865"/>
      </w:r>
      <w:r>
        <w:rPr>
          <w:rFonts w:ascii="IRNazanin" w:hAnsi="IRNazanin" w:eastAsia="IRNazanin" w:cs="IRNazanin"/>
          <w:lang w:bidi="fa-IR"/>
          <w:color w:val="111111"/>
          <w:sz w:val="28"/>
          <w:szCs w:val="28"/>
          <w:rtl/>
        </w:rPr>
        <w:t xml:space="preserve">علی حسب ما یوقفها أهلها وجوب إبقائه جزءاً للمسجد،لکن لا یجب صرف المال من المکلّف لمئونته،بل یُصرف من مال المسجد أو بیت المال.و إن لم یکن مصلحة فی ردّه جزءاً للمسجد،فبناءً </w:t>
      </w:r>
      <w:r>
        <w:rPr>
          <w:rStyle w:val="FootnoteReference"/>
        </w:rPr>
        <w:footnoteReference w:id="866"/>
      </w:r>
      <w:r>
        <w:rPr>
          <w:rFonts w:ascii="IRNazanin" w:hAnsi="IRNazanin" w:eastAsia="IRNazanin" w:cs="IRNazanin"/>
          <w:lang w:bidi="fa-IR"/>
          <w:color w:val="111111"/>
          <w:sz w:val="28"/>
          <w:szCs w:val="28"/>
          <w:rtl/>
        </w:rPr>
        <w:t xml:space="preserve">علی ما تقدّم من أنّ الوقف فی المسجد و أضرابه فکّ ملک،لم یجز بیعه،لفرض عدم الملک.</w:t>
      </w:r>
    </w:p>
    <w:p>
      <w:pPr>
        <w:pStyle w:val="BookText"/>
      </w:pPr>
      <w:r>
        <w:rPr>
          <w:rFonts w:ascii="IRNazanin" w:hAnsi="IRNazanin" w:eastAsia="IRNazanin" w:cs="IRNazanin"/>
          <w:lang w:bidi="fa-IR"/>
          <w:color w:val="111111"/>
          <w:sz w:val="28"/>
          <w:szCs w:val="28"/>
          <w:rtl/>
        </w:rPr>
        <w:t xml:space="preserve">و حینئذٍ فإن قلنا بوجوب مراعاة الأقرب إلی مقصود الواقف فالأقرب،تعیّن </w:t>
      </w:r>
      <w:r>
        <w:rPr>
          <w:rStyle w:val="FootnoteReference"/>
        </w:rPr>
        <w:footnoteReference w:id="867"/>
      </w:r>
      <w:r>
        <w:rPr>
          <w:rFonts w:ascii="IRNazanin" w:hAnsi="IRNazanin" w:eastAsia="IRNazanin" w:cs="IRNazanin"/>
          <w:lang w:bidi="fa-IR"/>
          <w:color w:val="111111"/>
          <w:sz w:val="28"/>
          <w:szCs w:val="28"/>
          <w:rtl/>
        </w:rPr>
        <w:t xml:space="preserve">صرفه فی مصالح ذلک،کإحراقه لآجر المسجد و نحو ذلک کما عن الروضة </w:t>
      </w:r>
      <w:r>
        <w:rPr>
          <w:rStyle w:val="FootnoteReference"/>
        </w:rPr>
        <w:footnoteReference w:id="868"/>
      </w:r>
      <w:r>
        <w:rPr>
          <w:rFonts w:ascii="Amiri" w:hAnsi="Amiri" w:eastAsia="Amiri" w:cs="Amiri"/>
          <w:lang w:bidi="ar-SA"/>
          <w:color w:val="111111"/>
          <w:sz w:val="28"/>
          <w:szCs w:val="28"/>
          <w:rtl/>
        </w:rPr>
        <w:t xml:space="preserve">و إلّا صُرِف فی مسجدٍ آخر کما فی الدروس </w:t>
      </w:r>
      <w:r>
        <w:rPr>
          <w:rStyle w:val="FootnoteReference"/>
        </w:rPr>
        <w:footnoteReference w:id="869"/>
      </w:r>
      <w:r>
        <w:rPr>
          <w:rFonts w:ascii="Amiri" w:hAnsi="Amiri" w:eastAsia="Amiri" w:cs="Amiri"/>
          <w:lang w:bidi="ar-SA"/>
          <w:color w:val="111111"/>
          <w:sz w:val="28"/>
          <w:szCs w:val="28"/>
          <w:rtl/>
        </w:rPr>
        <w:t xml:space="preserve">و إلّا صُرِف فی سائر مصالح المسلمین.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قیل:بل لکلّ أحد حیازته و تملّکه </w:t>
      </w:r>
      <w:r>
        <w:rPr>
          <w:rStyle w:val="FootnoteReference"/>
        </w:rPr>
        <w:footnoteReference w:id="870"/>
      </w: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و قد الحق </w:t>
      </w:r>
      <w:r>
        <w:rPr>
          <w:rStyle w:val="FootnoteReference"/>
        </w:rPr>
        <w:footnoteReference w:id="871"/>
      </w:r>
      <w:r>
        <w:rPr>
          <w:rFonts w:ascii="IRNazanin" w:hAnsi="IRNazanin" w:eastAsia="IRNazanin" w:cs="IRNazanin"/>
          <w:lang w:bidi="fa-IR"/>
          <w:color w:val="111111"/>
          <w:sz w:val="28"/>
          <w:szCs w:val="28"/>
          <w:rtl/>
        </w:rPr>
        <w:t xml:space="preserve">بالمساجد المشاهد و المقابر و الخانات و المدارس و القناطر الموقوفة علی الطریقة المعروفة،و الکتب الموقوفة علی المشتغلین، و العبد المحبوس فی خدمة الکعبة و نحوها،و الأشجار الموقوفة لانتفاع المارّة،و البواری الموضوعة لصلاة المصلّین،و غیر ذلک ممّا قصد بوقفه الانتفاع العامّ لجمیع الناس أو للمسلمین و نحوهم من غیر المحصورین،لا لتحصیل المنافع بالإجارة و نحوها و صرفها فی مصارفها کما فی الحمّامات و الدکاکین و نحوها </w:t>
      </w:r>
      <w:r>
        <w:rPr>
          <w:rStyle w:val="FootnoteReference"/>
        </w:rPr>
        <w:footnoteReference w:id="872"/>
      </w:r>
      <w:r>
        <w:rPr>
          <w:rFonts w:ascii="IRNazanin" w:hAnsi="IRNazanin" w:eastAsia="IRNazanin" w:cs="IRNazanin"/>
          <w:lang w:bidi="fa-IR"/>
          <w:color w:val="111111"/>
          <w:sz w:val="28"/>
          <w:szCs w:val="28"/>
          <w:rtl/>
        </w:rPr>
        <w:t xml:space="preserve">لأنّ جمیع ذلک صار بالوقف کالمباحات بالأصل، اللازم إبقاؤها علی الإباحة کالطرق العامّة و الأسواق.</w:t>
      </w:r>
    </w:p>
    <w:p>
      <w:pPr>
        <w:pStyle w:val="BookText"/>
      </w:pPr>
      <w:r>
        <w:rPr>
          <w:rFonts w:ascii="IRNazanin" w:hAnsi="IRNazanin" w:eastAsia="IRNazanin" w:cs="IRNazanin"/>
          <w:lang w:bidi="fa-IR"/>
          <w:color w:val="111111"/>
          <w:sz w:val="28"/>
          <w:szCs w:val="28"/>
          <w:rtl/>
        </w:rPr>
        <w:t xml:space="preserve">و هذا کلّه حسن علی تقدیر کون الوقف فیها فکّ ملک،لا تملیکاً.</w:t>
      </w:r>
    </w:p>
    <w:p>
      <w:pPr>
        <w:pStyle w:val="BookText"/>
      </w:pPr>
      <w:r>
        <w:rPr>
          <w:rFonts w:ascii="IRNazanin" w:hAnsi="IRNazanin" w:eastAsia="IRNazanin" w:cs="IRNazanin"/>
          <w:lang w:bidi="fa-IR"/>
          <w:color w:val="111111"/>
          <w:sz w:val="28"/>
          <w:szCs w:val="28"/>
          <w:rtl/>
        </w:rPr>
        <w:t xml:space="preserve">و لو أتلف شیئاً من هذه الموقوفات أو أجزائها متلفٌ،ففی الضمان وجهان:</w:t>
      </w:r>
    </w:p>
    <w:p>
      <w:pPr>
        <w:pStyle w:val="BookText"/>
      </w:pPr>
      <w:r>
        <w:rPr>
          <w:rFonts w:ascii="IRNazanin" w:hAnsi="IRNazanin" w:eastAsia="IRNazanin" w:cs="IRNazanin"/>
          <w:lang w:bidi="fa-IR"/>
          <w:color w:val="111111"/>
          <w:sz w:val="28"/>
          <w:szCs w:val="28"/>
          <w:rtl/>
        </w:rPr>
        <w:t xml:space="preserve">من عموم«علی الید»فیجب صرف قیمته فی بدله.</w:t>
      </w:r>
    </w:p>
    <w:p>
      <w:pPr>
        <w:pStyle w:val="BookText"/>
      </w:pPr>
      <w:r>
        <w:rPr>
          <w:rFonts w:ascii="IRNazanin" w:hAnsi="IRNazanin" w:eastAsia="IRNazanin" w:cs="IRNazanin"/>
          <w:lang w:bidi="fa-IR"/>
          <w:color w:val="111111"/>
          <w:sz w:val="28"/>
          <w:szCs w:val="28"/>
          <w:rtl/>
        </w:rPr>
        <w:t xml:space="preserve">و من أنّ ما یطلب بقیمته یطلب بمنافعه،و المفروض عدم المطالبة بأُجرة منافع هذه لو استوفاها ظالم کما لو جعل المدرسة بیت المسکن أو محرزاً،و أنّ الظاهر من التأدیة فی حدیث«الید»الإیصال إلی المالک فیختصّ بأملاک الناس،و الأوّل أحوط،و قوّاه بعض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8" w:name="pg14419_166964"/>
    <w:bookmarkEnd w:id="188"/>
    <w:p>
      <w:pPr>
        <w:pStyle w:val="Heading6"/>
      </w:pPr>
      <w:bookmarkStart w:id="981" w:name="_Toc421"/>
      <w:r>
        <w:t>[صور جواز بیع الوقف]</w:t>
      </w:r>
      <w:bookmarkEnd w:id="981"/>
    </w:p>
    <w:p>
      <w:pPr>
        <w:pStyle w:val="Heading6"/>
      </w:pPr>
      <w:bookmarkStart w:id="982" w:name="_Toc422"/>
      <w:r>
        <w:t>اشارة</w:t>
      </w:r>
      <w:bookmarkEnd w:id="982"/>
    </w:p>
    <w:p>
      <w:pPr>
        <w:pStyle w:val="BookText"/>
      </w:pPr>
      <w:r>
        <w:rPr>
          <w:rStyle w:val="FootnoteReference"/>
        </w:rPr>
        <w:footnoteReference w:id="874"/>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إذا عرفت جمیع ما ذکرنا، فاعلم أنّ الکلام فی جواز بیع الوقف یقع فی صور:</w:t>
      </w:r>
    </w:p>
    <w:p>
      <w:pPr>
        <w:pStyle w:val="Heading6"/>
      </w:pPr>
      <w:bookmarkStart w:id="983" w:name="_Toc423"/>
      <w:r>
        <w:t>الاُولی : أن یخرب الوقف بحیث لا یمکن الانتفاع به مع بقاء عینه</w:t>
      </w:r>
      <w:bookmarkEnd w:id="983"/>
    </w:p>
    <w:p>
      <w:pPr>
        <w:pStyle w:val="BookText"/>
      </w:pPr>
      <w:r>
        <w:rPr>
          <w:rFonts w:ascii="IRNazanin" w:hAnsi="IRNazanin" w:eastAsia="IRNazanin" w:cs="IRNazanin"/>
          <w:lang w:bidi="fa-IR"/>
          <w:color w:val="111111"/>
          <w:sz w:val="28"/>
          <w:szCs w:val="28"/>
          <w:rtl/>
        </w:rPr>
        <w:t xml:space="preserve">کالحیوان المذبوح و الجذع البالی و الحصیر الخَلِق.</w:t>
      </w:r>
    </w:p>
    <w:p>
      <w:pPr>
        <w:pStyle w:val="BookText"/>
      </w:pPr>
      <w:r>
        <w:rPr>
          <w:rFonts w:ascii="IRNazanin" w:hAnsi="IRNazanin" w:eastAsia="IRNazanin" w:cs="IRNazanin"/>
          <w:lang w:bidi="fa-IR"/>
          <w:color w:val="111111"/>
          <w:sz w:val="28"/>
          <w:szCs w:val="28"/>
          <w:rtl/>
        </w:rPr>
        <w:t xml:space="preserve">و الأقوی جواز بیعه،وفاقاً لمن عرفت ممّن تقدّم نقل کلماتهم؛ لعدم جریان أدلّة المنع.</w:t>
      </w:r>
    </w:p>
    <w:p>
      <w:pPr>
        <w:pStyle w:val="BookText"/>
      </w:pPr>
      <w:r>
        <w:rPr>
          <w:rFonts w:ascii="IRNazanin" w:hAnsi="IRNazanin" w:eastAsia="IRNazanin" w:cs="IRNazanin"/>
          <w:lang w:bidi="fa-IR"/>
          <w:color w:val="111111"/>
          <w:sz w:val="28"/>
          <w:szCs w:val="28"/>
          <w:rtl/>
        </w:rPr>
        <w:t xml:space="preserve">أمّا الإجماع،فواضح.</w:t>
      </w:r>
    </w:p>
    <w:p>
      <w:pPr>
        <w:pStyle w:val="BookText"/>
      </w:pPr>
      <w:r>
        <w:rPr>
          <w:rFonts w:ascii="IRNazanin" w:hAnsi="IRNazanin" w:eastAsia="IRNazanin" w:cs="IRNazanin"/>
          <w:lang w:bidi="fa-IR"/>
          <w:color w:val="111111"/>
          <w:sz w:val="28"/>
          <w:szCs w:val="28"/>
          <w:rtl/>
        </w:rPr>
        <w:t xml:space="preserve">و أمّا قوله علیه السلام:«لا یجوز شراء الوقف» </w:t>
      </w:r>
      <w:r>
        <w:rPr>
          <w:rStyle w:val="FootnoteReference"/>
        </w:rPr>
        <w:footnoteReference w:id="875"/>
      </w:r>
      <w:r>
        <w:rPr>
          <w:rFonts w:ascii="IRNazanin" w:hAnsi="IRNazanin" w:eastAsia="IRNazanin" w:cs="IRNazanin"/>
          <w:lang w:bidi="fa-IR"/>
          <w:color w:val="111111"/>
          <w:sz w:val="28"/>
          <w:szCs w:val="28"/>
          <w:rtl/>
        </w:rPr>
        <w:t xml:space="preserve">فلانصرافه إلی غیر هذه الحالة.</w:t>
      </w:r>
    </w:p>
    <w:p>
      <w:pPr>
        <w:pStyle w:val="BookText"/>
      </w:pPr>
      <w:r>
        <w:rPr>
          <w:rFonts w:ascii="IRNazanin" w:hAnsi="IRNazanin" w:eastAsia="IRNazanin" w:cs="IRNazanin"/>
          <w:lang w:bidi="fa-IR"/>
          <w:color w:val="111111"/>
          <w:sz w:val="28"/>
          <w:szCs w:val="28"/>
          <w:rtl/>
        </w:rPr>
        <w:t xml:space="preserve">و أمّا قوله علیه السلام:«الوقوف علی حسب ما یوقفها أهلها» </w:t>
      </w:r>
      <w:r>
        <w:rPr>
          <w:rStyle w:val="FootnoteReference"/>
        </w:rPr>
        <w:footnoteReference w:id="876"/>
      </w:r>
      <w:r>
        <w:rPr>
          <w:rFonts w:ascii="IRNazanin" w:hAnsi="IRNazanin" w:eastAsia="IRNazanin" w:cs="IRNazanin"/>
          <w:lang w:bidi="fa-IR"/>
          <w:color w:val="111111"/>
          <w:sz w:val="28"/>
          <w:szCs w:val="28"/>
          <w:rtl/>
        </w:rPr>
        <w:t xml:space="preserve">فلا یدلّ علی المنع هنا؛لأنّه مسوق لبیان وجوب مراعاة الکیفیّة المرسومة فی إنشاء الوقف،و لیس منها عدم بیعه،بل عدم جواز البیع من أحکام الوقف و إن ذکر فی متن العقد؛للاتفاق علی أنّه لا فرق بین ذکره فیه و ترکه؛و قد تقدّم ذلک </w:t>
      </w:r>
      <w:r>
        <w:rPr>
          <w:rStyle w:val="FootnoteReference"/>
        </w:rPr>
        <w:footnoteReference w:id="877"/>
      </w:r>
      <w:r>
        <w:rPr>
          <w:rFonts w:ascii="IRNazanin" w:hAnsi="IRNazanin" w:eastAsia="IRNazanin" w:cs="IRNazanin"/>
          <w:lang w:bidi="fa-IR"/>
          <w:color w:val="111111"/>
          <w:sz w:val="28"/>
          <w:szCs w:val="28"/>
          <w:rtl/>
        </w:rPr>
        <w:t xml:space="preserve">و تضعیف </w:t>
      </w:r>
      <w:r>
        <w:rPr>
          <w:rStyle w:val="FootnoteReference"/>
        </w:rPr>
        <w:footnoteReference w:id="878"/>
      </w:r>
      <w:r>
        <w:rPr>
          <w:rFonts w:ascii="IRNazanin" w:hAnsi="IRNazanin" w:eastAsia="IRNazanin" w:cs="IRNazanin"/>
          <w:lang w:bidi="fa-IR"/>
          <w:color w:val="111111"/>
          <w:sz w:val="28"/>
          <w:szCs w:val="28"/>
          <w:rtl/>
        </w:rPr>
        <w:t xml:space="preserve">قول من قال ببطلان العقد إذا</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بجواز بیعه.</w:t>
      </w:r>
    </w:p>
    <w:p>
      <w:pPr>
        <w:pStyle w:val="BookText"/>
      </w:pPr>
      <w:r>
        <w:rPr>
          <w:rFonts w:ascii="IRNazanin" w:hAnsi="IRNazanin" w:eastAsia="IRNazanin" w:cs="IRNazanin"/>
          <w:lang w:bidi="fa-IR"/>
          <w:color w:val="111111"/>
          <w:sz w:val="28"/>
          <w:szCs w:val="28"/>
          <w:rtl/>
        </w:rPr>
        <w:t xml:space="preserve">و لو سلّم أنّ المأخوذ فی الوقف إبقاء العین،فإنّما هو مأخوذ فیه من حیث کون المقصود انتفاع البطون به مع بقاء العین،و المفروض تعذّره هنا.</w:t>
      </w:r>
    </w:p>
    <w:p>
      <w:pPr>
        <w:pStyle w:val="BookText"/>
      </w:pPr>
      <w:r>
        <w:rPr>
          <w:rFonts w:ascii="IRNazanin" w:hAnsi="IRNazanin" w:eastAsia="IRNazanin" w:cs="IRNazanin"/>
          <w:lang w:bidi="fa-IR"/>
          <w:color w:val="111111"/>
          <w:sz w:val="28"/>
          <w:szCs w:val="28"/>
          <w:rtl/>
        </w:rPr>
        <w:t xml:space="preserve">و الحاصل:أنّ جواز بیعه هنا غیر منافٍ لما قصده الواقف فی وقفه،فهو ملک للبطون یجوز لهم البیع إذا اجتمع إذن البطن الموجود مع أولیاء سائر البطون،و هو الحاکم أو المتولی.</w:t>
      </w:r>
    </w:p>
    <w:p>
      <w:pPr>
        <w:pStyle w:val="BookText"/>
      </w:pPr>
      <w:r>
        <w:rPr>
          <w:rFonts w:ascii="IRNazanin" w:hAnsi="IRNazanin" w:eastAsia="IRNazanin" w:cs="IRNazanin"/>
          <w:lang w:bidi="fa-IR"/>
          <w:color w:val="111111"/>
          <w:sz w:val="28"/>
          <w:szCs w:val="28"/>
          <w:rtl/>
        </w:rPr>
        <w:t xml:space="preserve">و الحاصل:أنّ الأمر دائر بین تعطیله </w:t>
      </w:r>
      <w:r>
        <w:rPr>
          <w:rStyle w:val="FootnoteReference"/>
        </w:rPr>
        <w:footnoteReference w:id="879"/>
      </w:r>
      <w:r>
        <w:rPr>
          <w:rFonts w:ascii="IRNazanin" w:hAnsi="IRNazanin" w:eastAsia="IRNazanin" w:cs="IRNazanin"/>
          <w:lang w:bidi="fa-IR"/>
          <w:color w:val="111111"/>
          <w:sz w:val="28"/>
          <w:szCs w:val="28"/>
          <w:rtl/>
        </w:rPr>
        <w:t xml:space="preserve">حتّی یتلف بنفسه،و بین انتفاع البطن الموجود به بالإتلاف،و بین تبدیله بما یبقی و ینتفع به الکلّ.</w:t>
      </w:r>
    </w:p>
    <w:p>
      <w:pPr>
        <w:pStyle w:val="BookText"/>
      </w:pPr>
      <w:r>
        <w:rPr>
          <w:rFonts w:ascii="IRNazanin" w:hAnsi="IRNazanin" w:eastAsia="IRNazanin" w:cs="IRNazanin"/>
          <w:lang w:bidi="fa-IR"/>
          <w:color w:val="111111"/>
          <w:sz w:val="28"/>
          <w:szCs w:val="28"/>
          <w:rtl/>
        </w:rPr>
        <w:t xml:space="preserve">و الأوّل تضییعٌ منافٍ لحقّ اللّٰه و حقّ الواقف و حقّ الموقوف علیه، و به یندفع استصحاب المنع،مضافاً إلی کون المنع السابق فی ضمن وجوب العمل بمقتضی الوقف،و هو انتفاع جمیع البطون بعینه،و قد ارتفع قطعاً،فلا یبقی ما کان فی ضمنه.</w:t>
      </w:r>
    </w:p>
    <w:p>
      <w:pPr>
        <w:pStyle w:val="BookText"/>
      </w:pPr>
      <w:r>
        <w:rPr>
          <w:rFonts w:ascii="IRNazanin" w:hAnsi="IRNazanin" w:eastAsia="IRNazanin" w:cs="IRNazanin"/>
          <w:lang w:bidi="fa-IR"/>
          <w:color w:val="111111"/>
          <w:sz w:val="28"/>
          <w:szCs w:val="28"/>
          <w:rtl/>
        </w:rPr>
        <w:t xml:space="preserve">و أمّا الثانی فمع منافاته لحقّ </w:t>
      </w:r>
      <w:r>
        <w:rPr>
          <w:rStyle w:val="FootnoteReference"/>
        </w:rPr>
        <w:footnoteReference w:id="880"/>
      </w:r>
      <w:r>
        <w:rPr>
          <w:rFonts w:ascii="IRNazanin" w:hAnsi="IRNazanin" w:eastAsia="IRNazanin" w:cs="IRNazanin"/>
          <w:lang w:bidi="fa-IR"/>
          <w:color w:val="111111"/>
          <w:sz w:val="28"/>
          <w:szCs w:val="28"/>
          <w:rtl/>
        </w:rPr>
        <w:t xml:space="preserve">سائر البطون یستلزم جواز بیع البطن الأوّل؛إذ لا فرق بین إتلافه و نقله.</w:t>
      </w:r>
    </w:p>
    <w:p>
      <w:pPr>
        <w:pStyle w:val="BookText"/>
      </w:pPr>
      <w:r>
        <w:rPr>
          <w:rFonts w:ascii="IRNazanin" w:hAnsi="IRNazanin" w:eastAsia="IRNazanin" w:cs="IRNazanin"/>
          <w:lang w:bidi="fa-IR"/>
          <w:color w:val="111111"/>
          <w:sz w:val="28"/>
          <w:szCs w:val="28"/>
          <w:rtl/>
        </w:rPr>
        <w:t xml:space="preserve">و الثالث هو المطلوب.</w:t>
      </w:r>
    </w:p>
    <w:p>
      <w:pPr>
        <w:pStyle w:val="BookText"/>
      </w:pPr>
      <w:r>
        <w:rPr>
          <w:rFonts w:ascii="IRNazanin" w:hAnsi="IRNazanin" w:eastAsia="IRNazanin" w:cs="IRNazanin"/>
          <w:lang w:bidi="fa-IR"/>
          <w:color w:val="111111"/>
          <w:sz w:val="28"/>
          <w:szCs w:val="28"/>
          <w:rtl/>
        </w:rPr>
        <w:t xml:space="preserve">نعم،یمکن أن یقال:إذا کان الوقف ممّا لا یبقی بحسب استعداده العادی إلی آخر البطون،فلا وجه لمراعاتهم بتبدیله بما یبقی لهم،فینتهی</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ملکه إلی من أدرک آخر أزمنة بقائه،فتأمّل.</w:t>
      </w:r>
    </w:p>
    <w:p>
      <w:pPr>
        <w:pStyle w:val="BookText"/>
      </w:pPr>
      <w:r>
        <w:rPr>
          <w:rFonts w:ascii="IRNazanin" w:hAnsi="IRNazanin" w:eastAsia="IRNazanin" w:cs="IRNazanin"/>
          <w:lang w:bidi="fa-IR"/>
          <w:color w:val="111111"/>
          <w:sz w:val="28"/>
          <w:szCs w:val="28"/>
          <w:rtl/>
        </w:rPr>
        <w:t xml:space="preserve">و کیف کان،فمع فرض ثبوت الحقّ للبطون اللاحقة،فلا وجه </w:t>
      </w:r>
      <w:r>
        <w:rPr>
          <w:rStyle w:val="FootnoteReference"/>
        </w:rPr>
        <w:footnoteReference w:id="881"/>
      </w:r>
      <w:r>
        <w:rPr>
          <w:rFonts w:ascii="IRNazanin" w:hAnsi="IRNazanin" w:eastAsia="IRNazanin" w:cs="IRNazanin"/>
          <w:lang w:bidi="fa-IR"/>
          <w:color w:val="111111"/>
          <w:sz w:val="28"/>
          <w:szCs w:val="28"/>
          <w:rtl/>
        </w:rPr>
        <w:t xml:space="preserve">لترخیص البطن الموجود فی إتلافه.</w:t>
      </w:r>
    </w:p>
    <w:p>
      <w:pPr>
        <w:pStyle w:val="BookText"/>
      </w:pPr>
      <w:r>
        <w:rPr>
          <w:rFonts w:ascii="IRNazanin" w:hAnsi="IRNazanin" w:eastAsia="IRNazanin" w:cs="IRNazanin"/>
          <w:lang w:bidi="fa-IR"/>
          <w:color w:val="111111"/>
          <w:sz w:val="28"/>
          <w:szCs w:val="28"/>
          <w:rtl/>
        </w:rPr>
        <w:t xml:space="preserve">و ممّا ذکرنا یظهر:أنّ الثمن علی تقدیر البیع لا یخصّ به البطن الموجود،وفاقاً لمن تقدّم ممّن یظهر منه ذلک کالإسکافی </w:t>
      </w:r>
      <w:r>
        <w:rPr>
          <w:rStyle w:val="FootnoteReference"/>
        </w:rPr>
        <w:footnoteReference w:id="882"/>
      </w:r>
      <w:r>
        <w:rPr>
          <w:rFonts w:ascii="Amiri" w:hAnsi="Amiri" w:eastAsia="Amiri" w:cs="Amiri"/>
          <w:lang w:bidi="ar-SA"/>
          <w:color w:val="111111"/>
          <w:sz w:val="28"/>
          <w:szCs w:val="28"/>
          <w:rtl/>
        </w:rPr>
        <w:t xml:space="preserve">و العلّامة </w:t>
      </w:r>
      <w:r>
        <w:rPr>
          <w:rStyle w:val="FootnoteReference"/>
        </w:rPr>
        <w:footnoteReference w:id="883"/>
      </w:r>
      <w:r>
        <w:rPr>
          <w:rFonts w:ascii="IRNazanin" w:hAnsi="IRNazanin" w:eastAsia="IRNazanin" w:cs="IRNazanin"/>
          <w:lang w:bidi="fa-IR"/>
          <w:color w:val="111111"/>
          <w:sz w:val="28"/>
          <w:szCs w:val="28"/>
          <w:rtl/>
        </w:rPr>
        <w:t xml:space="preserve">و ولده </w:t>
      </w:r>
      <w:r>
        <w:rPr>
          <w:rStyle w:val="FootnoteReference"/>
        </w:rPr>
        <w:footnoteReference w:id="884"/>
      </w:r>
      <w:r>
        <w:rPr>
          <w:rFonts w:ascii="IRNazanin" w:hAnsi="IRNazanin" w:eastAsia="IRNazanin" w:cs="IRNazanin"/>
          <w:lang w:bidi="fa-IR"/>
          <w:color w:val="111111"/>
          <w:sz w:val="28"/>
          <w:szCs w:val="28"/>
          <w:rtl/>
        </w:rPr>
        <w:t xml:space="preserve">و الشهیدین </w:t>
      </w:r>
      <w:r>
        <w:rPr>
          <w:rStyle w:val="FootnoteReference"/>
        </w:rPr>
        <w:footnoteReference w:id="885"/>
      </w:r>
      <w:r>
        <w:rPr>
          <w:rFonts w:ascii="IRNazanin" w:hAnsi="IRNazanin" w:eastAsia="IRNazanin" w:cs="IRNazanin"/>
          <w:lang w:bidi="fa-IR"/>
          <w:color w:val="111111"/>
          <w:sz w:val="28"/>
          <w:szCs w:val="28"/>
          <w:rtl/>
        </w:rPr>
        <w:t xml:space="preserve">و المحقّق الثانی </w:t>
      </w:r>
      <w:r>
        <w:rPr>
          <w:rStyle w:val="FootnoteReference"/>
        </w:rPr>
        <w:footnoteReference w:id="886"/>
      </w:r>
      <w:r>
        <w:rPr>
          <w:rFonts w:ascii="IRNazanin" w:hAnsi="IRNazanin" w:eastAsia="IRNazanin" w:cs="IRNazanin"/>
          <w:lang w:bidi="fa-IR"/>
          <w:color w:val="111111"/>
          <w:sz w:val="28"/>
          <w:szCs w:val="28"/>
          <w:rtl/>
        </w:rPr>
        <w:t xml:space="preserve">،و حکی عن التنقیح </w:t>
      </w:r>
      <w:r>
        <w:rPr>
          <w:rStyle w:val="FootnoteReference"/>
        </w:rPr>
        <w:footnoteReference w:id="887"/>
      </w:r>
      <w:r>
        <w:rPr>
          <w:rFonts w:ascii="IRNazanin" w:hAnsi="IRNazanin" w:eastAsia="IRNazanin" w:cs="IRNazanin"/>
          <w:lang w:bidi="fa-IR"/>
          <w:color w:val="111111"/>
          <w:sz w:val="28"/>
          <w:szCs w:val="28"/>
          <w:rtl/>
        </w:rPr>
        <w:t xml:space="preserve">و المقتصر </w:t>
      </w:r>
      <w:r>
        <w:rPr>
          <w:rStyle w:val="FootnoteReference"/>
        </w:rPr>
        <w:footnoteReference w:id="888"/>
      </w:r>
      <w:r>
        <w:rPr>
          <w:rFonts w:ascii="Amiri" w:hAnsi="Amiri" w:eastAsia="Amiri" w:cs="Amiri"/>
          <w:lang w:bidi="ar-SA"/>
          <w:color w:val="111111"/>
          <w:sz w:val="28"/>
          <w:szCs w:val="28"/>
          <w:rtl/>
        </w:rPr>
        <w:t xml:space="preserve">و مجمع الفائدة </w:t>
      </w:r>
      <w:r>
        <w:rPr>
          <w:rStyle w:val="FootnoteReference"/>
        </w:rPr>
        <w:footnoteReference w:id="889"/>
      </w:r>
      <w:r>
        <w:rPr>
          <w:rFonts w:ascii="IRNazanin" w:hAnsi="IRNazanin" w:eastAsia="IRNazanin" w:cs="IRNazanin"/>
          <w:lang w:bidi="fa-IR"/>
          <w:color w:val="111111"/>
          <w:sz w:val="28"/>
          <w:szCs w:val="28"/>
          <w:rtl/>
        </w:rPr>
        <w:t xml:space="preserve">لاقتضاء البدلیّة ذلک،فإنّ المبیع إذا کان ملکاً للموجودین بالفعل و للمعدومین بالقوّة کان الثمن کذلک،فإنّ الملکیّة اعتبار عرفی أو شرعی یلاحظها المعتبر عند تحقّق أسبابها،فکما أنّ الموجود مالک له فعلاً ما دام موجوداً بتملیک الواقف،فکذلک المعدوم مالک له شأناً بمقتضی تملیک الواقف.و عدمُ تعقّل الملک للمعدوم إنّما هو فی الملک الفعلی،لا الشأنی.</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دعوی:أنّ الملک الشأنی لیس شیئاً محقَّقاً موجوداً،یکذّبها إنشاء الواقف له کإنشائه لملک الموجود.فلو جاز أن تخرج العین الموقوفة إلی ملک الغیر بعوض لا یدخل فی ملک المعدوم علی نهج دخول المعوّض،جاز أن تخرج بعوض لا یدخل فی ملک الموجود.</w:t>
      </w:r>
    </w:p>
    <w:p>
      <w:pPr>
        <w:pStyle w:val="BookText"/>
      </w:pPr>
      <w:r>
        <w:rPr>
          <w:rFonts w:ascii="IRNazanin" w:hAnsi="IRNazanin" w:eastAsia="IRNazanin" w:cs="IRNazanin"/>
          <w:lang w:bidi="fa-IR"/>
          <w:color w:val="111111"/>
          <w:sz w:val="28"/>
          <w:szCs w:val="28"/>
          <w:rtl/>
        </w:rPr>
        <w:t xml:space="preserve">و إلیه أشار الشهید قدّس سرّه فی الفرع الآتی،حیث قال:إنّه یعنی الثمن صار مملوکاً علی حدّ الملک الأوّل؛إذ یستحیل أن یملک لا علی حدّه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بعض العبائر المتقدّمة </w:t>
      </w:r>
      <w:r>
        <w:rPr>
          <w:rStyle w:val="FootnoteReference"/>
        </w:rPr>
        <w:footnoteReference w:id="891"/>
      </w:r>
      <w:r>
        <w:rPr>
          <w:rFonts w:ascii="IRNazanin" w:hAnsi="IRNazanin" w:eastAsia="IRNazanin" w:cs="IRNazanin"/>
          <w:lang w:bidi="fa-IR"/>
          <w:color w:val="111111"/>
          <w:sz w:val="28"/>
          <w:szCs w:val="28"/>
          <w:rtl/>
        </w:rPr>
        <w:t xml:space="preserve">،و اختاره المحقّق فی الشرائع فی دیة العبد الموقوف المقتول </w:t>
      </w:r>
      <w:r>
        <w:rPr>
          <w:rStyle w:val="FootnoteReference"/>
        </w:rPr>
        <w:footnoteReference w:id="892"/>
      </w:r>
      <w:r>
        <w:rPr>
          <w:rFonts w:ascii="IRNazanin" w:hAnsi="IRNazanin" w:eastAsia="IRNazanin" w:cs="IRNazanin"/>
          <w:lang w:bidi="fa-IR"/>
          <w:color w:val="111111"/>
          <w:sz w:val="28"/>
          <w:szCs w:val="28"/>
          <w:rtl/>
        </w:rPr>
        <w:t xml:space="preserve">.و لعلّ وجهه:أنّ الوقف ملک للبطن الموجود،غایة الأمر تعلّق حقّ البطون اللاحقة به،فإذا فرض جواز بیعه انتقل الثمن إلی من هو مالک له فعلاً،و لا یلزم من تعلّق الحقّ بعین المبیع تعلّقه بالثمن،و لا دلیل علیه.و مجرّد البدلیّة لا یوجب ترتّب جمیع اللوازم؛إذ لا عموم لفظی یقتضی البدلیّة و التنزیل،بل هو بدل له فی الملکیّة و ما یتبعها من حیث هو ملک.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فیه:أنّ ما ینقل </w:t>
      </w:r>
      <w:r>
        <w:rPr>
          <w:rStyle w:val="FootnoteReference"/>
        </w:rPr>
        <w:footnoteReference w:id="893"/>
      </w:r>
      <w:r>
        <w:rPr>
          <w:rFonts w:ascii="IRNazanin" w:hAnsi="IRNazanin" w:eastAsia="IRNazanin" w:cs="IRNazanin"/>
          <w:lang w:bidi="fa-IR"/>
          <w:color w:val="111111"/>
          <w:sz w:val="28"/>
          <w:szCs w:val="28"/>
          <w:rtl/>
        </w:rPr>
        <w:t xml:space="preserve">إلی المشتری إن کان هو الاختصاص الموقّت الثابت للبطن الموجود،لزم منه رجوع المبیع بعد انعدام البطن السابق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البطن اللاحق،فلا یملکه المشتری ملکاً مستمرّاً.و إن کان هو مطلق الاختصاص المستقرّ الذی لا یزول إلّا بالناقل،فهو لا یکون إلّا بثبوت </w:t>
      </w:r>
      <w:r>
        <w:rPr>
          <w:rStyle w:val="FootnoteReference"/>
        </w:rPr>
        <w:footnoteReference w:id="895"/>
      </w:r>
      <w:r>
        <w:rPr>
          <w:rFonts w:ascii="IRNazanin" w:hAnsi="IRNazanin" w:eastAsia="IRNazanin" w:cs="IRNazanin"/>
          <w:lang w:bidi="fa-IR"/>
          <w:color w:val="111111"/>
          <w:sz w:val="28"/>
          <w:szCs w:val="28"/>
          <w:rtl/>
        </w:rPr>
        <w:t xml:space="preserve">جمیع الاختصاصات الحاصلة للبطون له،فالثمن لهم علی نحو المثمن.</w:t>
      </w:r>
    </w:p>
    <w:p>
      <w:pPr>
        <w:pStyle w:val="BookText"/>
      </w:pPr>
      <w:r>
        <w:rPr>
          <w:rFonts w:ascii="IRNazanin" w:hAnsi="IRNazanin" w:eastAsia="IRNazanin" w:cs="IRNazanin"/>
          <w:lang w:bidi="fa-IR"/>
          <w:color w:val="111111"/>
          <w:sz w:val="28"/>
          <w:szCs w:val="28"/>
          <w:rtl/>
        </w:rPr>
        <w:t xml:space="preserve">و ممّا ذکرنا تعرف أنّ اشتراک البطون فی الثمن أولی من اشتراکهم فی دیة العبد المقتول؛حیث إنّه بدل شرعیّ یکون الحکم به متأخّراً عن تلف الوقف،فجاز عقلاً منع سرایة حقّ البطون اللاحقة إلیه،بخلاف الثمن،فإنّه یملکه من یملکه بنفس خروج الوقف عن ملکهم علی وجه المعاوضة </w:t>
      </w:r>
      <w:r>
        <w:rPr>
          <w:rStyle w:val="FootnoteReference"/>
        </w:rPr>
        <w:footnoteReference w:id="896"/>
      </w:r>
      <w:r>
        <w:rPr>
          <w:rFonts w:ascii="IRNazanin" w:hAnsi="IRNazanin" w:eastAsia="IRNazanin" w:cs="IRNazanin"/>
          <w:lang w:bidi="fa-IR"/>
          <w:color w:val="111111"/>
          <w:sz w:val="28"/>
          <w:szCs w:val="28"/>
          <w:rtl/>
        </w:rPr>
        <w:t xml:space="preserve">الحقیقیّة،فلا یعقل اختصاص العوض بمن لم یختصّ بالمعوّض.</w:t>
      </w:r>
    </w:p>
    <w:p>
      <w:pPr>
        <w:pStyle w:val="BookText"/>
      </w:pPr>
      <w:r>
        <w:rPr>
          <w:rFonts w:ascii="IRNazanin" w:hAnsi="IRNazanin" w:eastAsia="IRNazanin" w:cs="IRNazanin"/>
          <w:lang w:bidi="fa-IR"/>
          <w:color w:val="111111"/>
          <w:sz w:val="28"/>
          <w:szCs w:val="28"/>
          <w:rtl/>
        </w:rPr>
        <w:t xml:space="preserve">و من هنا اتّضح أیضاً أنّ هذا أولی بالحکم من بدل الرهن الذی حکموا بکونه رهناً؛لأنّ حقّ الرهنیّة متعلّق بالعین من حیث إنّه ملک لمالکه الأوّل،فجاز أن یرتفع،لا </w:t>
      </w:r>
      <w:r>
        <w:rPr>
          <w:rStyle w:val="FootnoteReference"/>
        </w:rPr>
        <w:footnoteReference w:id="897"/>
      </w:r>
      <w:r>
        <w:rPr>
          <w:rFonts w:ascii="IRNazanin" w:hAnsi="IRNazanin" w:eastAsia="IRNazanin" w:cs="IRNazanin"/>
          <w:lang w:bidi="fa-IR"/>
          <w:color w:val="111111"/>
          <w:sz w:val="28"/>
          <w:szCs w:val="28"/>
          <w:rtl/>
        </w:rPr>
        <w:t xml:space="preserve">إلی بدل بارتفاع ملکیّة المالک الأوّل،بخلاف الاختصاص الثابت للبطن المعدوم،فإنّه لیس قائماً بالعین من حیث إنّه ملک البطن الموجود،بل اختصاصٌ موقّت نظیر اختصاص البطن الموجود،مُنشَأٌ بإنشائه،مقارنٌ له بحسب الجعل، متأخّرٌ عنه فی الوجود.</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تبیَّن ممّا ذکرنا:أنّ الثمن حکمه حکم الوقف فی کونه ملکاً لجمیع البطون علی ترتیبهم،فإن کان ممّا یمکن أن یبقی و ینتفع به البطون علی نحو المبدل و کانت مصلحة البطون فی بقائه ابقی،و إلّا أُبدل مکانه ما هو أصلح.</w:t>
      </w:r>
    </w:p>
    <w:p>
      <w:pPr>
        <w:pStyle w:val="BookText"/>
      </w:pPr>
      <w:r>
        <w:rPr>
          <w:rFonts w:ascii="IRNazanin" w:hAnsi="IRNazanin" w:eastAsia="IRNazanin" w:cs="IRNazanin"/>
          <w:lang w:bidi="fa-IR"/>
          <w:color w:val="111111"/>
          <w:sz w:val="28"/>
          <w:szCs w:val="28"/>
          <w:rtl/>
        </w:rPr>
        <w:t xml:space="preserve">و من هنا ظهر عدم الحاجة إلی صیغة الوقف فی البدل،بل نفس البدلیّة تقتضی </w:t>
      </w:r>
      <w:r>
        <w:rPr>
          <w:rStyle w:val="FootnoteReference"/>
        </w:rPr>
        <w:footnoteReference w:id="898"/>
      </w:r>
      <w:r>
        <w:rPr>
          <w:rFonts w:ascii="IRNazanin" w:hAnsi="IRNazanin" w:eastAsia="IRNazanin" w:cs="IRNazanin"/>
          <w:lang w:bidi="fa-IR"/>
          <w:color w:val="111111"/>
          <w:sz w:val="28"/>
          <w:szCs w:val="28"/>
          <w:rtl/>
        </w:rPr>
        <w:t xml:space="preserve">کونه کالمبدل؛و لذا علّله الشهید قدّس سرّه فی غایة المراد بقوله:لأنّه صار مملوکاً علی حدّ الملک الأوّل؛إذ یستحیل أن یملک لا علی حدّه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هذه </w:t>
      </w:r>
      <w:r>
        <w:rPr>
          <w:rStyle w:val="FootnoteReference"/>
        </w:rPr>
        <w:footnoteReference w:id="900"/>
      </w:r>
      <w:r>
        <w:rPr>
          <w:rFonts w:ascii="IRNazanin" w:hAnsi="IRNazanin" w:eastAsia="IRNazanin" w:cs="IRNazanin"/>
          <w:lang w:bidi="fa-IR"/>
          <w:color w:val="111111"/>
          <w:sz w:val="28"/>
          <w:szCs w:val="28"/>
          <w:rtl/>
        </w:rPr>
        <w:t xml:space="preserve">العین حیث صارت ملکاً للبطون،فلهم أو لولیّهم أن ینظر فیه و یتصرّف فیه بحسب مصلحة جمیع البطون و لو بالإبدال بعین أُخری أصلح لهم،بل قد یجب إذا کان ترکه یعدّ تضییعاً للحقوق </w:t>
      </w:r>
      <w:r>
        <w:rPr>
          <w:rStyle w:val="FootnoteReference"/>
        </w:rPr>
        <w:footnoteReference w:id="901"/>
      </w:r>
      <w:r>
        <w:rPr>
          <w:rFonts w:ascii="IRNazanin" w:hAnsi="IRNazanin" w:eastAsia="IRNazanin" w:cs="IRNazanin"/>
          <w:lang w:bidi="fa-IR"/>
          <w:color w:val="111111"/>
          <w:sz w:val="28"/>
          <w:szCs w:val="28"/>
          <w:rtl/>
        </w:rPr>
        <w:t xml:space="preserve">.و لیس مثل الأصل ممنوعاً عن بیعه إلّا لعذر؛لأنّ ذلک کان حکماً من أحکام الوقف الابتدائی،و بدل الوقف إنّما هو بدل له فی کونه ملکاً للبطون،فلا یترتّب علیه جمیع أحکام الوقف الابتدائی.</w:t>
      </w:r>
    </w:p>
    <w:p>
      <w:pPr>
        <w:pStyle w:val="BookText"/>
      </w:pPr>
      <w:r>
        <w:rPr>
          <w:rFonts w:ascii="IRNazanin" w:hAnsi="IRNazanin" w:eastAsia="IRNazanin" w:cs="IRNazanin"/>
          <w:lang w:bidi="fa-IR"/>
          <w:color w:val="111111"/>
          <w:sz w:val="28"/>
          <w:szCs w:val="28"/>
          <w:rtl/>
        </w:rPr>
        <w:t xml:space="preserve">و ممّا ذکرنا أیضاً یظهر عدم وجوب شراء المماثل للوقف کما هو</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التذکرة </w:t>
      </w:r>
      <w:r>
        <w:rPr>
          <w:rStyle w:val="FootnoteReference"/>
        </w:rPr>
        <w:footnoteReference w:id="902"/>
      </w:r>
      <w:r>
        <w:rPr>
          <w:rFonts w:ascii="IRNazanin" w:hAnsi="IRNazanin" w:eastAsia="IRNazanin" w:cs="IRNazanin"/>
          <w:lang w:bidi="fa-IR"/>
          <w:color w:val="111111"/>
          <w:sz w:val="28"/>
          <w:szCs w:val="28"/>
          <w:rtl/>
        </w:rPr>
        <w:t xml:space="preserve">و الإرشاد </w:t>
      </w:r>
      <w:r>
        <w:rPr>
          <w:rStyle w:val="FootnoteReference"/>
        </w:rPr>
        <w:footnoteReference w:id="903"/>
      </w:r>
      <w:r>
        <w:rPr>
          <w:rFonts w:ascii="IRNazanin" w:hAnsi="IRNazanin" w:eastAsia="IRNazanin" w:cs="IRNazanin"/>
          <w:lang w:bidi="fa-IR"/>
          <w:color w:val="111111"/>
          <w:sz w:val="28"/>
          <w:szCs w:val="28"/>
          <w:rtl/>
        </w:rPr>
        <w:t xml:space="preserve">و جامع المقاصد </w:t>
      </w:r>
      <w:r>
        <w:rPr>
          <w:rStyle w:val="FootnoteReference"/>
        </w:rPr>
        <w:footnoteReference w:id="904"/>
      </w:r>
      <w:r>
        <w:rPr>
          <w:rFonts w:ascii="IRNazanin" w:hAnsi="IRNazanin" w:eastAsia="IRNazanin" w:cs="IRNazanin"/>
          <w:lang w:bidi="fa-IR"/>
          <w:color w:val="111111"/>
          <w:sz w:val="28"/>
          <w:szCs w:val="28"/>
          <w:rtl/>
        </w:rPr>
        <w:t xml:space="preserve">و التنقیح </w:t>
      </w:r>
      <w:r>
        <w:rPr>
          <w:rStyle w:val="FootnoteReference"/>
        </w:rPr>
        <w:footnoteReference w:id="905"/>
      </w:r>
      <w:r>
        <w:rPr>
          <w:rFonts w:ascii="IRNazanin" w:hAnsi="IRNazanin" w:eastAsia="IRNazanin" w:cs="IRNazanin"/>
          <w:lang w:bidi="fa-IR"/>
          <w:color w:val="111111"/>
          <w:sz w:val="28"/>
          <w:szCs w:val="28"/>
          <w:rtl/>
        </w:rPr>
        <w:t xml:space="preserve">و المقتصر </w:t>
      </w:r>
      <w:r>
        <w:rPr>
          <w:rStyle w:val="FootnoteReference"/>
        </w:rPr>
        <w:footnoteReference w:id="906"/>
      </w:r>
      <w:r>
        <w:rPr>
          <w:rFonts w:ascii="Amiri" w:hAnsi="Amiri" w:eastAsia="Amiri" w:cs="Amiri"/>
          <w:lang w:bidi="ar-SA"/>
          <w:color w:val="111111"/>
          <w:sz w:val="28"/>
          <w:szCs w:val="28"/>
          <w:rtl/>
        </w:rPr>
        <w:t xml:space="preserve">و مجمع الفائدة </w:t>
      </w:r>
      <w:r>
        <w:rPr>
          <w:rStyle w:val="FootnoteReference"/>
        </w:rPr>
        <w:footnoteReference w:id="907"/>
      </w:r>
      <w:r>
        <w:rPr>
          <w:rFonts w:ascii="IRNazanin" w:hAnsi="IRNazanin" w:eastAsia="IRNazanin" w:cs="IRNazanin"/>
          <w:lang w:bidi="fa-IR"/>
          <w:color w:val="111111"/>
          <w:sz w:val="28"/>
          <w:szCs w:val="28"/>
          <w:rtl/>
        </w:rPr>
        <w:t xml:space="preserve">بل قد لا یجوز إذا کان غیره أصلح؛لأنّ الثمن إذا صار ملکاً للموقوف علیهم الموجودین و المعدومین فاللازم ملاحظة مصلحتهم،خلافاً للعلّامة </w:t>
      </w:r>
      <w:r>
        <w:rPr>
          <w:rStyle w:val="FootnoteReference"/>
        </w:rPr>
        <w:footnoteReference w:id="908"/>
      </w:r>
      <w:r>
        <w:rPr>
          <w:rFonts w:ascii="IRNazanin" w:hAnsi="IRNazanin" w:eastAsia="IRNazanin" w:cs="IRNazanin"/>
          <w:lang w:bidi="fa-IR"/>
          <w:color w:val="111111"/>
          <w:sz w:val="28"/>
          <w:szCs w:val="28"/>
          <w:rtl/>
        </w:rPr>
        <w:t xml:space="preserve">و ولده </w:t>
      </w:r>
      <w:r>
        <w:rPr>
          <w:rStyle w:val="FootnoteReference"/>
        </w:rPr>
        <w:footnoteReference w:id="909"/>
      </w:r>
      <w:r>
        <w:rPr>
          <w:rFonts w:ascii="IRNazanin" w:hAnsi="IRNazanin" w:eastAsia="IRNazanin" w:cs="IRNazanin"/>
          <w:lang w:bidi="fa-IR"/>
          <w:color w:val="111111"/>
          <w:sz w:val="28"/>
          <w:szCs w:val="28"/>
          <w:rtl/>
        </w:rPr>
        <w:t xml:space="preserve">و الشهید </w:t>
      </w:r>
      <w:r>
        <w:rPr>
          <w:rStyle w:val="FootnoteReference"/>
        </w:rPr>
        <w:footnoteReference w:id="910"/>
      </w:r>
      <w:r>
        <w:rPr>
          <w:rFonts w:ascii="Amiri" w:hAnsi="Amiri" w:eastAsia="Amiri" w:cs="Amiri"/>
          <w:lang w:bidi="ar-SA"/>
          <w:color w:val="111111"/>
          <w:sz w:val="28"/>
          <w:szCs w:val="28"/>
          <w:rtl/>
        </w:rPr>
        <w:t xml:space="preserve">و جماعة </w:t>
      </w:r>
      <w:r>
        <w:rPr>
          <w:rStyle w:val="FootnoteReference"/>
        </w:rPr>
        <w:footnoteReference w:id="911"/>
      </w:r>
      <w:r>
        <w:rPr>
          <w:rFonts w:ascii="IRNazanin" w:hAnsi="IRNazanin" w:eastAsia="IRNazanin" w:cs="IRNazanin"/>
          <w:lang w:bidi="fa-IR"/>
          <w:color w:val="111111"/>
          <w:sz w:val="28"/>
          <w:szCs w:val="28"/>
          <w:rtl/>
        </w:rPr>
        <w:t xml:space="preserve">فأوجبوا المماثلة مع الإمکان؛لکون المثل أقرب إلی مقصود الواقف.</w:t>
      </w:r>
    </w:p>
    <w:p>
      <w:pPr>
        <w:pStyle w:val="BookText"/>
      </w:pPr>
      <w:r>
        <w:rPr>
          <w:rFonts w:ascii="IRNazanin" w:hAnsi="IRNazanin" w:eastAsia="IRNazanin" w:cs="IRNazanin"/>
          <w:lang w:bidi="fa-IR"/>
          <w:color w:val="111111"/>
          <w:sz w:val="28"/>
          <w:szCs w:val="28"/>
          <w:rtl/>
        </w:rPr>
        <w:t xml:space="preserve">و فیه مع عدم انضباط غرض الواقف،إذ قد یتعلّق غرضه بکون الموقوف عیناً خاصّة،و قد یتعلّق بکون منفعة الوقف مقداراً معیّناً من دون تعلّق غرض بالعین،و قد یکون الغرض خصوص الانتفاع بثمرته، کما لو وقف بستاناً لینتفعوا بثمرته فبیع،فدار الأمر بین أن یُشتری بثمنه بستان </w:t>
      </w:r>
      <w:r>
        <w:rPr>
          <w:rStyle w:val="FootnoteReference"/>
        </w:rPr>
        <w:footnoteReference w:id="912"/>
      </w:r>
      <w:r>
        <w:rPr>
          <w:rFonts w:ascii="IRNazanin" w:hAnsi="IRNazanin" w:eastAsia="IRNazanin" w:cs="IRNazanin"/>
          <w:lang w:bidi="fa-IR"/>
          <w:color w:val="111111"/>
          <w:sz w:val="28"/>
          <w:szCs w:val="28"/>
          <w:rtl/>
        </w:rPr>
        <w:t xml:space="preserve">فی موضع لا یصل إلیهم إلّا قیمة الثمرة،و بین أن</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یُشتری ملک </w:t>
      </w:r>
      <w:r>
        <w:rPr>
          <w:rStyle w:val="FootnoteReference"/>
        </w:rPr>
        <w:footnoteReference w:id="913"/>
      </w:r>
      <w:r>
        <w:rPr>
          <w:rFonts w:ascii="IRNazanin" w:hAnsi="IRNazanin" w:eastAsia="IRNazanin" w:cs="IRNazanin"/>
          <w:lang w:bidi="fa-IR"/>
          <w:color w:val="111111"/>
          <w:sz w:val="28"/>
          <w:szCs w:val="28"/>
          <w:rtl/>
        </w:rPr>
        <w:t xml:space="preserve">آخر یصل إلیهم اجرة منفعته،فإنّ الأوّل و إن کان مماثلاً إلّا أنّه لیس أقرب إلی غرض الواقف-:أنّه </w:t>
      </w:r>
      <w:r>
        <w:rPr>
          <w:rStyle w:val="FootnoteReference"/>
        </w:rPr>
        <w:footnoteReference w:id="914"/>
      </w:r>
      <w:r>
        <w:rPr>
          <w:rFonts w:ascii="IRNazanin" w:hAnsi="IRNazanin" w:eastAsia="IRNazanin" w:cs="IRNazanin"/>
          <w:lang w:bidi="fa-IR"/>
          <w:color w:val="111111"/>
          <w:sz w:val="28"/>
          <w:szCs w:val="28"/>
          <w:rtl/>
        </w:rPr>
        <w:t xml:space="preserve">لا دلیل علی وجوب ملاحظة الأقرب إلی مقصوده،إنّما اللازم ملاحظة مدلول کلامه فی إنشاء الوقف؛لیجری الوقوف علی حسب ما یوقفها أهلها.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فالحاصل:أنّ الوقف ما دام موجوداً بشخصه لا یلاحظ فیه إلّا مدلول کلام الواقف،و إذا بیع و انتقل الثمن إلی الموقوف علیهم لم یلاحظ فیه إلّا مصلحتهم.</w:t>
      </w:r>
    </w:p>
    <w:p>
      <w:pPr>
        <w:pStyle w:val="BookText"/>
      </w:pPr>
      <w:r>
        <w:rPr>
          <w:rFonts w:ascii="IRNazanin" w:hAnsi="IRNazanin" w:eastAsia="IRNazanin" w:cs="IRNazanin"/>
          <w:lang w:bidi="fa-IR"/>
          <w:color w:val="111111"/>
          <w:sz w:val="28"/>
          <w:szCs w:val="28"/>
          <w:rtl/>
        </w:rPr>
        <w:t xml:space="preserve">هذا[و]قال العلّامة فی محکیّ التذکرة:کلّ مورد جوَّزنا بیع الوقف فإنّه یباع و یصرف الثمن إلی جهة الوقف،فإن أمکن شراء مثل تلک العین ممّا ینتفع به کان أولی،و إلّا جاز شراء کلّ ما یصحّ وقفه، و إلّا صرف الثمن إلی الموقوف علیه یعمل به </w:t>
      </w:r>
      <w:r>
        <w:rPr>
          <w:rStyle w:val="FootnoteReference"/>
        </w:rPr>
        <w:footnoteReference w:id="915"/>
      </w:r>
      <w:r>
        <w:rPr>
          <w:rFonts w:ascii="IRNazanin" w:hAnsi="IRNazanin" w:eastAsia="IRNazanin" w:cs="IRNazanin"/>
          <w:lang w:bidi="fa-IR"/>
          <w:color w:val="111111"/>
          <w:sz w:val="28"/>
          <w:szCs w:val="28"/>
          <w:rtl/>
        </w:rPr>
        <w:t xml:space="preserve">ما شاء؛لأنّ فیه جمعاً بین التوصّل إلی غرض الواقف من نفع الموقوف علیه علی الدوام،و بین النصّ الدالّ علی عدم جواز مخالفة الواقف؛حیث </w:t>
      </w:r>
      <w:r>
        <w:rPr>
          <w:rStyle w:val="FootnoteReference"/>
        </w:rPr>
        <w:footnoteReference w:id="916"/>
      </w:r>
      <w:r>
        <w:rPr>
          <w:rFonts w:ascii="IRNazanin" w:hAnsi="IRNazanin" w:eastAsia="IRNazanin" w:cs="IRNazanin"/>
          <w:lang w:bidi="fa-IR"/>
          <w:color w:val="111111"/>
          <w:sz w:val="28"/>
          <w:szCs w:val="28"/>
          <w:rtl/>
        </w:rPr>
        <w:t xml:space="preserve">شرط التأبید،فإذا لم یمکن التأبید بحسب الشخص و أمکن بحسب النوع وجب؛لأنّه موافق لغرض الواقف و داخل تحت الأوّل الذی وقع العقد علیه،و مراعاة الخصوصیّة الکلّیة تُفضی إلی فوات الغرض بأجمعه،و لأنّ قصر الثمن علی البائعین یقتضی خروج باقی البطون عن الاستحقاق بغیر وجه،مع</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یستحقّون من الوقف </w:t>
      </w:r>
      <w:r>
        <w:rPr>
          <w:rStyle w:val="FootnoteReference"/>
        </w:rPr>
        <w:footnoteReference w:id="917"/>
      </w:r>
      <w:r>
        <w:rPr>
          <w:rFonts w:ascii="Amiri" w:hAnsi="Amiri" w:eastAsia="Amiri" w:cs="Amiri"/>
          <w:lang w:bidi="ar-SA"/>
          <w:color w:val="111111"/>
          <w:sz w:val="28"/>
          <w:szCs w:val="28"/>
          <w:rtl/>
        </w:rPr>
        <w:t xml:space="preserve">کما یستحقّ البطن الأوّل،و یقدّر </w:t>
      </w:r>
      <w:r>
        <w:rPr>
          <w:rStyle w:val="FootnoteReference"/>
        </w:rPr>
        <w:footnoteReference w:id="918"/>
      </w:r>
      <w:r>
        <w:rPr>
          <w:rFonts w:ascii="IRNazanin" w:hAnsi="IRNazanin" w:eastAsia="IRNazanin" w:cs="IRNazanin"/>
          <w:lang w:bidi="fa-IR"/>
          <w:color w:val="111111"/>
          <w:sz w:val="28"/>
          <w:szCs w:val="28"/>
          <w:rtl/>
        </w:rPr>
        <w:t xml:space="preserve">وجودهم حال الوقف.</w:t>
      </w:r>
    </w:p>
    <w:p>
      <w:pPr>
        <w:pStyle w:val="BookText"/>
      </w:pPr>
      <w:r>
        <w:rPr>
          <w:rFonts w:ascii="IRNazanin" w:hAnsi="IRNazanin" w:eastAsia="IRNazanin" w:cs="IRNazanin"/>
          <w:lang w:bidi="fa-IR"/>
          <w:color w:val="111111"/>
          <w:sz w:val="28"/>
          <w:szCs w:val="28"/>
          <w:rtl/>
        </w:rPr>
        <w:t xml:space="preserve">و قال بعض علمائنا و الشافعیّة:إنّ ثمن الوقف کقیمة الموقوف إذا تلف فیصرف الثمن علی الموقوف علیهم </w:t>
      </w:r>
      <w:r>
        <w:rPr>
          <w:rStyle w:val="FootnoteReference"/>
        </w:rPr>
        <w:footnoteReference w:id="919"/>
      </w:r>
      <w:r>
        <w:rPr>
          <w:rFonts w:ascii="IRNazanin" w:hAnsi="IRNazanin" w:eastAsia="IRNazanin" w:cs="IRNazanin"/>
          <w:lang w:bidi="fa-IR"/>
          <w:color w:val="111111"/>
          <w:sz w:val="28"/>
          <w:szCs w:val="28"/>
          <w:rtl/>
        </w:rPr>
        <w:t xml:space="preserve">علی رأی </w:t>
      </w:r>
      <w:r>
        <w:rPr>
          <w:rStyle w:val="FootnoteReference"/>
        </w:rPr>
        <w:footnoteReference w:id="92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یخفی علیک مواقع الردّ و القبول فی کلامه قدّس سرّه.</w:t>
      </w:r>
    </w:p>
    <w:p>
      <w:pPr>
        <w:pStyle w:val="BookText"/>
      </w:pPr>
      <w:r>
        <w:rPr>
          <w:rFonts w:ascii="IRNazanin" w:hAnsi="IRNazanin" w:eastAsia="IRNazanin" w:cs="IRNazanin"/>
          <w:lang w:bidi="fa-IR"/>
          <w:color w:val="111111"/>
          <w:sz w:val="28"/>
          <w:szCs w:val="28"/>
          <w:rtl/>
        </w:rPr>
        <w:t xml:space="preserve">ثمّ إنّ المتولّی للبیع هو البطن الموجود بضمیمة الحاکم القیّم من قبل سائر البطون.و یحتمل أن یکون هذا إلی الناظر إن کان؛لأنّه المنصوب لمعظم الأُمور الراجعة إلی الوقف،إلّا أن یقال بعدم انصراف وظیفته المجعولة من قبل الواقف إلی التصرّف فی نفس العین.و الظاهر سقوط نظارته عن بدل الوقف.و یحتمل بقاؤه؛لتعلّق حقّه بالعین الموقوفة،فیتعلّق ببدلها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لو لم یمکن شراء بدله،و لم یکن الثمن ممّا ینتفع به مع بقاء عینه کالنقدین فلا یجوز دفعه إلی البطن الموجود؛لما عرفت من کونه کالمبیع مشترکاً بین جمیع البطون،و حینئذٍ فیوضع عند أمین حتّی یتمکّن من شراء ما ینتفع به و لو مع الخیار إلی مدّة.و لو طلب ذلک البطنُ الموجود فلا یبعد وجوب إجابته،و لا یعطّل الثمن حتّی یوجد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یشتری به من غیر خیار.</w:t>
      </w:r>
    </w:p>
    <w:p>
      <w:pPr>
        <w:pStyle w:val="BookText"/>
      </w:pPr>
      <w:r>
        <w:rPr>
          <w:rFonts w:ascii="IRNazanin" w:hAnsi="IRNazanin" w:eastAsia="IRNazanin" w:cs="IRNazanin"/>
          <w:lang w:bidi="fa-IR"/>
          <w:color w:val="111111"/>
          <w:sz w:val="28"/>
          <w:szCs w:val="28"/>
          <w:rtl/>
        </w:rPr>
        <w:t xml:space="preserve">نعم،لو رضی الموجود بالاتّجار به و کانت المصلحة فی التجارة، جاز مع المصلحة إلی أن یوجد البدل.</w:t>
      </w:r>
    </w:p>
    <w:p>
      <w:pPr>
        <w:pStyle w:val="BookText"/>
      </w:pPr>
      <w:r>
        <w:rPr>
          <w:rFonts w:ascii="IRNazanin" w:hAnsi="IRNazanin" w:eastAsia="IRNazanin" w:cs="IRNazanin"/>
          <w:lang w:bidi="fa-IR"/>
          <w:color w:val="111111"/>
          <w:sz w:val="28"/>
          <w:szCs w:val="28"/>
          <w:rtl/>
        </w:rPr>
        <w:t xml:space="preserve">و الربح تابع للأصل و لا یملکه الموجودون؛لأنّه جزء من المبیع، و لیس کالنماء الحقیقی.</w:t>
      </w:r>
    </w:p>
    <w:p>
      <w:pPr>
        <w:pStyle w:val="BookText"/>
      </w:pPr>
      <w:r>
        <w:rPr>
          <w:rFonts w:ascii="IRNazanin" w:hAnsi="IRNazanin" w:eastAsia="IRNazanin" w:cs="IRNazanin"/>
          <w:lang w:bidi="fa-IR"/>
          <w:color w:val="111111"/>
          <w:sz w:val="28"/>
          <w:szCs w:val="28"/>
          <w:rtl/>
        </w:rPr>
        <w:t xml:space="preserve">ثمّ لا فرق فی جمیع ما ذکرنا من جواز البیع مع خراب الوقف بین عروض الخراب لکلّه أو بعضه،فیباع البعض المخروب و یجعل بدله ما یکون وقفاً.و لو کان صرف ثمنه فی باقیه بحیث یوجب زیادة منفعةٍ </w:t>
      </w:r>
      <w:r>
        <w:rPr>
          <w:rStyle w:val="FootnoteReference"/>
        </w:rPr>
        <w:footnoteReference w:id="923"/>
      </w:r>
      <w:r>
        <w:rPr>
          <w:rFonts w:ascii="IRNazanin" w:hAnsi="IRNazanin" w:eastAsia="IRNazanin" w:cs="IRNazanin"/>
          <w:lang w:bidi="fa-IR"/>
          <w:color w:val="111111"/>
          <w:sz w:val="28"/>
          <w:szCs w:val="28"/>
          <w:rtl/>
        </w:rPr>
        <w:t xml:space="preserve">جاز مع رضا الکلّ؛لما عرفت من کون الثمن ملکاً للبطون، فلهم التصرّف فیه علی ظنّ المصلحة.</w:t>
      </w:r>
    </w:p>
    <w:p>
      <w:pPr>
        <w:pStyle w:val="BookText"/>
      </w:pPr>
      <w:r>
        <w:rPr>
          <w:rFonts w:ascii="IRNazanin" w:hAnsi="IRNazanin" w:eastAsia="IRNazanin" w:cs="IRNazanin"/>
          <w:lang w:bidi="fa-IR"/>
          <w:color w:val="111111"/>
          <w:sz w:val="28"/>
          <w:szCs w:val="28"/>
          <w:rtl/>
        </w:rPr>
        <w:t xml:space="preserve">و منه یعلم جواز صرفه فی وقف آخر علیهم علی نحو هذا الوقف،فیجوز صرف ثمن ملک مخروب فی تعمیر وقف آخر علیهم.</w:t>
      </w:r>
    </w:p>
    <w:p>
      <w:pPr>
        <w:pStyle w:val="BookText"/>
      </w:pPr>
      <w:r>
        <w:rPr>
          <w:rFonts w:ascii="IRNazanin" w:hAnsi="IRNazanin" w:eastAsia="IRNazanin" w:cs="IRNazanin"/>
          <w:lang w:bidi="fa-IR"/>
          <w:color w:val="111111"/>
          <w:sz w:val="28"/>
          <w:szCs w:val="28"/>
          <w:rtl/>
        </w:rPr>
        <w:t xml:space="preserve">و لو خرب بعض الوقف و خرج عن الانتفاع و بقی بعضه محتاجاً إلی عمارة لا یمکن بدونها انتفاع البطون اللاحقة،فهل یصرف ثمن المخروب إلی عمارة الباقی و إن لم یرض البطن الموجود؟وجهان آتیان فیما إذا احتاج إصلاح الوقف بحیث لا یخرج عن قابلیة انتفاع البطون اللاحقة إلی صرف منفعته الحاضرة التی یستحقّها البطن الموجود إذا لم یشترط الواقف إخراج مئونة الوقف عن منفعته قبل قسمته </w:t>
      </w:r>
      <w:r>
        <w:rPr>
          <w:rStyle w:val="FootnoteReference"/>
        </w:rPr>
        <w:footnoteReference w:id="924"/>
      </w:r>
      <w:r>
        <w:rPr>
          <w:rFonts w:ascii="IRNazanin" w:hAnsi="IRNazanin" w:eastAsia="IRNazanin" w:cs="IRNazanin"/>
          <w:lang w:bidi="fa-IR"/>
          <w:color w:val="111111"/>
          <w:sz w:val="28"/>
          <w:szCs w:val="28"/>
          <w:rtl/>
        </w:rPr>
        <w:t xml:space="preserve">فی الموقوف علیهم.</w:t>
      </w:r>
    </w:p>
    <w:p>
      <w:pPr>
        <w:pStyle w:val="BookText"/>
      </w:pPr>
      <w:r>
        <w:rPr>
          <w:rFonts w:ascii="IRNazanin" w:hAnsi="IRNazanin" w:eastAsia="IRNazanin" w:cs="IRNazanin"/>
          <w:lang w:bidi="fa-IR"/>
          <w:color w:val="111111"/>
          <w:sz w:val="28"/>
          <w:szCs w:val="28"/>
          <w:rtl/>
        </w:rPr>
        <w:t xml:space="preserve">و هنا فروع أُخر یستخرجها الماهر بعد التأمّل.</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9" w:name="pg14419_166974"/>
    <w:bookmarkEnd w:id="189"/>
    <w:p>
      <w:pPr>
        <w:pStyle w:val="Heading6"/>
      </w:pPr>
      <w:bookmarkStart w:id="984" w:name="_Toc424"/>
      <w:r>
        <w:t>الصورة الثانیة : أن یخرب بحیث یسقط عن الانتفاع المعتدّ به</w:t>
      </w:r>
      <w:bookmarkEnd w:id="9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بحیث یصدق عرفاً أنّه لا منفعة فیه،کدارٍ انهدمت فصارت عَرَصَةً تؤجر للانتفاع بها بأُجرة لا تبلغ شیئاً معتدّاً به.</w:t>
      </w:r>
    </w:p>
    <w:p>
      <w:pPr>
        <w:pStyle w:val="BookText"/>
      </w:pPr>
      <w:r>
        <w:rPr>
          <w:rFonts w:ascii="IRNazanin" w:hAnsi="IRNazanin" w:eastAsia="IRNazanin" w:cs="IRNazanin"/>
          <w:lang w:bidi="fa-IR"/>
          <w:color w:val="111111"/>
          <w:sz w:val="28"/>
          <w:szCs w:val="28"/>
          <w:rtl/>
        </w:rPr>
        <w:t xml:space="preserve">فإن کان ثمنه علی تقدیر البیع لا یعطی به إلّا ما کان منفعته کمنفعة العَرَصَة،فلا ینبغی الإشکال فی عدم الجواز.و إن کان یُعطی بثمنه ما یکون منفعته أکثر من منفعة </w:t>
      </w:r>
      <w:r>
        <w:rPr>
          <w:rStyle w:val="FootnoteReference"/>
        </w:rPr>
        <w:footnoteReference w:id="925"/>
      </w:r>
      <w:r>
        <w:rPr>
          <w:rFonts w:ascii="IRNazanin" w:hAnsi="IRNazanin" w:eastAsia="IRNazanin" w:cs="IRNazanin"/>
          <w:lang w:bidi="fa-IR"/>
          <w:color w:val="111111"/>
          <w:sz w:val="28"/>
          <w:szCs w:val="28"/>
          <w:rtl/>
        </w:rPr>
        <w:t xml:space="preserve">العرصة،بل یساوی </w:t>
      </w:r>
      <w:r>
        <w:rPr>
          <w:rStyle w:val="FootnoteReference"/>
        </w:rPr>
        <w:footnoteReference w:id="926"/>
      </w:r>
      <w:r>
        <w:rPr>
          <w:rFonts w:ascii="IRNazanin" w:hAnsi="IRNazanin" w:eastAsia="IRNazanin" w:cs="IRNazanin"/>
          <w:lang w:bidi="fa-IR"/>
          <w:color w:val="111111"/>
          <w:sz w:val="28"/>
          <w:szCs w:val="28"/>
          <w:rtl/>
        </w:rPr>
        <w:t xml:space="preserve">منفعة الدار،ففی جواز البیع وجهان:</w:t>
      </w:r>
    </w:p>
    <w:p>
      <w:pPr>
        <w:pStyle w:val="BookText"/>
      </w:pPr>
      <w:r>
        <w:rPr>
          <w:rFonts w:ascii="IRNazanin" w:hAnsi="IRNazanin" w:eastAsia="IRNazanin" w:cs="IRNazanin"/>
          <w:lang w:bidi="fa-IR"/>
          <w:color w:val="111111"/>
          <w:sz w:val="28"/>
          <w:szCs w:val="28"/>
          <w:rtl/>
        </w:rPr>
        <w:t xml:space="preserve">من عدم دلیلٍ علی الجواز مع قیام المقتضی للمنع،و هو ظاهر المشهور،حیث قیّدوا الخراب المسوّغ للبیع بکونه بحیث لا یجدی نفعاً، و قد تقدّم التصریح من العلّامة فی التحریر بأنّه:لو انهدمت الدار لم تخرج العرصة من الوقف،و لم یجز بیعها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یحمل النفع المنفیّ فی کلام المشهور علی النفع المعتدّ به بحسب حال العین،فإنّ الحمّام الذی یستأجر کلّ سنة مائة دینار إذا صارت عرصة تؤجر کلّ سنة خمسة دراهم أو عشرة لغرضٍ جزئی کجمع الزبائل و نحوه یصدق علیه أنّه لا یجدی نفعاً؛و کذا القریة</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الموقوفة،فإنّ خرابها بغور أنهارها و هلاک أهلها،و لا تکون بسلب </w:t>
      </w:r>
      <w:r>
        <w:rPr>
          <w:rStyle w:val="FootnoteReference"/>
        </w:rPr>
        <w:footnoteReference w:id="928"/>
      </w:r>
      <w:r>
        <w:rPr>
          <w:rFonts w:ascii="IRNazanin" w:hAnsi="IRNazanin" w:eastAsia="IRNazanin" w:cs="IRNazanin"/>
          <w:lang w:bidi="fa-IR"/>
          <w:color w:val="111111"/>
          <w:sz w:val="28"/>
          <w:szCs w:val="28"/>
          <w:rtl/>
        </w:rPr>
        <w:t xml:space="preserve">منافع أراضیها رأساً؛و یشهد لهذا ما تقدّم عن التحریر:من جعل عرصة الدار المنهدمة مواتاً لا ینتفع بها بالکلیّة </w:t>
      </w:r>
      <w:r>
        <w:rPr>
          <w:rStyle w:val="FootnoteReference"/>
        </w:rPr>
        <w:footnoteReference w:id="929"/>
      </w:r>
      <w:r>
        <w:rPr>
          <w:rFonts w:ascii="Amiri" w:hAnsi="Amiri" w:eastAsia="Amiri" w:cs="Amiri"/>
          <w:lang w:bidi="ar-SA"/>
          <w:color w:val="111111"/>
          <w:sz w:val="28"/>
          <w:szCs w:val="28"/>
          <w:rtl/>
        </w:rPr>
        <w:t xml:space="preserve">مع أنّها کثیراً ما تُستأجر للأغراض الجزئیّة.</w:t>
      </w:r>
    </w:p>
    <w:p>
      <w:pPr>
        <w:pStyle w:val="BookText"/>
      </w:pPr>
      <w:r>
        <w:rPr>
          <w:rFonts w:ascii="IRNazanin" w:hAnsi="IRNazanin" w:eastAsia="IRNazanin" w:cs="IRNazanin"/>
          <w:lang w:bidi="fa-IR"/>
          <w:color w:val="111111"/>
          <w:sz w:val="28"/>
          <w:szCs w:val="28"/>
          <w:rtl/>
        </w:rPr>
        <w:t xml:space="preserve">فالظاهر دخول الصورة المذکورة فی إطلاق کلام کلّ من سوّغ البیع عند خرابه بحیث لا یجدی نفعاً،و یشمله الإجماع المدّعی فی الانتصار </w:t>
      </w:r>
      <w:r>
        <w:rPr>
          <w:rStyle w:val="FootnoteReference"/>
        </w:rPr>
        <w:footnoteReference w:id="930"/>
      </w:r>
      <w:r>
        <w:rPr>
          <w:rFonts w:ascii="IRNazanin" w:hAnsi="IRNazanin" w:eastAsia="IRNazanin" w:cs="IRNazanin"/>
          <w:lang w:bidi="fa-IR"/>
          <w:color w:val="111111"/>
          <w:sz w:val="28"/>
          <w:szCs w:val="28"/>
          <w:rtl/>
        </w:rPr>
        <w:t xml:space="preserve">و الغنیة </w:t>
      </w:r>
      <w:r>
        <w:rPr>
          <w:rStyle w:val="FootnoteReference"/>
        </w:rPr>
        <w:footnoteReference w:id="931"/>
      </w:r>
      <w:r>
        <w:rPr>
          <w:rFonts w:ascii="IRNazanin" w:hAnsi="IRNazanin" w:eastAsia="IRNazanin" w:cs="IRNazanin"/>
          <w:lang w:bidi="fa-IR"/>
          <w:color w:val="111111"/>
          <w:sz w:val="28"/>
          <w:szCs w:val="28"/>
          <w:rtl/>
        </w:rPr>
        <w:t xml:space="preserve">،لکن الخروج بذلک عن عموم أدلّة وجوب العمل بمقتضی وقف الواقف </w:t>
      </w:r>
      <w:r>
        <w:rPr>
          <w:rStyle w:val="FootnoteReference"/>
        </w:rPr>
        <w:footnoteReference w:id="932"/>
      </w:r>
      <w:r>
        <w:rPr>
          <w:rFonts w:ascii="IRNazanin" w:hAnsi="IRNazanin" w:eastAsia="IRNazanin" w:cs="IRNazanin"/>
          <w:lang w:bidi="fa-IR"/>
          <w:color w:val="111111"/>
          <w:sz w:val="28"/>
          <w:szCs w:val="28"/>
          <w:rtl/>
        </w:rPr>
        <w:t xml:space="preserve">الذی هو حبس العین،و عموم قوله علیه السلام:</w:t>
      </w:r>
    </w:p>
    <w:p>
      <w:pPr>
        <w:pStyle w:val="BookText"/>
      </w:pPr>
      <w:r>
        <w:rPr>
          <w:rFonts w:ascii="IRNazanin" w:hAnsi="IRNazanin" w:eastAsia="IRNazanin" w:cs="IRNazanin"/>
          <w:lang w:bidi="fa-IR"/>
          <w:color w:val="111111"/>
          <w:sz w:val="28"/>
          <w:szCs w:val="28"/>
          <w:rtl/>
        </w:rPr>
        <w:t xml:space="preserve">«لا یجوز شراء الوقف» </w:t>
      </w:r>
      <w:r>
        <w:rPr>
          <w:rStyle w:val="FootnoteReference"/>
        </w:rPr>
        <w:footnoteReference w:id="933"/>
      </w:r>
      <w:r>
        <w:rPr>
          <w:rFonts w:ascii="IRNazanin" w:hAnsi="IRNazanin" w:eastAsia="IRNazanin" w:cs="IRNazanin"/>
          <w:lang w:bidi="fa-IR"/>
          <w:color w:val="111111"/>
          <w:sz w:val="28"/>
          <w:szCs w:val="28"/>
          <w:rtl/>
        </w:rPr>
        <w:t xml:space="preserve">مشکل.</w:t>
      </w:r>
    </w:p>
    <w:p>
      <w:pPr>
        <w:pStyle w:val="BookText"/>
      </w:pPr>
      <w:r>
        <w:rPr>
          <w:rFonts w:ascii="IRNazanin" w:hAnsi="IRNazanin" w:eastAsia="IRNazanin" w:cs="IRNazanin"/>
          <w:lang w:bidi="fa-IR"/>
          <w:color w:val="111111"/>
          <w:sz w:val="28"/>
          <w:szCs w:val="28"/>
          <w:rtl/>
        </w:rPr>
        <w:t xml:space="preserve">و یؤیّد المنع </w:t>
      </w:r>
      <w:r>
        <w:rPr>
          <w:rStyle w:val="FootnoteReference"/>
        </w:rPr>
        <w:footnoteReference w:id="934"/>
      </w:r>
      <w:r>
        <w:rPr>
          <w:rFonts w:ascii="IRNazanin" w:hAnsi="IRNazanin" w:eastAsia="IRNazanin" w:cs="IRNazanin"/>
          <w:lang w:bidi="fa-IR"/>
          <w:color w:val="111111"/>
          <w:sz w:val="28"/>
          <w:szCs w:val="28"/>
          <w:rtl/>
        </w:rPr>
        <w:t xml:space="preserve">حکم أکثر من تأخّر عن الشیخ بالمنع عن بیع النخلة المنقلعة </w:t>
      </w:r>
      <w:r>
        <w:rPr>
          <w:rStyle w:val="FootnoteReference"/>
        </w:rPr>
        <w:footnoteReference w:id="935"/>
      </w:r>
      <w:r>
        <w:rPr>
          <w:rFonts w:ascii="IRNazanin" w:hAnsi="IRNazanin" w:eastAsia="IRNazanin" w:cs="IRNazanin"/>
          <w:lang w:bidi="fa-IR"/>
          <w:color w:val="111111"/>
          <w:sz w:val="28"/>
          <w:szCs w:val="28"/>
          <w:rtl/>
        </w:rPr>
        <w:t xml:space="preserve">،بناءً علی جواز الانتفاع بها فی وجوهٍ أُخر،کالتسقیف</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جعلها جسراً و نحو ذلک.</w:t>
      </w:r>
    </w:p>
    <w:p>
      <w:pPr>
        <w:pStyle w:val="BookText"/>
      </w:pPr>
      <w:r>
        <w:rPr>
          <w:rFonts w:ascii="IRNazanin" w:hAnsi="IRNazanin" w:eastAsia="IRNazanin" w:cs="IRNazanin"/>
          <w:lang w:bidi="fa-IR"/>
          <w:color w:val="111111"/>
          <w:sz w:val="28"/>
          <w:szCs w:val="28"/>
          <w:rtl/>
        </w:rPr>
        <w:t xml:space="preserve">بل ظاهر المختلف حیث جعل النزاع بین الشیخ و الحلّی رحمهما اللّٰه لفظیّاً،حیث نزّل تجویز الشیخ علی صورة عدم إمکان الانتفاع به فی منفعة أُخری الاتّفاق علی المنع إذا حصل فیه انتفاع و لو قلیلاً،کما یظهر من التمثیل بجعله جسراً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کان قلیلاً فی الغایة بحیث یلحق بالمعدوم أمکن الحکم بالجواز،لانصراف قوله علیه السلام:«لا یجوز شراء الوقف»إلی غیر هذه الحالة.</w:t>
      </w:r>
    </w:p>
    <w:p>
      <w:pPr>
        <w:pStyle w:val="BookText"/>
      </w:pPr>
      <w:r>
        <w:rPr>
          <w:rFonts w:ascii="IRNazanin" w:hAnsi="IRNazanin" w:eastAsia="IRNazanin" w:cs="IRNazanin"/>
          <w:lang w:bidi="fa-IR"/>
          <w:color w:val="111111"/>
          <w:sz w:val="28"/>
          <w:szCs w:val="28"/>
          <w:rtl/>
        </w:rPr>
        <w:t xml:space="preserve">و کذا حبس العین و تسبیل المنفعة،إنّما یجب الوفاء به ما دام المنفعة المعتدّ بها موجودة،و إلّا فمجرّد حبس العین و إمساکه و لو من دون منفعة،لو وجب الوفاء به لمنع عن البیع فی الصورة الاُولی.</w:t>
      </w:r>
    </w:p>
    <w:p>
      <w:pPr>
        <w:pStyle w:val="BookText"/>
      </w:pPr>
      <w:r>
        <w:rPr>
          <w:rFonts w:ascii="IRNazanin" w:hAnsi="IRNazanin" w:eastAsia="IRNazanin" w:cs="IRNazanin"/>
          <w:lang w:bidi="fa-IR"/>
          <w:color w:val="111111"/>
          <w:sz w:val="28"/>
          <w:szCs w:val="28"/>
          <w:rtl/>
        </w:rPr>
        <w:t xml:space="preserve">ثمّ إنّ الحکم المذکور جارٍ فیما إذا صارت منفعة الموقوف </w:t>
      </w:r>
      <w:r>
        <w:rPr>
          <w:rStyle w:val="FootnoteReference"/>
        </w:rPr>
        <w:footnoteReference w:id="937"/>
      </w:r>
      <w:r>
        <w:rPr>
          <w:rFonts w:ascii="IRNazanin" w:hAnsi="IRNazanin" w:eastAsia="IRNazanin" w:cs="IRNazanin"/>
          <w:lang w:bidi="fa-IR"/>
          <w:color w:val="111111"/>
          <w:sz w:val="28"/>
          <w:szCs w:val="28"/>
          <w:rtl/>
        </w:rPr>
        <w:t xml:space="preserve">قلیلة لعارضٍ آخر غیر الخراب؛لجریان ما ذکرنا فیه.</w:t>
      </w:r>
    </w:p>
    <w:p>
      <w:pPr>
        <w:pStyle w:val="BookText"/>
      </w:pPr>
      <w:r>
        <w:rPr>
          <w:rFonts w:ascii="Amiri" w:hAnsi="Amiri" w:eastAsia="Amiri" w:cs="Amiri"/>
          <w:lang w:bidi="ar-SA"/>
          <w:color w:val="111111"/>
          <w:sz w:val="28"/>
          <w:szCs w:val="28"/>
          <w:rtl/>
        </w:rPr>
        <w:t xml:space="preserve">ثمّ إنّک قد عرفت فیما سبق أنّه ذکر بعض </w:t>
      </w:r>
      <w:r>
        <w:rPr>
          <w:rStyle w:val="FootnoteReference"/>
        </w:rPr>
        <w:footnoteReference w:id="938"/>
      </w:r>
      <w:r>
        <w:rPr>
          <w:rFonts w:ascii="IRNazanin" w:hAnsi="IRNazanin" w:eastAsia="IRNazanin" w:cs="IRNazanin"/>
          <w:lang w:bidi="fa-IR"/>
          <w:color w:val="111111"/>
          <w:sz w:val="28"/>
          <w:szCs w:val="28"/>
          <w:rtl/>
        </w:rPr>
        <w:t xml:space="preserve">:أنّ جواز بیع الوقف لا یکون إلّا مع بطلان الوقف و عرفت وجه النظر فیه ثمّ وجّه بطلان الوقف فی الصورة الأُولی بفوات </w:t>
      </w:r>
      <w:r>
        <w:rPr>
          <w:rStyle w:val="FootnoteReference"/>
        </w:rPr>
        <w:footnoteReference w:id="939"/>
      </w:r>
      <w:r>
        <w:rPr>
          <w:rFonts w:ascii="IRNazanin" w:hAnsi="IRNazanin" w:eastAsia="IRNazanin" w:cs="IRNazanin"/>
          <w:lang w:bidi="fa-IR"/>
          <w:color w:val="111111"/>
          <w:sz w:val="28"/>
          <w:szCs w:val="28"/>
          <w:rtl/>
        </w:rPr>
        <w:t xml:space="preserve">شرط الوقف المراعی فی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الابتداء و الاستدامة،و هو کون العین ممّا ینتفع بها مع بقاء عینها.</w:t>
      </w:r>
    </w:p>
    <w:p>
      <w:pPr>
        <w:pStyle w:val="BookText"/>
      </w:pPr>
      <w:r>
        <w:rPr>
          <w:rFonts w:ascii="IRNazanin" w:hAnsi="IRNazanin" w:eastAsia="IRNazanin" w:cs="IRNazanin"/>
          <w:lang w:bidi="fa-IR"/>
          <w:color w:val="111111"/>
          <w:sz w:val="28"/>
          <w:szCs w:val="28"/>
          <w:rtl/>
        </w:rPr>
        <w:t xml:space="preserve">و فیه:ما عرفت سابقاً </w:t>
      </w:r>
      <w:r>
        <w:rPr>
          <w:rStyle w:val="FootnoteReference"/>
        </w:rPr>
        <w:footnoteReference w:id="940"/>
      </w:r>
      <w:r>
        <w:rPr>
          <w:rFonts w:ascii="IRNazanin" w:hAnsi="IRNazanin" w:eastAsia="IRNazanin" w:cs="IRNazanin"/>
          <w:lang w:bidi="fa-IR"/>
          <w:color w:val="111111"/>
          <w:sz w:val="28"/>
          <w:szCs w:val="28"/>
          <w:rtl/>
        </w:rPr>
        <w:t xml:space="preserve">من أنّ بطلان الوقف بعد انعقاده صحیحاً لا وجه له فی الوقف المؤبّد،مع أنّه لا دلیل علیه.مضافاً إلی أنّه لا دلیل علی اشتراط الشرط المذکور فی الاستدامة،فإنّ الشروط فی العقود الناقلة یکفی وجودها حین النقل،فإنّه قد یخرج المبیع عن المالیّة و لا یخرج بذلک عن ملک المشتری.مع أنّ جواز بیعه لا یوجب الحکم بالبطلان،بل یوجب خروج الوقف عن اللزوم إلی الجواز،کما تقدّم.</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ثمّ ذکر </w:t>
      </w:r>
      <w:r>
        <w:rPr>
          <w:rStyle w:val="FootnoteReference"/>
        </w:rPr>
        <w:footnoteReference w:id="941"/>
      </w:r>
      <w:r>
        <w:rPr>
          <w:rFonts w:ascii="IRNazanin" w:hAnsi="IRNazanin" w:eastAsia="IRNazanin" w:cs="IRNazanin"/>
          <w:lang w:bidi="fa-IR"/>
          <w:color w:val="111111"/>
          <w:sz w:val="28"/>
          <w:szCs w:val="28"/>
          <w:rtl/>
        </w:rPr>
        <w:t xml:space="preserve">:أنّه قد یقال بالبطلان أیضاً بانعدام عنوان الوقف فیما إذا وقف بستاناً مثلاً ملاحظاً فی عنوان وقفه البستانیّة،فخربت حتّی خرجت عن قابلیّة ذلک،فإنّه و إن لم تبطل منفعتها أصلاً لإمکان الانتفاع بها داراً مثلاً لکن لیس من عنوان الوقف.و احتمال بقاء العرصة علی الوقف باعتبار أنّها جزء من الوقف و هی باقیة،و خراب غیرها و إن اقتضی بطلانه فیه </w:t>
      </w:r>
      <w:r>
        <w:rPr>
          <w:rStyle w:val="FootnoteReference"/>
        </w:rPr>
        <w:footnoteReference w:id="942"/>
      </w:r>
      <w:r>
        <w:rPr>
          <w:rFonts w:ascii="IRNazanin" w:hAnsi="IRNazanin" w:eastAsia="IRNazanin" w:cs="IRNazanin"/>
          <w:lang w:bidi="fa-IR"/>
          <w:color w:val="111111"/>
          <w:sz w:val="28"/>
          <w:szCs w:val="28"/>
          <w:rtl/>
        </w:rPr>
        <w:t xml:space="preserve">لا یقتضی بطلانه فیها،یدفعه:أنّ العرصة کانت جزءاً من الموقوف من حیث کونه بستاناً،لا مطلقاً،فهی حینئذٍ جزء عنوان الوقف الذی فرض خرابه،و لو فرض إرادة وقفها لتکون بستاناً أو غیره لم یکن إشکال فی بقائها،لعدم ذهاب عنوان الوقف.و ربما یؤیّد ذلک فی الجملة ما ذکروه فی باب الوصیّة:من أنّه</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أوصی بدار فانهدمت قبل موت الموصی بطلت الوصیّة لانتفاء موضوعها.نعم،لو لم تکن«الداریّة»و«البستانیّة»و نحو ذلک مثلاً عنواناً للوقف و إن قارنت وقفه،بل کان المراد به الانتفاع به فی کلّ وقتٍ علی حسب ما یقبله،لم یبطل الوقف بتغیّر أحواله.</w:t>
      </w:r>
    </w:p>
    <w:p>
      <w:pPr>
        <w:pStyle w:val="BookText"/>
      </w:pPr>
      <w:r>
        <w:rPr>
          <w:rFonts w:ascii="IRNazanin" w:hAnsi="IRNazanin" w:eastAsia="IRNazanin" w:cs="IRNazanin"/>
          <w:lang w:bidi="fa-IR"/>
          <w:color w:val="111111"/>
          <w:sz w:val="28"/>
          <w:szCs w:val="28"/>
          <w:rtl/>
        </w:rPr>
        <w:t xml:space="preserve">ثمّ ذکر:أنّ فی عود الوقف إلی ملک الواقف أو وارثه بعد البطلان أو الموقوف علیه وجهین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أقول:یرد علی </w:t>
      </w:r>
      <w:r>
        <w:rPr>
          <w:rStyle w:val="FootnoteReference"/>
        </w:rPr>
        <w:footnoteReference w:id="944"/>
      </w:r>
      <w:r>
        <w:rPr>
          <w:rFonts w:ascii="IRNazanin" w:hAnsi="IRNazanin" w:eastAsia="IRNazanin" w:cs="IRNazanin"/>
          <w:lang w:bidi="fa-IR"/>
          <w:color w:val="111111"/>
          <w:sz w:val="28"/>
          <w:szCs w:val="28"/>
          <w:rtl/>
        </w:rPr>
        <w:t xml:space="preserve">ما قد یقال </w:t>
      </w:r>
      <w:r>
        <w:rPr>
          <w:rStyle w:val="FootnoteReference"/>
        </w:rPr>
        <w:footnoteReference w:id="945"/>
      </w:r>
      <w:r>
        <w:rPr>
          <w:rFonts w:ascii="IRNazanin" w:hAnsi="IRNazanin" w:eastAsia="IRNazanin" w:cs="IRNazanin"/>
          <w:lang w:bidi="fa-IR"/>
          <w:color w:val="111111"/>
          <w:sz w:val="28"/>
          <w:szCs w:val="28"/>
          <w:rtl/>
        </w:rPr>
        <w:t xml:space="preserve">بعد الإجماع علی أنّ انعدام العنوان لا یوجب بطلان الوقف،بل و لا جواز البیع و إن اختلفوا فیه عند الخراب أو خوفه،لکنّه غیر تغیّر العنوان کما لا یخفی-:أنّه لا وجه للبطلان بانعدام العنوان؛لأنّه:</w:t>
      </w:r>
    </w:p>
    <w:p>
      <w:pPr>
        <w:pStyle w:val="BookText"/>
      </w:pPr>
      <w:r>
        <w:rPr>
          <w:rFonts w:ascii="IRNazanin" w:hAnsi="IRNazanin" w:eastAsia="IRNazanin" w:cs="IRNazanin"/>
          <w:lang w:bidi="fa-IR"/>
          <w:color w:val="111111"/>
          <w:sz w:val="28"/>
          <w:szCs w:val="28"/>
          <w:rtl/>
        </w:rPr>
        <w:t xml:space="preserve">إن أُرید ب«العنوان»ما جعل مفعولاً فی قوله:«وقفت هذا البستان»،فلا شکّ فی </w:t>
      </w:r>
      <w:r>
        <w:rPr>
          <w:rStyle w:val="FootnoteReference"/>
        </w:rPr>
        <w:footnoteReference w:id="946"/>
      </w:r>
      <w:r>
        <w:rPr>
          <w:rFonts w:ascii="IRNazanin" w:hAnsi="IRNazanin" w:eastAsia="IRNazanin" w:cs="IRNazanin"/>
          <w:lang w:bidi="fa-IR"/>
          <w:color w:val="111111"/>
          <w:sz w:val="28"/>
          <w:szCs w:val="28"/>
          <w:rtl/>
        </w:rPr>
        <w:t xml:space="preserve">أنّه لیس إلّا کقوله:«بعت هذا البستان» أو«وهبته»،فإنّ التملیک المعلّق بعنوانٍ،لا یقتضی دوران الملک مدار العنوان،فالبستان إذا صار ملکاً فقد مُلک منه کلّ جزءٍ خارجی و إن لم یکن فی ضمن عنوان«البستان»،و لیس التملیک من قبیل الأحکام الجعلیّة المتعلّقة بالعنوانات.</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0" w:name="pg14419_166979"/>
    <w:bookmarkEnd w:id="190"/>
    <w:p>
      <w:pPr>
        <w:pStyle w:val="BookText"/>
      </w:pPr>
      <w:r>
        <w:rPr>
          <w:rFonts w:ascii="IRNazanin" w:hAnsi="IRNazanin" w:eastAsia="IRNazanin" w:cs="IRNazanin"/>
          <w:lang w:bidi="fa-IR"/>
          <w:color w:val="111111"/>
          <w:sz w:val="28"/>
          <w:szCs w:val="28"/>
          <w:rtl/>
        </w:rPr>
        <w:t xml:space="preserve">و إن أُرید ب«العنوان»شیءٌ آخر،فهو خارجٌ عن مصطلح أهل العرف و العلم،و لا بدّ من بیان المراد منه،هل یراد ما اشترط لفظاً، أو قصداً فی الموضوع زیادة علی عنوانه؟ و أمّا تأیید ما ذکر بالوصیّة </w:t>
      </w:r>
      <w:r>
        <w:rPr>
          <w:rStyle w:val="FootnoteReference"/>
        </w:rPr>
        <w:footnoteReference w:id="947"/>
      </w:r>
      <w:r>
        <w:rPr>
          <w:rFonts w:ascii="IRNazanin" w:hAnsi="IRNazanin" w:eastAsia="IRNazanin" w:cs="IRNazanin"/>
          <w:lang w:bidi="fa-IR"/>
          <w:color w:val="111111"/>
          <w:sz w:val="28"/>
          <w:szCs w:val="28"/>
          <w:rtl/>
        </w:rPr>
        <w:t xml:space="preserve">،فالمناسب أن یقایس ما نحن فیه بالوصیّة بالبستان بعد تمامها و خروج البستان عن ملک الموصی بموته و قبول الموصی له،فهل یرضی أحدٌ بالتزام بطلان الوصیّة بصیرورة البستان عرصة؟ نعم،الوصیّة قبل تمامها یقع الکلام فی بقائها و بطلانها من جهات أُخر.</w:t>
      </w:r>
    </w:p>
    <w:p>
      <w:pPr>
        <w:pStyle w:val="BookText"/>
      </w:pPr>
      <w:r>
        <w:rPr>
          <w:rFonts w:ascii="IRNazanin" w:hAnsi="IRNazanin" w:eastAsia="IRNazanin" w:cs="IRNazanin"/>
          <w:lang w:bidi="fa-IR"/>
          <w:color w:val="111111"/>
          <w:sz w:val="28"/>
          <w:szCs w:val="28"/>
          <w:rtl/>
        </w:rPr>
        <w:t xml:space="preserve">ثمّ ما ذکره من الوجهین،ممّا لا یعرف له وجه بعد إطباق کلّ من قال بخروج الوقف المؤبّد عن ملک الواقف علی عدم عوده إلیه أبداً.</w:t>
      </w:r>
    </w:p>
    <w:p>
      <w:pPr>
        <w:pStyle w:val="Heading6"/>
      </w:pPr>
      <w:bookmarkStart w:id="985" w:name="_Toc425"/>
      <w:r>
        <w:t>الصورة الثالثة : أن یخرب بحیث یقلّ منفعته،لکن لا إلی حدٍّ یلحق بالمعدوم</w:t>
      </w:r>
      <w:bookmarkEnd w:id="985"/>
    </w:p>
    <w:p>
      <w:pPr>
        <w:pStyle w:val="BookText"/>
      </w:pPr>
      <w:r>
        <w:rPr>
          <w:rFonts w:ascii="IRNazanin" w:hAnsi="IRNazanin" w:eastAsia="IRNazanin" w:cs="IRNazanin"/>
          <w:lang w:bidi="fa-IR"/>
          <w:color w:val="111111"/>
          <w:sz w:val="28"/>
          <w:szCs w:val="28"/>
          <w:rtl/>
        </w:rPr>
        <w:t xml:space="preserve">و الأقوی هنا المنع،و هو الظاهر من الأکثر فی مسألة النخلة المنقلعة،حیث جوّز الشیخ رحمه اللّٰه فی محکیّ الخلاف بیعها،محتجّاً بأنّه لا یمکن الانتفاع بها إلّا علی هذا الوجه؛لأنّ الوجه الذی شرطه الواقف قد بطل و لا یُرجی عوده </w:t>
      </w:r>
      <w:r>
        <w:rPr>
          <w:rStyle w:val="FootnoteReference"/>
        </w:rPr>
        <w:footnoteReference w:id="948"/>
      </w:r>
      <w:r>
        <w:rPr>
          <w:rFonts w:ascii="IRNazanin" w:hAnsi="IRNazanin" w:eastAsia="IRNazanin" w:cs="IRNazanin"/>
          <w:lang w:bidi="fa-IR"/>
          <w:color w:val="111111"/>
          <w:sz w:val="28"/>
          <w:szCs w:val="28"/>
          <w:rtl/>
        </w:rPr>
        <w:t xml:space="preserve">،و منعه الحلیّ قائلاً:و لا یجوز بیعها،بل</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ینتفع بها بغیر البیع،مستنداً إلی وجوب إبقاء الوقف علی حاله مع إمکان الانتفاع،و زوال بعض المنافع لا یستلزم زوال جمیعها،لإمکان التسقیف بها و نحوه </w:t>
      </w:r>
      <w:r>
        <w:rPr>
          <w:rStyle w:val="FootnoteReference"/>
        </w:rPr>
        <w:footnoteReference w:id="949"/>
      </w:r>
      <w:r>
        <w:rPr>
          <w:rFonts w:ascii="IRNazanin" w:hAnsi="IRNazanin" w:eastAsia="IRNazanin" w:cs="IRNazanin"/>
          <w:lang w:bidi="fa-IR"/>
          <w:color w:val="111111"/>
          <w:sz w:val="28"/>
          <w:szCs w:val="28"/>
          <w:rtl/>
        </w:rPr>
        <w:t xml:space="preserve">،و حکی موافقته عن الفاضلین </w:t>
      </w:r>
      <w:r>
        <w:rPr>
          <w:rStyle w:val="FootnoteReference"/>
        </w:rPr>
        <w:footnoteReference w:id="950"/>
      </w:r>
      <w:r>
        <w:rPr>
          <w:rFonts w:ascii="IRNazanin" w:hAnsi="IRNazanin" w:eastAsia="IRNazanin" w:cs="IRNazanin"/>
          <w:lang w:bidi="fa-IR"/>
          <w:color w:val="111111"/>
          <w:sz w:val="28"/>
          <w:szCs w:val="28"/>
          <w:rtl/>
        </w:rPr>
        <w:t xml:space="preserve">و الشهیدین </w:t>
      </w:r>
      <w:r>
        <w:rPr>
          <w:rStyle w:val="FootnoteReference"/>
        </w:rPr>
        <w:footnoteReference w:id="951"/>
      </w:r>
      <w:r>
        <w:rPr>
          <w:rFonts w:ascii="IRNazanin" w:hAnsi="IRNazanin" w:eastAsia="IRNazanin" w:cs="IRNazanin"/>
          <w:lang w:bidi="fa-IR"/>
          <w:color w:val="111111"/>
          <w:sz w:val="28"/>
          <w:szCs w:val="28"/>
          <w:rtl/>
        </w:rPr>
        <w:t xml:space="preserve">، و المحقّق الثانی </w:t>
      </w:r>
      <w:r>
        <w:rPr>
          <w:rStyle w:val="FootnoteReference"/>
        </w:rPr>
        <w:footnoteReference w:id="952"/>
      </w:r>
      <w:r>
        <w:rPr>
          <w:rFonts w:ascii="IRNazanin" w:hAnsi="IRNazanin" w:eastAsia="IRNazanin" w:cs="IRNazanin"/>
          <w:lang w:bidi="fa-IR"/>
          <w:color w:val="111111"/>
          <w:sz w:val="28"/>
          <w:szCs w:val="28"/>
          <w:rtl/>
        </w:rPr>
        <w:t xml:space="preserve">و أکثر المتأخّرین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حکی فی الإیضاح عن والده قدّس سرّهما:أنّ النزاع بین الشیخ و الحلیّ لفظیّ،و استحسنه </w:t>
      </w:r>
      <w:r>
        <w:rPr>
          <w:rStyle w:val="FootnoteReference"/>
        </w:rPr>
        <w:footnoteReference w:id="954"/>
      </w:r>
      <w:r>
        <w:rPr>
          <w:rFonts w:ascii="IRNazanin" w:hAnsi="IRNazanin" w:eastAsia="IRNazanin" w:cs="IRNazanin"/>
          <w:lang w:bidi="fa-IR"/>
          <w:color w:val="111111"/>
          <w:sz w:val="28"/>
          <w:szCs w:val="28"/>
          <w:rtl/>
        </w:rPr>
        <w:t xml:space="preserve">لأنّ فی تعلیل الشیخ اعترافاً بسلب جمیع منافعها،و الحلیّ فرض وجود منفعة و منع لذلک بیعها.</w:t>
      </w:r>
    </w:p>
    <w:p>
      <w:pPr>
        <w:pStyle w:val="BookText"/>
      </w:pPr>
      <w:r>
        <w:rPr>
          <w:rFonts w:ascii="IRNazanin" w:hAnsi="IRNazanin" w:eastAsia="IRNazanin" w:cs="IRNazanin"/>
          <w:lang w:bidi="fa-IR"/>
          <w:color w:val="111111"/>
          <w:sz w:val="28"/>
          <w:szCs w:val="28"/>
          <w:rtl/>
        </w:rPr>
        <w:t xml:space="preserve">قیل:و یمکن </w:t>
      </w:r>
      <w:r>
        <w:rPr>
          <w:rStyle w:val="FootnoteReference"/>
        </w:rPr>
        <w:footnoteReference w:id="955"/>
      </w:r>
      <w:r>
        <w:rPr>
          <w:rFonts w:ascii="IRNazanin" w:hAnsi="IRNazanin" w:eastAsia="IRNazanin" w:cs="IRNazanin"/>
          <w:lang w:bidi="fa-IR"/>
          <w:color w:val="111111"/>
          <w:sz w:val="28"/>
          <w:szCs w:val="28"/>
          <w:rtl/>
        </w:rPr>
        <w:t xml:space="preserve">بناء نزاعهما علی رعایة المنفعة المعدّ لها الوقف کما هو الظاهر من تعلیل الشیخ </w:t>
      </w:r>
      <w:r>
        <w:rPr>
          <w:rStyle w:val="FootnoteReference"/>
        </w:rPr>
        <w:footnoteReference w:id="956"/>
      </w:r>
      <w:r>
        <w:rPr>
          <w:rFonts w:ascii="IRNazanin" w:hAnsi="IRNazanin" w:eastAsia="IRNazanin" w:cs="IRNazanin"/>
          <w:lang w:bidi="fa-IR"/>
          <w:color w:val="111111"/>
          <w:sz w:val="28"/>
          <w:szCs w:val="28"/>
          <w:rtl/>
        </w:rPr>
        <w:t xml:space="preserve">،و لا یخلو عن تأمّل.</w:t>
      </w:r>
    </w:p>
    <w:p>
      <w:pPr>
        <w:pStyle w:val="BookText"/>
      </w:pPr>
      <w:r>
        <w:rPr>
          <w:rFonts w:ascii="IRNazanin" w:hAnsi="IRNazanin" w:eastAsia="IRNazanin" w:cs="IRNazanin"/>
          <w:lang w:bidi="fa-IR"/>
          <w:color w:val="111111"/>
          <w:sz w:val="28"/>
          <w:szCs w:val="28"/>
          <w:rtl/>
        </w:rPr>
        <w:t xml:space="preserve">و کیف کان،فالأقوی هنا المنع،و أولی منه بالمنع ما لو قلّت منفعة الوقف من دون خراب،فلا یجوز بذلک البیع إلّا إذا قلنا بجواز بیعه إذا کان أعود،و سیجیء تفصیله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1" w:name="pg14419_166981"/>
    <w:bookmarkEnd w:id="191"/>
    <w:p>
      <w:pPr>
        <w:pStyle w:val="Heading6"/>
      </w:pPr>
      <w:bookmarkStart w:id="986" w:name="_Toc426"/>
      <w:r>
        <w:t>الصورة الرابعة : أن یکون بیع الوقف أنفع و أعود للموقوف علیه</w:t>
      </w:r>
      <w:bookmarkEnd w:id="986"/>
    </w:p>
    <w:p>
      <w:pPr>
        <w:pStyle w:val="BookText"/>
      </w:pPr>
      <w:r>
        <w:rPr>
          <w:rFonts w:ascii="IRNazanin" w:hAnsi="IRNazanin" w:eastAsia="IRNazanin" w:cs="IRNazanin"/>
          <w:lang w:bidi="fa-IR"/>
          <w:color w:val="111111"/>
          <w:sz w:val="28"/>
          <w:szCs w:val="28"/>
          <w:rtl/>
        </w:rPr>
        <w:t xml:space="preserve">و ظاهر المراد منه:أن یکون ثمن الوقف أزید نفعاً من المنفعة الحاصلة تدریجاً مدّة وجود الموقوف علیه.</w:t>
      </w:r>
    </w:p>
    <w:p>
      <w:pPr>
        <w:pStyle w:val="BookText"/>
      </w:pPr>
      <w:r>
        <w:rPr>
          <w:rFonts w:ascii="IRNazanin" w:hAnsi="IRNazanin" w:eastAsia="IRNazanin" w:cs="IRNazanin"/>
          <w:lang w:bidi="fa-IR"/>
          <w:color w:val="111111"/>
          <w:sz w:val="28"/>
          <w:szCs w:val="28"/>
          <w:rtl/>
        </w:rPr>
        <w:t xml:space="preserve">و قد نسب جواز البیع هنا إلی المفید،و قد تقدّم عبارته،فراجع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زیادة النفع قد تلاحظ بالنسبة إلی البطن الموجود،و قد تلاحظ بالنسبة إلی جمیع البطون إذا قیل بوجوب شراء بدل الوقف بثمنه.</w:t>
      </w:r>
    </w:p>
    <w:p>
      <w:pPr>
        <w:pStyle w:val="BookText"/>
      </w:pPr>
      <w:r>
        <w:rPr>
          <w:rFonts w:ascii="IRNazanin" w:hAnsi="IRNazanin" w:eastAsia="IRNazanin" w:cs="IRNazanin"/>
          <w:lang w:bidi="fa-IR"/>
          <w:color w:val="111111"/>
          <w:sz w:val="28"/>
          <w:szCs w:val="28"/>
          <w:rtl/>
        </w:rPr>
        <w:t xml:space="preserve">و الأقوی المنع مطلقاً،وفاقاً للأکثر،بل الکلّ،بناءً علی ما تقدّم:</w:t>
      </w:r>
    </w:p>
    <w:p>
      <w:pPr>
        <w:pStyle w:val="BookText"/>
      </w:pPr>
      <w:r>
        <w:rPr>
          <w:rFonts w:ascii="IRNazanin" w:hAnsi="IRNazanin" w:eastAsia="IRNazanin" w:cs="IRNazanin"/>
          <w:lang w:bidi="fa-IR"/>
          <w:color w:val="111111"/>
          <w:sz w:val="28"/>
          <w:szCs w:val="28"/>
          <w:rtl/>
        </w:rPr>
        <w:t xml:space="preserve">من عدم دلالة قول المفید علی ذلک،و علی تقدیره فقد تقدّم عن التحریر:أنّ کلام المفید متأوّل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کان،فلا إشکال فی المنع؛لوجود مقتضی المنع،و هو وجوب العمل علی طبق إنشاء الواقف،و قوله علیه السلام:«لا یجوز شراء الوقف» </w:t>
      </w:r>
      <w:r>
        <w:rPr>
          <w:rStyle w:val="FootnoteReference"/>
        </w:rPr>
        <w:footnoteReference w:id="960"/>
      </w:r>
      <w:r>
        <w:rPr>
          <w:rFonts w:ascii="IRNazanin" w:hAnsi="IRNazanin" w:eastAsia="IRNazanin" w:cs="IRNazanin"/>
          <w:lang w:bidi="fa-IR"/>
          <w:color w:val="111111"/>
          <w:sz w:val="28"/>
          <w:szCs w:val="28"/>
          <w:rtl/>
        </w:rPr>
        <w:t xml:space="preserve">،و غیر ذلک.و عدم ما یصلح للمنع عدا روایة ابن محبوب عن علی بن رئاب عن جعفر بن حنّان </w:t>
      </w:r>
      <w:r>
        <w:rPr>
          <w:rStyle w:val="FootnoteReference"/>
        </w:rPr>
        <w:footnoteReference w:id="961"/>
      </w:r>
      <w:r>
        <w:rPr>
          <w:rFonts w:ascii="IRNazanin" w:hAnsi="IRNazanin" w:eastAsia="IRNazanin" w:cs="IRNazanin"/>
          <w:lang w:bidi="fa-IR"/>
          <w:color w:val="111111"/>
          <w:sz w:val="28"/>
          <w:szCs w:val="28"/>
          <w:rtl/>
        </w:rPr>
        <w:t xml:space="preserve">،قال:«سألت أبا عبد اللّٰه علیه السلام عن رجلٍ وقف غلّةً له علی قرابته </w:t>
      </w:r>
      <w:r>
        <w:rPr>
          <w:rStyle w:val="FootnoteReference"/>
        </w:rPr>
        <w:footnoteReference w:id="962"/>
      </w:r>
      <w:r>
        <w:rPr>
          <w:rFonts w:ascii="IRNazanin" w:hAnsi="IRNazanin" w:eastAsia="IRNazanin" w:cs="IRNazanin"/>
          <w:lang w:bidi="fa-IR"/>
          <w:color w:val="111111"/>
          <w:sz w:val="28"/>
          <w:szCs w:val="28"/>
          <w:rtl/>
        </w:rPr>
        <w:t xml:space="preserve">من أبیه،و قرابته(6)من امّه،</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أوصی لرجل و لعقبه من تلک الغلّة </w:t>
      </w:r>
      <w:r>
        <w:rPr>
          <w:rStyle w:val="FootnoteReference"/>
        </w:rPr>
        <w:footnoteReference w:id="963"/>
      </w:r>
      <w:r>
        <w:rPr>
          <w:rFonts w:ascii="IRNazanin" w:hAnsi="IRNazanin" w:eastAsia="IRNazanin" w:cs="IRNazanin"/>
          <w:lang w:bidi="fa-IR"/>
          <w:color w:val="111111"/>
          <w:sz w:val="28"/>
          <w:szCs w:val="28"/>
          <w:rtl/>
        </w:rPr>
        <w:t xml:space="preserve">لیس بینه و بینه قرابة بثلاثمائة درهم فی کلّ سنة،و یقسم الباقی علی قرابته من أبیه و قرابته من امّه، فقال علیه السلام:جائز للذی اوصی له بذلک.قلت:أ رأیت إن لم یخرج من غلّة تلک </w:t>
      </w:r>
      <w:r>
        <w:rPr>
          <w:rStyle w:val="FootnoteReference"/>
        </w:rPr>
        <w:footnoteReference w:id="964"/>
      </w:r>
      <w:r>
        <w:rPr>
          <w:rFonts w:ascii="IRNazanin" w:hAnsi="IRNazanin" w:eastAsia="IRNazanin" w:cs="IRNazanin"/>
          <w:lang w:bidi="fa-IR"/>
          <w:color w:val="111111"/>
          <w:sz w:val="28"/>
          <w:szCs w:val="28"/>
          <w:rtl/>
        </w:rPr>
        <w:t xml:space="preserve">الأرض التی أوقفها </w:t>
      </w:r>
      <w:r>
        <w:rPr>
          <w:rStyle w:val="FootnoteReference"/>
        </w:rPr>
        <w:footnoteReference w:id="965"/>
      </w:r>
      <w:r>
        <w:rPr>
          <w:rFonts w:ascii="IRNazanin" w:hAnsi="IRNazanin" w:eastAsia="IRNazanin" w:cs="IRNazanin"/>
          <w:lang w:bidi="fa-IR"/>
          <w:color w:val="111111"/>
          <w:sz w:val="28"/>
          <w:szCs w:val="28"/>
          <w:rtl/>
        </w:rPr>
        <w:t xml:space="preserve">إلّا خمسمائة درهم؟فقال:أ لیس فی وصیّته أن یُعطی الذی اوصی له من الغلّة ثلاثمائة درهم،و یقسم الباقی علی قرابته من أبیه و أُمّه؟قلت:نعم.قال:لیس لقرابته أن یأخذوا من الغلّة شیئاً حتّی یُوفی الموصی له ثلاثمائة درهم،ثمّ لهم ما یبقی بعد ذلک.قلت:أ رأیت إن مات الذی اوصی له؟قال:إن مات کانت </w:t>
      </w:r>
      <w:r>
        <w:rPr>
          <w:rStyle w:val="FootnoteReference"/>
        </w:rPr>
        <w:footnoteReference w:id="966"/>
      </w:r>
      <w:r>
        <w:rPr>
          <w:rFonts w:ascii="Amiri" w:hAnsi="Amiri" w:eastAsia="Amiri" w:cs="Amiri"/>
          <w:lang w:bidi="ar-SA"/>
          <w:color w:val="111111"/>
          <w:sz w:val="28"/>
          <w:szCs w:val="28"/>
          <w:rtl/>
        </w:rPr>
        <w:t xml:space="preserve">الثلاثمائة </w:t>
      </w:r>
      <w:r>
        <w:rPr>
          <w:rStyle w:val="FootnoteReference"/>
        </w:rPr>
        <w:footnoteReference w:id="967"/>
      </w:r>
      <w:r>
        <w:rPr>
          <w:rFonts w:ascii="IRNazanin" w:hAnsi="IRNazanin" w:eastAsia="IRNazanin" w:cs="IRNazanin"/>
          <w:lang w:bidi="fa-IR"/>
          <w:color w:val="111111"/>
          <w:sz w:val="28"/>
          <w:szCs w:val="28"/>
          <w:rtl/>
        </w:rPr>
        <w:t xml:space="preserve">درهم لورثته یتوارثونها ما بقی أحد منهم، فإن انقطع ورثته و لم یبق منهم أحد کانت الثلاثمائة درهم لقرابة المیّت، یردّ إلی ما یخرج من الوقف،ثمّ یقسّم بینهم،یتوارثون ذلک ما بقوا و بقیت الغلّة.قلت:فللورثة من قرابة المیّت أن یبیعوا الأرض إذا احتاجوا و لم یکفهم ما یخرج من الغلّة؟قال:نعم،إذا رضوا کلّهم و کان البیع خیراً لهم،باعوا»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 المرویّ عن الاحتجاج:أنّ الحمیری کتب إلی صاحب الزمان جعلنی اللّٰه فداه-:«أنّه روی عن الصادق علیه السلام خبر مأثور</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الوقف إذا کان </w:t>
      </w:r>
      <w:r>
        <w:rPr>
          <w:rStyle w:val="FootnoteReference"/>
        </w:rPr>
        <w:footnoteReference w:id="969"/>
      </w:r>
      <w:r>
        <w:rPr>
          <w:rFonts w:ascii="IRNazanin" w:hAnsi="IRNazanin" w:eastAsia="IRNazanin" w:cs="IRNazanin"/>
          <w:lang w:bidi="fa-IR"/>
          <w:color w:val="111111"/>
          <w:sz w:val="28"/>
          <w:szCs w:val="28"/>
          <w:rtl/>
        </w:rPr>
        <w:t xml:space="preserve">علی قومٍ بأعیانهم و أعقابهم فاجتمع أهل الوقف علی بیعه و کان ذلک أصلح،لهم أن یبیعوه.فهل یجوز أن یشتری من </w:t>
      </w:r>
      <w:r>
        <w:rPr>
          <w:rStyle w:val="FootnoteReference"/>
        </w:rPr>
        <w:footnoteReference w:id="970"/>
      </w:r>
      <w:r>
        <w:rPr>
          <w:rFonts w:ascii="IRNazanin" w:hAnsi="IRNazanin" w:eastAsia="IRNazanin" w:cs="IRNazanin"/>
          <w:lang w:bidi="fa-IR"/>
          <w:color w:val="111111"/>
          <w:sz w:val="28"/>
          <w:szCs w:val="28"/>
          <w:rtl/>
        </w:rPr>
        <w:t xml:space="preserve">بعضهم إن لم یجتمعوا کلّهم علی البیع،أم لا یجوز إلّا أن یجتمعوا کلّهم علی ذلک؟و عن الوقف الذی لا یجوز بیعه؟فأجاب علیه السلام:إذا کان الوقف علی إمام المسلمین فلا یجوز بیعه،و إذا کان علی قوم من المسلمین فلیبع کلّ قوم ما یقدرون علی بیعه مجتمعین و متفرّقین،إن شاء اللّٰه»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دلّت علی جواز البیع،إمّا فی خصوص ما ذکره الراوی و هو کون البیع أصلح و إمّا مطلقاً؛بناءً علی عموم الجواب،لکنّه مقیّد بالأصلح؛لمفهوم روایة جعفر </w:t>
      </w:r>
      <w:r>
        <w:rPr>
          <w:rStyle w:val="FootnoteReference"/>
        </w:rPr>
        <w:footnoteReference w:id="972"/>
      </w:r>
      <w:r>
        <w:rPr>
          <w:rFonts w:ascii="IRNazanin" w:hAnsi="IRNazanin" w:eastAsia="IRNazanin" w:cs="IRNazanin"/>
          <w:lang w:bidi="fa-IR"/>
          <w:color w:val="111111"/>
          <w:sz w:val="28"/>
          <w:szCs w:val="28"/>
          <w:rtl/>
        </w:rPr>
        <w:t xml:space="preserve">.کما أنّه یمکن حمل اعتبار رضا الکلّ فی روایة جعفر علی صورة بیع تمام الوقف،لا اعتباره </w:t>
      </w:r>
      <w:r>
        <w:rPr>
          <w:rStyle w:val="FootnoteReference"/>
        </w:rPr>
        <w:footnoteReference w:id="973"/>
      </w:r>
      <w:r>
        <w:rPr>
          <w:rFonts w:ascii="IRNazanin" w:hAnsi="IRNazanin" w:eastAsia="IRNazanin" w:cs="IRNazanin"/>
          <w:lang w:bidi="fa-IR"/>
          <w:color w:val="111111"/>
          <w:sz w:val="28"/>
          <w:szCs w:val="28"/>
          <w:rtl/>
        </w:rPr>
        <w:t xml:space="preserve">فی بیع کلّ واحد، بقرینة روایة الاحتجاج.</w:t>
      </w:r>
    </w:p>
    <w:p>
      <w:pPr>
        <w:pStyle w:val="BookText"/>
      </w:pPr>
      <w:r>
        <w:rPr>
          <w:rFonts w:ascii="IRNazanin" w:hAnsi="IRNazanin" w:eastAsia="IRNazanin" w:cs="IRNazanin"/>
          <w:lang w:bidi="fa-IR"/>
          <w:color w:val="111111"/>
          <w:sz w:val="28"/>
          <w:szCs w:val="28"/>
          <w:rtl/>
        </w:rPr>
        <w:t xml:space="preserve">و یؤیّد المطلب صدر روایة ابن مهزیار الآتیة </w:t>
      </w:r>
      <w:r>
        <w:rPr>
          <w:rStyle w:val="FootnoteReference"/>
        </w:rPr>
        <w:footnoteReference w:id="974"/>
      </w:r>
      <w:r>
        <w:rPr>
          <w:rFonts w:ascii="IRNazanin" w:hAnsi="IRNazanin" w:eastAsia="IRNazanin" w:cs="IRNazanin"/>
          <w:lang w:bidi="fa-IR"/>
          <w:color w:val="111111"/>
          <w:sz w:val="28"/>
          <w:szCs w:val="28"/>
          <w:rtl/>
        </w:rPr>
        <w:t xml:space="preserve">لبیع حصّة ضیعة</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من الوقف.</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الجواب:أمّا عن روایة جعفر،فبأنّها </w:t>
      </w:r>
      <w:r>
        <w:rPr>
          <w:rStyle w:val="FootnoteReference"/>
        </w:rPr>
        <w:footnoteReference w:id="975"/>
      </w:r>
      <w:r>
        <w:rPr>
          <w:rFonts w:ascii="IRNazanin" w:hAnsi="IRNazanin" w:eastAsia="IRNazanin" w:cs="IRNazanin"/>
          <w:lang w:bidi="fa-IR"/>
          <w:color w:val="111111"/>
          <w:sz w:val="28"/>
          <w:szCs w:val="28"/>
          <w:rtl/>
        </w:rPr>
        <w:t xml:space="preserve">إنّما تدلّ علی الجواز مع حاجة الموقوف علیهم،لا لمجرّد کون البیع أنفع،فالجواز مشروط بالأمرین کما تقدّم عن ظاهر النزهة </w:t>
      </w:r>
      <w:r>
        <w:rPr>
          <w:rStyle w:val="FootnoteReference"/>
        </w:rPr>
        <w:footnoteReference w:id="976"/>
      </w:r>
      <w:r>
        <w:rPr>
          <w:rFonts w:ascii="IRNazanin" w:hAnsi="IRNazanin" w:eastAsia="IRNazanin" w:cs="IRNazanin"/>
          <w:lang w:bidi="fa-IR"/>
          <w:color w:val="111111"/>
          <w:sz w:val="28"/>
          <w:szCs w:val="28"/>
          <w:rtl/>
        </w:rPr>
        <w:t xml:space="preserve">.و سیجیء الکلام فی هذا القول.</w:t>
      </w:r>
    </w:p>
    <w:p>
      <w:pPr>
        <w:pStyle w:val="BookText"/>
      </w:pPr>
      <w:r>
        <w:rPr>
          <w:rFonts w:ascii="IRNazanin" w:hAnsi="IRNazanin" w:eastAsia="IRNazanin" w:cs="IRNazanin"/>
          <w:lang w:bidi="fa-IR"/>
          <w:color w:val="111111"/>
          <w:sz w:val="28"/>
          <w:szCs w:val="28"/>
          <w:rtl/>
        </w:rPr>
        <w:t xml:space="preserve">بل یمکن أن یقال:إنّ المراد بکون البیع خیراً لهم:مطلق النفع الذی یلاحظه الفاعل لیکون منشأ لإرادته،فلیس مراد الإمام علیه السلام بیان اعتبار ذلک تعبّداً،بل المراد بیان الواقع الذی فرضه السائل، یعنی:إذا کان الأمر علی ما ذکرت من المصلحة فی بیعه جاز،کما یقال:إذا أردت البیع و رأیته أصلح من ترکه فبِع،و هذا ممّا لا یقول به أحد.</w:t>
      </w:r>
    </w:p>
    <w:p>
      <w:pPr>
        <w:pStyle w:val="BookText"/>
      </w:pPr>
      <w:r>
        <w:rPr>
          <w:rFonts w:ascii="IRNazanin" w:hAnsi="IRNazanin" w:eastAsia="IRNazanin" w:cs="IRNazanin"/>
          <w:lang w:bidi="fa-IR"/>
          <w:color w:val="111111"/>
          <w:sz w:val="28"/>
          <w:szCs w:val="28"/>
          <w:rtl/>
        </w:rPr>
        <w:t xml:space="preserve">و یحتمل أیضاً أن یراد من«الخیر»خصوص </w:t>
      </w:r>
      <w:r>
        <w:rPr>
          <w:rStyle w:val="FootnoteReference"/>
        </w:rPr>
        <w:footnoteReference w:id="977"/>
      </w:r>
      <w:r>
        <w:rPr>
          <w:rFonts w:ascii="IRNazanin" w:hAnsi="IRNazanin" w:eastAsia="IRNazanin" w:cs="IRNazanin"/>
          <w:lang w:bidi="fa-IR"/>
          <w:color w:val="111111"/>
          <w:sz w:val="28"/>
          <w:szCs w:val="28"/>
          <w:rtl/>
        </w:rPr>
        <w:t xml:space="preserve">رفع الحاجة التی فرضها السائل.</w:t>
      </w:r>
    </w:p>
    <w:p>
      <w:pPr>
        <w:pStyle w:val="BookText"/>
      </w:pPr>
      <w:r>
        <w:rPr>
          <w:rFonts w:ascii="IRNazanin" w:hAnsi="IRNazanin" w:eastAsia="IRNazanin" w:cs="IRNazanin"/>
          <w:lang w:bidi="fa-IR"/>
          <w:color w:val="111111"/>
          <w:sz w:val="28"/>
          <w:szCs w:val="28"/>
          <w:rtl/>
        </w:rPr>
        <w:t xml:space="preserve">و عن المختلف </w:t>
      </w:r>
      <w:r>
        <w:rPr>
          <w:rStyle w:val="FootnoteReference"/>
        </w:rPr>
        <w:footnoteReference w:id="978"/>
      </w:r>
      <w:r>
        <w:rPr>
          <w:rFonts w:ascii="Amiri" w:hAnsi="Amiri" w:eastAsia="Amiri" w:cs="Amiri"/>
          <w:lang w:bidi="ar-SA"/>
          <w:color w:val="111111"/>
          <w:sz w:val="28"/>
          <w:szCs w:val="28"/>
          <w:rtl/>
        </w:rPr>
        <w:t xml:space="preserve">و جماعة </w:t>
      </w:r>
      <w:r>
        <w:rPr>
          <w:rStyle w:val="FootnoteReference"/>
        </w:rPr>
        <w:footnoteReference w:id="979"/>
      </w:r>
      <w:r>
        <w:rPr>
          <w:rFonts w:ascii="IRNazanin" w:hAnsi="IRNazanin" w:eastAsia="IRNazanin" w:cs="IRNazanin"/>
          <w:lang w:bidi="fa-IR"/>
          <w:color w:val="111111"/>
          <w:sz w:val="28"/>
          <w:szCs w:val="28"/>
          <w:rtl/>
        </w:rPr>
        <w:t xml:space="preserve">الجواب عنه </w:t>
      </w:r>
      <w:r>
        <w:rPr>
          <w:rStyle w:val="FootnoteReference"/>
        </w:rPr>
        <w:footnoteReference w:id="980"/>
      </w:r>
      <w:r>
        <w:rPr>
          <w:rFonts w:ascii="IRNazanin" w:hAnsi="IRNazanin" w:eastAsia="IRNazanin" w:cs="IRNazanin"/>
          <w:lang w:bidi="fa-IR"/>
          <w:color w:val="111111"/>
          <w:sz w:val="28"/>
          <w:szCs w:val="28"/>
          <w:rtl/>
        </w:rPr>
        <w:t xml:space="preserve">بعدم ظهوره فی المؤبّد؛</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لاقتصاره علی ذکر الأعقاب.</w:t>
      </w:r>
    </w:p>
    <w:p>
      <w:pPr>
        <w:pStyle w:val="BookText"/>
      </w:pPr>
      <w:r>
        <w:rPr>
          <w:rFonts w:ascii="IRNazanin" w:hAnsi="IRNazanin" w:eastAsia="IRNazanin" w:cs="IRNazanin"/>
          <w:lang w:bidi="fa-IR"/>
          <w:color w:val="111111"/>
          <w:sz w:val="28"/>
          <w:szCs w:val="28"/>
          <w:rtl/>
        </w:rPr>
        <w:t xml:space="preserve">و فیه نظر؛لأنّ الاقتصار فی مقام الحکایة لا یدلّ علی الاختصاص؛إذ یصحّ أن یقال فی الوقف المؤبّد:إنّه وقفٌ علی الأولاد مثلاً،و حینئذٍ فعلی الإمام علیه السلام أن یستفصل إذا کان بین المؤبّد و غیره فرق فی الحکم،فافهم.</w:t>
      </w:r>
    </w:p>
    <w:p>
      <w:pPr>
        <w:pStyle w:val="BookText"/>
      </w:pPr>
      <w:r>
        <w:rPr>
          <w:rFonts w:ascii="IRNazanin" w:hAnsi="IRNazanin" w:eastAsia="IRNazanin" w:cs="IRNazanin"/>
          <w:lang w:bidi="fa-IR"/>
          <w:color w:val="111111"/>
          <w:sz w:val="28"/>
          <w:szCs w:val="28"/>
          <w:rtl/>
        </w:rPr>
        <w:t xml:space="preserve">و کیف کان،ففی الاستدلال بالروایة مع ما فیها من الإشکال علی جواز البیع بمجرّد الأنفعیّة إشکال،مع عدم الظفر بالقائل به </w:t>
      </w:r>
      <w:r>
        <w:rPr>
          <w:rStyle w:val="FootnoteReference"/>
        </w:rPr>
        <w:footnoteReference w:id="981"/>
      </w:r>
      <w:r>
        <w:rPr>
          <w:rFonts w:ascii="IRNazanin" w:hAnsi="IRNazanin" w:eastAsia="IRNazanin" w:cs="IRNazanin"/>
          <w:lang w:bidi="fa-IR"/>
          <w:color w:val="111111"/>
          <w:sz w:val="28"/>
          <w:szCs w:val="28"/>
          <w:rtl/>
        </w:rPr>
        <w:t xml:space="preserve">،عدا ما یوهمه ظاهر عبارة المفید المتقدّمة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الجواب عن روایة الحمیری.</w:t>
      </w:r>
    </w:p>
    <w:p>
      <w:pPr>
        <w:pStyle w:val="BookText"/>
      </w:pPr>
      <w:r>
        <w:rPr>
          <w:rFonts w:ascii="IRNazanin" w:hAnsi="IRNazanin" w:eastAsia="IRNazanin" w:cs="IRNazanin"/>
          <w:lang w:bidi="fa-IR"/>
          <w:color w:val="111111"/>
          <w:sz w:val="28"/>
          <w:szCs w:val="28"/>
          <w:rtl/>
        </w:rPr>
        <w:t xml:space="preserve">ثمّ لو قلنا فی هذه الصورة بالجواز کان الثمن للبطن الأوّل البائع یتصرّف فیه علی ما شاء.</w:t>
      </w:r>
    </w:p>
    <w:p>
      <w:pPr>
        <w:pStyle w:val="BookText"/>
      </w:pPr>
      <w:r>
        <w:rPr>
          <w:rFonts w:ascii="IRNazanin" w:hAnsi="IRNazanin" w:eastAsia="IRNazanin" w:cs="IRNazanin"/>
          <w:lang w:bidi="fa-IR"/>
          <w:color w:val="111111"/>
          <w:sz w:val="28"/>
          <w:szCs w:val="28"/>
          <w:rtl/>
        </w:rPr>
        <w:t xml:space="preserve">و منه یظهر وجه آخر لمخالفة الروایتین للقواعد؛فإنّ مقتضی کون العین مشترکة بین البطون کون بدله کذلک،کما تقدّم من استحالة کون بدله ملکاً لخصوص البائع </w:t>
      </w:r>
      <w:r>
        <w:rPr>
          <w:rStyle w:val="FootnoteReference"/>
        </w:rPr>
        <w:footnoteReference w:id="983"/>
      </w:r>
      <w:r>
        <w:rPr>
          <w:rFonts w:ascii="IRNazanin" w:hAnsi="IRNazanin" w:eastAsia="IRNazanin" w:cs="IRNazanin"/>
          <w:lang w:bidi="fa-IR"/>
          <w:color w:val="111111"/>
          <w:sz w:val="28"/>
          <w:szCs w:val="28"/>
          <w:rtl/>
        </w:rPr>
        <w:t xml:space="preserve">،فیکون تجویز البیع فی هذه الصورة و التصرّف فی الثمن رخصة من الشارع للبائع فی إسقاط حقّ اللاحقین آناً ما قبل البیع نظیر الرجوع فی الهبة المتحقّق ببیع الواهب لئلّا یقع البیع علی المال المشترک،فیستحیل کون بدله مختصّاً.</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2" w:name="pg14419_166986"/>
    <w:bookmarkEnd w:id="192"/>
    <w:p>
      <w:pPr>
        <w:pStyle w:val="Heading6"/>
      </w:pPr>
      <w:bookmarkStart w:id="987" w:name="_Toc427"/>
      <w:r>
        <w:t>الصورة الخامسة : أن یلحق الموقوفَ علیهم ضرورةٌ شدیدة</w:t>
      </w:r>
      <w:bookmarkEnd w:id="987"/>
    </w:p>
    <w:p>
      <w:pPr>
        <w:pStyle w:val="BookText"/>
      </w:pPr>
      <w:r>
        <w:rPr>
          <w:rFonts w:ascii="IRNazanin" w:hAnsi="IRNazanin" w:eastAsia="IRNazanin" w:cs="IRNazanin"/>
          <w:lang w:bidi="fa-IR"/>
          <w:color w:val="111111"/>
          <w:sz w:val="28"/>
          <w:szCs w:val="28"/>
          <w:rtl/>
        </w:rPr>
        <w:t xml:space="preserve">و قد تقدّم عن جماعةٍ تجویز البیع فی هذه الصورة </w:t>
      </w:r>
      <w:r>
        <w:rPr>
          <w:rStyle w:val="FootnoteReference"/>
        </w:rPr>
        <w:footnoteReference w:id="984"/>
      </w:r>
      <w:r>
        <w:rPr>
          <w:rFonts w:ascii="IRNazanin" w:hAnsi="IRNazanin" w:eastAsia="IRNazanin" w:cs="IRNazanin"/>
          <w:lang w:bidi="fa-IR"/>
          <w:color w:val="111111"/>
          <w:sz w:val="28"/>
          <w:szCs w:val="28"/>
          <w:rtl/>
        </w:rPr>
        <w:t xml:space="preserve">،بل عن الانتصار و الغنیة:الإجماع علیه </w:t>
      </w:r>
      <w:r>
        <w:rPr>
          <w:rStyle w:val="FootnoteReference"/>
        </w:rPr>
        <w:footnoteReference w:id="985"/>
      </w:r>
      <w:r>
        <w:rPr>
          <w:rFonts w:ascii="IRNazanin" w:hAnsi="IRNazanin" w:eastAsia="IRNazanin" w:cs="IRNazanin"/>
          <w:lang w:bidi="fa-IR"/>
          <w:color w:val="111111"/>
          <w:sz w:val="28"/>
          <w:szCs w:val="28"/>
          <w:rtl/>
        </w:rPr>
        <w:t xml:space="preserve">.و یدلّ علیه روایة جعفر المتقدّمة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یردّه:أنّ ظاهر الروایة أنّه یکفی فی البیع عدم کفایة غلّة الأرض لمئونة سنة الموقوف علیهم،کما لا یخفی.و هذا أقلّ مراتب الفقر الشرعی.و المأخوذ فی </w:t>
      </w:r>
      <w:r>
        <w:rPr>
          <w:rStyle w:val="FootnoteReference"/>
        </w:rPr>
        <w:footnoteReference w:id="987"/>
      </w:r>
      <w:r>
        <w:rPr>
          <w:rFonts w:ascii="IRNazanin" w:hAnsi="IRNazanin" w:eastAsia="IRNazanin" w:cs="IRNazanin"/>
          <w:lang w:bidi="fa-IR"/>
          <w:color w:val="111111"/>
          <w:sz w:val="28"/>
          <w:szCs w:val="28"/>
          <w:rtl/>
        </w:rPr>
        <w:t xml:space="preserve">عبائر من تقدّم من المجوّزین اعتبار الضرورة و الحاجة الشدیدة،و بینها و بین مطلق الفقر عموم من وجه؛إذ قد یکون فقیراً و لا یتّفق له حاجة شدیدة،بل مطلق الحاجة؛لوجدانه من مال الفقراء ما یوجب التوسعة علیه.و قد یتّفق الحاجة و الضرورة الشدیدة فی بعض الأوقات لمن یقدر علی مئونة سنته،فالروایة بظاهرها غیر معمول بها.</w:t>
      </w:r>
    </w:p>
    <w:p>
      <w:pPr>
        <w:pStyle w:val="BookText"/>
      </w:pPr>
      <w:r>
        <w:rPr>
          <w:rFonts w:ascii="IRNazanin" w:hAnsi="IRNazanin" w:eastAsia="IRNazanin" w:cs="IRNazanin"/>
          <w:lang w:bidi="fa-IR"/>
          <w:color w:val="111111"/>
          <w:sz w:val="28"/>
          <w:szCs w:val="28"/>
          <w:rtl/>
        </w:rPr>
        <w:t xml:space="preserve">مع أنّه قد یقال:إنّ ظاهر الجواب جواز البیع بمجرّد رضا الکلّ و کون البیع أنفع و لو لم یکن حاجة.</w:t>
      </w:r>
    </w:p>
    <w:p>
      <w:pPr>
        <w:pStyle w:val="BookText"/>
      </w:pPr>
      <w:r>
        <w:rPr>
          <w:rFonts w:ascii="IRNazanin" w:hAnsi="IRNazanin" w:eastAsia="IRNazanin" w:cs="IRNazanin"/>
          <w:lang w:bidi="fa-IR"/>
          <w:color w:val="111111"/>
          <w:sz w:val="28"/>
          <w:szCs w:val="28"/>
          <w:rtl/>
        </w:rPr>
        <w:t xml:space="preserve">و کیف کان،فلا یبقی للجواز عند الضرورة الشدیدة إلّا الإجماعان المعتضدان بفتوی جماعة،و فی الخروج بهما عن قاعدة عدم جواز البیع</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3" w:name="pg14419_166987"/>
    <w:bookmarkEnd w:id="193"/>
    <w:p>
      <w:pPr>
        <w:pStyle w:val="BookText"/>
      </w:pPr>
      <w:r>
        <w:rPr>
          <w:rFonts w:ascii="IRNazanin" w:hAnsi="IRNazanin" w:eastAsia="IRNazanin" w:cs="IRNazanin"/>
          <w:lang w:bidi="fa-IR"/>
          <w:color w:val="111111"/>
          <w:sz w:val="28"/>
          <w:szCs w:val="28"/>
          <w:rtl/>
        </w:rPr>
        <w:t xml:space="preserve">و عن قاعدة وجوب کون الثمن علی تقدیر البیع غیر مختصّ بالبطن الموجود مع وهنه </w:t>
      </w:r>
      <w:r>
        <w:rPr>
          <w:rStyle w:val="FootnoteReference"/>
        </w:rPr>
        <w:footnoteReference w:id="988"/>
      </w:r>
      <w:r>
        <w:rPr>
          <w:rFonts w:ascii="IRNazanin" w:hAnsi="IRNazanin" w:eastAsia="IRNazanin" w:cs="IRNazanin"/>
          <w:lang w:bidi="fa-IR"/>
          <w:color w:val="111111"/>
          <w:sz w:val="28"/>
          <w:szCs w:val="28"/>
          <w:rtl/>
        </w:rPr>
        <w:t xml:space="preserve">بمصیر جمهور المتأخّرین و جماعةٍ من القدماء </w:t>
      </w:r>
      <w:r>
        <w:rPr>
          <w:rStyle w:val="FootnoteReference"/>
        </w:rPr>
        <w:footnoteReference w:id="989"/>
      </w:r>
      <w:r>
        <w:rPr>
          <w:rFonts w:ascii="IRNazanin" w:hAnsi="IRNazanin" w:eastAsia="IRNazanin" w:cs="IRNazanin"/>
          <w:lang w:bidi="fa-IR"/>
          <w:color w:val="111111"/>
          <w:sz w:val="28"/>
          <w:szCs w:val="28"/>
          <w:rtl/>
        </w:rPr>
        <w:t xml:space="preserve">إلی الخلاف،بل معارضته </w:t>
      </w:r>
      <w:r>
        <w:rPr>
          <w:rStyle w:val="FootnoteReference"/>
        </w:rPr>
        <w:footnoteReference w:id="990"/>
      </w:r>
      <w:r>
        <w:rPr>
          <w:rFonts w:ascii="IRNazanin" w:hAnsi="IRNazanin" w:eastAsia="IRNazanin" w:cs="IRNazanin"/>
          <w:lang w:bidi="fa-IR"/>
          <w:color w:val="111111"/>
          <w:sz w:val="28"/>
          <w:szCs w:val="28"/>
          <w:rtl/>
        </w:rPr>
        <w:t xml:space="preserve">بالإجماع المدّعی فی السرائر </w:t>
      </w:r>
      <w:r>
        <w:rPr>
          <w:rStyle w:val="FootnoteReference"/>
        </w:rPr>
        <w:footnoteReference w:id="991"/>
      </w:r>
      <w:r>
        <w:rPr>
          <w:rFonts w:ascii="IRNazanin" w:hAnsi="IRNazanin" w:eastAsia="IRNazanin" w:cs="IRNazanin"/>
          <w:lang w:bidi="fa-IR"/>
          <w:color w:val="111111"/>
          <w:sz w:val="28"/>
          <w:szCs w:val="28"/>
          <w:rtl/>
        </w:rPr>
        <w:t xml:space="preserve">إشکال.</w:t>
      </w:r>
    </w:p>
    <w:p>
      <w:pPr>
        <w:pStyle w:val="Heading6"/>
      </w:pPr>
      <w:bookmarkStart w:id="988" w:name="_Toc428"/>
      <w:r>
        <w:t>الصورة السادسة : أن یشترط الواقف بیعه عند الحاجة</w:t>
      </w:r>
      <w:bookmarkEnd w:id="9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أو إذا کان فیه مصلحة البطن الموجود أو جمیع البطون،أو عند مصلحةٍ خاصّةٍ علی حسب ما یشترط.</w:t>
      </w:r>
    </w:p>
    <w:p>
      <w:pPr>
        <w:pStyle w:val="BookText"/>
      </w:pPr>
      <w:r>
        <w:rPr>
          <w:rFonts w:ascii="IRNazanin" w:hAnsi="IRNazanin" w:eastAsia="IRNazanin" w:cs="IRNazanin"/>
          <w:lang w:bidi="fa-IR"/>
          <w:color w:val="111111"/>
          <w:sz w:val="28"/>
          <w:szCs w:val="28"/>
          <w:rtl/>
        </w:rPr>
        <w:t xml:space="preserve">فقد اختلف کلمات العلّامة و من تأخّر عنه فی ذلک.</w:t>
      </w:r>
    </w:p>
    <w:p>
      <w:pPr>
        <w:pStyle w:val="BookText"/>
      </w:pPr>
      <w:r>
        <w:rPr>
          <w:rFonts w:ascii="IRNazanin" w:hAnsi="IRNazanin" w:eastAsia="IRNazanin" w:cs="IRNazanin"/>
          <w:lang w:bidi="fa-IR"/>
          <w:color w:val="111111"/>
          <w:sz w:val="28"/>
          <w:szCs w:val="28"/>
          <w:rtl/>
        </w:rPr>
        <w:t xml:space="preserve">فقال فی الإرشاد:و لو شرط بیع الوقف عند حصول الضرر کالخراج و المؤن من قبل الظالم و شراء غیره بثمنه،فالوجه الجواز </w:t>
      </w:r>
      <w:r>
        <w:rPr>
          <w:rStyle w:val="FootnoteReference"/>
        </w:rPr>
        <w:footnoteReference w:id="992"/>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 القواعد:و لو شرط بیعه عند الضرورة کزیادة خراج و شبهه و شراء غیره بثمنه،أو عند خرابه و عطلته،أو خروجه عن حدّ الانتفاع،أو قلّة نفعه،ففی صحّة الشرط إشکال.و مع البطلان،ففی إبطال الوقف نظر </w:t>
      </w:r>
      <w:r>
        <w:rPr>
          <w:rStyle w:val="FootnoteReference"/>
        </w:rPr>
        <w:footnoteReference w:id="9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فی الإیضاح فی وجه الجواز روایة جعفر بن حنّان المتقدّمة </w:t>
      </w:r>
      <w:r>
        <w:rPr>
          <w:rStyle w:val="FootnoteReference"/>
        </w:rPr>
        <w:footnoteReference w:id="994"/>
      </w:r>
      <w:r>
        <w:rPr>
          <w:rFonts w:ascii="IRNazanin" w:hAnsi="IRNazanin" w:eastAsia="IRNazanin" w:cs="IRNazanin"/>
          <w:lang w:bidi="fa-IR"/>
          <w:color w:val="111111"/>
          <w:sz w:val="28"/>
          <w:szCs w:val="28"/>
          <w:rtl/>
        </w:rPr>
        <w:t xml:space="preserve">،قال:فإذا جاز بغیر شرط فمع الشرط أولی.و فی وجه المنع:</w:t>
      </w:r>
    </w:p>
    <w:p>
      <w:pPr>
        <w:pStyle w:val="BookText"/>
      </w:pPr>
      <w:r>
        <w:rPr>
          <w:rFonts w:ascii="IRNazanin" w:hAnsi="IRNazanin" w:eastAsia="IRNazanin" w:cs="IRNazanin"/>
          <w:lang w:bidi="fa-IR"/>
          <w:color w:val="111111"/>
          <w:sz w:val="28"/>
          <w:szCs w:val="28"/>
          <w:rtl/>
        </w:rPr>
        <w:t xml:space="preserve">أنّ الوقف للتأبید،و البیع ینافیه،قال:و الأصحّ أنّه لا یجوز بیع الوقف بحال </w:t>
      </w:r>
      <w:r>
        <w:rPr>
          <w:rStyle w:val="FootnoteReference"/>
        </w:rPr>
        <w:footnoteReference w:id="99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الشهید فی الدروس:و لو شرط الواقف بیعه عند حاجتهم أو وقوع الفتنة بینهم فأولی بالجواز </w:t>
      </w:r>
      <w:r>
        <w:rPr>
          <w:rStyle w:val="FootnoteReference"/>
        </w:rPr>
        <w:footnoteReference w:id="99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یظهر منه:أنّ للشرط تأثیراً،و أنّه یحتمل المنع من دون الشرط،و التجویز معه.</w:t>
      </w:r>
    </w:p>
    <w:p>
      <w:pPr>
        <w:pStyle w:val="BookText"/>
      </w:pPr>
      <w:r>
        <w:rPr>
          <w:rFonts w:ascii="IRNazanin" w:hAnsi="IRNazanin" w:eastAsia="IRNazanin" w:cs="IRNazanin"/>
          <w:lang w:bidi="fa-IR"/>
          <w:color w:val="111111"/>
          <w:sz w:val="28"/>
          <w:szCs w:val="28"/>
          <w:rtl/>
        </w:rPr>
        <w:t xml:space="preserve">و عن المحقّق الکرکی أنّه قال:التحقیق أنّ کلّ موضعٍ قلنا بجواز بیع الوقف یجوز اشتراط البیع فی الوقف إذا بلغ تلک الحالة؛لأنّه شرط مؤکِّد،و لیس بمنافٍ للتأبید المعتبر فی الوقف؛لأنّه مقیّدٌ واقعاً بعدم حصول أحد أسباب البیع </w:t>
      </w:r>
      <w:r>
        <w:rPr>
          <w:rStyle w:val="FootnoteReference"/>
        </w:rPr>
        <w:footnoteReference w:id="997"/>
      </w:r>
      <w:r>
        <w:rPr>
          <w:rFonts w:ascii="IRNazanin" w:hAnsi="IRNazanin" w:eastAsia="IRNazanin" w:cs="IRNazanin"/>
          <w:lang w:bidi="fa-IR"/>
          <w:color w:val="111111"/>
          <w:sz w:val="28"/>
          <w:szCs w:val="28"/>
          <w:rtl/>
        </w:rPr>
        <w:t xml:space="preserve">،و ما لا </w:t>
      </w:r>
      <w:r>
        <w:rPr>
          <w:rStyle w:val="FootnoteReference"/>
        </w:rPr>
        <w:footnoteReference w:id="998"/>
      </w:r>
      <w:r>
        <w:rPr>
          <w:rFonts w:ascii="IRNazanin" w:hAnsi="IRNazanin" w:eastAsia="IRNazanin" w:cs="IRNazanin"/>
          <w:lang w:bidi="fa-IR"/>
          <w:color w:val="111111"/>
          <w:sz w:val="28"/>
          <w:szCs w:val="28"/>
          <w:rtl/>
        </w:rPr>
        <w:t xml:space="preserve">،فلا؛للمنافاة،فلا یصحّ حینئذٍ حبساً </w:t>
      </w:r>
      <w:r>
        <w:rPr>
          <w:rStyle w:val="FootnoteReference"/>
        </w:rPr>
        <w:footnoteReference w:id="999"/>
      </w:r>
      <w:r>
        <w:rPr>
          <w:rFonts w:ascii="IRNazanin" w:hAnsi="IRNazanin" w:eastAsia="IRNazanin" w:cs="IRNazanin"/>
          <w:lang w:bidi="fa-IR"/>
          <w:color w:val="111111"/>
          <w:sz w:val="28"/>
          <w:szCs w:val="28"/>
          <w:rtl/>
        </w:rPr>
        <w:t xml:space="preserve">لأنّ اشتراط شراء شیءٍ بثمنه یکون وقفاً منافٍ لذلک؛ لاقتضائه الخروج عن المالک فلا یکون وقفاً و لا حبساً </w:t>
      </w:r>
      <w:r>
        <w:rPr>
          <w:rStyle w:val="FootnoteReference"/>
        </w:rPr>
        <w:footnoteReference w:id="100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أقول:یمکن </w:t>
      </w:r>
      <w:r>
        <w:rPr>
          <w:rStyle w:val="FootnoteReference"/>
        </w:rPr>
        <w:footnoteReference w:id="1001"/>
      </w:r>
      <w:r>
        <w:rPr>
          <w:rFonts w:ascii="IRNazanin" w:hAnsi="IRNazanin" w:eastAsia="IRNazanin" w:cs="IRNazanin"/>
          <w:lang w:bidi="fa-IR"/>
          <w:color w:val="111111"/>
          <w:sz w:val="28"/>
          <w:szCs w:val="28"/>
          <w:rtl/>
        </w:rPr>
        <w:t xml:space="preserve">أن یقال بعد التمسّک فی الجواز بعموم«الوقوف علی حسب ما یوقفها أهلها» </w:t>
      </w:r>
      <w:r>
        <w:rPr>
          <w:rStyle w:val="FootnoteReference"/>
        </w:rPr>
        <w:footnoteReference w:id="1002"/>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1003"/>
      </w:r>
      <w:r>
        <w:rPr>
          <w:rFonts w:ascii="IRNazanin" w:hAnsi="IRNazanin" w:eastAsia="IRNazanin" w:cs="IRNazanin"/>
          <w:lang w:bidi="fa-IR"/>
          <w:color w:val="111111"/>
          <w:sz w:val="28"/>
          <w:szCs w:val="28"/>
          <w:rtl/>
        </w:rPr>
        <w:t xml:space="preserve">بعدم ثبوت کون جواز البیع منافیاً لمقتضی الوقف،فلعلّه منافٍ لإطلاقه،و لذا یجتمع الوقف مع جواز البیع عند طروّ مسوّغاته،فإنّ التحقیق کما عرفت سابقاً </w:t>
      </w:r>
      <w:r>
        <w:rPr>
          <w:rStyle w:val="FootnoteReference"/>
        </w:rPr>
        <w:footnoteReference w:id="1004"/>
      </w:r>
      <w:r>
        <w:rPr>
          <w:rFonts w:ascii="IRNazanin" w:hAnsi="IRNazanin" w:eastAsia="IRNazanin" w:cs="IRNazanin"/>
          <w:lang w:bidi="fa-IR"/>
          <w:color w:val="111111"/>
          <w:sz w:val="28"/>
          <w:szCs w:val="28"/>
          <w:rtl/>
        </w:rPr>
        <w:t xml:space="preserve">أنّ جواز البیع لا یبطل الوقف،بل هو وقف یجوز بیعه،فإذا بیع خرج عن کونه وقفاً.</w:t>
      </w:r>
    </w:p>
    <w:p>
      <w:pPr>
        <w:pStyle w:val="BookText"/>
      </w:pPr>
      <w:r>
        <w:rPr>
          <w:rFonts w:ascii="IRNazanin" w:hAnsi="IRNazanin" w:eastAsia="IRNazanin" w:cs="IRNazanin"/>
          <w:lang w:bidi="fa-IR"/>
          <w:color w:val="111111"/>
          <w:sz w:val="28"/>
          <w:szCs w:val="28"/>
          <w:rtl/>
        </w:rPr>
        <w:t xml:space="preserve">ثمّ إنّه لو سلّم المنافاة فإنّما هو بیعه للبطن الموجود و أکل ثمنه، و أمّا تبدیله بوقفٍ آخر فلا تنافی بینه و بین مفهوم الوقف.</w:t>
      </w:r>
    </w:p>
    <w:p>
      <w:pPr>
        <w:pStyle w:val="BookText"/>
      </w:pPr>
      <w:r>
        <w:rPr>
          <w:rFonts w:ascii="IRNazanin" w:hAnsi="IRNazanin" w:eastAsia="IRNazanin" w:cs="IRNazanin"/>
          <w:lang w:bidi="fa-IR"/>
          <w:color w:val="111111"/>
          <w:sz w:val="28"/>
          <w:szCs w:val="28"/>
          <w:rtl/>
        </w:rPr>
        <w:t xml:space="preserve">فمعنی کونه حبساً:کونه محبوساً من أن یتصرّف فیه بعض طبقات الملّاک علی نحو الملک المطلق،و أمّا حبس شخص الوقف فهو لازم؛ لإطلاقه و تجرّده عن مسوّغات الإبدال،شرعیّة کانت کخوف الخراب، أو بجعل الواقف کالاشتراط فی متن العقد،فتأمّل.</w:t>
      </w:r>
    </w:p>
    <w:p>
      <w:pPr>
        <w:pStyle w:val="BookText"/>
      </w:pPr>
      <w:r>
        <w:rPr>
          <w:rFonts w:ascii="IRNazanin" w:hAnsi="IRNazanin" w:eastAsia="IRNazanin" w:cs="IRNazanin"/>
          <w:lang w:bidi="fa-IR"/>
          <w:color w:val="111111"/>
          <w:sz w:val="28"/>
          <w:szCs w:val="28"/>
          <w:rtl/>
        </w:rPr>
        <w:t xml:space="preserve">ثمّ إنّه روی صحیحاً فی الکافی ما ذکره أمیر المؤمنین علیه السلام فی کیفیّة وقف ماله فی عین ینبع،و فیه:</w:t>
      </w:r>
    </w:p>
    <w:p>
      <w:pPr>
        <w:pStyle w:val="BookText"/>
      </w:pPr>
      <w:r>
        <w:rPr>
          <w:rFonts w:ascii="IRNazanin" w:hAnsi="IRNazanin" w:eastAsia="IRNazanin" w:cs="IRNazanin"/>
          <w:lang w:bidi="fa-IR"/>
          <w:color w:val="111111"/>
          <w:sz w:val="28"/>
          <w:szCs w:val="28"/>
          <w:rtl/>
        </w:rPr>
        <w:t xml:space="preserve">«فإن أراد یعنی الحسن علیه السلام أن یبیع نصیباً من المال لیقضی </w:t>
      </w:r>
      <w:r>
        <w:rPr>
          <w:rStyle w:val="FootnoteReference"/>
        </w:rPr>
        <w:footnoteReference w:id="1005"/>
      </w:r>
      <w:r>
        <w:rPr>
          <w:rFonts w:ascii="IRNazanin" w:hAnsi="IRNazanin" w:eastAsia="IRNazanin" w:cs="IRNazanin"/>
          <w:lang w:bidi="fa-IR"/>
          <w:color w:val="111111"/>
          <w:sz w:val="28"/>
          <w:szCs w:val="28"/>
          <w:rtl/>
        </w:rPr>
        <w:t xml:space="preserve">به الدین فلیفعل إن شاء،لا حرج علیه فیه،و إن شاء جعله</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سریّ </w:t>
      </w:r>
      <w:r>
        <w:rPr>
          <w:rStyle w:val="FootnoteReference"/>
        </w:rPr>
        <w:footnoteReference w:id="1006"/>
      </w:r>
      <w:r>
        <w:rPr>
          <w:rFonts w:ascii="IRNazanin" w:hAnsi="IRNazanin" w:eastAsia="IRNazanin" w:cs="IRNazanin"/>
          <w:lang w:bidi="fa-IR"/>
          <w:color w:val="111111"/>
          <w:sz w:val="28"/>
          <w:szCs w:val="28"/>
          <w:rtl/>
        </w:rPr>
        <w:t xml:space="preserve">الملک.و إنّ ولد علیٍّ و موالیهم و أموالهم إلی الحسن بن علیّ.</w:t>
      </w:r>
    </w:p>
    <w:p>
      <w:pPr>
        <w:pStyle w:val="BookText"/>
      </w:pPr>
      <w:r>
        <w:rPr>
          <w:rFonts w:ascii="IRNazanin" w:hAnsi="IRNazanin" w:eastAsia="IRNazanin" w:cs="IRNazanin"/>
          <w:lang w:bidi="fa-IR"/>
          <w:color w:val="111111"/>
          <w:sz w:val="28"/>
          <w:szCs w:val="28"/>
          <w:rtl/>
        </w:rPr>
        <w:t xml:space="preserve">و إن کانت دار الحسن بن علی غیر دار الصدقة فبدا له أن یبیعها فلیبعها إن شاء،و </w:t>
      </w:r>
      <w:r>
        <w:rPr>
          <w:rStyle w:val="FootnoteReference"/>
        </w:rPr>
        <w:footnoteReference w:id="1007"/>
      </w:r>
      <w:r>
        <w:rPr>
          <w:rFonts w:ascii="IRNazanin" w:hAnsi="IRNazanin" w:eastAsia="IRNazanin" w:cs="IRNazanin"/>
          <w:lang w:bidi="fa-IR"/>
          <w:color w:val="111111"/>
          <w:sz w:val="28"/>
          <w:szCs w:val="28"/>
          <w:rtl/>
        </w:rPr>
        <w:t xml:space="preserve">لا حرج علیه فیه.فإن باع فإنّه یقسّم ثمنها ثلاثة أثلاث،فیجعل ثلثاً فی سبیل اللّٰه،و یجعل ثلثاً فی بنی هاشم و بنی المطّلب، و ثلثاً فی آل أبی طالب،و إنّه یضعه فیهم حیث یراه اللّٰه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إن حدث فی الحسن أو فی الحسین حدثٌ </w:t>
      </w:r>
      <w:r>
        <w:rPr>
          <w:rStyle w:val="FootnoteReference"/>
        </w:rPr>
        <w:footnoteReference w:id="1009"/>
      </w:r>
      <w:r>
        <w:rPr>
          <w:rFonts w:ascii="IRNazanin" w:hAnsi="IRNazanin" w:eastAsia="IRNazanin" w:cs="IRNazanin"/>
          <w:lang w:bidi="fa-IR"/>
          <w:color w:val="111111"/>
          <w:sz w:val="28"/>
          <w:szCs w:val="28"/>
          <w:rtl/>
        </w:rPr>
        <w:t xml:space="preserve">،فإنّ الآخر منهما ینظر فی بنی علیٍّ إلی أن قال:فإنّه یجعله فی رجلٍ یرضاه من بنی هاشم،و إنّه یشترط علی الذی یجعله إلیه أن یترک هذا </w:t>
      </w:r>
      <w:r>
        <w:rPr>
          <w:rStyle w:val="FootnoteReference"/>
        </w:rPr>
        <w:footnoteReference w:id="1010"/>
      </w:r>
      <w:r>
        <w:rPr>
          <w:rFonts w:ascii="IRNazanin" w:hAnsi="IRNazanin" w:eastAsia="IRNazanin" w:cs="IRNazanin"/>
          <w:lang w:bidi="fa-IR"/>
          <w:color w:val="111111"/>
          <w:sz w:val="28"/>
          <w:szCs w:val="28"/>
          <w:rtl/>
        </w:rPr>
        <w:t xml:space="preserve">المال علی أُصوله و ینفق الثمرة حیث أمره به </w:t>
      </w:r>
      <w:r>
        <w:rPr>
          <w:rStyle w:val="FootnoteReference"/>
        </w:rPr>
        <w:footnoteReference w:id="1011"/>
      </w:r>
      <w:r>
        <w:rPr>
          <w:rFonts w:ascii="IRNazanin" w:hAnsi="IRNazanin" w:eastAsia="IRNazanin" w:cs="IRNazanin"/>
          <w:lang w:bidi="fa-IR"/>
          <w:color w:val="111111"/>
          <w:sz w:val="28"/>
          <w:szCs w:val="28"/>
          <w:rtl/>
        </w:rPr>
        <w:t xml:space="preserve">من سبیل اللّٰه و وجهه،و ذوی الرحم من بنی هاشم و بنی المطّلب و القریب و البعید،لا یباع شیءٌ منه و لا یوهب و لا یورث..الروایة»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4" w:name="pg14419_166991"/>
    <w:bookmarkEnd w:id="194"/>
    <w:p>
      <w:pPr>
        <w:pStyle w:val="BookText"/>
      </w:pPr>
      <w:r>
        <w:rPr>
          <w:rFonts w:ascii="IRNazanin" w:hAnsi="IRNazanin" w:eastAsia="IRNazanin" w:cs="IRNazanin"/>
          <w:lang w:bidi="fa-IR"/>
          <w:color w:val="111111"/>
          <w:sz w:val="28"/>
          <w:szCs w:val="28"/>
          <w:rtl/>
        </w:rPr>
        <w:t xml:space="preserve">و ظاهرها جواز اشتراط البیع فی الوقف لنفس البطن الموجود، فضلاً عن البیع لجمیع البطون و صرف ثمنه فیما ینتفعون به.و السند صحیح،و التأویل مشکل،و العمل أشکل.</w:t>
      </w:r>
    </w:p>
    <w:p>
      <w:pPr>
        <w:pStyle w:val="Heading6"/>
      </w:pPr>
      <w:bookmarkStart w:id="989" w:name="_Toc429"/>
      <w:r>
        <w:t>الصورة السابعة : أن یؤدّی بقاؤه إلی خرابه علماً أو ظنّاً</w:t>
      </w:r>
      <w:bookmarkEnd w:id="9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هو المعبّر عنه ب«خوف الخراب»فی کثیرٍ من العبائر المتقدّمة.</w:t>
      </w:r>
    </w:p>
    <w:p>
      <w:pPr>
        <w:pStyle w:val="BookText"/>
      </w:pPr>
      <w:r>
        <w:rPr>
          <w:rFonts w:ascii="IRNazanin" w:hAnsi="IRNazanin" w:eastAsia="IRNazanin" w:cs="IRNazanin"/>
          <w:lang w:bidi="fa-IR"/>
          <w:color w:val="111111"/>
          <w:sz w:val="28"/>
          <w:szCs w:val="28"/>
          <w:rtl/>
        </w:rPr>
        <w:t xml:space="preserve">و الأداء إلی الخراب قد یکون للخُلْف بین أربابه،و قد یکون لا له.</w:t>
      </w:r>
    </w:p>
    <w:p>
      <w:pPr>
        <w:pStyle w:val="BookText"/>
      </w:pPr>
      <w:r>
        <w:rPr>
          <w:rFonts w:ascii="IRNazanin" w:hAnsi="IRNazanin" w:eastAsia="IRNazanin" w:cs="IRNazanin"/>
          <w:lang w:bidi="fa-IR"/>
          <w:color w:val="111111"/>
          <w:sz w:val="28"/>
          <w:szCs w:val="28"/>
          <w:rtl/>
        </w:rPr>
        <w:t xml:space="preserve">و الخراب المعلوم أو </w:t>
      </w:r>
      <w:r>
        <w:rPr>
          <w:rStyle w:val="FootnoteReference"/>
        </w:rPr>
        <w:footnoteReference w:id="1013"/>
      </w:r>
      <w:r>
        <w:rPr>
          <w:rFonts w:ascii="IRNazanin" w:hAnsi="IRNazanin" w:eastAsia="IRNazanin" w:cs="IRNazanin"/>
          <w:lang w:bidi="fa-IR"/>
          <w:color w:val="111111"/>
          <w:sz w:val="28"/>
          <w:szCs w:val="28"/>
          <w:rtl/>
        </w:rPr>
        <w:t xml:space="preserve">المخوف،قد یکون علی حدّ سقوطه من الانتفاع نفعاً معتدّاً به،و قد یکون علی وجه نقص المنفعة.</w:t>
      </w:r>
    </w:p>
    <w:p>
      <w:pPr>
        <w:pStyle w:val="BookText"/>
      </w:pPr>
      <w:r>
        <w:rPr>
          <w:rFonts w:ascii="IRNazanin" w:hAnsi="IRNazanin" w:eastAsia="IRNazanin" w:cs="IRNazanin"/>
          <w:lang w:bidi="fa-IR"/>
          <w:color w:val="111111"/>
          <w:sz w:val="28"/>
          <w:szCs w:val="28"/>
          <w:rtl/>
        </w:rPr>
        <w:t xml:space="preserve">و أمّا إذا فرض جواز الانتفاع به بعد الخراب بوجهٍ آخر کانتفاعه السابق أو أزید،فلا یجوز بیعه إلّا علی ما استظهره بعض من تقدّم کلامه سابقاً:من أنّ تغیّر عنوان الوقف یسوّغ بیعه و قد عرفت ضعفه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من عبائر جماعةٍ تجویز البیع فی صورة التأدیة إلی الخراب و لو لغیر الاختلاف،و من اخری تقییدهم به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6"/>
      </w:pPr>
      <w:bookmarkStart w:id="990" w:name="_Toc430"/>
      <w:r>
        <w:t>الصورة الثامنة : أن یقع بین الموقوف علیهم اختلافٌ لا یؤمن معه تلف المال</w:t>
      </w:r>
      <w:bookmarkEnd w:id="990"/>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1016"/>
      </w:r>
      <w:r>
        <w:rPr>
          <w:rFonts w:ascii="IRNazanin" w:hAnsi="IRNazanin" w:eastAsia="IRNazanin" w:cs="IRNazanin"/>
          <w:lang w:bidi="fa-IR"/>
          <w:color w:val="111111"/>
          <w:sz w:val="28"/>
          <w:szCs w:val="28"/>
          <w:rtl/>
        </w:rPr>
        <w:t xml:space="preserve">النفس و إن لم یعلم أو یظنّ بذلک.</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5" w:name="pg14419_166992"/>
    <w:bookmarkEnd w:id="195"/>
    <w:p>
      <w:pPr>
        <w:pStyle w:val="BookText"/>
      </w:pPr>
      <w:r>
        <w:rPr>
          <w:rFonts w:ascii="IRNazanin" w:hAnsi="IRNazanin" w:eastAsia="IRNazanin" w:cs="IRNazanin"/>
          <w:lang w:bidi="fa-IR"/>
          <w:color w:val="111111"/>
          <w:sz w:val="28"/>
          <w:szCs w:val="28"/>
          <w:rtl/>
        </w:rPr>
        <w:t xml:space="preserve">فإنّ الظاهر من بعض العبارات السابقة جوازه لذلک،خصوصاً من عبّر بالاختلاف الموجب لخوف الخراب.</w:t>
      </w:r>
    </w:p>
    <w:p>
      <w:pPr>
        <w:pStyle w:val="Heading6"/>
      </w:pPr>
      <w:bookmarkStart w:id="991" w:name="_Toc431"/>
      <w:r>
        <w:t>الصورة التاسعة : أن یؤدّی الاختلاف بینهم إلی ضررٍ عظیم من غیر تقییدٍ بتلف المال،فضلاً عن خصوص الوقف</w:t>
      </w:r>
      <w:bookmarkEnd w:id="991"/>
    </w:p>
    <w:p>
      <w:pPr>
        <w:pStyle w:val="BookText"/>
      </w:pPr>
      <w:r>
        <w:rPr>
          <w:rFonts w:ascii="IRNazanin" w:hAnsi="IRNazanin" w:eastAsia="IRNazanin" w:cs="IRNazanin"/>
          <w:lang w:bidi="fa-IR"/>
          <w:color w:val="111111"/>
          <w:sz w:val="28"/>
          <w:szCs w:val="28"/>
          <w:rtl/>
        </w:rPr>
        <w:t xml:space="preserve">الصورة التاسعة:أن یؤدّی الاختلاف بینهم </w:t>
      </w:r>
      <w:r>
        <w:rPr>
          <w:rStyle w:val="FootnoteReference"/>
        </w:rPr>
        <w:footnoteReference w:id="1017"/>
      </w:r>
      <w:r>
        <w:rPr>
          <w:rFonts w:ascii="IRNazanin" w:hAnsi="IRNazanin" w:eastAsia="IRNazanin" w:cs="IRNazanin"/>
          <w:lang w:bidi="fa-IR"/>
          <w:color w:val="111111"/>
          <w:sz w:val="28"/>
          <w:szCs w:val="28"/>
          <w:rtl/>
        </w:rPr>
        <w:t xml:space="preserve">إلی ضررٍ عظیم من غیر تقییدٍ بتلف المال،فضلاً عن خصوص الوقف.</w:t>
      </w:r>
    </w:p>
    <w:p>
      <w:pPr>
        <w:pStyle w:val="Heading6"/>
      </w:pPr>
      <w:bookmarkStart w:id="992" w:name="_Toc432"/>
      <w:r>
        <w:t>الصورة العاشرة : أن یلزم فسادٌ یستباح منه الأنفس</w:t>
      </w:r>
      <w:bookmarkEnd w:id="992"/>
    </w:p>
    <w:p>
      <w:pPr>
        <w:pStyle w:val="BookText"/>
      </w:pPr>
      <w:r>
        <w:rPr>
          <w:rFonts w:ascii="IRNazanin" w:hAnsi="IRNazanin" w:eastAsia="IRNazanin" w:cs="IRNazanin"/>
          <w:lang w:bidi="fa-IR"/>
          <w:color w:val="111111"/>
          <w:sz w:val="28"/>
          <w:szCs w:val="28"/>
          <w:rtl/>
        </w:rPr>
        <w:t xml:space="preserve">و الأقوی:الجواز مع تأدیة البقاء إلی الخراب علی وجهٍ لا ینتفع به نفعاً یعتدّ به عرفاً،سواء کان لأجل الاختلاف أو غیره،و المنع فی غیره من جمیع الصور.</w:t>
      </w:r>
    </w:p>
    <w:p>
      <w:pPr>
        <w:pStyle w:val="BookText"/>
      </w:pPr>
      <w:r>
        <w:rPr>
          <w:rFonts w:ascii="IRNazanin" w:hAnsi="IRNazanin" w:eastAsia="IRNazanin" w:cs="IRNazanin"/>
          <w:lang w:bidi="fa-IR"/>
          <w:color w:val="111111"/>
          <w:sz w:val="28"/>
          <w:szCs w:val="28"/>
          <w:rtl/>
        </w:rPr>
        <w:t xml:space="preserve">أمّا الجواز فی الأوّل،فلما مرّ من الدلیل علی جواز بیع ما سقط عن الانتفاع،فإنّ الغرض من عدم البیع عدم انقطاع شخصه،فإذا فرض العلم أو الظنّ بانقطاع شخصه،فدار الأمر بین انقطاع شخصه و نوعه،و بین انقطاع شخصه لا نوعه،کان الثانی </w:t>
      </w:r>
      <w:r>
        <w:rPr>
          <w:rStyle w:val="FootnoteReference"/>
        </w:rPr>
        <w:footnoteReference w:id="1018"/>
      </w:r>
      <w:r>
        <w:rPr>
          <w:rFonts w:ascii="IRNazanin" w:hAnsi="IRNazanin" w:eastAsia="IRNazanin" w:cs="IRNazanin"/>
          <w:lang w:bidi="fa-IR"/>
          <w:color w:val="111111"/>
          <w:sz w:val="28"/>
          <w:szCs w:val="28"/>
          <w:rtl/>
        </w:rPr>
        <w:t xml:space="preserve">أولی،فلیس فیه منافاة لغرض الواقف أصلاً.</w:t>
      </w:r>
    </w:p>
    <w:p>
      <w:pPr>
        <w:pStyle w:val="BookText"/>
      </w:pPr>
      <w:r>
        <w:rPr>
          <w:rFonts w:ascii="Amiri" w:hAnsi="Amiri" w:eastAsia="Amiri" w:cs="Amiri"/>
          <w:lang w:bidi="ar-SA"/>
          <w:color w:val="111111"/>
          <w:sz w:val="28"/>
          <w:szCs w:val="28"/>
          <w:rtl/>
        </w:rPr>
        <w:t xml:space="preserve">و أمّا الأدلّة الشرعیّة </w:t>
      </w:r>
      <w:r>
        <w:rPr>
          <w:rStyle w:val="FootnoteReference"/>
        </w:rPr>
        <w:footnoteReference w:id="1019"/>
      </w:r>
      <w:r>
        <w:rPr>
          <w:rFonts w:ascii="IRNazanin" w:hAnsi="IRNazanin" w:eastAsia="IRNazanin" w:cs="IRNazanin"/>
          <w:lang w:bidi="fa-IR"/>
          <w:color w:val="111111"/>
          <w:sz w:val="28"/>
          <w:szCs w:val="28"/>
          <w:rtl/>
        </w:rPr>
        <w:t xml:space="preserve">،فغیر ناهضةٍ؛لاختصاص الإجماع،</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انصراف النصوص إلی غیر هذه الصورة.</w:t>
      </w:r>
    </w:p>
    <w:p>
      <w:pPr>
        <w:pStyle w:val="BookText"/>
      </w:pPr>
      <w:r>
        <w:rPr>
          <w:rFonts w:ascii="IRNazanin" w:hAnsi="IRNazanin" w:eastAsia="IRNazanin" w:cs="IRNazanin"/>
          <w:lang w:bidi="fa-IR"/>
          <w:color w:val="111111"/>
          <w:sz w:val="28"/>
          <w:szCs w:val="28"/>
          <w:rtl/>
        </w:rPr>
        <w:t xml:space="preserve">و أمّا الموقوف علیهم،فالمفروض إذن الموجود منهم،و قیام الناظر العامّ أو </w:t>
      </w:r>
      <w:r>
        <w:rPr>
          <w:rStyle w:val="FootnoteReference"/>
        </w:rPr>
        <w:footnoteReference w:id="1020"/>
      </w:r>
      <w:r>
        <w:rPr>
          <w:rFonts w:ascii="IRNazanin" w:hAnsi="IRNazanin" w:eastAsia="IRNazanin" w:cs="IRNazanin"/>
          <w:lang w:bidi="fa-IR"/>
          <w:color w:val="111111"/>
          <w:sz w:val="28"/>
          <w:szCs w:val="28"/>
          <w:rtl/>
        </w:rPr>
        <w:t xml:space="preserve">الخاصّ مقام غیر الموجود.</w:t>
      </w:r>
    </w:p>
    <w:p>
      <w:pPr>
        <w:pStyle w:val="BookText"/>
      </w:pPr>
      <w:r>
        <w:rPr>
          <w:rFonts w:ascii="IRNazanin" w:hAnsi="IRNazanin" w:eastAsia="IRNazanin" w:cs="IRNazanin"/>
          <w:lang w:bidi="fa-IR"/>
          <w:color w:val="111111"/>
          <w:sz w:val="28"/>
          <w:szCs w:val="28"/>
          <w:rtl/>
        </w:rPr>
        <w:t xml:space="preserve">نعم،قد یشکل الأمر فیما لو فرض تضرّر البطن الموجود من بیعه،للزوم تعطیل </w:t>
      </w:r>
      <w:r>
        <w:rPr>
          <w:rStyle w:val="FootnoteReference"/>
        </w:rPr>
        <w:footnoteReference w:id="1021"/>
      </w:r>
      <w:r>
        <w:rPr>
          <w:rFonts w:ascii="IRNazanin" w:hAnsi="IRNazanin" w:eastAsia="IRNazanin" w:cs="IRNazanin"/>
          <w:lang w:bidi="fa-IR"/>
          <w:color w:val="111111"/>
          <w:sz w:val="28"/>
          <w:szCs w:val="28"/>
          <w:rtl/>
        </w:rPr>
        <w:t xml:space="preserve">الانتفاع إلی زمان وجدان البدل،أو کون البدل قلیل المنفعة بالنسبة إلی الباقی.</w:t>
      </w:r>
    </w:p>
    <w:p>
      <w:pPr>
        <w:pStyle w:val="BookText"/>
      </w:pPr>
      <w:r>
        <w:rPr>
          <w:rFonts w:ascii="IRNazanin" w:hAnsi="IRNazanin" w:eastAsia="IRNazanin" w:cs="IRNazanin"/>
          <w:lang w:bidi="fa-IR"/>
          <w:color w:val="111111"/>
          <w:sz w:val="28"/>
          <w:szCs w:val="28"/>
          <w:rtl/>
        </w:rPr>
        <w:t xml:space="preserve">و ممّا ذکر یظهر أنّه یجب تأخیر البیع إلی آخر أزمنة إمکان البقاء،مع عدم فوات الاستبدال فیه،و مع فوته ففی تقدیم البیع إشکال.</w:t>
      </w:r>
    </w:p>
    <w:p>
      <w:pPr>
        <w:pStyle w:val="BookText"/>
      </w:pPr>
      <w:r>
        <w:rPr>
          <w:rFonts w:ascii="IRNazanin" w:hAnsi="IRNazanin" w:eastAsia="IRNazanin" w:cs="IRNazanin"/>
          <w:lang w:bidi="fa-IR"/>
          <w:color w:val="111111"/>
          <w:sz w:val="28"/>
          <w:szCs w:val="28"/>
          <w:rtl/>
        </w:rPr>
        <w:t xml:space="preserve">و لو دار الأمر بین بیعه و الإبدال به،و بین صرف منفعته الحاصلة مدّة من الزمان لتعمیره،ففی ترجیح حقّ البطن الذی یفوته المنفعة أو حقّ الواقف و سائر البطون المتأخّرة المتعلّق بشخص الوقف </w:t>
      </w:r>
      <w:r>
        <w:rPr>
          <w:rStyle w:val="FootnoteReference"/>
        </w:rPr>
        <w:footnoteReference w:id="1022"/>
      </w:r>
      <w:r>
        <w:rPr>
          <w:rFonts w:ascii="IRNazanin" w:hAnsi="IRNazanin" w:eastAsia="IRNazanin" w:cs="IRNazanin"/>
          <w:lang w:bidi="fa-IR"/>
          <w:color w:val="111111"/>
          <w:sz w:val="28"/>
          <w:szCs w:val="28"/>
          <w:rtl/>
        </w:rPr>
        <w:t xml:space="preserve">وجهان، لا یخلو أوّلهما عن قوّة إذا لم یشترط الواقف إصلاح الوقف من منفعته مقدّماً علی الموقوف علیه.</w:t>
      </w:r>
    </w:p>
    <w:p>
      <w:pPr>
        <w:pStyle w:val="BookText"/>
      </w:pPr>
      <w:r>
        <w:rPr>
          <w:rFonts w:ascii="IRNazanin" w:hAnsi="IRNazanin" w:eastAsia="IRNazanin" w:cs="IRNazanin"/>
          <w:lang w:bidi="fa-IR"/>
          <w:color w:val="111111"/>
          <w:sz w:val="28"/>
          <w:szCs w:val="28"/>
          <w:rtl/>
        </w:rPr>
        <w:t xml:space="preserve">و قد یستدلّ علی الجواز فیما ذکرنا،بما عن </w:t>
      </w:r>
      <w:r>
        <w:rPr>
          <w:rStyle w:val="FootnoteReference"/>
        </w:rPr>
        <w:footnoteReference w:id="1023"/>
      </w:r>
      <w:r>
        <w:rPr>
          <w:rFonts w:ascii="IRNazanin" w:hAnsi="IRNazanin" w:eastAsia="IRNazanin" w:cs="IRNazanin"/>
          <w:lang w:bidi="fa-IR"/>
          <w:color w:val="111111"/>
          <w:sz w:val="28"/>
          <w:szCs w:val="28"/>
          <w:rtl/>
        </w:rPr>
        <w:t xml:space="preserve">التنقیح:من أنّ بقاء الوقف علی حاله و الحال هذه إضاعة و إتلاف للمال،و هو منهیّ عنه شرعاً،فیکون البیع جائزاً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لعلّه أراد الجواز بالمعنی الأعمّ،فلا یرد علیه:أنّه یدلّ علی وجوب البیع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المحرّم هو إضاعة المال المسلّط علیه،لا ترک المال الذی لا سلطان علیه إلی أن یخرب بنفسه،و إلّا لزم وجوب تعمیر الأوقاف المشرِفة علی الخراب بغیر البیع مهما أمکن مقدّماً علی البیع،أو إذا لم یمکن البیع.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 ضعف هذا الدلیل بظاهره واضح،و یتّضح فساده علی القول بکون الثمن للبطن الموجود لا غیر.</w:t>
      </w:r>
    </w:p>
    <w:p>
      <w:pPr>
        <w:pStyle w:val="BookText"/>
      </w:pPr>
      <w:r>
        <w:rPr>
          <w:rFonts w:ascii="IRNazanin" w:hAnsi="IRNazanin" w:eastAsia="IRNazanin" w:cs="IRNazanin"/>
          <w:lang w:bidi="fa-IR"/>
          <w:color w:val="111111"/>
          <w:sz w:val="28"/>
          <w:szCs w:val="28"/>
          <w:rtl/>
        </w:rPr>
        <w:t xml:space="preserve">و یتلوه فی الضعف ما عن المختلف </w:t>
      </w:r>
      <w:r>
        <w:rPr>
          <w:rStyle w:val="FootnoteReference"/>
        </w:rPr>
        <w:footnoteReference w:id="1026"/>
      </w:r>
      <w:r>
        <w:rPr>
          <w:rFonts w:ascii="IRNazanin" w:hAnsi="IRNazanin" w:eastAsia="IRNazanin" w:cs="IRNazanin"/>
          <w:lang w:bidi="fa-IR"/>
          <w:color w:val="111111"/>
          <w:sz w:val="28"/>
          <w:szCs w:val="28"/>
          <w:rtl/>
        </w:rPr>
        <w:t xml:space="preserve">و التذکرة </w:t>
      </w:r>
      <w:r>
        <w:rPr>
          <w:rStyle w:val="FootnoteReference"/>
        </w:rPr>
        <w:footnoteReference w:id="1027"/>
      </w:r>
      <w:r>
        <w:rPr>
          <w:rFonts w:ascii="Amiri" w:hAnsi="Amiri" w:eastAsia="Amiri" w:cs="Amiri"/>
          <w:lang w:bidi="ar-SA"/>
          <w:color w:val="111111"/>
          <w:sz w:val="28"/>
          <w:szCs w:val="28"/>
          <w:rtl/>
        </w:rPr>
        <w:t xml:space="preserve">و المهذّب </w:t>
      </w:r>
      <w:r>
        <w:rPr>
          <w:rStyle w:val="FootnoteReference"/>
        </w:rPr>
        <w:footnoteReference w:id="1028"/>
      </w:r>
      <w:r>
        <w:rPr>
          <w:rFonts w:ascii="IRNazanin" w:hAnsi="IRNazanin" w:eastAsia="IRNazanin" w:cs="IRNazanin"/>
          <w:lang w:bidi="fa-IR"/>
          <w:color w:val="111111"/>
          <w:sz w:val="28"/>
          <w:szCs w:val="28"/>
          <w:rtl/>
        </w:rPr>
        <w:t xml:space="preserve">و غایة المرام </w:t>
      </w:r>
      <w:r>
        <w:rPr>
          <w:rStyle w:val="FootnoteReference"/>
        </w:rPr>
        <w:footnoteReference w:id="1029"/>
      </w:r>
      <w:r>
        <w:rPr>
          <w:rFonts w:ascii="IRNazanin" w:hAnsi="IRNazanin" w:eastAsia="IRNazanin" w:cs="IRNazanin"/>
          <w:lang w:bidi="fa-IR"/>
          <w:color w:val="111111"/>
          <w:sz w:val="28"/>
          <w:szCs w:val="28"/>
          <w:rtl/>
        </w:rPr>
        <w:t xml:space="preserve">:من أنّ الغرض من الوقف استیفاء منافعه و قد تعذّرت،فیجوز إخراجه عن حدّه؛تحصیلاً للغرض منه،و الجمود علی العین مع تعطیلها تضییع للغرض،کما أنّه لو تعطّل </w:t>
      </w:r>
      <w:r>
        <w:rPr>
          <w:rStyle w:val="FootnoteReference"/>
        </w:rPr>
        <w:footnoteReference w:id="1030"/>
      </w:r>
      <w:r>
        <w:rPr>
          <w:rFonts w:ascii="IRNazanin" w:hAnsi="IRNazanin" w:eastAsia="IRNazanin" w:cs="IRNazanin"/>
          <w:lang w:bidi="fa-IR"/>
          <w:color w:val="111111"/>
          <w:sz w:val="28"/>
          <w:szCs w:val="28"/>
          <w:rtl/>
        </w:rPr>
        <w:t xml:space="preserve">الهدی ذُبح فی الحال و إن اختصّ بموضع،فلمّا تعذّر مراعاة المحلّ ترک مراعاة الخاصّ المتعذّر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فیه:أنّ الغرض من الوقف استیفاء المنافع من شخص الموقوف؛ لأنّه الذی دلّ علیه صیغة الوقف،و المفروض تعذّره فیسقط.و قیام الانتفاع بالنوع مقام الانتفاع بالشخص لکونه </w:t>
      </w:r>
      <w:r>
        <w:rPr>
          <w:rStyle w:val="FootnoteReference"/>
        </w:rPr>
        <w:footnoteReference w:id="1032"/>
      </w:r>
      <w:r>
        <w:rPr>
          <w:rFonts w:ascii="IRNazanin" w:hAnsi="IRNazanin" w:eastAsia="IRNazanin" w:cs="IRNazanin"/>
          <w:lang w:bidi="fa-IR"/>
          <w:color w:val="111111"/>
          <w:sz w:val="28"/>
          <w:szCs w:val="28"/>
          <w:rtl/>
        </w:rPr>
        <w:t xml:space="preserve">أقرب إلی مقصود الواقف فرع الدلیل علی وجوب اعتبار ما هو الأقرب إلی غرض الواقف بعد تعذّر أصل الغرض.</w:t>
      </w:r>
    </w:p>
    <w:p>
      <w:pPr>
        <w:pStyle w:val="BookText"/>
      </w:pPr>
      <w:r>
        <w:rPr>
          <w:rFonts w:ascii="IRNazanin" w:hAnsi="IRNazanin" w:eastAsia="IRNazanin" w:cs="IRNazanin"/>
          <w:lang w:bidi="fa-IR"/>
          <w:color w:val="111111"/>
          <w:sz w:val="28"/>
          <w:szCs w:val="28"/>
          <w:rtl/>
        </w:rPr>
        <w:t xml:space="preserve">فالأولی منع جریان أدلّة المنع مع خوف الخراب المسقط للمنفعة رأساً،و جعل ذلک مؤیّداً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المنع فی غیر هذا القسم من الصورة السابعة </w:t>
      </w:r>
      <w:r>
        <w:rPr>
          <w:rStyle w:val="FootnoteReference"/>
        </w:rPr>
        <w:footnoteReference w:id="1034"/>
      </w:r>
      <w:r>
        <w:rPr>
          <w:rFonts w:ascii="IRNazanin" w:hAnsi="IRNazanin" w:eastAsia="IRNazanin" w:cs="IRNazanin"/>
          <w:lang w:bidi="fa-IR"/>
          <w:color w:val="111111"/>
          <w:sz w:val="28"/>
          <w:szCs w:val="28"/>
          <w:rtl/>
        </w:rPr>
        <w:t xml:space="preserve">و فیما عداها من الصور اللاحقة لها،فلعموم قوله علیه السلام:«لا یجوز شراء الوقف و لا تدخل الغلّة فی ملکک» </w:t>
      </w:r>
      <w:r>
        <w:rPr>
          <w:rStyle w:val="FootnoteReference"/>
        </w:rPr>
        <w:footnoteReference w:id="1035"/>
      </w:r>
      <w:r>
        <w:rPr>
          <w:rFonts w:ascii="IRNazanin" w:hAnsi="IRNazanin" w:eastAsia="IRNazanin" w:cs="IRNazanin"/>
          <w:lang w:bidi="fa-IR"/>
          <w:color w:val="111111"/>
          <w:sz w:val="28"/>
          <w:szCs w:val="28"/>
          <w:rtl/>
        </w:rPr>
        <w:t xml:space="preserve">فإنّ ترک الاستفصال فیه عن </w:t>
      </w:r>
      <w:r>
        <w:rPr>
          <w:rStyle w:val="FootnoteReference"/>
        </w:rPr>
        <w:footnoteReference w:id="1036"/>
      </w:r>
      <w:r>
        <w:rPr>
          <w:rFonts w:ascii="IRNazanin" w:hAnsi="IRNazanin" w:eastAsia="IRNazanin" w:cs="IRNazanin"/>
          <w:lang w:bidi="fa-IR"/>
          <w:color w:val="111111"/>
          <w:sz w:val="28"/>
          <w:szCs w:val="28"/>
          <w:rtl/>
        </w:rPr>
        <w:t xml:space="preserve">علم المشتری بعدم وقوع بیع الوقف علی بعض الوجوه المجوّزة و عدمه الموجب لحمل فعل البائع علی الصحّة یدلّ علی أنّ الوقف ما دام له غلّة لا یجوز بیعه.و کذا قوله علیه السلام:«الوقوف علی حسب ما یوقفها أهلها إن شاء اللّٰه» </w:t>
      </w:r>
      <w:r>
        <w:rPr>
          <w:rStyle w:val="FootnoteReference"/>
        </w:rPr>
        <w:footnoteReference w:id="1037"/>
      </w:r>
      <w:r>
        <w:rPr>
          <w:rFonts w:ascii="IRNazanin" w:hAnsi="IRNazanin" w:eastAsia="IRNazanin" w:cs="IRNazanin"/>
          <w:lang w:bidi="fa-IR"/>
          <w:color w:val="111111"/>
          <w:sz w:val="28"/>
          <w:szCs w:val="28"/>
          <w:rtl/>
        </w:rPr>
        <w:t xml:space="preserve">،و ما دلّ علی أنّه:یترک حتّی یرثها وارث</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السماوات و الأرض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کلّه،مضافاً إلی الاستصحاب فی جمیع هذه الصور و عدم الدلیل الوارد علیه،عدا المکاتبة المشهورة التی انحصر تمسّک کلّ من جوّزه فی هذه الصور فیها،و هی مکاتبة ابن مهزیار،قال:«کتبت إلی أبی جعفر الثانی علیه السلام:أنّ فلاناً ابتاع ضیعة فأوقفها،و جعل لک فی الوقف الخمس،و یسأل </w:t>
      </w:r>
      <w:r>
        <w:rPr>
          <w:rStyle w:val="FootnoteReference"/>
        </w:rPr>
        <w:footnoteReference w:id="1039"/>
      </w:r>
      <w:r>
        <w:rPr>
          <w:rFonts w:ascii="IRNazanin" w:hAnsi="IRNazanin" w:eastAsia="IRNazanin" w:cs="IRNazanin"/>
          <w:lang w:bidi="fa-IR"/>
          <w:color w:val="111111"/>
          <w:sz w:val="28"/>
          <w:szCs w:val="28"/>
          <w:rtl/>
        </w:rPr>
        <w:t xml:space="preserve">عن رأیک فی بیع حصّتک من الأرض،أو تقویمها </w:t>
      </w:r>
      <w:r>
        <w:rPr>
          <w:rStyle w:val="FootnoteReference"/>
        </w:rPr>
        <w:footnoteReference w:id="1040"/>
      </w:r>
      <w:r>
        <w:rPr>
          <w:rFonts w:ascii="IRNazanin" w:hAnsi="IRNazanin" w:eastAsia="IRNazanin" w:cs="IRNazanin"/>
          <w:lang w:bidi="fa-IR"/>
          <w:color w:val="111111"/>
          <w:sz w:val="28"/>
          <w:szCs w:val="28"/>
          <w:rtl/>
        </w:rPr>
        <w:t xml:space="preserve">علی نفسه بما اشتراها </w:t>
      </w:r>
      <w:r>
        <w:rPr>
          <w:rStyle w:val="FootnoteReference"/>
        </w:rPr>
        <w:footnoteReference w:id="1041"/>
      </w:r>
      <w:r>
        <w:rPr>
          <w:rFonts w:ascii="Amiri" w:hAnsi="Amiri" w:eastAsia="Amiri" w:cs="Amiri"/>
          <w:lang w:bidi="ar-SA"/>
          <w:color w:val="111111"/>
          <w:sz w:val="28"/>
          <w:szCs w:val="28"/>
          <w:rtl/>
        </w:rPr>
        <w:t xml:space="preserve">،أو یدعها موقوفة؟ فکتب إلیَّ:أعلِم فلاناً أنّی آمره ببیع حصّتی من الضیعة،و إیصال ثمن ذلک إلیَّ،إنّ </w:t>
      </w:r>
      <w:r>
        <w:rPr>
          <w:rStyle w:val="FootnoteReference"/>
        </w:rPr>
        <w:footnoteReference w:id="1042"/>
      </w:r>
      <w:r>
        <w:rPr>
          <w:rFonts w:ascii="IRNazanin" w:hAnsi="IRNazanin" w:eastAsia="IRNazanin" w:cs="IRNazanin"/>
          <w:lang w:bidi="fa-IR"/>
          <w:color w:val="111111"/>
          <w:sz w:val="28"/>
          <w:szCs w:val="28"/>
          <w:rtl/>
        </w:rPr>
        <w:t xml:space="preserve">ذلک رأیی إن شاء اللّٰه تعالی،أو یقوّمها علی نفسه إن کان ذلک أوفق </w:t>
      </w:r>
      <w:r>
        <w:rPr>
          <w:rStyle w:val="FootnoteReference"/>
        </w:rPr>
        <w:footnoteReference w:id="1043"/>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قال:و کتبت </w:t>
      </w:r>
      <w:r>
        <w:rPr>
          <w:rStyle w:val="FootnoteReference"/>
        </w:rPr>
        <w:footnoteReference w:id="1044"/>
      </w:r>
      <w:r>
        <w:rPr>
          <w:rFonts w:ascii="IRNazanin" w:hAnsi="IRNazanin" w:eastAsia="IRNazanin" w:cs="IRNazanin"/>
          <w:lang w:bidi="fa-IR"/>
          <w:color w:val="111111"/>
          <w:sz w:val="28"/>
          <w:szCs w:val="28"/>
          <w:rtl/>
        </w:rPr>
        <w:t xml:space="preserve">إلیه:أنّ الرجل ذکر أنّ بین من وقف علیهم بقیّة هذه الضیعة اختلافاً شدیداً،و أنّه </w:t>
      </w:r>
      <w:r>
        <w:rPr>
          <w:rStyle w:val="FootnoteReference"/>
        </w:rPr>
        <w:footnoteReference w:id="1045"/>
      </w:r>
      <w:r>
        <w:rPr>
          <w:rFonts w:ascii="IRNazanin" w:hAnsi="IRNazanin" w:eastAsia="IRNazanin" w:cs="IRNazanin"/>
          <w:lang w:bidi="fa-IR"/>
          <w:color w:val="111111"/>
          <w:sz w:val="28"/>
          <w:szCs w:val="28"/>
          <w:rtl/>
        </w:rPr>
        <w:t xml:space="preserve">لیس یأمن أن یتفاقم ذلک بینهم بعده،فإن کان تری أن یبیع هذا الوقف،و یدفع إلی کلّ إنسان منهم</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وقف له من ذلک،أمرته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فکتب بخطّه:و أعلمه أنّ رأیی:إن کان قد علم الاختلاف بین أرباب الوقف أنّ بیع الوقف أمثل فلیبع </w:t>
      </w:r>
      <w:r>
        <w:rPr>
          <w:rStyle w:val="FootnoteReference"/>
        </w:rPr>
        <w:footnoteReference w:id="1047"/>
      </w:r>
      <w:r>
        <w:rPr>
          <w:rFonts w:ascii="IRNazanin" w:hAnsi="IRNazanin" w:eastAsia="IRNazanin" w:cs="IRNazanin"/>
          <w:lang w:bidi="fa-IR"/>
          <w:color w:val="111111"/>
          <w:sz w:val="28"/>
          <w:szCs w:val="28"/>
          <w:rtl/>
        </w:rPr>
        <w:t xml:space="preserve">،فإنّه ربما جاء فی الاختلاف تلف الأموال و النفوس»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إنّه یمکن الاستدلال للجواز بها فی القسم الثانی من الصورة السابعة </w:t>
      </w:r>
      <w:r>
        <w:rPr>
          <w:rStyle w:val="FootnoteReference"/>
        </w:rPr>
        <w:footnoteReference w:id="1049"/>
      </w:r>
      <w:r>
        <w:rPr>
          <w:rFonts w:ascii="IRNazanin" w:hAnsi="IRNazanin" w:eastAsia="IRNazanin" w:cs="IRNazanin"/>
          <w:lang w:bidi="fa-IR"/>
          <w:color w:val="111111"/>
          <w:sz w:val="28"/>
          <w:szCs w:val="28"/>
          <w:rtl/>
        </w:rPr>
        <w:t xml:space="preserve">بناءً علی أنّ قوله:«فإنّه...إلخ»تعلیل لجواز البیع فی صورة الاختلاف،و أنّ المراد بالمال هو الوقف،فإنّ ضمّ النفوس إنّما هو لبیان الضرر الآخر </w:t>
      </w:r>
      <w:r>
        <w:rPr>
          <w:rStyle w:val="FootnoteReference"/>
        </w:rPr>
        <w:footnoteReference w:id="1050"/>
      </w:r>
      <w:r>
        <w:rPr>
          <w:rFonts w:ascii="IRNazanin" w:hAnsi="IRNazanin" w:eastAsia="IRNazanin" w:cs="IRNazanin"/>
          <w:lang w:bidi="fa-IR"/>
          <w:color w:val="111111"/>
          <w:sz w:val="28"/>
          <w:szCs w:val="28"/>
          <w:rtl/>
        </w:rPr>
        <w:t xml:space="preserve">المترتّب علی الاختلاف،لا أنّ المناط فی الحکم هو اجتماع الأمرین کما لا یخفی،فیکون حاصل التعلیل:أنّه کلّما کان الوقف فی معرض الخراب جاز بیعه.</w:t>
      </w:r>
    </w:p>
    <w:p>
      <w:pPr>
        <w:pStyle w:val="BookText"/>
      </w:pPr>
      <w:r>
        <w:rPr>
          <w:rFonts w:ascii="IRNazanin" w:hAnsi="IRNazanin" w:eastAsia="IRNazanin" w:cs="IRNazanin"/>
          <w:lang w:bidi="fa-IR"/>
          <w:color w:val="111111"/>
          <w:sz w:val="28"/>
          <w:szCs w:val="28"/>
          <w:rtl/>
        </w:rPr>
        <w:t xml:space="preserve">و فیه:أنّ المقصود جواز بیعه إذا أدّی بقاؤه إلی الخراب علماً أو ظنّاً،لا مجرّد کونه ربما یؤدّی إلیه المجامع للاحتمال المساوی أو المرجوح،علی ما هو الظاهر من لفظة«ربما»کما لا یخفی علی المتتبّع لموارد استعمالاته و لا أظنّ أحداً یلتزم بجواز البیع بمجرّد احتمال أداء</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بقائه إلی الخراب؛لأنّ کلمات من عبّر بهذا العنوان کما عرفت بین قولهم:«أدّی بقاؤه إلی خرابه»،و بین قولهم:«یخشی أو یخاف خرابه».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الخوف عند المشهور،کما یعلم من سائر موارد إطلاقاتهم مثل قولهم:«یجب الإفطار و التیمّم مع خوف الضرر»،«و یحرم السفر مع خوف الهلاک»لا یتحقّق إلّا بعد قیام أمارة الخوف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هذا،مع أنّ مناط الجواز علی ما ذکر تلف الوقف رأساً،و هو القسم الأوّل من الصورة السابعة </w:t>
      </w:r>
      <w:r>
        <w:rPr>
          <w:rStyle w:val="FootnoteReference"/>
        </w:rPr>
        <w:footnoteReference w:id="1052"/>
      </w:r>
      <w:r>
        <w:rPr>
          <w:rFonts w:ascii="IRNazanin" w:hAnsi="IRNazanin" w:eastAsia="IRNazanin" w:cs="IRNazanin"/>
          <w:lang w:bidi="fa-IR"/>
          <w:color w:val="111111"/>
          <w:sz w:val="28"/>
          <w:szCs w:val="28"/>
          <w:rtl/>
        </w:rPr>
        <w:t xml:space="preserve">الذی جوّزنا فیه </w:t>
      </w:r>
      <w:r>
        <w:rPr>
          <w:rStyle w:val="FootnoteReference"/>
        </w:rPr>
        <w:footnoteReference w:id="1053"/>
      </w:r>
      <w:r>
        <w:rPr>
          <w:rFonts w:ascii="IRNazanin" w:hAnsi="IRNazanin" w:eastAsia="IRNazanin" w:cs="IRNazanin"/>
          <w:lang w:bidi="fa-IR"/>
          <w:color w:val="111111"/>
          <w:sz w:val="28"/>
          <w:szCs w:val="28"/>
          <w:rtl/>
        </w:rPr>
        <w:t xml:space="preserve">البیع،فلا یشمل الخراب الذی لا یصدق معه التلف.مع أنّه لا وجه بناءً علی عموم التعلیل للاقتصار علی خوف خراب خصوص الوقف،بل کلّما خیف تلف مالٍ جاز بیع الوقف.</w:t>
      </w:r>
    </w:p>
    <w:p>
      <w:pPr>
        <w:pStyle w:val="BookText"/>
      </w:pPr>
      <w:r>
        <w:rPr>
          <w:rFonts w:ascii="IRNazanin" w:hAnsi="IRNazanin" w:eastAsia="IRNazanin" w:cs="IRNazanin"/>
          <w:lang w:bidi="fa-IR"/>
          <w:color w:val="111111"/>
          <w:sz w:val="28"/>
          <w:szCs w:val="28"/>
          <w:rtl/>
        </w:rPr>
        <w:t xml:space="preserve">و أمّا تقریب الاستدلال بالمکاتبة علی جواز البیع فی الصورة الثامنة و هی صورة وقوع الاختلاف الذی ربما أوجب تلف الأموال و النفوس فهو:أنّ الحکم بالجواز معلّق علی الاختلاف،إلّا أنّ قوله:</w:t>
      </w:r>
    </w:p>
    <w:p>
      <w:pPr>
        <w:pStyle w:val="BookText"/>
      </w:pPr>
      <w:r>
        <w:rPr>
          <w:rFonts w:ascii="IRNazanin" w:hAnsi="IRNazanin" w:eastAsia="IRNazanin" w:cs="IRNazanin"/>
          <w:lang w:bidi="fa-IR"/>
          <w:color w:val="111111"/>
          <w:sz w:val="28"/>
          <w:szCs w:val="28"/>
          <w:rtl/>
        </w:rPr>
        <w:t xml:space="preserve">«فإنّه ربما...إلخ»مقیّد بالاختلاف الخاصّ و هو الذی لا یؤمَن معه من التلف؛لأنّ العلّة تقیّد المعلول،کما فی قولک:لا تأکل الرمّان لأنّه حامض.</w:t>
      </w:r>
    </w:p>
    <w:p>
      <w:pPr>
        <w:pStyle w:val="BookText"/>
      </w:pPr>
      <w:r>
        <w:rPr>
          <w:rFonts w:ascii="IRNazanin" w:hAnsi="IRNazanin" w:eastAsia="IRNazanin" w:cs="IRNazanin"/>
          <w:lang w:bidi="fa-IR"/>
          <w:color w:val="111111"/>
          <w:sz w:val="28"/>
          <w:szCs w:val="28"/>
          <w:rtl/>
        </w:rPr>
        <w:t xml:space="preserve">و فیه:أنّ اللازم علی هذا،تعمیم الجواز فی کلّ مورد لا یؤمَن</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من تلف الأموال و النفوس و إن لم یکن من جهة اختلاف الموقوف علیهم،فیجوز بیع الوقف لإصلاح کلّ فتنة و إن لم یکن لها دخل فی الوقف.اللهمّ إلّا أن یدّعی سَوْق العلّة مساق التقریب،لا التعلیل الحقیقی حتّی یتعدّی إلی جمیع موارده.</w:t>
      </w:r>
    </w:p>
    <w:p>
      <w:pPr>
        <w:pStyle w:val="BookText"/>
      </w:pPr>
      <w:r>
        <w:rPr>
          <w:rFonts w:ascii="IRNazanin" w:hAnsi="IRNazanin" w:eastAsia="IRNazanin" w:cs="IRNazanin"/>
          <w:lang w:bidi="fa-IR"/>
          <w:color w:val="111111"/>
          <w:sz w:val="28"/>
          <w:szCs w:val="28"/>
          <w:rtl/>
        </w:rPr>
        <w:t xml:space="preserve">لکن تقیید الاختلاف حینئذٍ بکونه ممّا لا یؤمن،ممنوع.و هو الذی فهمه الشهید رحمه اللّٰه فی الروضة کما تقدّم کلامه </w:t>
      </w:r>
      <w:r>
        <w:rPr>
          <w:rStyle w:val="FootnoteReference"/>
        </w:rPr>
        <w:footnoteReference w:id="1054"/>
      </w:r>
      <w:r>
        <w:rPr>
          <w:rFonts w:ascii="IRNazanin" w:hAnsi="IRNazanin" w:eastAsia="IRNazanin" w:cs="IRNazanin"/>
          <w:lang w:bidi="fa-IR"/>
          <w:color w:val="111111"/>
          <w:sz w:val="28"/>
          <w:szCs w:val="28"/>
          <w:rtl/>
        </w:rPr>
        <w:t xml:space="preserve">لکنّ الحکم علی هذا الوجه مخالف للمشهور.</w:t>
      </w:r>
    </w:p>
    <w:p>
      <w:pPr>
        <w:pStyle w:val="BookText"/>
      </w:pPr>
      <w:r>
        <w:rPr>
          <w:rFonts w:ascii="IRNazanin" w:hAnsi="IRNazanin" w:eastAsia="IRNazanin" w:cs="IRNazanin"/>
          <w:lang w:bidi="fa-IR"/>
          <w:color w:val="111111"/>
          <w:sz w:val="28"/>
          <w:szCs w:val="28"/>
          <w:rtl/>
        </w:rPr>
        <w:t xml:space="preserve">فلا یبقی حینئذٍ وثوق بالروایة بحیث یرفع الید بها عن العمومات و القواعد،مع ما فیها من ضعف الدلالة،کما سیجیء إلیه الإشارة.</w:t>
      </w:r>
    </w:p>
    <w:p>
      <w:pPr>
        <w:pStyle w:val="BookText"/>
      </w:pPr>
      <w:r>
        <w:rPr>
          <w:rFonts w:ascii="IRNazanin" w:hAnsi="IRNazanin" w:eastAsia="IRNazanin" w:cs="IRNazanin"/>
          <w:lang w:bidi="fa-IR"/>
          <w:color w:val="111111"/>
          <w:sz w:val="28"/>
          <w:szCs w:val="28"/>
          <w:rtl/>
        </w:rPr>
        <w:t xml:space="preserve">و ممّا ذکرنا یظهر تقریب الاستدلال علی الصورة التاسعة و ردّه.</w:t>
      </w:r>
    </w:p>
    <w:p>
      <w:pPr>
        <w:pStyle w:val="BookText"/>
      </w:pPr>
      <w:r>
        <w:rPr>
          <w:rFonts w:ascii="IRNazanin" w:hAnsi="IRNazanin" w:eastAsia="IRNazanin" w:cs="IRNazanin"/>
          <w:lang w:bidi="fa-IR"/>
          <w:color w:val="111111"/>
          <w:sz w:val="28"/>
          <w:szCs w:val="28"/>
          <w:rtl/>
        </w:rPr>
        <w:t xml:space="preserve">و أمّا تقریب الاستدلال علی الصورة العاشرة فهو:أنّ ضمّ تلف النفس إلی تلف الأموال مع أنّ خوف تلف الأنفس یتبعه خوف تلف المال غالباً یدلّ علی اعتبار بلوغ الفتنة فی الشدّة إلی حیث یُخاف منه تلف النفس،و لا یکفی بلوغه إلی ما دون ذلک بحیث یخاف منه تلف المال فقط.</w:t>
      </w:r>
    </w:p>
    <w:p>
      <w:pPr>
        <w:pStyle w:val="BookText"/>
      </w:pPr>
      <w:r>
        <w:rPr>
          <w:rFonts w:ascii="IRNazanin" w:hAnsi="IRNazanin" w:eastAsia="IRNazanin" w:cs="IRNazanin"/>
          <w:lang w:bidi="fa-IR"/>
          <w:color w:val="111111"/>
          <w:sz w:val="28"/>
          <w:szCs w:val="28"/>
          <w:rtl/>
        </w:rPr>
        <w:t xml:space="preserve">و فیه:أنّ اللازم علی هذا عدم اختصاص موجب الفساد بوقوع الفتنة بین الموقوف علیهم،بل یجوز حینئذٍ بیع الوقف لرفع کلِّ فتنة،مع أنّ ظاهر الروایة کفایة کون الاختلاف بحیث ربما جاء فیه تلف الأموال و النفوس،و المقصود کما یظهر من عبارة الجامع المتقدّمة </w:t>
      </w:r>
      <w:r>
        <w:rPr>
          <w:rStyle w:val="FootnoteReference"/>
        </w:rPr>
        <w:footnoteReference w:id="1055"/>
      </w:r>
      <w:r>
        <w:rPr>
          <w:rFonts w:ascii="IRNazanin" w:hAnsi="IRNazanin" w:eastAsia="IRNazanin" w:cs="IRNazanin"/>
          <w:lang w:bidi="fa-IR"/>
          <w:color w:val="111111"/>
          <w:sz w:val="28"/>
          <w:szCs w:val="28"/>
          <w:rtl/>
        </w:rPr>
        <w:t xml:space="preserve">هو اعتبار</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الفتنة التی یُستباح بها الأنفس.</w:t>
      </w:r>
    </w:p>
    <w:p>
      <w:pPr>
        <w:pStyle w:val="BookText"/>
      </w:pPr>
      <w:r>
        <w:rPr>
          <w:rFonts w:ascii="IRNazanin" w:hAnsi="IRNazanin" w:eastAsia="IRNazanin" w:cs="IRNazanin"/>
          <w:lang w:bidi="fa-IR"/>
          <w:color w:val="111111"/>
          <w:sz w:val="28"/>
          <w:szCs w:val="28"/>
          <w:rtl/>
        </w:rPr>
        <w:t xml:space="preserve">و الحاصل:أنّ جمیع الفتاوی المتقدّمة فی جواز بیع الوقف الراجعة إلی اعتبار أداء بقاء الوقف علماً أو ظنّاً أو احتمالاً إلی مطلق الفساد،أو فسادٍ خاصّ،أو اعتبار الاختلاف مطلقاً،أو اختلاف خاصّ مستندة إلی ما فهم أربابها من المکاتبة المذکورة.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الأظهر فی مدلولها:هو إناطة الجواز بالاختلاف الذی ربما جاء فیه تلف الأموال و النفوس،لا مطلق الاختلاف؛لأنّ الذیل مقیّد، و لا خصوص المؤدّی علماً أو ظنّاً؛لأنّ موارد استعمال لفظة«ربما» أعمّ من ذلک،و لا مطلق ما یؤدّی إلی المحذور المذکور؛لعدم ظهور الذیل فی التعلیل بحیث یتعدّی عن مورد النصّ و إن کان فیه إشارة إلی التعلیل.</w:t>
      </w:r>
    </w:p>
    <w:p>
      <w:pPr>
        <w:pStyle w:val="BookText"/>
      </w:pPr>
      <w:r>
        <w:rPr>
          <w:rFonts w:ascii="IRNazanin" w:hAnsi="IRNazanin" w:eastAsia="IRNazanin" w:cs="IRNazanin"/>
          <w:lang w:bidi="fa-IR"/>
          <w:color w:val="111111"/>
          <w:sz w:val="28"/>
          <w:szCs w:val="28"/>
          <w:rtl/>
        </w:rPr>
        <w:t xml:space="preserve">و علی ما ذکرنا،فالمکاتبة غیر مفتیً بها عند المشهور؛لأنّ الظاهر اعتبارهم العلم أو الظنّ بأداء بقائه إلی الخراب الغیر الملازم للفتنة الموجبة لاستباحة الأموال و الأنفس،فیکون النسبة بین فتوی المشهور و مضمون الروایة عموماً من وجه.</w:t>
      </w:r>
    </w:p>
    <w:p>
      <w:pPr>
        <w:pStyle w:val="BookText"/>
      </w:pPr>
      <w:r>
        <w:rPr>
          <w:rFonts w:ascii="IRNazanin" w:hAnsi="IRNazanin" w:eastAsia="IRNazanin" w:cs="IRNazanin"/>
          <w:lang w:bidi="fa-IR"/>
          <w:color w:val="111111"/>
          <w:sz w:val="28"/>
          <w:szCs w:val="28"/>
          <w:rtl/>
        </w:rPr>
        <w:t xml:space="preserve">لکن الإنصاف:أنّ هذا لا یمنع من جبر ضعف دلالة الروایة و قصور مقاومتها للعمومات المانعة،بالشهرة؛لأنّ اختلاف فتاوی المشهور إنّما هو من حیث الاختلاف فی فهم المناط الذی أُنیط به الجواز من قوله علیه السلام:«إن کان قد علم الاختلاف...»المنضمّ إلی قوله:</w:t>
      </w:r>
    </w:p>
    <w:p>
      <w:pPr>
        <w:pStyle w:val="BookText"/>
      </w:pPr>
      <w:r>
        <w:rPr>
          <w:rFonts w:ascii="IRNazanin" w:hAnsi="IRNazanin" w:eastAsia="IRNazanin" w:cs="IRNazanin"/>
          <w:lang w:bidi="fa-IR"/>
          <w:color w:val="111111"/>
          <w:sz w:val="28"/>
          <w:szCs w:val="28"/>
          <w:rtl/>
        </w:rPr>
        <w:t xml:space="preserve">«فإنّه ربما جاء فی الاختلاف...».</w:t>
      </w:r>
    </w:p>
    <w:p>
      <w:pPr>
        <w:pStyle w:val="BookText"/>
      </w:pPr>
      <w:r>
        <w:rPr>
          <w:rFonts w:ascii="IRNazanin" w:hAnsi="IRNazanin" w:eastAsia="IRNazanin" w:cs="IRNazanin"/>
          <w:lang w:bidi="fa-IR"/>
          <w:color w:val="111111"/>
          <w:sz w:val="28"/>
          <w:szCs w:val="28"/>
          <w:rtl/>
        </w:rPr>
        <w:t xml:space="preserve">و أمّا دلالة المکاتبة علی کون مورد السؤال هو الوقف المؤبّد التامّ،فهی علی تقدیر قصورها منجبرة بالشهرة،فیندفع بها ما یدّعی</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قصور دلالتها من جهات،مثل:عدم ظهورها فی المؤبّد؛لعدم ذکر البطن اللاحق،و ظهورها فی عدم إقباض الموقوف علیهم و عدم تمام الوقف،کما عن الإیضاح </w:t>
      </w:r>
      <w:r>
        <w:rPr>
          <w:rStyle w:val="FootnoteReference"/>
        </w:rPr>
        <w:footnoteReference w:id="1056"/>
      </w:r>
      <w:r>
        <w:rPr>
          <w:rFonts w:ascii="IRNazanin" w:hAnsi="IRNazanin" w:eastAsia="IRNazanin" w:cs="IRNazanin"/>
          <w:lang w:bidi="fa-IR"/>
          <w:color w:val="111111"/>
          <w:sz w:val="28"/>
          <w:szCs w:val="28"/>
          <w:rtl/>
        </w:rPr>
        <w:t xml:space="preserve">،و أوضحه الفاضل المحدّث المجلسی،و جزم به المحدّث البحرانی </w:t>
      </w:r>
      <w:r>
        <w:rPr>
          <w:rStyle w:val="FootnoteReference"/>
        </w:rPr>
        <w:footnoteReference w:id="1057"/>
      </w:r>
      <w:r>
        <w:rPr>
          <w:rFonts w:ascii="IRNazanin" w:hAnsi="IRNazanin" w:eastAsia="IRNazanin" w:cs="IRNazanin"/>
          <w:lang w:bidi="fa-IR"/>
          <w:color w:val="111111"/>
          <w:sz w:val="28"/>
          <w:szCs w:val="28"/>
          <w:rtl/>
        </w:rPr>
        <w:t xml:space="preserve">،و مال إلیه فی الریاض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الأوّل فی بعض حواشیه علی بعض کتب الأخبار-:</w:t>
      </w:r>
    </w:p>
    <w:p>
      <w:pPr>
        <w:pStyle w:val="BookText"/>
      </w:pPr>
      <w:r>
        <w:rPr>
          <w:rFonts w:ascii="IRNazanin" w:hAnsi="IRNazanin" w:eastAsia="IRNazanin" w:cs="IRNazanin"/>
          <w:lang w:bidi="fa-IR"/>
          <w:color w:val="111111"/>
          <w:sz w:val="28"/>
          <w:szCs w:val="28"/>
          <w:rtl/>
        </w:rPr>
        <w:t xml:space="preserve">إنّه یخطر بالبال أنّه یمکن حمل الخبر علی ما إذا لم یُقبضهم الضیعة الموقوفة علیهم،و لم یدفعها إلیهم،و حاصل السؤال:أنّ الواقف یعلم أنّه إذا دفعها إلیهم یحصل بینهم الاختلاف و یشتدّ؛لحصول الاختلاف بینهم </w:t>
      </w:r>
      <w:r>
        <w:rPr>
          <w:rStyle w:val="FootnoteReference"/>
        </w:rPr>
        <w:footnoteReference w:id="1059"/>
      </w:r>
      <w:r>
        <w:rPr>
          <w:rFonts w:ascii="IRNazanin" w:hAnsi="IRNazanin" w:eastAsia="IRNazanin" w:cs="IRNazanin"/>
          <w:lang w:bidi="fa-IR"/>
          <w:color w:val="111111"/>
          <w:sz w:val="28"/>
          <w:szCs w:val="28"/>
          <w:rtl/>
        </w:rPr>
        <w:t xml:space="preserve">قبل الدفع إلیهم فی تلک الضیعة أو فی أمر آخر،فهل یدعها موقوفة و یدفعها إلیهم،أو یرجع عن الوقف لعدم لزومه بعدُ و یدفع إلیهم ثمنها؟أیّهما أفضل؟ </w:t>
      </w:r>
      <w:r>
        <w:rPr>
          <w:rStyle w:val="FootnoteReference"/>
        </w:rPr>
        <w:footnoteReference w:id="1060"/>
      </w:r>
      <w:r>
        <w:rPr>
          <w:rFonts w:ascii="IRNazanin" w:hAnsi="IRNazanin" w:eastAsia="IRNazanin" w:cs="IRNazanin"/>
          <w:lang w:bidi="fa-IR"/>
          <w:color w:val="111111"/>
          <w:sz w:val="28"/>
          <w:szCs w:val="28"/>
          <w:rtl/>
        </w:rPr>
        <w:t xml:space="preserve">انتهی موضع الحاجة.</w:t>
      </w:r>
    </w:p>
    <w:p>
      <w:pPr>
        <w:pStyle w:val="BookText"/>
      </w:pPr>
      <w:r>
        <w:rPr>
          <w:rFonts w:ascii="IRNazanin" w:hAnsi="IRNazanin" w:eastAsia="IRNazanin" w:cs="IRNazanin"/>
          <w:lang w:bidi="fa-IR"/>
          <w:color w:val="111111"/>
          <w:sz w:val="28"/>
          <w:szCs w:val="28"/>
          <w:rtl/>
        </w:rPr>
        <w:t xml:space="preserve">و الإنصاف:أنّه توجیه حسن،لکن لیس فی السؤال ما یوجب ظهوره فی ذلک،فلا یجوز رفع الید عن مقتضی ترک الاستفصال فی الجواب.کما أنّ عدم ذکر البطن اللاحق لا یوجب ظهور السؤال فی الوقف المنقطع؛إذ کثیراً ما یقتصر فی مقام حکایة وقف مؤبّد علی</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بعض البطون،فترک الاستفصال عن ذلک یوجب ثبوت الحکم للمؤبّد.</w:t>
      </w:r>
    </w:p>
    <w:p>
      <w:pPr>
        <w:pStyle w:val="BookText"/>
      </w:pPr>
      <w:r>
        <w:rPr>
          <w:rFonts w:ascii="IRNazanin" w:hAnsi="IRNazanin" w:eastAsia="IRNazanin" w:cs="IRNazanin"/>
          <w:lang w:bidi="fa-IR"/>
          <w:color w:val="111111"/>
          <w:sz w:val="28"/>
          <w:szCs w:val="28"/>
          <w:rtl/>
        </w:rPr>
        <w:t xml:space="preserve">و الحاصل:أنّ المحتاج إلی الانجبار بالشهرة ثبوت حکم الروایة للوقف التامّ المؤبّد،لا تعیین ما أُنیط به الجواز من کونه مجرّد الفتنة أو ما یؤدّی الفتنة إلیه،أو غیر ذلک ممّا تقدّم من الاحتمالات فی الفقرتین المذکورتین.</w:t>
      </w:r>
    </w:p>
    <w:p>
      <w:pPr>
        <w:pStyle w:val="BookText"/>
      </w:pPr>
      <w:r>
        <w:rPr>
          <w:rFonts w:ascii="IRNazanin" w:hAnsi="IRNazanin" w:eastAsia="IRNazanin" w:cs="IRNazanin"/>
          <w:lang w:bidi="fa-IR"/>
          <w:color w:val="111111"/>
          <w:sz w:val="28"/>
          <w:szCs w:val="28"/>
          <w:rtl/>
        </w:rPr>
        <w:t xml:space="preserve">نعم،یحتاج إلی الاعتضاد بالشهرة من جهة أُخری،و هی:</w:t>
      </w:r>
    </w:p>
    <w:p>
      <w:pPr>
        <w:pStyle w:val="BookText"/>
      </w:pPr>
      <w:r>
        <w:rPr>
          <w:rFonts w:ascii="IRNazanin" w:hAnsi="IRNazanin" w:eastAsia="IRNazanin" w:cs="IRNazanin"/>
          <w:lang w:bidi="fa-IR"/>
          <w:color w:val="111111"/>
          <w:sz w:val="28"/>
          <w:szCs w:val="28"/>
          <w:rtl/>
        </w:rPr>
        <w:t xml:space="preserve">أنّ مقتضی القاعدة کما عرفت </w:t>
      </w:r>
      <w:r>
        <w:rPr>
          <w:rStyle w:val="FootnoteReference"/>
        </w:rPr>
        <w:footnoteReference w:id="1061"/>
      </w:r>
      <w:r>
        <w:rPr>
          <w:rFonts w:ascii="IRNazanin" w:hAnsi="IRNazanin" w:eastAsia="IRNazanin" w:cs="IRNazanin"/>
          <w:lang w:bidi="fa-IR"/>
          <w:color w:val="111111"/>
          <w:sz w:val="28"/>
          <w:szCs w:val="28"/>
          <w:rtl/>
        </w:rPr>
        <w:t xml:space="preserve">لزوم کون بدل الوقف کنفسه مشترکاً بین جمیع البطون،و ظاهر الروایة تقریره علیه السلام للسائل فی تقسیم ثمن الوقف علی الموجودین،فلا بدّ:إمّا من رفع الید عن مقتضی المعاوضة إلّا بتکلّف سقوط حقّ سائر البطون عن الوقف آناً ما قبل البیع؛لتقع المعاوضة فی مالهم.</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إمّا من حمل السؤال علی الوقف المنقطع،أعنی:</w:t>
      </w:r>
    </w:p>
    <w:p>
      <w:pPr>
        <w:pStyle w:val="BookText"/>
      </w:pPr>
      <w:r>
        <w:rPr>
          <w:rFonts w:ascii="IRNazanin" w:hAnsi="IRNazanin" w:eastAsia="IRNazanin" w:cs="IRNazanin"/>
          <w:lang w:bidi="fa-IR"/>
          <w:color w:val="111111"/>
          <w:sz w:val="28"/>
          <w:szCs w:val="28"/>
          <w:rtl/>
        </w:rPr>
        <w:t xml:space="preserve">الحبس الذی لا إشکال فی بقائه علی ملک الواقف،أو علی الوقف الغیر التامّ؛لعدم القبض؛أو لعدم تحقّق صیغة الوقف و إن تحقّق التوطین علیه.</w:t>
      </w:r>
    </w:p>
    <w:p>
      <w:pPr>
        <w:pStyle w:val="BookText"/>
      </w:pPr>
      <w:r>
        <w:rPr>
          <w:rFonts w:ascii="IRNazanin" w:hAnsi="IRNazanin" w:eastAsia="IRNazanin" w:cs="IRNazanin"/>
          <w:lang w:bidi="fa-IR"/>
          <w:color w:val="111111"/>
          <w:sz w:val="28"/>
          <w:szCs w:val="28"/>
          <w:rtl/>
        </w:rPr>
        <w:t xml:space="preserve">و تسمیته وقفاً بهذا الاعتبار.</w:t>
      </w:r>
    </w:p>
    <w:p>
      <w:pPr>
        <w:pStyle w:val="BookText"/>
      </w:pPr>
      <w:r>
        <w:rPr>
          <w:rFonts w:ascii="IRNazanin" w:hAnsi="IRNazanin" w:eastAsia="IRNazanin" w:cs="IRNazanin"/>
          <w:lang w:bidi="fa-IR"/>
          <w:color w:val="111111"/>
          <w:sz w:val="28"/>
          <w:szCs w:val="28"/>
          <w:rtl/>
        </w:rPr>
        <w:t xml:space="preserve">و یؤیّده:تصدّی الواقف بنفسه للبیع،إلّا أن یحمل علی کونه ناظراً،أو یقال:إنّه أجنبیّ استأذن الإمام علیه السلام فی بیعه علیهم حسبةً.</w:t>
      </w:r>
    </w:p>
    <w:p>
      <w:pPr>
        <w:pStyle w:val="BookText"/>
      </w:pPr>
      <w:r>
        <w:rPr>
          <w:rFonts w:ascii="IRNazanin" w:hAnsi="IRNazanin" w:eastAsia="IRNazanin" w:cs="IRNazanin"/>
          <w:lang w:bidi="fa-IR"/>
          <w:color w:val="111111"/>
          <w:sz w:val="28"/>
          <w:szCs w:val="28"/>
          <w:rtl/>
        </w:rPr>
        <w:t xml:space="preserve">بل یمکن أن یکون قد فهم الإمام علیه السلام من جعل السائل قسمة الثمن بین الموجودین مفروغاً عنها مع أنّ المرکوز فی الأذهان اشتراک جمیع البطون فی الوقف و بدله أنّ مورد السؤال هو الوقف الباقی علی</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الواقف؛لانقطاعه أو لعدم تمامه.</w:t>
      </w:r>
    </w:p>
    <w:p>
      <w:pPr>
        <w:pStyle w:val="BookText"/>
      </w:pPr>
      <w:r>
        <w:rPr>
          <w:rFonts w:ascii="IRNazanin" w:hAnsi="IRNazanin" w:eastAsia="IRNazanin" w:cs="IRNazanin"/>
          <w:lang w:bidi="fa-IR"/>
          <w:color w:val="111111"/>
          <w:sz w:val="28"/>
          <w:szCs w:val="28"/>
          <w:rtl/>
        </w:rPr>
        <w:t xml:space="preserve">و یؤیّده:أنّ ظاهر صدره المتضمّن لجعل الخمس من الوقف للإمام علیه السلام هو هذا النحو أیضاً.</w:t>
      </w:r>
    </w:p>
    <w:p>
      <w:pPr>
        <w:pStyle w:val="BookText"/>
      </w:pPr>
      <w:r>
        <w:rPr>
          <w:rFonts w:ascii="IRNazanin" w:hAnsi="IRNazanin" w:eastAsia="IRNazanin" w:cs="IRNazanin"/>
          <w:lang w:bidi="fa-IR"/>
          <w:color w:val="111111"/>
          <w:sz w:val="28"/>
          <w:szCs w:val="28"/>
          <w:rtl/>
        </w:rPr>
        <w:t xml:space="preserve">إلّا أن یصلح هذا الخلل و أمثاله بفهم الأصحاب الوقف المؤبّد التامّ،و یقال:إنّه لا بأس بجعل الخبر المعتضد بالشهرة مخصّصاً لقاعدة المنع عن بیع الوقف،و موجباً لتکلّف الالتزام بسقوط حقّ اللاحقین عن الوقف عند إرادة البیع،أو نمنع </w:t>
      </w:r>
      <w:r>
        <w:rPr>
          <w:rStyle w:val="FootnoteReference"/>
        </w:rPr>
        <w:footnoteReference w:id="1062"/>
      </w:r>
      <w:r>
        <w:rPr>
          <w:rFonts w:ascii="IRNazanin" w:hAnsi="IRNazanin" w:eastAsia="IRNazanin" w:cs="IRNazanin"/>
          <w:lang w:bidi="fa-IR"/>
          <w:color w:val="111111"/>
          <w:sz w:val="28"/>
          <w:szCs w:val="28"/>
          <w:rtl/>
        </w:rPr>
        <w:t xml:space="preserve">تقریر الإمام علیه السلام للسائل فی قسمة الثمن إلی الموجودین.</w:t>
      </w:r>
    </w:p>
    <w:p>
      <w:pPr>
        <w:pStyle w:val="BookText"/>
      </w:pPr>
      <w:r>
        <w:rPr>
          <w:rFonts w:ascii="IRNazanin" w:hAnsi="IRNazanin" w:eastAsia="IRNazanin" w:cs="IRNazanin"/>
          <w:lang w:bidi="fa-IR"/>
          <w:color w:val="111111"/>
          <w:sz w:val="28"/>
          <w:szCs w:val="28"/>
          <w:rtl/>
        </w:rPr>
        <w:t xml:space="preserve">و یبقی الکلام فی تعیین المحتملات فی مناط جواز البیع،و قد عرفت </w:t>
      </w:r>
      <w:r>
        <w:rPr>
          <w:rStyle w:val="FootnoteReference"/>
        </w:rPr>
        <w:footnoteReference w:id="1063"/>
      </w:r>
      <w:r>
        <w:rPr>
          <w:rFonts w:ascii="IRNazanin" w:hAnsi="IRNazanin" w:eastAsia="IRNazanin" w:cs="IRNazanin"/>
          <w:lang w:bidi="fa-IR"/>
          <w:color w:val="111111"/>
          <w:sz w:val="28"/>
          <w:szCs w:val="28"/>
          <w:rtl/>
        </w:rPr>
        <w:t xml:space="preserve">الأظهر منها،لکن فی النفس شیءٌ من الجزم بظهوره،فلو اقتُصر علی المتیقّن من بین المحتملات و هو الاختلاف المؤدّی علماً أو ظنّاً إلی تلف خصوص مال الوقف و نفوس الموقوف علیهم کان أولی.</w:t>
      </w:r>
    </w:p>
    <w:p>
      <w:pPr>
        <w:pStyle w:val="BookText"/>
      </w:pPr>
      <w:r>
        <w:rPr>
          <w:rFonts w:ascii="IRNazanin" w:hAnsi="IRNazanin" w:eastAsia="IRNazanin" w:cs="IRNazanin"/>
          <w:lang w:bidi="fa-IR"/>
          <w:color w:val="111111"/>
          <w:sz w:val="28"/>
          <w:szCs w:val="28"/>
          <w:rtl/>
        </w:rPr>
        <w:t xml:space="preserve">و الفرق بین هذا و القسم الأوّل من الصورة السابعة الذی جوّزنا فیه البیع:</w:t>
      </w:r>
    </w:p>
    <w:p>
      <w:pPr>
        <w:pStyle w:val="BookText"/>
      </w:pPr>
      <w:r>
        <w:rPr>
          <w:rFonts w:ascii="IRNazanin" w:hAnsi="IRNazanin" w:eastAsia="IRNazanin" w:cs="IRNazanin"/>
          <w:lang w:bidi="fa-IR"/>
          <w:color w:val="111111"/>
          <w:sz w:val="28"/>
          <w:szCs w:val="28"/>
          <w:rtl/>
        </w:rPr>
        <w:t xml:space="preserve">أنّ المناط فی ذلک القسم:العلم أو الظنّ بتلف الوقف رأساً.</w:t>
      </w:r>
    </w:p>
    <w:p>
      <w:pPr>
        <w:pStyle w:val="BookText"/>
      </w:pPr>
      <w:r>
        <w:rPr>
          <w:rFonts w:ascii="IRNazanin" w:hAnsi="IRNazanin" w:eastAsia="IRNazanin" w:cs="IRNazanin"/>
          <w:lang w:bidi="fa-IR"/>
          <w:color w:val="111111"/>
          <w:sz w:val="28"/>
          <w:szCs w:val="28"/>
          <w:rtl/>
        </w:rPr>
        <w:t xml:space="preserve">و المناط هنا:خراب الوقف،الذی یتحقّق به تلف المال و إن لم یتلف الوقف،فإنّ الزائد من المقدار الباقی مالٌ قد تلف.</w:t>
      </w:r>
    </w:p>
    <w:p>
      <w:pPr>
        <w:pStyle w:val="BookText"/>
      </w:pPr>
      <w:r>
        <w:rPr>
          <w:rFonts w:ascii="IRNazanin" w:hAnsi="IRNazanin" w:eastAsia="IRNazanin" w:cs="IRNazanin"/>
          <w:lang w:bidi="fa-IR"/>
          <w:color w:val="111111"/>
          <w:sz w:val="28"/>
          <w:szCs w:val="28"/>
          <w:rtl/>
        </w:rPr>
        <w:t xml:space="preserve">و لیس المراد من التلف فی الروایة تلف الوقف رأساً حتّی یتّحد مع ذلک القسم المتقدّم؛إذ لا یناسب هذا ما هو الغالب فی تلف الضیعة</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6" w:name="pg14419_167004"/>
    <w:bookmarkEnd w:id="196"/>
    <w:p>
      <w:pPr>
        <w:pStyle w:val="BookText"/>
      </w:pPr>
      <w:r>
        <w:rPr>
          <w:rFonts w:ascii="IRNazanin" w:hAnsi="IRNazanin" w:eastAsia="IRNazanin" w:cs="IRNazanin"/>
          <w:lang w:bidi="fa-IR"/>
          <w:color w:val="111111"/>
          <w:sz w:val="28"/>
          <w:szCs w:val="28"/>
          <w:rtl/>
        </w:rPr>
        <w:t xml:space="preserve">التی هی مورد الروایة،فإنّ تلفها غالباً لسقوطها عن المنفعة المطلوبة منها بحسب شأنها.</w:t>
      </w:r>
    </w:p>
    <w:p>
      <w:pPr>
        <w:pStyle w:val="BookText"/>
      </w:pPr>
      <w:r>
        <w:rPr>
          <w:rFonts w:ascii="IRNazanin" w:hAnsi="IRNazanin" w:eastAsia="IRNazanin" w:cs="IRNazanin"/>
          <w:lang w:bidi="fa-IR"/>
          <w:color w:val="111111"/>
          <w:sz w:val="28"/>
          <w:szCs w:val="28"/>
          <w:rtl/>
        </w:rPr>
        <w:t xml:space="preserve">ثمّ إنّ الظاهر من بعض العبائر المتقدّمة،بل المحکیّ عن الأکثر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الثمن فی هذا البیع للبطن الموجود.إلّا أنّ ظاهر کلام جماعة،بل صریح بعضهم کجامع المقاصد </w:t>
      </w:r>
      <w:r>
        <w:rPr>
          <w:rStyle w:val="FootnoteReference"/>
        </w:rPr>
        <w:footnoteReference w:id="1065"/>
      </w:r>
      <w:r>
        <w:rPr>
          <w:rFonts w:ascii="IRNazanin" w:hAnsi="IRNazanin" w:eastAsia="IRNazanin" w:cs="IRNazanin"/>
          <w:lang w:bidi="fa-IR"/>
          <w:color w:val="111111"/>
          <w:sz w:val="28"/>
          <w:szCs w:val="28"/>
          <w:rtl/>
        </w:rPr>
        <w:t xml:space="preserve">هو:أنّه یشتری بثمنه ما یکون وقفاً علی وجهٍ یندفع به الخُلف؛تحصیلاً لمطلوب الواقف بحسب الإمکان.</w:t>
      </w:r>
    </w:p>
    <w:p>
      <w:pPr>
        <w:pStyle w:val="BookText"/>
      </w:pPr>
      <w:r>
        <w:rPr>
          <w:rFonts w:ascii="Amiri" w:hAnsi="Amiri" w:eastAsia="Amiri" w:cs="Amiri"/>
          <w:lang w:bidi="ar-SA"/>
          <w:color w:val="111111"/>
          <w:sz w:val="28"/>
          <w:szCs w:val="28"/>
          <w:rtl/>
        </w:rPr>
        <w:t xml:space="preserve">و هذا منه قدّس سرّه مبنیٌّ علی منع </w:t>
      </w:r>
      <w:r>
        <w:rPr>
          <w:rStyle w:val="FootnoteReference"/>
        </w:rPr>
        <w:footnoteReference w:id="1066"/>
      </w:r>
      <w:r>
        <w:rPr>
          <w:rFonts w:ascii="IRNazanin" w:hAnsi="IRNazanin" w:eastAsia="IRNazanin" w:cs="IRNazanin"/>
          <w:lang w:bidi="fa-IR"/>
          <w:color w:val="111111"/>
          <w:sz w:val="28"/>
          <w:szCs w:val="28"/>
          <w:rtl/>
        </w:rPr>
        <w:t xml:space="preserve">ظهور الروایة فی تقریر السائل فی قسمة الثمن علی الموجودین،أو علی منع العمل بهذا التقریر فی مخالفة مقتضی قاعدة المعاوضة من اشتراک جمیع البطون فی البدل کالمبدل،لکن الوجه الثانی ینافی قوله باختصاص الموجودین بثمن ما یباع،للحاجة الشدیدة؛تمسّکاً بروایة جعفر </w:t>
      </w:r>
      <w:r>
        <w:rPr>
          <w:rStyle w:val="FootnoteReference"/>
        </w:rPr>
        <w:footnoteReference w:id="1067"/>
      </w:r>
      <w:r>
        <w:rPr>
          <w:rFonts w:ascii="IRNazanin" w:hAnsi="IRNazanin" w:eastAsia="IRNazanin" w:cs="IRNazanin"/>
          <w:lang w:bidi="fa-IR"/>
          <w:color w:val="111111"/>
          <w:sz w:val="28"/>
          <w:szCs w:val="28"/>
          <w:rtl/>
        </w:rPr>
        <w:t xml:space="preserve">،فتعیّن الأوّل،و هو منع التقریر.لکنّه خلاف مقتضی التأمّل فی الروایة.</w:t>
      </w:r>
    </w:p>
    <w:p>
      <w:pPr>
        <w:pStyle w:val="Heading6"/>
      </w:pPr>
      <w:bookmarkStart w:id="993" w:name="_Toc433"/>
      <w:r>
        <w:t>[الوقف المنقطع]</w:t>
      </w:r>
      <w:bookmarkEnd w:id="993"/>
    </w:p>
    <w:p>
      <w:pPr>
        <w:pStyle w:val="BookText"/>
      </w:pPr>
      <w:r>
        <w:rPr>
          <w:rStyle w:val="FootnoteReference"/>
        </w:rPr>
        <w:footnoteReference w:id="1068"/>
      </w:r>
      <w:r>
        <w:rPr>
          <w:rFonts w:ascii="IRNazanin" w:hAnsi="IRNazanin" w:eastAsia="IRNazanin" w:cs="IRNazanin"/>
          <w:lang w:bidi="fa-IR"/>
          <w:color w:val="111111"/>
          <w:sz w:val="28"/>
          <w:szCs w:val="28"/>
          <w:rtl/>
        </w:rPr>
        <w:t xml:space="preserve">
و أمّا الوقف المنقطع،و هو:ما إذا وقف علی من ینقرض بناءً</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صحّته کما هو المعروف فإمّا أن نقول ببقائه علی ملک الواقف، و إمّا أن نقول بانتقاله إلی الموقوف علیهم.و علی الثانی:فإمّا أن یملکوه ملکاً مستقرّاً بحیث ینتقل منهم إلی ورثتهم عند انقراضهم، و إمّا أن یقال بعوده إلی ملک الواقف،و إمّا أن یقال بصیرورته فی سبیل اللّٰه.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فعلی الأوّل: لا یجوز للموقوف علیهم البیع؛لعدم الملک.و فی جوازه للواقف مع جهالة مدّة استحقاق الموقوف علیهم إشکال،من حیث لزوم الغرر بجهالة وقت استحقاق التسلیم التامّ علی وجه ینتفع به؛و لذا منع الأصحاب کما فی الإیضاح </w:t>
      </w:r>
      <w:r>
        <w:rPr>
          <w:rStyle w:val="FootnoteReference"/>
        </w:rPr>
        <w:footnoteReference w:id="1069"/>
      </w:r>
      <w:r>
        <w:rPr>
          <w:rFonts w:ascii="IRNazanin" w:hAnsi="IRNazanin" w:eastAsia="IRNazanin" w:cs="IRNazanin"/>
          <w:lang w:bidi="fa-IR"/>
          <w:color w:val="111111"/>
          <w:sz w:val="28"/>
          <w:szCs w:val="28"/>
          <w:rtl/>
        </w:rPr>
        <w:t xml:space="preserve">بیعَ مسکن المطلّقة المعتدّة بالأقراء؛لجهالة مدّة العدّة،مع عدم کثرة التفاوت.</w:t>
      </w:r>
    </w:p>
    <w:p>
      <w:pPr>
        <w:pStyle w:val="BookText"/>
      </w:pPr>
      <w:r>
        <w:rPr>
          <w:rFonts w:ascii="IRNazanin" w:hAnsi="IRNazanin" w:eastAsia="IRNazanin" w:cs="IRNazanin"/>
          <w:lang w:bidi="fa-IR"/>
          <w:color w:val="111111"/>
          <w:sz w:val="28"/>
          <w:szCs w:val="28"/>
          <w:rtl/>
        </w:rPr>
        <w:t xml:space="preserve">نعم،المحکی عن جماعة کالمحقّق </w:t>
      </w:r>
      <w:r>
        <w:rPr>
          <w:rStyle w:val="FootnoteReference"/>
        </w:rPr>
        <w:footnoteReference w:id="1070"/>
      </w:r>
      <w:r>
        <w:rPr>
          <w:rFonts w:ascii="IRNazanin" w:hAnsi="IRNazanin" w:eastAsia="IRNazanin" w:cs="IRNazanin"/>
          <w:lang w:bidi="fa-IR"/>
          <w:color w:val="111111"/>
          <w:sz w:val="28"/>
          <w:szCs w:val="28"/>
          <w:rtl/>
        </w:rPr>
        <w:t xml:space="preserve">و الشهیدین فی المسالک </w:t>
      </w:r>
      <w:r>
        <w:rPr>
          <w:rStyle w:val="FootnoteReference"/>
        </w:rPr>
        <w:footnoteReference w:id="1071"/>
      </w:r>
      <w:r>
        <w:rPr>
          <w:rFonts w:ascii="IRNazanin" w:hAnsi="IRNazanin" w:eastAsia="IRNazanin" w:cs="IRNazanin"/>
          <w:lang w:bidi="fa-IR"/>
          <w:color w:val="111111"/>
          <w:sz w:val="28"/>
          <w:szCs w:val="28"/>
          <w:rtl/>
        </w:rPr>
        <w:t xml:space="preserve">و الدروس </w:t>
      </w:r>
      <w:r>
        <w:rPr>
          <w:rStyle w:val="FootnoteReference"/>
        </w:rPr>
        <w:footnoteReference w:id="1072"/>
      </w:r>
      <w:r>
        <w:rPr>
          <w:rFonts w:ascii="IRNazanin" w:hAnsi="IRNazanin" w:eastAsia="IRNazanin" w:cs="IRNazanin"/>
          <w:lang w:bidi="fa-IR"/>
          <w:color w:val="111111"/>
          <w:sz w:val="28"/>
          <w:szCs w:val="28"/>
          <w:rtl/>
        </w:rPr>
        <w:t xml:space="preserve">و غیرهم </w:t>
      </w:r>
      <w:r>
        <w:rPr>
          <w:rStyle w:val="FootnoteReference"/>
        </w:rPr>
        <w:footnoteReference w:id="1073"/>
      </w:r>
      <w:r>
        <w:rPr>
          <w:rFonts w:ascii="IRNazanin" w:hAnsi="IRNazanin" w:eastAsia="IRNazanin" w:cs="IRNazanin"/>
          <w:lang w:bidi="fa-IR"/>
          <w:color w:val="111111"/>
          <w:sz w:val="28"/>
          <w:szCs w:val="28"/>
          <w:rtl/>
        </w:rPr>
        <w:t xml:space="preserve">-:صحّة البیع فی السکنی الموقّتة بعمر أحدهما، بل ربما یظهر من محکیّ التنقیح:الإجماع علیه.و لعلّه إمّا لمنع الغرر، و إمّا للنصّ،و هو ما رواه المشایخ الثلاثة فی الصحیح أو الحسن عن</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نعیم،قال:«سألت أبا الحسن علیه السلام عن رجلٍ جعل داره سکنی لرجلٍ زمانَ حیاته و لعقبه من بعده،قال:هی له و لعقبه من بعده کما شرط.قلت:فإن احتاج إلی بیعها؟قال:نعم.قلت:فینقض البیعُ السکنی؟قال:لا ینقض البیعُ السکنی،کذلک سمعت أبی یقول:</w:t>
      </w:r>
    </w:p>
    <w:p>
      <w:pPr>
        <w:pStyle w:val="BookText"/>
      </w:pPr>
      <w:r>
        <w:rPr>
          <w:rFonts w:ascii="IRNazanin" w:hAnsi="IRNazanin" w:eastAsia="IRNazanin" w:cs="IRNazanin"/>
          <w:lang w:bidi="fa-IR"/>
          <w:color w:val="111111"/>
          <w:sz w:val="28"/>
          <w:szCs w:val="28"/>
          <w:rtl/>
        </w:rPr>
        <w:t xml:space="preserve">قال أبو جعفر علیه السلام:لا ینقض البیع الإجارة و لا السکنی،و لکن یبیعه علی أنّ الذی یشتریه لا یملک ما اشتراه حتّی ینقضی السکنی علی ما شرط...الخبر»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فقد توقّف فی المسألة العلّامة </w:t>
      </w:r>
      <w:r>
        <w:rPr>
          <w:rStyle w:val="FootnoteReference"/>
        </w:rPr>
        <w:footnoteReference w:id="1075"/>
      </w:r>
      <w:r>
        <w:rPr>
          <w:rFonts w:ascii="IRNazanin" w:hAnsi="IRNazanin" w:eastAsia="IRNazanin" w:cs="IRNazanin"/>
          <w:lang w:bidi="fa-IR"/>
          <w:color w:val="111111"/>
          <w:sz w:val="28"/>
          <w:szCs w:val="28"/>
          <w:rtl/>
        </w:rPr>
        <w:t xml:space="preserve">و ولده </w:t>
      </w:r>
      <w:r>
        <w:rPr>
          <w:rStyle w:val="FootnoteReference"/>
        </w:rPr>
        <w:footnoteReference w:id="1076"/>
      </w:r>
      <w:r>
        <w:rPr>
          <w:rFonts w:ascii="IRNazanin" w:hAnsi="IRNazanin" w:eastAsia="IRNazanin" w:cs="IRNazanin"/>
          <w:lang w:bidi="fa-IR"/>
          <w:color w:val="111111"/>
          <w:sz w:val="28"/>
          <w:szCs w:val="28"/>
          <w:rtl/>
        </w:rPr>
        <w:t xml:space="preserve">و المحقّق الثانی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باعه من الموقوف علیه المختصّ بمنفعة الوقف،فالظاهر جوازه؛ لعدم الغرر.و یحتمل العدم؛لأنّ معرفة المجموع المرکّب من ملک البائع و حقّ المشتری لا توجب معرفة المبیع.و کذا لو باعه ممّن انتقل إلیه حقّ الموقوف علیه.نعم،لو انتقل إلی الواقف ثمّ باع صحّ جزماً.</w:t>
      </w:r>
    </w:p>
    <w:p>
      <w:pPr>
        <w:pStyle w:val="BookText"/>
      </w:pPr>
      <w:r>
        <w:rPr>
          <w:rFonts w:ascii="IRNazanin" w:hAnsi="IRNazanin" w:eastAsia="IRNazanin" w:cs="IRNazanin"/>
          <w:lang w:bidi="fa-IR"/>
          <w:color w:val="111111"/>
          <w:sz w:val="28"/>
          <w:szCs w:val="28"/>
          <w:rtl/>
        </w:rPr>
        <w:t xml:space="preserve">و أمّا مجرّد رضا الموقوف علیهم،فلا یجوّز البیع من الأجنبیّ؛</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المنفعة مال لهم فلا تنتقل إلی المشتری بلا عوض.اللهمّ إلّا أن یکون علی وجه الإسقاط لو صحّحناه منهم،أو یکون المعاملة مرکّبة من نقل العین من طرف الواقف و نقل المنفعة من قبل الموقوف علیهم، فیکون العوض موزّعاً علیهما.و لا بدّ أن یکون ذلک علی وجه الصلح؛ لأنّ غیره لا یتضمّن نقل العین و المنفعة کلیهما،خصوصاً مع جهالة المنفعة.</w:t>
      </w:r>
    </w:p>
    <w:p>
      <w:pPr>
        <w:pStyle w:val="BookText"/>
      </w:pPr>
      <w:r>
        <w:rPr>
          <w:rFonts w:ascii="IRNazanin" w:hAnsi="IRNazanin" w:eastAsia="IRNazanin" w:cs="IRNazanin"/>
          <w:lang w:bidi="fa-IR"/>
          <w:color w:val="111111"/>
          <w:sz w:val="28"/>
          <w:szCs w:val="28"/>
          <w:rtl/>
        </w:rPr>
        <w:t xml:space="preserve">و ممّا ذکرنا یظهر وجه التأمّل فیما حکی عن التنقیح:من أنّه لو اتّفق الواقف و الموقوف علیه علی البیع فی المنقطع جاز </w:t>
      </w:r>
      <w:r>
        <w:rPr>
          <w:rStyle w:val="FootnoteReference"/>
        </w:rPr>
        <w:footnoteReference w:id="1078"/>
      </w:r>
      <w:r>
        <w:rPr>
          <w:rFonts w:ascii="IRNazanin" w:hAnsi="IRNazanin" w:eastAsia="IRNazanin" w:cs="IRNazanin"/>
          <w:lang w:bidi="fa-IR"/>
          <w:color w:val="111111"/>
          <w:sz w:val="28"/>
          <w:szCs w:val="28"/>
          <w:rtl/>
        </w:rPr>
        <w:t xml:space="preserve">،سواء أراد بیع الواقف أو بیع الموقوف علیه،کما یدلّ علیه کلامه المحکیّ عنه فی مسألة السکنی </w:t>
      </w:r>
      <w:r>
        <w:rPr>
          <w:rStyle w:val="FootnoteReference"/>
        </w:rPr>
        <w:footnoteReference w:id="1079"/>
      </w:r>
      <w:r>
        <w:rPr>
          <w:rFonts w:ascii="IRNazanin" w:hAnsi="IRNazanin" w:eastAsia="IRNazanin" w:cs="IRNazanin"/>
          <w:lang w:bidi="fa-IR"/>
          <w:color w:val="111111"/>
          <w:sz w:val="28"/>
          <w:szCs w:val="28"/>
          <w:rtl/>
        </w:rPr>
        <w:t xml:space="preserve">حیث أجاز استقلال مالک العین بالبیع و لو من دون رضا مالک الانتفاع أو المنفعة.</w:t>
      </w:r>
    </w:p>
    <w:p>
      <w:pPr>
        <w:pStyle w:val="BookText"/>
      </w:pPr>
      <w:r>
        <w:rPr>
          <w:rFonts w:ascii="IRNazanin" w:hAnsi="IRNazanin" w:eastAsia="IRNazanin" w:cs="IRNazanin"/>
          <w:lang w:bidi="fa-IR"/>
          <w:color w:val="111111"/>
          <w:sz w:val="28"/>
          <w:szCs w:val="28"/>
          <w:rtl/>
        </w:rPr>
        <w:t xml:space="preserve">نعم،لو کان للموقوف علیه حقّ الانتفاع من دون تملّک للمنفعة کما فی السکنی علی قولٍ صحّ ما ذکره؛لإمکان سقوط الحقّ بالإسقاط،بخلاف المال،فتأمّل.</w:t>
      </w:r>
    </w:p>
    <w:p>
      <w:pPr>
        <w:pStyle w:val="BookText"/>
      </w:pPr>
      <w:r>
        <w:rPr>
          <w:rFonts w:ascii="IRNazanin" w:hAnsi="IRNazanin" w:eastAsia="IRNazanin" w:cs="IRNazanin"/>
          <w:lang w:bidi="fa-IR"/>
          <w:color w:val="111111"/>
          <w:sz w:val="28"/>
          <w:szCs w:val="28"/>
          <w:rtl/>
        </w:rPr>
        <w:t xml:space="preserve">و تمام الکلام فی هذه المسائل فی باب السکنی و الحبس إن شاء اللّٰه تعالی.</w:t>
      </w:r>
    </w:p>
    <w:p>
      <w:pPr>
        <w:pStyle w:val="BookText"/>
      </w:pPr>
      <w:r>
        <w:rPr>
          <w:rFonts w:ascii="IRNazanin" w:hAnsi="IRNazanin" w:eastAsia="IRNazanin" w:cs="IRNazanin"/>
          <w:lang w:bidi="fa-IR"/>
          <w:color w:val="111111"/>
          <w:sz w:val="28"/>
          <w:szCs w:val="28"/>
          <w:rtl/>
        </w:rPr>
        <w:t xml:space="preserve">و علی الثانی </w:t>
      </w:r>
      <w:r>
        <w:rPr>
          <w:rStyle w:val="FootnoteReference"/>
        </w:rPr>
        <w:footnoteReference w:id="1080"/>
      </w:r>
      <w:r>
        <w:rPr>
          <w:rFonts w:ascii="IRNazanin" w:hAnsi="IRNazanin" w:eastAsia="IRNazanin" w:cs="IRNazanin"/>
          <w:lang w:bidi="fa-IR"/>
          <w:color w:val="111111"/>
          <w:sz w:val="28"/>
          <w:szCs w:val="28"/>
          <w:rtl/>
        </w:rPr>
        <w:t xml:space="preserve">: فلا یجوز البیع للواقف؛لعدم الملک،و لا للموقوف</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علیه؛لاعتبار الواقف بقاءه فی یدهم إلی انقراضهم.</w:t>
      </w:r>
    </w:p>
    <w:p>
      <w:pPr>
        <w:pStyle w:val="BookText"/>
      </w:pPr>
      <w:r>
        <w:rPr>
          <w:rFonts w:ascii="IRNazanin" w:hAnsi="IRNazanin" w:eastAsia="IRNazanin" w:cs="IRNazanin"/>
          <w:lang w:bidi="fa-IR"/>
          <w:color w:val="111111"/>
          <w:sz w:val="28"/>
          <w:szCs w:val="28"/>
          <w:rtl/>
        </w:rPr>
        <w:t xml:space="preserve">و علی الثالث: فلا یجوز البیع للموقوف علیه و إن أجاز الواقف؛ لمنافاته لاعتبار الواقف فی الوقف بقاء العین،کما لا یجوز أیضاً للواقف الغیر المالک فعلاً و إن أجاز الموقوف علیه،إلّا إذا جوّزنا بیع ملک الغیر مع عدم اعتبار مجیزٍ له فی الحال؛بناءً علی أنّ الموقوف علیه الذی هو المالک فعلاً لیس له الإجازة؛لعدم تسلّطه علی النقل،فإذا انقرض الموقوف علیه و ملکه الواقف لزم البیع.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ثمّ إنّه قد أُورد </w:t>
      </w:r>
      <w:r>
        <w:rPr>
          <w:rStyle w:val="FootnoteReference"/>
        </w:rPr>
        <w:footnoteReference w:id="1081"/>
      </w:r>
      <w:r>
        <w:rPr>
          <w:rFonts w:ascii="IRNazanin" w:hAnsi="IRNazanin" w:eastAsia="IRNazanin" w:cs="IRNazanin"/>
          <w:lang w:bidi="fa-IR"/>
          <w:color w:val="111111"/>
          <w:sz w:val="28"/>
          <w:szCs w:val="28"/>
          <w:rtl/>
        </w:rPr>
        <w:t xml:space="preserve">علی القاضی قدّس سرّه حیث جوّز للموقوف علیه بیع الوقف المنقطع مع قوله ببقاء الوقف المنقطع علی ملک الواقف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دفع التنافی بکونه قائلاً بالوجه الثالث من الوجوه المتقدّمة و هو ملک الموقوف علیهم ثمّ عوده إلی الواقف إلّا أنّ الکلام فی ثبوت هذا القول بین من اختلف فی مالک الموقوف فی الوقف المنقطع، و یتّضح ذلک بمراجعة المسألة فی کتاب الوقف.</w:t>
      </w:r>
    </w:p>
    <w:p>
      <w:pPr>
        <w:pStyle w:val="BookText"/>
      </w:pPr>
      <w:r>
        <w:rPr>
          <w:rFonts w:ascii="IRNazanin" w:hAnsi="IRNazanin" w:eastAsia="IRNazanin" w:cs="IRNazanin"/>
          <w:lang w:bidi="fa-IR"/>
          <w:color w:val="111111"/>
          <w:sz w:val="28"/>
          <w:szCs w:val="28"/>
          <w:rtl/>
        </w:rPr>
        <w:t xml:space="preserve">و علی الرابع: فالظاهر أنّ حکمه حکم الوقف المؤبّد کما صرّح به المحقّق الثانی </w:t>
      </w:r>
      <w:r>
        <w:rPr>
          <w:rStyle w:val="FootnoteReference"/>
        </w:rPr>
        <w:footnoteReference w:id="1083"/>
      </w:r>
      <w:r>
        <w:rPr>
          <w:rFonts w:ascii="IRNazanin" w:hAnsi="IRNazanin" w:eastAsia="IRNazanin" w:cs="IRNazanin"/>
          <w:lang w:bidi="fa-IR"/>
          <w:color w:val="111111"/>
          <w:sz w:val="28"/>
          <w:szCs w:val="28"/>
          <w:rtl/>
        </w:rPr>
        <w:t xml:space="preserve">علی ما حکی عنه لأنّه حقیقةً وقفٌ مؤبّد کما لو صرّح بکونه فی سبیل اللّٰه بعد انقراض الموقوف علیه الخاصّ.</w:t>
      </w:r>
    </w:p>
    <w:p>
      <w:pPr>
        <w:pStyle w:val="BookText"/>
      </w:pPr>
      <w:r>
        <w:rPr>
          <w:rFonts w:ascii="IRNazanin" w:hAnsi="IRNazanin" w:eastAsia="IRNazanin" w:cs="IRNazanin"/>
          <w:lang w:bidi="fa-IR"/>
          <w:color w:val="111111"/>
          <w:sz w:val="28"/>
          <w:szCs w:val="28"/>
          <w:rtl/>
        </w:rPr>
        <w:t xml:space="preserve">ثمّ إنّ ما ذکرنا فی حکم الوقف المنقطع فإنّما هو بالنسبة إلی البطن الذی لا بطن بعده یتلقّی الملک من الواقف.</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حکم بیع بعض البطون مع وجود مَن بعدهم،فإن قلنا بعدم تملّکهم للمنقطع فهو کما تقدّم.و أمّا علی تقدیر القول بملکهم،فحکم بیع غیر الأخیر من البطون حکم بیع بعض البطون فی الوقف المؤبّد، فیشترک معه فی المنع فی الصور التی منعنا،و فی الجواز فی الصور </w:t>
      </w:r>
      <w:r>
        <w:rPr>
          <w:rStyle w:val="FootnoteReference"/>
        </w:rPr>
        <w:footnoteReference w:id="1084"/>
      </w:r>
      <w:r>
        <w:rPr>
          <w:rFonts w:ascii="IRNazanin" w:hAnsi="IRNazanin" w:eastAsia="IRNazanin" w:cs="IRNazanin"/>
          <w:lang w:bidi="fa-IR"/>
          <w:color w:val="111111"/>
          <w:sz w:val="28"/>
          <w:szCs w:val="28"/>
          <w:rtl/>
        </w:rPr>
        <w:t xml:space="preserve">التی جوّزنا؛لاشتراک دلیل المنع،و یتشارکان أیضاً فی حکم الثمن بعد البیع.</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7" w:name="pg14419_167010"/>
    <w:bookmarkEnd w:id="197"/>
    <w:p>
      <w:pPr>
        <w:pStyle w:val="Heading6"/>
      </w:pPr>
      <w:bookmarkStart w:id="994" w:name="_Toc434"/>
      <w:r>
        <w:t>مسألة : و من أسباب خروج الملک عن کونه طِلْقاً : صیرورة المملوکة أُمّ ولدٍ لسیّدها</w:t>
      </w:r>
      <w:bookmarkEnd w:id="994"/>
    </w:p>
    <w:p>
      <w:pPr>
        <w:pStyle w:val="Heading6"/>
      </w:pPr>
      <w:bookmarkStart w:id="995" w:name="_Toc435"/>
      <w:r>
        <w:t>اشارة</w:t>
      </w:r>
      <w:bookmarkEnd w:id="995"/>
    </w:p>
    <w:p>
      <w:pPr>
        <w:pStyle w:val="BookText"/>
      </w:pPr>
      <w:r>
        <w:rPr>
          <w:rFonts w:ascii="IRNazanin" w:hAnsi="IRNazanin" w:eastAsia="IRNazanin" w:cs="IRNazanin"/>
          <w:lang w:bidi="fa-IR"/>
          <w:color w:val="111111"/>
          <w:sz w:val="28"/>
          <w:szCs w:val="28"/>
          <w:rtl/>
        </w:rPr>
        <w:t xml:space="preserve">فإنّ ذلک یوجب منع المالک عن بیعها،بلا خلافٍ بین المسلمین،علی الظاهر المحکیّ عن مجمع الفائدة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الأخبار دلالةٌ علی کونه من المنکرات فی صدر الإسلام، مثل ما روی من قول أمیر المؤمنین علیه السلام لمن </w:t>
      </w:r>
      <w:r>
        <w:rPr>
          <w:rStyle w:val="FootnoteReference"/>
        </w:rPr>
        <w:footnoteReference w:id="1086"/>
      </w:r>
      <w:r>
        <w:rPr>
          <w:rFonts w:ascii="IRNazanin" w:hAnsi="IRNazanin" w:eastAsia="IRNazanin" w:cs="IRNazanin"/>
          <w:lang w:bidi="fa-IR"/>
          <w:color w:val="111111"/>
          <w:sz w:val="28"/>
          <w:szCs w:val="28"/>
          <w:rtl/>
        </w:rPr>
        <w:t xml:space="preserve">سأله عن بیع أمة أرضعت ولده،قال له:«خذ بیدها،و قل:من یشتری أُمّ ولدی؟»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حکم البیع کلّ تصرّفٍ ناقلٍ للملک الغیر المستعقب بالعتق، أو مستلزمٍ للنقل کالرهن،کما یظهر من تضاعیف کلماتهم فی جملةٍ من الموارد:</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1088"/>
      </w:r>
      <w:r>
        <w:rPr>
          <w:rFonts w:ascii="Amiri" w:hAnsi="Amiri" w:eastAsia="Amiri" w:cs="Amiri"/>
          <w:lang w:bidi="ar-SA"/>
          <w:color w:val="111111"/>
          <w:sz w:val="28"/>
          <w:szCs w:val="28"/>
          <w:rtl/>
        </w:rPr>
        <w:t xml:space="preserve">:جَعْلُ أُمّ الولد </w:t>
      </w:r>
      <w:r>
        <w:rPr>
          <w:rStyle w:val="FootnoteReference"/>
        </w:rPr>
        <w:footnoteReference w:id="1089"/>
      </w:r>
      <w:r>
        <w:rPr>
          <w:rFonts w:ascii="IRNazanin" w:hAnsi="IRNazanin" w:eastAsia="IRNazanin" w:cs="IRNazanin"/>
          <w:lang w:bidi="fa-IR"/>
          <w:color w:val="111111"/>
          <w:sz w:val="28"/>
          <w:szCs w:val="28"/>
          <w:rtl/>
        </w:rPr>
        <w:t xml:space="preserve">ملکاً غیر طلق،کالوقف و الرهن.و قد</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أنّ المراد من الطلْق:تمامیّة الملک و الاستقلال فی التصرّف،فلو جاز الصلح عنها و هِبتها لم تخرج عن کونها طِلْقاً بمجرّد عدم جواز إیقاع عقد البیع علیها،کما أنّ المجهول الذی یجوز </w:t>
      </w:r>
      <w:r>
        <w:rPr>
          <w:rStyle w:val="FootnoteReference"/>
        </w:rPr>
        <w:footnoteReference w:id="1090"/>
      </w:r>
      <w:r>
        <w:rPr>
          <w:rFonts w:ascii="IRNazanin" w:hAnsi="IRNazanin" w:eastAsia="IRNazanin" w:cs="IRNazanin"/>
          <w:lang w:bidi="fa-IR"/>
          <w:color w:val="111111"/>
          <w:sz w:val="28"/>
          <w:szCs w:val="28"/>
          <w:rtl/>
        </w:rPr>
        <w:t xml:space="preserve">الصلح عنه وهبته و الإبراء عنه و لا یجوز بیعه،لا یخرج عن کونه طِلْقاً.</w:t>
      </w:r>
    </w:p>
    <w:p>
      <w:pPr>
        <w:pStyle w:val="BookText"/>
      </w:pPr>
      <w:r>
        <w:rPr>
          <w:rFonts w:ascii="IRNazanin" w:hAnsi="IRNazanin" w:eastAsia="IRNazanin" w:cs="IRNazanin"/>
          <w:lang w:bidi="fa-IR"/>
          <w:color w:val="111111"/>
          <w:sz w:val="28"/>
          <w:szCs w:val="28"/>
          <w:rtl/>
        </w:rPr>
        <w:t xml:space="preserve">و منها:کلماتهم فی رهن أُمّ الولد،فلاحظها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منها:کلماتهم فی استیلاد المشتری فی زمان خیار البائع،فإنّ المصرَّح به فی کلام الشهیدین فی خیار الغبن:أنّ البائع لو فسخ یرجع إلی القیمة؛لامتناع انتقال أُمّ الولد </w:t>
      </w:r>
      <w:r>
        <w:rPr>
          <w:rStyle w:val="FootnoteReference"/>
        </w:rPr>
        <w:footnoteReference w:id="1092"/>
      </w:r>
      <w:r>
        <w:rPr>
          <w:rFonts w:ascii="IRNazanin" w:hAnsi="IRNazanin" w:eastAsia="IRNazanin" w:cs="IRNazanin"/>
          <w:lang w:bidi="fa-IR"/>
          <w:color w:val="111111"/>
          <w:sz w:val="28"/>
          <w:szCs w:val="28"/>
          <w:rtl/>
        </w:rPr>
        <w:t xml:space="preserve">.و </w:t>
      </w:r>
      <w:r>
        <w:rPr>
          <w:rStyle w:val="FootnoteReference"/>
        </w:rPr>
        <w:footnoteReference w:id="1093"/>
      </w:r>
      <w:r>
        <w:rPr>
          <w:rFonts w:ascii="IRNazanin" w:hAnsi="IRNazanin" w:eastAsia="IRNazanin" w:cs="IRNazanin"/>
          <w:lang w:bidi="fa-IR"/>
          <w:color w:val="111111"/>
          <w:sz w:val="28"/>
          <w:szCs w:val="28"/>
          <w:rtl/>
        </w:rPr>
        <w:t xml:space="preserve">کذا فی کلام العلّامة </w:t>
      </w:r>
      <w:r>
        <w:rPr>
          <w:rStyle w:val="FootnoteReference"/>
        </w:rPr>
        <w:footnoteReference w:id="1094"/>
      </w:r>
      <w:r>
        <w:rPr>
          <w:rFonts w:ascii="IRNazanin" w:hAnsi="IRNazanin" w:eastAsia="IRNazanin" w:cs="IRNazanin"/>
          <w:lang w:bidi="fa-IR"/>
          <w:color w:val="111111"/>
          <w:sz w:val="28"/>
          <w:szCs w:val="28"/>
          <w:rtl/>
        </w:rPr>
        <w:t xml:space="preserve">و ولده </w:t>
      </w:r>
      <w:r>
        <w:rPr>
          <w:rStyle w:val="FootnoteReference"/>
        </w:rPr>
        <w:footnoteReference w:id="1095"/>
      </w:r>
      <w:r>
        <w:rPr>
          <w:rFonts w:ascii="IRNazanin" w:hAnsi="IRNazanin" w:eastAsia="IRNazanin" w:cs="IRNazanin"/>
          <w:lang w:bidi="fa-IR"/>
          <w:color w:val="111111"/>
          <w:sz w:val="28"/>
          <w:szCs w:val="28"/>
          <w:rtl/>
        </w:rPr>
        <w:t xml:space="preserve">و جامع المقاصد </w:t>
      </w:r>
      <w:r>
        <w:rPr>
          <w:rStyle w:val="FootnoteReference"/>
        </w:rPr>
        <w:footnoteReference w:id="1096"/>
      </w:r>
      <w:r>
        <w:rPr>
          <w:rFonts w:ascii="IRNazanin" w:hAnsi="IRNazanin" w:eastAsia="IRNazanin" w:cs="IRNazanin"/>
          <w:lang w:bidi="fa-IR"/>
          <w:color w:val="111111"/>
          <w:sz w:val="28"/>
          <w:szCs w:val="28"/>
          <w:rtl/>
        </w:rPr>
        <w:t xml:space="preserve">ذلک أیضاً فی زمان مطلق الخیار.</w:t>
      </w:r>
    </w:p>
    <w:p>
      <w:pPr>
        <w:pStyle w:val="BookText"/>
      </w:pPr>
      <w:r>
        <w:rPr>
          <w:rFonts w:ascii="Amiri" w:hAnsi="Amiri" w:eastAsia="Amiri" w:cs="Amiri"/>
          <w:lang w:bidi="ar-SA"/>
          <w:color w:val="111111"/>
          <w:sz w:val="28"/>
          <w:szCs w:val="28"/>
          <w:rtl/>
        </w:rPr>
        <w:t xml:space="preserve">و منها:کلماتهم فی مستثنیات بیع أُمّ الولد ردّاً و قبولاً </w:t>
      </w:r>
      <w:r>
        <w:rPr>
          <w:rStyle w:val="FootnoteReference"/>
        </w:rPr>
        <w:footnoteReference w:id="1097"/>
      </w:r>
      <w:r>
        <w:rPr>
          <w:rFonts w:ascii="IRNazanin" w:hAnsi="IRNazanin" w:eastAsia="IRNazanin" w:cs="IRNazanin"/>
          <w:lang w:bidi="fa-IR"/>
          <w:color w:val="111111"/>
          <w:sz w:val="28"/>
          <w:szCs w:val="28"/>
          <w:rtl/>
        </w:rPr>
        <w:t xml:space="preserve">فإنّها کالصریحة فی أنّ الممنوع مطلق نقلها،لا خصوص البیع.</w:t>
      </w:r>
    </w:p>
    <w:p>
      <w:pPr>
        <w:pStyle w:val="BookText"/>
      </w:pPr>
      <w:r>
        <w:rPr>
          <w:rFonts w:ascii="IRNazanin" w:hAnsi="IRNazanin" w:eastAsia="IRNazanin" w:cs="IRNazanin"/>
          <w:lang w:bidi="fa-IR"/>
          <w:color w:val="111111"/>
          <w:sz w:val="28"/>
          <w:szCs w:val="28"/>
          <w:rtl/>
        </w:rPr>
        <w:t xml:space="preserve">و بالجملة،فلا یبقی للمتأمّل شکّ فی ثبوت حکم البیع لغیره من النواقل.</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ذلک کلّه،فقد جزم بعض سادة مشایخنا </w:t>
      </w:r>
      <w:r>
        <w:rPr>
          <w:rStyle w:val="FootnoteReference"/>
        </w:rPr>
        <w:footnoteReference w:id="1098"/>
      </w:r>
      <w:r>
        <w:rPr>
          <w:rFonts w:ascii="IRNazanin" w:hAnsi="IRNazanin" w:eastAsia="IRNazanin" w:cs="IRNazanin"/>
          <w:lang w:bidi="fa-IR"/>
          <w:color w:val="111111"/>
          <w:sz w:val="28"/>
          <w:szCs w:val="28"/>
          <w:rtl/>
        </w:rPr>
        <w:t xml:space="preserve">بجواز غیر البیع من النواقل؛للأُصول و خلوّ کلام المعظم عن حکم غیر البیع.و قد عرفت ظهوره من تضاعیف کلمات المعظم فی الموارد المختلفة،و مع ذلک فهو الظاهر من المبسوط و السرائر،حیث قالا </w:t>
      </w:r>
      <w:r>
        <w:rPr>
          <w:rStyle w:val="FootnoteReference"/>
        </w:rPr>
        <w:footnoteReference w:id="1099"/>
      </w:r>
      <w:r>
        <w:rPr>
          <w:rFonts w:ascii="IRNazanin" w:hAnsi="IRNazanin" w:eastAsia="IRNazanin" w:cs="IRNazanin"/>
          <w:lang w:bidi="fa-IR"/>
          <w:color w:val="111111"/>
          <w:sz w:val="28"/>
          <w:szCs w:val="28"/>
          <w:rtl/>
        </w:rPr>
        <w:t xml:space="preserve">:إذا مات ولدها جاز بیعها و هبتها و التصرّف فیها بسائر أنواع التصرّف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ادّعی فی الإیضاح الإجماع صریحاً علی المنع عن کلّ ناقل </w:t>
      </w:r>
      <w:r>
        <w:rPr>
          <w:rStyle w:val="FootnoteReference"/>
        </w:rPr>
        <w:footnoteReference w:id="1101"/>
      </w:r>
      <w:r>
        <w:rPr>
          <w:rFonts w:ascii="IRNazanin" w:hAnsi="IRNazanin" w:eastAsia="IRNazanin" w:cs="IRNazanin"/>
          <w:lang w:bidi="fa-IR"/>
          <w:color w:val="111111"/>
          <w:sz w:val="28"/>
          <w:szCs w:val="28"/>
          <w:rtl/>
        </w:rPr>
        <w:t xml:space="preserve">، و أرسله بعضهم کصاحب الریاض </w:t>
      </w:r>
      <w:r>
        <w:rPr>
          <w:rStyle w:val="FootnoteReference"/>
        </w:rPr>
        <w:footnoteReference w:id="1102"/>
      </w:r>
      <w:r>
        <w:rPr>
          <w:rFonts w:ascii="Amiri" w:hAnsi="Amiri" w:eastAsia="Amiri" w:cs="Amiri"/>
          <w:lang w:bidi="ar-SA"/>
          <w:color w:val="111111"/>
          <w:sz w:val="28"/>
          <w:szCs w:val="28"/>
          <w:rtl/>
        </w:rPr>
        <w:t xml:space="preserve">و جماعة </w:t>
      </w:r>
      <w:r>
        <w:rPr>
          <w:rStyle w:val="FootnoteReference"/>
        </w:rPr>
        <w:footnoteReference w:id="1103"/>
      </w:r>
      <w:r>
        <w:rPr>
          <w:rFonts w:ascii="IRNazanin" w:hAnsi="IRNazanin" w:eastAsia="IRNazanin" w:cs="IRNazanin"/>
          <w:lang w:bidi="fa-IR"/>
          <w:color w:val="111111"/>
          <w:sz w:val="28"/>
          <w:szCs w:val="28"/>
          <w:rtl/>
        </w:rPr>
        <w:t xml:space="preserve">إرسال المسلّمات،بل عبارة بعضهم ظاهرة فی دعوی الاتّفاق،حیث قال:إنّ الاستیلاد مانع من صحّة التصرّفات الناقلة من ملک المولی إلی ملک غیره،أو المعرّضة لها للدخول فی ملک غیره کالرهن،علی خلافٍ فی ذلک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عموم المنع لکلّ ناقل و عدم اختصاصه بالبیع قول جمیع المسلمین،و الوجه فیه:ظهور أدلّة المنع المعنونة بالبیع </w:t>
      </w:r>
      <w:r>
        <w:rPr>
          <w:rStyle w:val="FootnoteReference"/>
        </w:rPr>
        <w:footnoteReference w:id="1105"/>
      </w:r>
      <w:r>
        <w:rPr>
          <w:rFonts w:ascii="IRNazanin" w:hAnsi="IRNazanin" w:eastAsia="IRNazanin" w:cs="IRNazanin"/>
          <w:lang w:bidi="fa-IR"/>
          <w:color w:val="111111"/>
          <w:sz w:val="28"/>
          <w:szCs w:val="28"/>
          <w:rtl/>
        </w:rPr>
        <w:t xml:space="preserve">فی إرادة مطلق النقل،فإنّ مثل قول أمیر المؤمنین علیه السلام فی الروایة السابقة:«خذ</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بیدها،و قل:من یشتری أُمّ ولدی؟» </w:t>
      </w:r>
      <w:r>
        <w:rPr>
          <w:rStyle w:val="FootnoteReference"/>
        </w:rPr>
        <w:footnoteReference w:id="1106"/>
      </w:r>
      <w:r>
        <w:rPr>
          <w:rFonts w:ascii="IRNazanin" w:hAnsi="IRNazanin" w:eastAsia="IRNazanin" w:cs="IRNazanin"/>
          <w:lang w:bidi="fa-IR"/>
          <w:color w:val="111111"/>
          <w:sz w:val="28"/>
          <w:szCs w:val="28"/>
          <w:rtl/>
        </w:rPr>
        <w:t xml:space="preserve">،یدلّ علی أنّ مطلق نقل أُمّ الولد إلی الغیر کان من المنکرات،و هو مقتضی التأمّل فیما سیجیء من أخبار بیع أُمّ الولد فی ثمن رقبتها </w:t>
      </w:r>
      <w:r>
        <w:rPr>
          <w:rStyle w:val="FootnoteReference"/>
        </w:rPr>
        <w:footnoteReference w:id="1107"/>
      </w:r>
      <w:r>
        <w:rPr>
          <w:rFonts w:ascii="IRNazanin" w:hAnsi="IRNazanin" w:eastAsia="IRNazanin" w:cs="IRNazanin"/>
          <w:lang w:bidi="fa-IR"/>
          <w:color w:val="111111"/>
          <w:sz w:val="28"/>
          <w:szCs w:val="28"/>
          <w:rtl/>
        </w:rPr>
        <w:t xml:space="preserve">و عدم جوازه فیما سوی ذلک.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هذا مضافاً إلی ما اشتهر و إن لم نجد نصّاً علیه-:من أنّ الوجه فی المنع هو بقاؤها رجاءً لانعتاقها من نصیب ولدها بعد موت سیّدها.</w:t>
      </w:r>
    </w:p>
    <w:p>
      <w:pPr>
        <w:pStyle w:val="BookText"/>
      </w:pPr>
      <w:r>
        <w:rPr>
          <w:rFonts w:ascii="IRNazanin" w:hAnsi="IRNazanin" w:eastAsia="IRNazanin" w:cs="IRNazanin"/>
          <w:lang w:bidi="fa-IR"/>
          <w:color w:val="111111"/>
          <w:sz w:val="28"/>
          <w:szCs w:val="28"/>
          <w:rtl/>
        </w:rPr>
        <w:t xml:space="preserve">و الحاصل:أنّه لا إشکال فی عموم المنع لجمیع النواقل.</w:t>
      </w:r>
    </w:p>
    <w:p>
      <w:pPr>
        <w:pStyle w:val="BookText"/>
      </w:pPr>
      <w:r>
        <w:rPr>
          <w:rFonts w:ascii="Amiri" w:hAnsi="Amiri" w:eastAsia="Amiri" w:cs="Amiri"/>
          <w:lang w:bidi="ar-SA"/>
          <w:color w:val="111111"/>
          <w:sz w:val="28"/>
          <w:szCs w:val="28"/>
          <w:rtl/>
        </w:rPr>
        <w:t xml:space="preserve">ثمّ إنّ المنع مختصّ بعدم هلاک الولد،فلو هلک جاز اتّفاقاً فتوًی و نصّاً.</w:t>
      </w:r>
    </w:p>
    <w:p>
      <w:pPr>
        <w:pStyle w:val="BookText"/>
      </w:pPr>
      <w:r>
        <w:rPr>
          <w:rFonts w:ascii="IRNazanin" w:hAnsi="IRNazanin" w:eastAsia="IRNazanin" w:cs="IRNazanin"/>
          <w:lang w:bidi="fa-IR"/>
          <w:color w:val="111111"/>
          <w:sz w:val="28"/>
          <w:szCs w:val="28"/>
          <w:rtl/>
        </w:rPr>
        <w:t xml:space="preserve">و لو مات الولد و خلّف ولداً:</w:t>
      </w:r>
    </w:p>
    <w:p>
      <w:pPr>
        <w:pStyle w:val="BookText"/>
      </w:pPr>
      <w:r>
        <w:rPr>
          <w:rFonts w:ascii="IRNazanin" w:hAnsi="IRNazanin" w:eastAsia="IRNazanin" w:cs="IRNazanin"/>
          <w:lang w:bidi="fa-IR"/>
          <w:color w:val="111111"/>
          <w:sz w:val="28"/>
          <w:szCs w:val="28"/>
          <w:rtl/>
        </w:rPr>
        <w:t xml:space="preserve">ففی إجراء حکم الولد علیه؛لأصالة بقاء المنع،و لصدق الاسم فیندرج فی إطلاق الأدلّة،و تغلیباً للحرّیة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العدم؛لکونه حقیقة فی ولد الصلب،و ظهور إرادته من جملةٍ من الأخبار،و إطلاق ما دلّ من النصوص و الإجماع علی الجواز بعد موت ولدها.</w:t>
      </w:r>
    </w:p>
    <w:p>
      <w:pPr>
        <w:pStyle w:val="BookText"/>
      </w:pPr>
      <w:r>
        <w:rPr>
          <w:rFonts w:ascii="IRNazanin" w:hAnsi="IRNazanin" w:eastAsia="IRNazanin" w:cs="IRNazanin"/>
          <w:lang w:bidi="fa-IR"/>
          <w:color w:val="111111"/>
          <w:sz w:val="28"/>
          <w:szCs w:val="28"/>
          <w:rtl/>
        </w:rPr>
        <w:t xml:space="preserve">أو التفصیل بین کونه وارثاً؛لعدم ولد الصلب للمولی،و عدمه؛ لمساواة الأوّل مع ولد الصلب فی الجهة المقتضیة للمنع،وجوه:</w:t>
      </w:r>
    </w:p>
    <w:p>
      <w:pPr>
        <w:pStyle w:val="BookText"/>
      </w:pPr>
      <w:r>
        <w:rPr>
          <w:rFonts w:ascii="IRNazanin" w:hAnsi="IRNazanin" w:eastAsia="IRNazanin" w:cs="IRNazanin"/>
          <w:lang w:bidi="fa-IR"/>
          <w:color w:val="111111"/>
          <w:sz w:val="28"/>
          <w:szCs w:val="28"/>
          <w:rtl/>
        </w:rPr>
        <w:t xml:space="preserve">حکی أوّلها عن الإیضاح </w:t>
      </w:r>
      <w:r>
        <w:rPr>
          <w:rStyle w:val="FootnoteReference"/>
        </w:rPr>
        <w:footnoteReference w:id="1109"/>
      </w:r>
      <w:r>
        <w:rPr>
          <w:rFonts w:ascii="IRNazanin" w:hAnsi="IRNazanin" w:eastAsia="IRNazanin" w:cs="IRNazanin"/>
          <w:lang w:bidi="fa-IR"/>
          <w:color w:val="111111"/>
          <w:sz w:val="28"/>
          <w:szCs w:val="28"/>
          <w:rtl/>
        </w:rPr>
        <w:t xml:space="preserve">،و ثالثها عن المهذّب البارع </w:t>
      </w:r>
      <w:r>
        <w:rPr>
          <w:rStyle w:val="FootnoteReference"/>
        </w:rPr>
        <w:footnoteReference w:id="1110"/>
      </w:r>
      <w:r>
        <w:rPr>
          <w:rFonts w:ascii="IRNazanin" w:hAnsi="IRNazanin" w:eastAsia="IRNazanin" w:cs="IRNazanin"/>
          <w:lang w:bidi="fa-IR"/>
          <w:color w:val="111111"/>
          <w:sz w:val="28"/>
          <w:szCs w:val="28"/>
          <w:rtl/>
        </w:rPr>
        <w:t xml:space="preserve">و نهایة المرام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القواعد </w:t>
      </w:r>
      <w:r>
        <w:rPr>
          <w:rStyle w:val="FootnoteReference"/>
        </w:rPr>
        <w:footnoteReference w:id="1112"/>
      </w:r>
      <w:r>
        <w:rPr>
          <w:rFonts w:ascii="IRNazanin" w:hAnsi="IRNazanin" w:eastAsia="IRNazanin" w:cs="IRNazanin"/>
          <w:lang w:bidi="fa-IR"/>
          <w:color w:val="111111"/>
          <w:sz w:val="28"/>
          <w:szCs w:val="28"/>
          <w:rtl/>
        </w:rPr>
        <w:t xml:space="preserve">و الدروس </w:t>
      </w:r>
      <w:r>
        <w:rPr>
          <w:rStyle w:val="FootnoteReference"/>
        </w:rPr>
        <w:footnoteReference w:id="1113"/>
      </w:r>
      <w:r>
        <w:rPr>
          <w:rFonts w:ascii="IRNazanin" w:hAnsi="IRNazanin" w:eastAsia="IRNazanin" w:cs="IRNazanin"/>
          <w:lang w:bidi="fa-IR"/>
          <w:color w:val="111111"/>
          <w:sz w:val="28"/>
          <w:szCs w:val="28"/>
          <w:rtl/>
        </w:rPr>
        <w:t xml:space="preserve">و غیرهما </w:t>
      </w:r>
      <w:r>
        <w:rPr>
          <w:rStyle w:val="FootnoteReference"/>
        </w:rPr>
        <w:footnoteReference w:id="1114"/>
      </w:r>
      <w:r>
        <w:rPr>
          <w:rFonts w:ascii="Amiri" w:hAnsi="Amiri" w:eastAsia="Amiri" w:cs="Amiri"/>
          <w:lang w:bidi="ar-SA"/>
          <w:color w:val="111111"/>
          <w:sz w:val="28"/>
          <w:szCs w:val="28"/>
          <w:rtl/>
        </w:rPr>
        <w:t xml:space="preserve">:التردّد.</w:t>
      </w:r>
    </w:p>
    <w:p>
      <w:pPr>
        <w:pStyle w:val="BookText"/>
      </w:pPr>
      <w:r>
        <w:rPr>
          <w:rFonts w:ascii="IRNazanin" w:hAnsi="IRNazanin" w:eastAsia="IRNazanin" w:cs="IRNazanin"/>
          <w:lang w:bidi="fa-IR"/>
          <w:color w:val="111111"/>
          <w:sz w:val="28"/>
          <w:szCs w:val="28"/>
          <w:rtl/>
        </w:rPr>
        <w:t xml:space="preserve">بقی الکلام فی معنی«أُمّ الولد»، فإنّ ظاهر اللفظ اعتبار انفصال الحمل؛إذ لا یصدق الولد إلّا بالولادة.لکن المراد هنا مجازاً ولدها </w:t>
      </w:r>
      <w:r>
        <w:rPr>
          <w:rStyle w:val="FootnoteReference"/>
        </w:rPr>
        <w:footnoteReference w:id="1115"/>
      </w:r>
      <w:r>
        <w:rPr>
          <w:rFonts w:ascii="Amiri" w:hAnsi="Amiri" w:eastAsia="Amiri" w:cs="Amiri"/>
          <w:lang w:bidi="ar-SA"/>
          <w:color w:val="111111"/>
          <w:sz w:val="28"/>
          <w:szCs w:val="28"/>
          <w:rtl/>
        </w:rPr>
        <w:t xml:space="preserve">و لو حملاً </w:t>
      </w:r>
      <w:r>
        <w:rPr>
          <w:rStyle w:val="FootnoteReference"/>
        </w:rPr>
        <w:footnoteReference w:id="1116"/>
      </w:r>
      <w:r>
        <w:rPr>
          <w:rFonts w:ascii="IRNazanin" w:hAnsi="IRNazanin" w:eastAsia="IRNazanin" w:cs="IRNazanin"/>
          <w:lang w:bidi="fa-IR"/>
          <w:color w:val="111111"/>
          <w:sz w:val="28"/>
          <w:szCs w:val="28"/>
          <w:rtl/>
        </w:rPr>
        <w:t xml:space="preserve">للمشارفة.و یحتمل أن یراد الولادة من الوالد دون الوالدة.و کیف کان،فلا إشکال،بل لا خلاف فی تحقّق الموضوع بمجرّد الحمل.</w:t>
      </w:r>
    </w:p>
    <w:p>
      <w:pPr>
        <w:pStyle w:val="BookText"/>
      </w:pPr>
      <w:r>
        <w:rPr>
          <w:rFonts w:ascii="IRNazanin" w:hAnsi="IRNazanin" w:eastAsia="IRNazanin" w:cs="IRNazanin"/>
          <w:lang w:bidi="fa-IR"/>
          <w:color w:val="111111"/>
          <w:sz w:val="28"/>
          <w:szCs w:val="28"/>
          <w:rtl/>
        </w:rPr>
        <w:t xml:space="preserve">و یدلّ علیه:الصحیح عن محمّد بن مارد،عن أبی عبد اللّٰه علیه السلام:</w:t>
      </w:r>
    </w:p>
    <w:p>
      <w:pPr>
        <w:pStyle w:val="BookText"/>
      </w:pPr>
      <w:r>
        <w:rPr>
          <w:rFonts w:ascii="IRNazanin" w:hAnsi="IRNazanin" w:eastAsia="IRNazanin" w:cs="IRNazanin"/>
          <w:lang w:bidi="fa-IR"/>
          <w:color w:val="111111"/>
          <w:sz w:val="28"/>
          <w:szCs w:val="28"/>
          <w:rtl/>
        </w:rPr>
        <w:t xml:space="preserve">«فی الرجل یتزوّج أمة،فتلد منه </w:t>
      </w:r>
      <w:r>
        <w:rPr>
          <w:rStyle w:val="FootnoteReference"/>
        </w:rPr>
        <w:footnoteReference w:id="1117"/>
      </w:r>
      <w:r>
        <w:rPr>
          <w:rFonts w:ascii="IRNazanin" w:hAnsi="IRNazanin" w:eastAsia="IRNazanin" w:cs="IRNazanin"/>
          <w:lang w:bidi="fa-IR"/>
          <w:color w:val="111111"/>
          <w:sz w:val="28"/>
          <w:szCs w:val="28"/>
          <w:rtl/>
        </w:rPr>
        <w:t xml:space="preserve">أولاداً،ثمّ یشتریها فتمکث عنده ما شاء اللّٰه لم تلد منه شیئاً بعد ما ملکها،ثمّ یبدو له فی بیعها،قال:</w:t>
      </w:r>
    </w:p>
    <w:p>
      <w:pPr>
        <w:pStyle w:val="BookText"/>
      </w:pPr>
      <w:r>
        <w:rPr>
          <w:rFonts w:ascii="IRNazanin" w:hAnsi="IRNazanin" w:eastAsia="IRNazanin" w:cs="IRNazanin"/>
          <w:lang w:bidi="fa-IR"/>
          <w:color w:val="111111"/>
          <w:sz w:val="28"/>
          <w:szCs w:val="28"/>
          <w:rtl/>
        </w:rPr>
        <w:t xml:space="preserve">هی أمته إن شاء باع ما لم یحدث عنده حمل[بعد ذلک </w:t>
      </w:r>
      <w:r>
        <w:rPr>
          <w:rStyle w:val="FootnoteReference"/>
        </w:rPr>
        <w:footnoteReference w:id="1118"/>
      </w:r>
      <w:r>
        <w:rPr>
          <w:rFonts w:ascii="IRNazanin" w:hAnsi="IRNazanin" w:eastAsia="IRNazanin" w:cs="IRNazanin"/>
          <w:lang w:bidi="fa-IR"/>
          <w:color w:val="111111"/>
          <w:sz w:val="28"/>
          <w:szCs w:val="28"/>
          <w:rtl/>
        </w:rPr>
        <w:t xml:space="preserve">]و إن شاء أعتق»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السکونی،عن جعفر بن محمّد،قال:«قال علی بن</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صلوات اللّٰه علیهم أجمعین </w:t>
      </w:r>
      <w:r>
        <w:rPr>
          <w:rStyle w:val="FootnoteReference"/>
        </w:rPr>
        <w:footnoteReference w:id="1120"/>
      </w:r>
      <w:r>
        <w:rPr>
          <w:rFonts w:ascii="IRNazanin" w:hAnsi="IRNazanin" w:eastAsia="IRNazanin" w:cs="IRNazanin"/>
          <w:lang w:bidi="fa-IR"/>
          <w:color w:val="111111"/>
          <w:sz w:val="28"/>
          <w:szCs w:val="28"/>
          <w:rtl/>
        </w:rPr>
        <w:t xml:space="preserve">فی مکاتبة یطؤها مولاها فتحبل،فقال:یردّ علیها مهر مثلها،و تسعی فی رقبتها </w:t>
      </w:r>
      <w:r>
        <w:rPr>
          <w:rStyle w:val="FootnoteReference"/>
        </w:rPr>
        <w:footnoteReference w:id="1121"/>
      </w:r>
      <w:r>
        <w:rPr>
          <w:rFonts w:ascii="IRNazanin" w:hAnsi="IRNazanin" w:eastAsia="IRNazanin" w:cs="IRNazanin"/>
          <w:lang w:bidi="fa-IR"/>
          <w:color w:val="111111"/>
          <w:sz w:val="28"/>
          <w:szCs w:val="28"/>
          <w:rtl/>
        </w:rPr>
        <w:t xml:space="preserve">،فإن عجزت فهی من أُمّهات الأولاد»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دلالتها علی ثبوت الحکم بمجرّد الحمل نظر؛لأنّ زمان الحکم بعد تحقّق السعی و العجز عقیب الحمل،و الغالب ولوج الروح حینئذٍ.</w:t>
      </w:r>
    </w:p>
    <w:p>
      <w:pPr>
        <w:pStyle w:val="BookText"/>
      </w:pPr>
      <w:r>
        <w:rPr>
          <w:rFonts w:ascii="IRNazanin" w:hAnsi="IRNazanin" w:eastAsia="IRNazanin" w:cs="IRNazanin"/>
          <w:lang w:bidi="fa-IR"/>
          <w:color w:val="111111"/>
          <w:sz w:val="28"/>
          <w:szCs w:val="28"/>
          <w:rtl/>
        </w:rPr>
        <w:t xml:space="preserve">ثمّ الحمل یصدق بالمضغة اتّفاقاً،علی ما صرّح فی الریاض </w:t>
      </w:r>
      <w:r>
        <w:rPr>
          <w:rStyle w:val="FootnoteReference"/>
        </w:rPr>
        <w:footnoteReference w:id="1123"/>
      </w:r>
      <w:r>
        <w:rPr>
          <w:rFonts w:ascii="IRNazanin" w:hAnsi="IRNazanin" w:eastAsia="IRNazanin" w:cs="IRNazanin"/>
          <w:lang w:bidi="fa-IR"/>
          <w:color w:val="111111"/>
          <w:sz w:val="28"/>
          <w:szCs w:val="28"/>
          <w:rtl/>
        </w:rPr>
        <w:t xml:space="preserve">، و استظهره بعض آخر </w:t>
      </w:r>
      <w:r>
        <w:rPr>
          <w:rStyle w:val="FootnoteReference"/>
        </w:rPr>
        <w:footnoteReference w:id="1124"/>
      </w:r>
      <w:r>
        <w:rPr>
          <w:rFonts w:ascii="IRNazanin" w:hAnsi="IRNazanin" w:eastAsia="IRNazanin" w:cs="IRNazanin"/>
          <w:lang w:bidi="fa-IR"/>
          <w:color w:val="111111"/>
          <w:sz w:val="28"/>
          <w:szCs w:val="28"/>
          <w:rtl/>
        </w:rPr>
        <w:t xml:space="preserve">و حکاه عن جماعة هنا و فی باب انقضاء عدّة الحامل.</w:t>
      </w:r>
    </w:p>
    <w:p>
      <w:pPr>
        <w:pStyle w:val="BookText"/>
      </w:pPr>
      <w:r>
        <w:rPr>
          <w:rFonts w:ascii="IRNazanin" w:hAnsi="IRNazanin" w:eastAsia="IRNazanin" w:cs="IRNazanin"/>
          <w:lang w:bidi="fa-IR"/>
          <w:color w:val="111111"/>
          <w:sz w:val="28"/>
          <w:szCs w:val="28"/>
          <w:rtl/>
        </w:rPr>
        <w:t xml:space="preserve">و فی صحیحة ابن الحجّاج،قال:«سألت أبا الحسن علیه السلام عن الحبلی یطلّقها زوجها ثمّ تضع سقطاً تمّ أو لم یتمّ أو وضعته مضغة، أ تنقضی عدّتها </w:t>
      </w:r>
      <w:r>
        <w:rPr>
          <w:rStyle w:val="FootnoteReference"/>
        </w:rPr>
        <w:footnoteReference w:id="1125"/>
      </w:r>
      <w:r>
        <w:rPr>
          <w:rFonts w:ascii="IRNazanin" w:hAnsi="IRNazanin" w:eastAsia="IRNazanin" w:cs="IRNazanin"/>
          <w:lang w:bidi="fa-IR"/>
          <w:color w:val="111111"/>
          <w:sz w:val="28"/>
          <w:szCs w:val="28"/>
          <w:rtl/>
        </w:rPr>
        <w:t xml:space="preserve">؟فقال علیه السلام:کلّ شیء وضعته یستبین أنّه حمل تمّ</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لم یتمّ فقد انقضت عدّتها و إن کان مضغة»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الظاهر صدق«الحمل»علی العلقة،و قوله علیه السلام:«و إن کانت مضغة»تقریر لکلام السائل،لا بیان لأقلّ مراتب الحمل کما عن الإسکافی </w:t>
      </w:r>
      <w:r>
        <w:rPr>
          <w:rStyle w:val="FootnoteReference"/>
        </w:rPr>
        <w:footnoteReference w:id="1127"/>
      </w:r>
      <w:r>
        <w:rPr>
          <w:rFonts w:ascii="IRNazanin" w:hAnsi="IRNazanin" w:eastAsia="IRNazanin" w:cs="IRNazanin"/>
          <w:lang w:bidi="fa-IR"/>
          <w:color w:val="111111"/>
          <w:sz w:val="28"/>
          <w:szCs w:val="28"/>
          <w:rtl/>
        </w:rPr>
        <w:t xml:space="preserve">و حینئذٍ فیتّجه الحکم بتحقّق الموضوع بالعلقة کما عن بعض </w:t>
      </w:r>
      <w:r>
        <w:rPr>
          <w:rStyle w:val="FootnoteReference"/>
        </w:rPr>
        <w:footnoteReference w:id="1128"/>
      </w:r>
      <w:r>
        <w:rPr>
          <w:rFonts w:ascii="IRNazanin" w:hAnsi="IRNazanin" w:eastAsia="IRNazanin" w:cs="IRNazanin"/>
          <w:lang w:bidi="fa-IR"/>
          <w:color w:val="111111"/>
          <w:sz w:val="28"/>
          <w:szCs w:val="28"/>
          <w:rtl/>
        </w:rPr>
        <w:t xml:space="preserve">،بل عن الإیضاح </w:t>
      </w:r>
      <w:r>
        <w:rPr>
          <w:rStyle w:val="FootnoteReference"/>
        </w:rPr>
        <w:footnoteReference w:id="1129"/>
      </w:r>
      <w:r>
        <w:rPr>
          <w:rFonts w:ascii="IRNazanin" w:hAnsi="IRNazanin" w:eastAsia="IRNazanin" w:cs="IRNazanin"/>
          <w:lang w:bidi="fa-IR"/>
          <w:color w:val="111111"/>
          <w:sz w:val="28"/>
          <w:szCs w:val="28"/>
          <w:rtl/>
        </w:rPr>
        <w:t xml:space="preserve">و المهذّب البارع </w:t>
      </w:r>
      <w:r>
        <w:rPr>
          <w:rStyle w:val="FootnoteReference"/>
        </w:rPr>
        <w:footnoteReference w:id="1130"/>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و فی المبسوط فیما إذا ألقت جسداً لیس فیه تخطیط لا ظاهر و لا خفیّ،لکن قالت القوابل:إنّه مبدأ خلق آدمیّ،و إنّه لو بقی لتخلّق </w:t>
      </w:r>
      <w:r>
        <w:rPr>
          <w:rStyle w:val="FootnoteReference"/>
        </w:rPr>
        <w:footnoteReference w:id="1131"/>
      </w:r>
      <w:r>
        <w:rPr>
          <w:rFonts w:ascii="IRNazanin" w:hAnsi="IRNazanin" w:eastAsia="IRNazanin" w:cs="IRNazanin"/>
          <w:lang w:bidi="fa-IR"/>
          <w:color w:val="111111"/>
          <w:sz w:val="28"/>
          <w:szCs w:val="28"/>
          <w:rtl/>
        </w:rPr>
        <w:t xml:space="preserve">و تصوّر-:قال قوم:إنّها لا تصیر أُمّ ولد بذلک.و قال بعضهم:تصیر أُمّ ولد.و هو مذهبنا </w:t>
      </w:r>
      <w:r>
        <w:rPr>
          <w:rStyle w:val="FootnoteReference"/>
        </w:rPr>
        <w:footnoteReference w:id="1132"/>
      </w:r>
      <w:r>
        <w:rPr>
          <w:rFonts w:ascii="IRNazanin" w:hAnsi="IRNazanin" w:eastAsia="IRNazanin" w:cs="IRNazanin"/>
          <w:lang w:bidi="fa-IR"/>
          <w:color w:val="111111"/>
          <w:sz w:val="28"/>
          <w:szCs w:val="28"/>
          <w:rtl/>
        </w:rPr>
        <w:t xml:space="preserve">،انتهی.و لا یخلو عن قوّة؛لصدق الحمل.</w:t>
      </w:r>
    </w:p>
    <w:p>
      <w:pPr>
        <w:pStyle w:val="BookText"/>
      </w:pPr>
      <w:r>
        <w:rPr>
          <w:rFonts w:ascii="IRNazanin" w:hAnsi="IRNazanin" w:eastAsia="IRNazanin" w:cs="IRNazanin"/>
          <w:lang w:bidi="fa-IR"/>
          <w:color w:val="111111"/>
          <w:sz w:val="28"/>
          <w:szCs w:val="28"/>
          <w:rtl/>
        </w:rPr>
        <w:t xml:space="preserve">و أمّا النطفة:فهی بمجرّدها لا عبرة بها ما لم تستقرّ فی الرحم؛ لعدم صدق کونها حاملاً،و علی هذا الفرد ینزّل إجماع الفاضل المقداد علی عدم العبرة بها فی العدّة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w:t>
      </w:r>
      <w:r>
        <w:rPr>
          <w:rStyle w:val="FootnoteReference"/>
        </w:rPr>
        <w:footnoteReference w:id="1134"/>
      </w:r>
      <w:r>
        <w:rPr>
          <w:rFonts w:ascii="IRNazanin" w:hAnsi="IRNazanin" w:eastAsia="IRNazanin" w:cs="IRNazanin"/>
          <w:lang w:bidi="fa-IR"/>
          <w:color w:val="111111"/>
          <w:sz w:val="28"/>
          <w:szCs w:val="28"/>
          <w:rtl/>
        </w:rPr>
        <w:t xml:space="preserve">مع استقرارها فی الرحم،فالمحکیّ عن نهایة الشیخ:تحقّق الاستیلاد بها </w:t>
      </w:r>
      <w:r>
        <w:rPr>
          <w:rStyle w:val="FootnoteReference"/>
        </w:rPr>
        <w:footnoteReference w:id="1135"/>
      </w:r>
      <w:r>
        <w:rPr>
          <w:rFonts w:ascii="IRNazanin" w:hAnsi="IRNazanin" w:eastAsia="IRNazanin" w:cs="IRNazanin"/>
          <w:lang w:bidi="fa-IR"/>
          <w:color w:val="111111"/>
          <w:sz w:val="28"/>
          <w:szCs w:val="28"/>
          <w:rtl/>
        </w:rPr>
        <w:t xml:space="preserve">،و هو الذی قوّاه فی المبسوط فی باب العدّة بعد أن نقل عن المخالفین عدم انقضاء العدّة به مستدلاً بعموم الآیة و الأخبار </w:t>
      </w:r>
      <w:r>
        <w:rPr>
          <w:rStyle w:val="FootnoteReference"/>
        </w:rPr>
        <w:footnoteReference w:id="1136"/>
      </w:r>
      <w:r>
        <w:rPr>
          <w:rFonts w:ascii="IRNazanin" w:hAnsi="IRNazanin" w:eastAsia="IRNazanin" w:cs="IRNazanin"/>
          <w:lang w:bidi="fa-IR"/>
          <w:color w:val="111111"/>
          <w:sz w:val="28"/>
          <w:szCs w:val="28"/>
          <w:rtl/>
        </w:rPr>
        <w:t xml:space="preserve">،و مرجعه إلی صدق الحمل.</w:t>
      </w:r>
    </w:p>
    <w:p>
      <w:pPr>
        <w:pStyle w:val="BookText"/>
      </w:pPr>
      <w:r>
        <w:rPr>
          <w:rFonts w:ascii="IRNazanin" w:hAnsi="IRNazanin" w:eastAsia="IRNazanin" w:cs="IRNazanin"/>
          <w:lang w:bidi="fa-IR"/>
          <w:color w:val="111111"/>
          <w:sz w:val="28"/>
          <w:szCs w:val="28"/>
          <w:rtl/>
        </w:rPr>
        <w:t xml:space="preserve">و دعوی:أنّ إطلاق«الحامل»حینئذٍ مجاز بالمشارفة،یکذّبها التأمّل فی الاستعمالات.و ربما یُحکی </w:t>
      </w:r>
      <w:r>
        <w:rPr>
          <w:rStyle w:val="FootnoteReference"/>
        </w:rPr>
        <w:footnoteReference w:id="1137"/>
      </w:r>
      <w:r>
        <w:rPr>
          <w:rFonts w:ascii="IRNazanin" w:hAnsi="IRNazanin" w:eastAsia="IRNazanin" w:cs="IRNazanin"/>
          <w:lang w:bidi="fa-IR"/>
          <w:color w:val="111111"/>
          <w:sz w:val="28"/>
          <w:szCs w:val="28"/>
          <w:rtl/>
        </w:rPr>
        <w:t xml:space="preserve">عن التحریر موافقة الشیخ،مع أنّه لم یزد فیه علی حکایة الحکم عن الشیخ </w:t>
      </w:r>
      <w:r>
        <w:rPr>
          <w:rStyle w:val="FootnoteReference"/>
        </w:rPr>
        <w:footnoteReference w:id="1138"/>
      </w:r>
      <w:r>
        <w:rPr>
          <w:rFonts w:ascii="IRNazanin" w:hAnsi="IRNazanin" w:eastAsia="IRNazanin" w:cs="IRNazanin"/>
          <w:lang w:bidi="fa-IR"/>
          <w:color w:val="111111"/>
          <w:sz w:val="28"/>
          <w:szCs w:val="28"/>
          <w:rtl/>
        </w:rPr>
        <w:t xml:space="preserve">.نعم،فی بعض نسخ التحریر لفظ یوهم ذلک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نعم،قوّی التحریر موافقته فیما تقدّم عن الشیخ فی مسألة الجسد الذی لیس فیه تخطیط </w:t>
      </w:r>
      <w:r>
        <w:rPr>
          <w:rStyle w:val="FootnoteReference"/>
        </w:rPr>
        <w:footnoteReference w:id="1140"/>
      </w:r>
      <w:r>
        <w:rPr>
          <w:rFonts w:ascii="IRNazanin" w:hAnsi="IRNazanin" w:eastAsia="IRNazanin" w:cs="IRNazanin"/>
          <w:lang w:bidi="fa-IR"/>
          <w:color w:val="111111"/>
          <w:sz w:val="28"/>
          <w:szCs w:val="28"/>
          <w:rtl/>
        </w:rPr>
        <w:t xml:space="preserve">.و نُسب القول المذکور إلی الجامع أیضاً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اعلم أنّ ثمرة تحقّق الموضوع فیما إذا ألقت المملوکة ما فی بطنها، إنّما تظهر فی بیعها الواقع قبل الإلقاء،فیحکم ببطلانه إذا کان الملقی</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حملاً،و أمّا بیعها بعد الإلقاء فیصحّ بلا إشکال.و حینئذٍ فلو وطأها المولی ثمّ جاءت بولدٍ تامٍّ أو غیر تامّ،فیحکم ببطلان البیع الواقع بین أوّل زمان العلوق و زمان الإلقاء.و عن المسالک:الإجماع علی ذلک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فذِکر صور الإلقاء المضغة،و العلقة،و النطفة فی باب العدّة إنّما هو لبیان انقضاء العدّة بالإلقاء،و فی باب الاستیلاد لبیان کشفها عن أنّ المملوکة بعد الوطء صارت أُمّ ولد،لا أنّ البیع الواقع قبل تحقّق العلقة صحیح إلی </w:t>
      </w:r>
      <w:r>
        <w:rPr>
          <w:rStyle w:val="FootnoteReference"/>
        </w:rPr>
        <w:footnoteReference w:id="1143"/>
      </w:r>
      <w:r>
        <w:rPr>
          <w:rFonts w:ascii="IRNazanin" w:hAnsi="IRNazanin" w:eastAsia="IRNazanin" w:cs="IRNazanin"/>
          <w:lang w:bidi="fa-IR"/>
          <w:color w:val="111111"/>
          <w:sz w:val="28"/>
          <w:szCs w:val="28"/>
          <w:rtl/>
        </w:rPr>
        <w:t xml:space="preserve">أن تصیر النطفة علقة،و لذا عبّر الأصحاب عن سبب الاستیلاد بالعلوق الذی هو اللقاح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فرض عدم علوقها بعد الوطء إلی زمانٍ،صحّ البیع قبل العلوق.</w:t>
      </w:r>
    </w:p>
    <w:p>
      <w:pPr>
        <w:pStyle w:val="BookText"/>
      </w:pPr>
      <w:r>
        <w:rPr>
          <w:rFonts w:ascii="Amiri" w:hAnsi="Amiri" w:eastAsia="Amiri" w:cs="Amiri"/>
          <w:lang w:bidi="ar-SA"/>
          <w:color w:val="111111"/>
          <w:sz w:val="28"/>
          <w:szCs w:val="28"/>
          <w:rtl/>
        </w:rPr>
        <w:t xml:space="preserve">ثمّ إنّ المصرَّح به فی کلام بعضٍ </w:t>
      </w:r>
      <w:r>
        <w:rPr>
          <w:rStyle w:val="FootnoteReference"/>
        </w:rPr>
        <w:footnoteReference w:id="1145"/>
      </w:r>
      <w:r>
        <w:rPr>
          <w:rFonts w:ascii="IRNazanin" w:hAnsi="IRNazanin" w:eastAsia="IRNazanin" w:cs="IRNazanin"/>
          <w:lang w:bidi="fa-IR"/>
          <w:color w:val="111111"/>
          <w:sz w:val="28"/>
          <w:szCs w:val="28"/>
          <w:rtl/>
        </w:rPr>
        <w:t xml:space="preserve">حاکیاً له عن غیره </w:t>
      </w:r>
      <w:r>
        <w:rPr>
          <w:rStyle w:val="FootnoteReference"/>
        </w:rPr>
        <w:footnoteReference w:id="1146"/>
      </w:r>
      <w:r>
        <w:rPr>
          <w:rFonts w:ascii="IRNazanin" w:hAnsi="IRNazanin" w:eastAsia="IRNazanin" w:cs="IRNazanin"/>
          <w:lang w:bidi="fa-IR"/>
          <w:color w:val="111111"/>
          <w:sz w:val="28"/>
          <w:szCs w:val="28"/>
          <w:rtl/>
        </w:rPr>
        <w:t xml:space="preserve">-:أنّه لا یعتبر فی العلوق أن یکون بالوطء،فیتحقّق بالمساحقة؛لأنّ المناط هو الحمل،و کون ما یولد منها ولداً للمولی شرعاً،فلا عبرة بعد ذلک</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بانصراف الإطلاقات إلی الغالب من کون الحمل بالوطء.</w:t>
      </w:r>
    </w:p>
    <w:p>
      <w:pPr>
        <w:pStyle w:val="BookText"/>
      </w:pPr>
      <w:r>
        <w:rPr>
          <w:rFonts w:ascii="IRNazanin" w:hAnsi="IRNazanin" w:eastAsia="IRNazanin" w:cs="IRNazanin"/>
          <w:lang w:bidi="fa-IR"/>
          <w:color w:val="111111"/>
          <w:sz w:val="28"/>
          <w:szCs w:val="28"/>
          <w:rtl/>
        </w:rPr>
        <w:t xml:space="preserve">نعم،یشترط فی العلوق بالوطء أن یکون الوطء علی وجهٍ یلحق الولد بالواطئ و إن کان محرّماً،کما إذا کانت فی حیضٍ،أو ممنوعة الوطء شرعاً لعارض آخر،أمّا الأمة المزوّجة فوطؤها زنا لا یوجب لحوق الولد.</w:t>
      </w:r>
    </w:p>
    <w:p>
      <w:pPr>
        <w:pStyle w:val="BookText"/>
      </w:pPr>
      <w:r>
        <w:rPr>
          <w:rFonts w:ascii="IRNazanin" w:hAnsi="IRNazanin" w:eastAsia="IRNazanin" w:cs="IRNazanin"/>
          <w:lang w:bidi="fa-IR"/>
          <w:color w:val="111111"/>
          <w:sz w:val="28"/>
          <w:szCs w:val="28"/>
          <w:rtl/>
        </w:rPr>
        <w:t xml:space="preserve">ثمّ إنّ المشهور اعتبار الحمل فی زمان الملک،فلو ملکها بعد الحمل لم تصر أُمّ ولد.خلافاً للمحکیّ عن الشیخ </w:t>
      </w:r>
      <w:r>
        <w:rPr>
          <w:rStyle w:val="FootnoteReference"/>
        </w:rPr>
        <w:footnoteReference w:id="1147"/>
      </w:r>
      <w:r>
        <w:rPr>
          <w:rFonts w:ascii="Amiri" w:hAnsi="Amiri" w:eastAsia="Amiri" w:cs="Amiri"/>
          <w:lang w:bidi="ar-SA"/>
          <w:color w:val="111111"/>
          <w:sz w:val="28"/>
          <w:szCs w:val="28"/>
          <w:rtl/>
        </w:rPr>
        <w:t xml:space="preserve">و ابن حمزة </w:t>
      </w:r>
      <w:r>
        <w:rPr>
          <w:rStyle w:val="FootnoteReference"/>
        </w:rPr>
        <w:footnoteReference w:id="1148"/>
      </w:r>
      <w:r>
        <w:rPr>
          <w:rFonts w:ascii="IRNazanin" w:hAnsi="IRNazanin" w:eastAsia="IRNazanin" w:cs="IRNazanin"/>
          <w:lang w:bidi="fa-IR"/>
          <w:color w:val="111111"/>
          <w:sz w:val="28"/>
          <w:szCs w:val="28"/>
          <w:rtl/>
        </w:rPr>
        <w:t xml:space="preserve">فاکتفیا بکونها أُمّ ولد قبل الملک،و لعلّه لإطلاق العنوان،و وجود العلّة، و هی کونها فی معرض الانعتاق من نصیب ولدها.</w:t>
      </w:r>
    </w:p>
    <w:p>
      <w:pPr>
        <w:pStyle w:val="BookText"/>
      </w:pPr>
      <w:r>
        <w:rPr>
          <w:rFonts w:ascii="IRNazanin" w:hAnsi="IRNazanin" w:eastAsia="IRNazanin" w:cs="IRNazanin"/>
          <w:lang w:bidi="fa-IR"/>
          <w:color w:val="111111"/>
          <w:sz w:val="28"/>
          <w:szCs w:val="28"/>
          <w:rtl/>
        </w:rPr>
        <w:t xml:space="preserve">و یردّ الأوّل:منع إطلاقٍ یقتضی ذلک؛فإنّ المتبادر من«أُمّ الولد»صنفٌ من أصناف الجواری باعتبار الحالات العارضة لها بوصف المملوکیّة،کالمدبَّر و المکاتب.و العلّة المذکورة غیر مطّردة و لا منعکسة کما لا یخفی،مضافاً إلی صریح روایة محمّد بن مارد المتقدّمة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المنع عن بیع أُمّ الولد قاعدة کلّیة مستفادة من الأخبار کروایتی السکونی و محمد بن مارد المتقدّمتین </w:t>
      </w:r>
      <w:r>
        <w:rPr>
          <w:rStyle w:val="FootnoteReference"/>
        </w:rPr>
        <w:footnoteReference w:id="1150"/>
      </w:r>
      <w:r>
        <w:rPr>
          <w:rFonts w:ascii="IRNazanin" w:hAnsi="IRNazanin" w:eastAsia="IRNazanin" w:cs="IRNazanin"/>
          <w:lang w:bidi="fa-IR"/>
          <w:color w:val="111111"/>
          <w:sz w:val="28"/>
          <w:szCs w:val="28"/>
          <w:rtl/>
        </w:rPr>
        <w:t xml:space="preserve">،و صحیحة عمر بن یزید الآتیة </w:t>
      </w:r>
      <w:r>
        <w:rPr>
          <w:rStyle w:val="FootnoteReference"/>
        </w:rPr>
        <w:footnoteReference w:id="1151"/>
      </w:r>
      <w:r>
        <w:rPr>
          <w:rFonts w:ascii="IRNazanin" w:hAnsi="IRNazanin" w:eastAsia="IRNazanin" w:cs="IRNazanin"/>
          <w:lang w:bidi="fa-IR"/>
          <w:color w:val="111111"/>
          <w:sz w:val="28"/>
          <w:szCs w:val="28"/>
          <w:rtl/>
        </w:rPr>
        <w:t xml:space="preserve">و غیرها.و من الإجماع علی أنّها لا تباع إلّا لأمرٍ یغلب</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ملاحظته علی ملاحظة الحقّ الحاصل منها </w:t>
      </w:r>
      <w:r>
        <w:rPr>
          <w:rStyle w:val="FootnoteReference"/>
        </w:rPr>
        <w:footnoteReference w:id="1152"/>
      </w:r>
      <w:r>
        <w:rPr>
          <w:rFonts w:ascii="IRNazanin" w:hAnsi="IRNazanin" w:eastAsia="IRNazanin" w:cs="IRNazanin"/>
          <w:lang w:bidi="fa-IR"/>
          <w:color w:val="111111"/>
          <w:sz w:val="28"/>
          <w:szCs w:val="28"/>
          <w:rtl/>
        </w:rPr>
        <w:t xml:space="preserve">بالاستیلاد </w:t>
      </w:r>
      <w:r>
        <w:rPr>
          <w:rStyle w:val="FootnoteReference"/>
        </w:rPr>
        <w:footnoteReference w:id="1153"/>
      </w:r>
      <w:r>
        <w:rPr>
          <w:rFonts w:ascii="Amiri" w:hAnsi="Amiri" w:eastAsia="Amiri" w:cs="Amiri"/>
          <w:lang w:bidi="ar-SA"/>
          <w:color w:val="111111"/>
          <w:sz w:val="28"/>
          <w:szCs w:val="28"/>
          <w:rtl/>
        </w:rPr>
        <w:t xml:space="preserve">أعنی تشبّثها بالحرّیة و لذا کلّ من جوّز البیع فی مقامٍ،لم یجوّز إلّا بعد إقامة الدلیل الخاصّ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بدّ من التمسّک بهذه القاعدة المنصوصة المجمع علیها حتّی یثبت بالدلیل ثبوت </w:t>
      </w:r>
      <w:r>
        <w:rPr>
          <w:rStyle w:val="FootnoteReference"/>
        </w:rPr>
        <w:footnoteReference w:id="1155"/>
      </w:r>
      <w:r>
        <w:rPr>
          <w:rFonts w:ascii="IRNazanin" w:hAnsi="IRNazanin" w:eastAsia="IRNazanin" w:cs="IRNazanin"/>
          <w:lang w:bidi="fa-IR"/>
          <w:color w:val="111111"/>
          <w:sz w:val="28"/>
          <w:szCs w:val="28"/>
          <w:rtl/>
        </w:rPr>
        <w:t xml:space="preserve">ما هو أولی بالملاحظة فی نظر الشارع من الحقّ المذکور،فلا یُصغی إذاً إلی منع الدلیل علی المنع کلّیةً و التمسّک بأصالة صحّة البیع من حیث قاعدة تسلّط الناس علی أموالهم حتّی یثبت المخرج.</w:t>
      </w:r>
    </w:p>
    <w:p>
      <w:pPr>
        <w:pStyle w:val="BookText"/>
      </w:pPr>
      <w:r>
        <w:rPr>
          <w:rFonts w:ascii="IRNazanin" w:hAnsi="IRNazanin" w:eastAsia="IRNazanin" w:cs="IRNazanin"/>
          <w:lang w:bidi="fa-IR"/>
          <w:color w:val="111111"/>
          <w:sz w:val="28"/>
          <w:szCs w:val="28"/>
          <w:rtl/>
        </w:rPr>
        <w:t xml:space="preserve">ثمّ إنّ المعروف بین العلماء ثبوت الاستثناء عن الکلّیة المذکورة فی الجملة،لکن المحکی فی السرائر عن السیّد قدّس سرّه عموم المنع و عدم الاستثناء </w:t>
      </w:r>
      <w:r>
        <w:rPr>
          <w:rStyle w:val="FootnoteReference"/>
        </w:rPr>
        <w:footnoteReference w:id="1156"/>
      </w:r>
      <w:r>
        <w:rPr>
          <w:rFonts w:ascii="IRNazanin" w:hAnsi="IRNazanin" w:eastAsia="IRNazanin" w:cs="IRNazanin"/>
          <w:lang w:bidi="fa-IR"/>
          <w:color w:val="111111"/>
          <w:sz w:val="28"/>
          <w:szCs w:val="28"/>
          <w:rtl/>
        </w:rPr>
        <w:t xml:space="preserve">.و هو غیر ثابت،و علی تقدیر الثبوت فهو ضعیف،یرده مضافاً إلی ما ستعرف من الأخبار قولُهُ علیه السلام فی صحیحة زرارة و قد سأله عن أُمّ الولد،قال:«تباع و تورث،و حدّها حدّ الأمة»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حملها علی أنّها قد یعرض لها ما یجوّز ذلک.</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14419_167021"/>
    <w:bookmarkEnd w:id="198"/>
    <w:p>
      <w:pPr>
        <w:pStyle w:val="Heading6"/>
      </w:pPr>
      <w:bookmarkStart w:id="996" w:name="_Toc436"/>
      <w:r>
        <w:t>[مستثنیات منع : بیع أُمّ الولد]</w:t>
      </w:r>
      <w:bookmarkEnd w:id="996"/>
    </w:p>
    <w:p>
      <w:pPr>
        <w:pStyle w:val="BookText"/>
      </w:pP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و أمّا المواضع القابلة للاستثناء و إن </w:t>
      </w:r>
      <w:r>
        <w:rPr>
          <w:rStyle w:val="FootnoteReference"/>
        </w:rPr>
        <w:footnoteReference w:id="1159"/>
      </w:r>
      <w:r>
        <w:rPr>
          <w:rFonts w:ascii="IRNazanin" w:hAnsi="IRNazanin" w:eastAsia="IRNazanin" w:cs="IRNazanin"/>
          <w:lang w:bidi="fa-IR"/>
          <w:color w:val="111111"/>
          <w:sz w:val="28"/>
          <w:szCs w:val="28"/>
          <w:rtl/>
        </w:rPr>
        <w:t xml:space="preserve">وقع التکلّم فی استثنائها لأجل وجود ما یصلح أن یکون أولی بالملاحظة من الحقّ فهی صور، یجمعها:</w:t>
      </w:r>
    </w:p>
    <w:p>
      <w:pPr>
        <w:pStyle w:val="BookText"/>
      </w:pPr>
      <w:r>
        <w:rPr>
          <w:rFonts w:ascii="Amiri" w:hAnsi="Amiri" w:eastAsia="Amiri" w:cs="Amiri"/>
          <w:lang w:bidi="ar-SA"/>
          <w:color w:val="111111"/>
          <w:sz w:val="28"/>
          <w:szCs w:val="28"/>
          <w:rtl/>
        </w:rPr>
        <w:t xml:space="preserve">تعلّق حقٍّ للغیر بها.</w:t>
      </w:r>
    </w:p>
    <w:p>
      <w:pPr>
        <w:pStyle w:val="BookText"/>
      </w:pPr>
      <w:r>
        <w:rPr>
          <w:rFonts w:ascii="IRNazanin" w:hAnsi="IRNazanin" w:eastAsia="IRNazanin" w:cs="IRNazanin"/>
          <w:lang w:bidi="fa-IR"/>
          <w:color w:val="111111"/>
          <w:sz w:val="28"/>
          <w:szCs w:val="28"/>
          <w:rtl/>
        </w:rPr>
        <w:t xml:space="preserve">أو تعلّق حقّها بتعجیل العتق.</w:t>
      </w:r>
    </w:p>
    <w:p>
      <w:pPr>
        <w:pStyle w:val="BookText"/>
      </w:pPr>
      <w:r>
        <w:rPr>
          <w:rFonts w:ascii="Amiri" w:hAnsi="Amiri" w:eastAsia="Amiri" w:cs="Amiri"/>
          <w:lang w:bidi="ar-SA"/>
          <w:color w:val="111111"/>
          <w:sz w:val="28"/>
          <w:szCs w:val="28"/>
          <w:rtl/>
        </w:rPr>
        <w:t xml:space="preserve">أو تعلّق حقٍّ سابقٍ علی الاستیلاد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عدم تحقّق الحکمة المانعة عن النقل.</w:t>
      </w:r>
    </w:p>
    <w:p>
      <w:pPr>
        <w:pStyle w:val="Heading6"/>
      </w:pPr>
      <w:bookmarkStart w:id="997" w:name="_Toc437"/>
      <w:r>
        <w:t>[موارد القسم الأول أی تعلق حق للغیر بها]</w:t>
      </w:r>
      <w:bookmarkEnd w:id="997"/>
    </w:p>
    <w:p>
      <w:pPr>
        <w:pStyle w:val="Heading6"/>
      </w:pPr>
      <w:bookmarkStart w:id="998" w:name="_Toc438"/>
      <w:r>
        <w:t>اشارة</w:t>
      </w:r>
      <w:bookmarkEnd w:id="998"/>
    </w:p>
    <w:p>
      <w:pPr>
        <w:pStyle w:val="BookText"/>
      </w:pPr>
      <w:r>
        <w:rPr>
          <w:rFonts w:ascii="IRNazanin" w:hAnsi="IRNazanin" w:eastAsia="IRNazanin" w:cs="IRNazanin"/>
          <w:lang w:bidi="fa-IR"/>
          <w:color w:val="111111"/>
          <w:sz w:val="28"/>
          <w:szCs w:val="28"/>
          <w:rtl/>
        </w:rPr>
        <w:t xml:space="preserve">فمن موارد القسم الأوّل: ما إذا کان علی مولاها دَیْنٌ و لم یکن له ما یؤدّی هذا الدین.</w:t>
      </w:r>
    </w:p>
    <w:p>
      <w:pPr>
        <w:pStyle w:val="BookText"/>
      </w:pPr>
      <w:r>
        <w:rPr>
          <w:rFonts w:ascii="IRNazanin" w:hAnsi="IRNazanin" w:eastAsia="IRNazanin" w:cs="IRNazanin"/>
          <w:lang w:bidi="fa-IR"/>
          <w:color w:val="111111"/>
          <w:sz w:val="28"/>
          <w:szCs w:val="28"/>
          <w:rtl/>
        </w:rPr>
        <w:t xml:space="preserve">و الکلام فی هذا المورد قد یقع فیما إذا کان الدین ثمن رقبتها،و قد یقع فیما إذا کان غیر ثمنها.</w:t>
      </w:r>
    </w:p>
    <w:p>
      <w:pPr>
        <w:pStyle w:val="BookText"/>
      </w:pPr>
      <w:r>
        <w:rPr>
          <w:rFonts w:ascii="IRNazanin" w:hAnsi="IRNazanin" w:eastAsia="IRNazanin" w:cs="IRNazanin"/>
          <w:lang w:bidi="fa-IR"/>
          <w:color w:val="111111"/>
          <w:sz w:val="28"/>
          <w:szCs w:val="28"/>
          <w:rtl/>
        </w:rPr>
        <w:t xml:space="preserve">و علی الأوّل،یقع الکلام تارة بعد موت المولی،و أُخری فی حال حیاته.</w:t>
      </w:r>
    </w:p>
    <w:p>
      <w:pPr>
        <w:pStyle w:val="BookText"/>
      </w:pPr>
      <w:r>
        <w:rPr>
          <w:rFonts w:ascii="Amiri" w:hAnsi="Amiri" w:eastAsia="Amiri" w:cs="Amiri"/>
          <w:lang w:bidi="ar-SA"/>
          <w:color w:val="111111"/>
          <w:sz w:val="28"/>
          <w:szCs w:val="28"/>
          <w:rtl/>
        </w:rPr>
        <w:t xml:space="preserve">أمّا بعد الموت،فالمشهور الجواز،بل عن الروضة:أنّه موضع</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وفاق </w:t>
      </w:r>
      <w:r>
        <w:rPr>
          <w:rStyle w:val="FootnoteReference"/>
        </w:rPr>
        <w:footnoteReference w:id="1161"/>
      </w:r>
      <w:r>
        <w:rPr>
          <w:rFonts w:ascii="IRNazanin" w:hAnsi="IRNazanin" w:eastAsia="IRNazanin" w:cs="IRNazanin"/>
          <w:lang w:bidi="fa-IR"/>
          <w:color w:val="111111"/>
          <w:sz w:val="28"/>
          <w:szCs w:val="28"/>
          <w:rtl/>
        </w:rPr>
        <w:t xml:space="preserve">،و عن جماعة:أنّه لا خلاف فیه </w:t>
      </w:r>
      <w:r>
        <w:rPr>
          <w:rStyle w:val="FootnoteReference"/>
        </w:rPr>
        <w:footnoteReference w:id="1162"/>
      </w:r>
      <w:r>
        <w:rPr>
          <w:rFonts w:ascii="IRNazanin" w:hAnsi="IRNazanin" w:eastAsia="IRNazanin" w:cs="IRNazanin"/>
          <w:lang w:bidi="fa-IR"/>
          <w:color w:val="111111"/>
          <w:sz w:val="28"/>
          <w:szCs w:val="28"/>
          <w:rtl/>
        </w:rPr>
        <w:t xml:space="preserve">.و لا ینافی ذلک مخالفة السیّد فی أصل المسألة </w:t>
      </w:r>
      <w:r>
        <w:rPr>
          <w:rStyle w:val="FootnoteReference"/>
        </w:rPr>
        <w:footnoteReference w:id="1163"/>
      </w:r>
      <w:r>
        <w:rPr>
          <w:rFonts w:ascii="IRNazanin" w:hAnsi="IRNazanin" w:eastAsia="IRNazanin" w:cs="IRNazanin"/>
          <w:lang w:bidi="fa-IR"/>
          <w:color w:val="111111"/>
          <w:sz w:val="28"/>
          <w:szCs w:val="28"/>
          <w:rtl/>
        </w:rPr>
        <w:t xml:space="preserve">لأنّهم یریدون نفی الخلاف بین القائلین بالاستثناء فی بیع أُمّ الولد،أو القائلین باستثناء بیعها فی ثمن رقبتها،فی مقابل صورة حیاة المولی المختلف فیها.</w:t>
      </w:r>
    </w:p>
    <w:p>
      <w:pPr>
        <w:pStyle w:val="BookText"/>
      </w:pPr>
      <w:r>
        <w:rPr>
          <w:rFonts w:ascii="IRNazanin" w:hAnsi="IRNazanin" w:eastAsia="IRNazanin" w:cs="IRNazanin"/>
          <w:lang w:bidi="fa-IR"/>
          <w:color w:val="111111"/>
          <w:sz w:val="28"/>
          <w:szCs w:val="28"/>
          <w:rtl/>
        </w:rPr>
        <w:t xml:space="preserve">و کیف کان،فلا إشکال فی الجواز فی هذه الصورة،لا لما قیل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قاعدة تسلّط الناس علی أموالهم؛لما عرفت من انقلاب القاعدة إلی المنع فی خصوص هذا المال </w:t>
      </w:r>
      <w:r>
        <w:rPr>
          <w:rStyle w:val="FootnoteReference"/>
        </w:rPr>
        <w:footnoteReference w:id="1165"/>
      </w:r>
      <w:r>
        <w:rPr>
          <w:rFonts w:ascii="IRNazanin" w:hAnsi="IRNazanin" w:eastAsia="IRNazanin" w:cs="IRNazanin"/>
          <w:lang w:bidi="fa-IR"/>
          <w:color w:val="111111"/>
          <w:sz w:val="28"/>
          <w:szCs w:val="28"/>
          <w:rtl/>
        </w:rPr>
        <w:t xml:space="preserve">،بل لما رواه المشایخ الثلاثة فی الصحیح عن عمر بن یزید،قال:«قلت لأبی إبراهیم علیه السلام:أسألک عن مسألة،فقال:سل.قلت:لِمَ باع أمیر المؤمنین صلوات اللّٰه و سلامه علیه أُمّهات الأولاد؟قال:فی فکاک رقابهنّ.قلت:فکیف ذلک؟قال:أیّما رجلٍ اشتری جاریةً فأولدها و لم یؤدّ ثمنها،و لم یدع من المال ما یؤدّی عنه أُخذ منها ولدها و بیعت،و أُدّی ثمنها.قلت:فیُبعن </w:t>
      </w:r>
      <w:r>
        <w:rPr>
          <w:rStyle w:val="FootnoteReference"/>
        </w:rPr>
        <w:footnoteReference w:id="1166"/>
      </w:r>
      <w:r>
        <w:rPr>
          <w:rFonts w:ascii="IRNazanin" w:hAnsi="IRNazanin" w:eastAsia="IRNazanin" w:cs="IRNazanin"/>
          <w:lang w:bidi="fa-IR"/>
          <w:color w:val="111111"/>
          <w:sz w:val="28"/>
          <w:szCs w:val="28"/>
          <w:rtl/>
        </w:rPr>
        <w:t xml:space="preserve">فیما سوی ذلک من</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دین؟قال:لا»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 لعمر بن یزید عن أبی الحسن علیه السلام،قال:</w:t>
      </w:r>
    </w:p>
    <w:p>
      <w:pPr>
        <w:pStyle w:val="BookText"/>
      </w:pPr>
      <w:r>
        <w:rPr>
          <w:rFonts w:ascii="IRNazanin" w:hAnsi="IRNazanin" w:eastAsia="IRNazanin" w:cs="IRNazanin"/>
          <w:lang w:bidi="fa-IR"/>
          <w:color w:val="111111"/>
          <w:sz w:val="28"/>
          <w:szCs w:val="28"/>
          <w:rtl/>
        </w:rPr>
        <w:t xml:space="preserve">«سألته </w:t>
      </w:r>
      <w:r>
        <w:rPr>
          <w:rStyle w:val="FootnoteReference"/>
        </w:rPr>
        <w:footnoteReference w:id="1168"/>
      </w:r>
      <w:r>
        <w:rPr>
          <w:rFonts w:ascii="IRNazanin" w:hAnsi="IRNazanin" w:eastAsia="IRNazanin" w:cs="IRNazanin"/>
          <w:lang w:bidi="fa-IR"/>
          <w:color w:val="111111"/>
          <w:sz w:val="28"/>
          <w:szCs w:val="28"/>
          <w:rtl/>
        </w:rPr>
        <w:t xml:space="preserve">عن أُمّ الولد،تباع فی الدین؟قال:نعم،فی ثمن رقبتها»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إطلاقها،بل إطلاق الصحیحة کما قیل </w:t>
      </w:r>
      <w:r>
        <w:rPr>
          <w:rStyle w:val="FootnoteReference"/>
        </w:rPr>
        <w:footnoteReference w:id="1170"/>
      </w:r>
      <w:r>
        <w:rPr>
          <w:rFonts w:ascii="IRNazanin" w:hAnsi="IRNazanin" w:eastAsia="IRNazanin" w:cs="IRNazanin"/>
          <w:lang w:bidi="fa-IR"/>
          <w:color w:val="111111"/>
          <w:sz w:val="28"/>
          <w:szCs w:val="28"/>
          <w:rtl/>
        </w:rPr>
        <w:t xml:space="preserve">-:ثبوت الجواز مع حیاة المولی کما هو مذهب الأکثر،بل لم یعرف الخلاف فیه صریحاً.نعم،تردّد فیه الفاضلان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نهایة المرام و الکفایة:أنّ المنع نادر،لکنّه لا یخلو عن قوّة </w:t>
      </w:r>
      <w:r>
        <w:rPr>
          <w:rStyle w:val="FootnoteReference"/>
        </w:rPr>
        <w:footnoteReference w:id="1172"/>
      </w:r>
      <w:r>
        <w:rPr>
          <w:rFonts w:ascii="IRNazanin" w:hAnsi="IRNazanin" w:eastAsia="IRNazanin" w:cs="IRNazanin"/>
          <w:lang w:bidi="fa-IR"/>
          <w:color w:val="111111"/>
          <w:sz w:val="28"/>
          <w:szCs w:val="28"/>
          <w:rtl/>
        </w:rPr>
        <w:t xml:space="preserve">.و ربما یتوهّم القوّة من حیث توهّم تقییدها بالصحیحة السابقة؛ بناءً علی اختصاص الجواز فیها بصورة موت المولی،کما یشهد به قوله فیها:«و لم یدع من المال...إلخ»،فیدلّ علی نفی الجواز عمّا سوی هذا الفرد؛إمّا لورودها فی جواب السؤال عن موارد بیع أُمّهات الأولاد، فیدلّ علی الحصر.و إمّا لأنّ نفی الجواز فی ذیلها فیما سوی هذه الصورة</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یشمل بیعه </w:t>
      </w:r>
      <w:r>
        <w:rPr>
          <w:rStyle w:val="FootnoteReference"/>
        </w:rPr>
        <w:footnoteReference w:id="1173"/>
      </w:r>
      <w:r>
        <w:rPr>
          <w:rFonts w:ascii="IRNazanin" w:hAnsi="IRNazanin" w:eastAsia="IRNazanin" w:cs="IRNazanin"/>
          <w:lang w:bidi="fa-IR"/>
          <w:color w:val="111111"/>
          <w:sz w:val="28"/>
          <w:szCs w:val="28"/>
          <w:rtl/>
        </w:rPr>
        <w:t xml:space="preserve">فی الدین مع حیاة المولی.</w:t>
      </w:r>
    </w:p>
    <w:p>
      <w:pPr>
        <w:pStyle w:val="BookText"/>
      </w:pPr>
      <w:r>
        <w:rPr>
          <w:rFonts w:ascii="IRNazanin" w:hAnsi="IRNazanin" w:eastAsia="IRNazanin" w:cs="IRNazanin"/>
          <w:lang w:bidi="fa-IR"/>
          <w:color w:val="111111"/>
          <w:sz w:val="28"/>
          <w:szCs w:val="28"/>
          <w:rtl/>
        </w:rPr>
        <w:t xml:space="preserve">و اندفاع التوهّم بکلا وجهیه واضح.</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نعم،یمکن أن یقال فی وجه القوّة بعد الغضّ عن دعوی ظهور قوله:«تباع فی الدین»فی کون البائع غیر المولی فی ما بعد الموت-:</w:t>
      </w:r>
    </w:p>
    <w:p>
      <w:pPr>
        <w:pStyle w:val="BookText"/>
      </w:pPr>
      <w:r>
        <w:rPr>
          <w:rFonts w:ascii="IRNazanin" w:hAnsi="IRNazanin" w:eastAsia="IRNazanin" w:cs="IRNazanin"/>
          <w:lang w:bidi="fa-IR"/>
          <w:color w:val="111111"/>
          <w:sz w:val="28"/>
          <w:szCs w:val="28"/>
          <w:rtl/>
        </w:rPr>
        <w:t xml:space="preserve">أنّ النسبة بینها و بین روایة ابن مارد المتقدّمة </w:t>
      </w:r>
      <w:r>
        <w:rPr>
          <w:rStyle w:val="FootnoteReference"/>
        </w:rPr>
        <w:footnoteReference w:id="1174"/>
      </w:r>
      <w:r>
        <w:rPr>
          <w:rFonts w:ascii="IRNazanin" w:hAnsi="IRNazanin" w:eastAsia="IRNazanin" w:cs="IRNazanin"/>
          <w:lang w:bidi="fa-IR"/>
          <w:color w:val="111111"/>
          <w:sz w:val="28"/>
          <w:szCs w:val="28"/>
          <w:rtl/>
        </w:rPr>
        <w:t xml:space="preserve">عمومٌ من وجه،فیرجع إلی أصالة المنع الثابتة بما تقدّم </w:t>
      </w:r>
      <w:r>
        <w:rPr>
          <w:rStyle w:val="FootnoteReference"/>
        </w:rPr>
        <w:footnoteReference w:id="1175"/>
      </w:r>
      <w:r>
        <w:rPr>
          <w:rFonts w:ascii="IRNazanin" w:hAnsi="IRNazanin" w:eastAsia="IRNazanin" w:cs="IRNazanin"/>
          <w:lang w:bidi="fa-IR"/>
          <w:color w:val="111111"/>
          <w:sz w:val="28"/>
          <w:szCs w:val="28"/>
          <w:rtl/>
        </w:rPr>
        <w:t xml:space="preserve">من القاعدة المنصوصة المجمع علیها.</w:t>
      </w:r>
    </w:p>
    <w:p>
      <w:pPr>
        <w:pStyle w:val="BookText"/>
      </w:pPr>
      <w:r>
        <w:rPr>
          <w:rFonts w:ascii="IRNazanin" w:hAnsi="IRNazanin" w:eastAsia="IRNazanin" w:cs="IRNazanin"/>
          <w:lang w:bidi="fa-IR"/>
          <w:color w:val="111111"/>
          <w:sz w:val="28"/>
          <w:szCs w:val="28"/>
          <w:rtl/>
        </w:rPr>
        <w:t xml:space="preserve">نعم،ربما یمنع عموم القاعدة علی هذا الوجه بحیث یحتاج إلی المخصّص،فیقال بمنع الإجماع فی محلّ الخلاف،سیّما مع کون المخالف جُلّ المجمعین،بل کلّهم إلّا نادراً </w:t>
      </w:r>
      <w:r>
        <w:rPr>
          <w:rStyle w:val="FootnoteReference"/>
        </w:rPr>
        <w:footnoteReference w:id="1176"/>
      </w:r>
      <w:r>
        <w:rPr>
          <w:rFonts w:ascii="IRNazanin" w:hAnsi="IRNazanin" w:eastAsia="IRNazanin" w:cs="IRNazanin"/>
          <w:lang w:bidi="fa-IR"/>
          <w:color w:val="111111"/>
          <w:sz w:val="28"/>
          <w:szCs w:val="28"/>
          <w:rtl/>
        </w:rPr>
        <w:t xml:space="preserve">،و حینئذٍ فالمرجع إلی قاعدة«سلطنة الناس علی أموالهم».</w:t>
      </w:r>
    </w:p>
    <w:p>
      <w:pPr>
        <w:pStyle w:val="BookText"/>
      </w:pPr>
      <w:r>
        <w:rPr>
          <w:rFonts w:ascii="IRNazanin" w:hAnsi="IRNazanin" w:eastAsia="IRNazanin" w:cs="IRNazanin"/>
          <w:lang w:bidi="fa-IR"/>
          <w:color w:val="111111"/>
          <w:sz w:val="28"/>
          <w:szCs w:val="28"/>
          <w:rtl/>
        </w:rPr>
        <w:t xml:space="preserve">لکن التحقیق خلافه،و إن صدر هو عن بعض المحقّقین </w:t>
      </w:r>
      <w:r>
        <w:rPr>
          <w:rStyle w:val="FootnoteReference"/>
        </w:rPr>
        <w:footnoteReference w:id="1177"/>
      </w:r>
      <w:r>
        <w:rPr>
          <w:rFonts w:ascii="IRNazanin" w:hAnsi="IRNazanin" w:eastAsia="IRNazanin" w:cs="IRNazanin"/>
          <w:lang w:bidi="fa-IR"/>
          <w:color w:val="111111"/>
          <w:sz w:val="28"/>
          <w:szCs w:val="28"/>
          <w:rtl/>
        </w:rPr>
        <w:t xml:space="preserve">لأنّ المستفاد من النصوص و الفتاوی:أنّ استیلاد الأمة یُحدث لها حقّا مانعاً عن نقلها،إلّا إذا کان هناک حقٌّ أولی منه بالمراعاة.</w:t>
      </w:r>
    </w:p>
    <w:p>
      <w:pPr>
        <w:pStyle w:val="BookText"/>
      </w:pPr>
      <w:r>
        <w:rPr>
          <w:rFonts w:ascii="Amiri" w:hAnsi="Amiri" w:eastAsia="Amiri" w:cs="Amiri"/>
          <w:lang w:bidi="ar-SA"/>
          <w:color w:val="111111"/>
          <w:sz w:val="28"/>
          <w:szCs w:val="28"/>
          <w:rtl/>
        </w:rPr>
        <w:t xml:space="preserve">و ربما تُوهِّم معارضة هذه القاعدة وجوبَ </w:t>
      </w:r>
      <w:r>
        <w:rPr>
          <w:rStyle w:val="FootnoteReference"/>
        </w:rPr>
        <w:footnoteReference w:id="1178"/>
      </w:r>
      <w:r>
        <w:rPr>
          <w:rFonts w:ascii="IRNazanin" w:hAnsi="IRNazanin" w:eastAsia="IRNazanin" w:cs="IRNazanin"/>
          <w:lang w:bidi="fa-IR"/>
          <w:color w:val="111111"/>
          <w:sz w:val="28"/>
          <w:szCs w:val="28"/>
          <w:rtl/>
        </w:rPr>
        <w:t xml:space="preserve">أداء الدین،فیبقی قاعدة«السلطنة»و أصالة بقاء جواز بیعها فی ثمن رقبتها قبل الاستیلاد، و لا یعارضها أصالة بقاء المنع حال الاستیلاد قبل العجز عن ثمنها؛لأنّ</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بیعها قبل العجز لیس بیعاً فی الدین،کما لا یخفی.</w:t>
      </w:r>
    </w:p>
    <w:p>
      <w:pPr>
        <w:pStyle w:val="BookText"/>
      </w:pPr>
      <w:r>
        <w:rPr>
          <w:rFonts w:ascii="IRNazanin" w:hAnsi="IRNazanin" w:eastAsia="IRNazanin" w:cs="IRNazanin"/>
          <w:lang w:bidi="fa-IR"/>
          <w:color w:val="111111"/>
          <w:sz w:val="28"/>
          <w:szCs w:val="28"/>
          <w:rtl/>
        </w:rPr>
        <w:t xml:space="preserve">و یندفع أصل المعارضة بأنّ أدلّة وجوب أداء الدین مقیّدة </w:t>
      </w:r>
      <w:r>
        <w:rPr>
          <w:rStyle w:val="FootnoteReference"/>
        </w:rPr>
        <w:footnoteReference w:id="1179"/>
      </w:r>
      <w:r>
        <w:rPr>
          <w:rFonts w:ascii="IRNazanin" w:hAnsi="IRNazanin" w:eastAsia="IRNazanin" w:cs="IRNazanin"/>
          <w:lang w:bidi="fa-IR"/>
          <w:color w:val="111111"/>
          <w:sz w:val="28"/>
          <w:szCs w:val="28"/>
          <w:rtl/>
        </w:rPr>
        <w:t xml:space="preserve">بالقدرة العقلیّة و الشرعیّة،و قاعدة المنع تنفی القدرة الشرعیّة،کما فی المرهون و الموقوف.</w:t>
      </w:r>
    </w:p>
    <w:p>
      <w:pPr>
        <w:pStyle w:val="BookText"/>
      </w:pPr>
      <w:r>
        <w:rPr>
          <w:rFonts w:ascii="IRNazanin" w:hAnsi="IRNazanin" w:eastAsia="IRNazanin" w:cs="IRNazanin"/>
          <w:lang w:bidi="fa-IR"/>
          <w:color w:val="111111"/>
          <w:sz w:val="28"/>
          <w:szCs w:val="28"/>
          <w:rtl/>
        </w:rPr>
        <w:t xml:space="preserve">فالأولی فی الانتصار لمذهب المشهور أن یقال برجحان إطلاق روایة عمر بن یزید علی إطلاق روایة ابن مارد الظاهر فی عدم کون بیعها فی ثمن رقبتها،کما یشهد به قوله:«فتمکث عنده ما شاء اللّٰه لم تلد منه شیئاً بعد ما ملکها،ثمّ یبدو له فی بیعها» </w:t>
      </w:r>
      <w:r>
        <w:rPr>
          <w:rStyle w:val="FootnoteReference"/>
        </w:rPr>
        <w:footnoteReference w:id="1180"/>
      </w:r>
      <w:r>
        <w:rPr>
          <w:rFonts w:ascii="IRNazanin" w:hAnsi="IRNazanin" w:eastAsia="IRNazanin" w:cs="IRNazanin"/>
          <w:lang w:bidi="fa-IR"/>
          <w:color w:val="111111"/>
          <w:sz w:val="28"/>
          <w:szCs w:val="28"/>
          <w:rtl/>
        </w:rPr>
        <w:t xml:space="preserve">،مع أنّ ظاهر البداء فی البیع ینافی الاضطرار إلیه لأجل ثمنها.</w:t>
      </w:r>
    </w:p>
    <w:p>
      <w:pPr>
        <w:pStyle w:val="BookText"/>
      </w:pPr>
      <w:r>
        <w:rPr>
          <w:rFonts w:ascii="IRNazanin" w:hAnsi="IRNazanin" w:eastAsia="IRNazanin" w:cs="IRNazanin"/>
          <w:lang w:bidi="fa-IR"/>
          <w:color w:val="111111"/>
          <w:sz w:val="28"/>
          <w:szCs w:val="28"/>
          <w:rtl/>
        </w:rPr>
        <w:t xml:space="preserve">و بالجملة،فبعد منع ظهور سیاق الروایة فیما بعد الموت،لا إشکال فی رجحان دلالتها علی دلالة روایة ابن مارد علی المنع،کما یظهر بالتأمّل؛مضافاً إلی اعتضادها بالشهرة المحقّقة.و المسألة محلّ إشکال.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علی المشهور من الجواز،فهل یعتبر فیه عدم ما یفی بالدین </w:t>
      </w:r>
      <w:r>
        <w:rPr>
          <w:rStyle w:val="FootnoteReference"/>
        </w:rPr>
        <w:footnoteReference w:id="1181"/>
      </w:r>
      <w:r>
        <w:rPr>
          <w:rFonts w:ascii="IRNazanin" w:hAnsi="IRNazanin" w:eastAsia="IRNazanin" w:cs="IRNazanin"/>
          <w:lang w:bidi="fa-IR"/>
          <w:color w:val="111111"/>
          <w:sz w:val="28"/>
          <w:szCs w:val="28"/>
          <w:rtl/>
        </w:rPr>
        <w:t xml:space="preserve">و لو من المستثنیات کما هو ظاهر إطلاق کثیر،أو ممّا عداها کما عن جماعة </w:t>
      </w:r>
      <w:r>
        <w:rPr>
          <w:rStyle w:val="FootnoteReference"/>
        </w:rPr>
        <w:footnoteReference w:id="1182"/>
      </w:r>
      <w:r>
        <w:rPr>
          <w:rFonts w:ascii="IRNazanin" w:hAnsi="IRNazanin" w:eastAsia="IRNazanin" w:cs="IRNazanin"/>
          <w:lang w:bidi="fa-IR"/>
          <w:color w:val="111111"/>
          <w:sz w:val="28"/>
          <w:szCs w:val="28"/>
          <w:rtl/>
        </w:rPr>
        <w:t xml:space="preserve">؟ الأقوی هو الثانی،بل لا یبعد أن یکون ذلک مراد من أطلق؛</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الحکم بالجواز فی هذه الصورة فی النصّ و الفتوی مسوقٌ لبیان ارتفاع المانع عن بیعها من جهة الاستیلاد،فتکون ملکاً طِلْقاً کسائر الأملاک التی یُؤخذ المالک ببیعها من دون بیع المستثنیات.</w:t>
      </w:r>
    </w:p>
    <w:p>
      <w:pPr>
        <w:pStyle w:val="BookText"/>
      </w:pPr>
      <w:r>
        <w:rPr>
          <w:rFonts w:ascii="IRNazanin" w:hAnsi="IRNazanin" w:eastAsia="IRNazanin" w:cs="IRNazanin"/>
          <w:lang w:bidi="fa-IR"/>
          <w:color w:val="111111"/>
          <w:sz w:val="28"/>
          <w:szCs w:val="28"/>
          <w:rtl/>
        </w:rPr>
        <w:t xml:space="preserve">فحاصل السؤال فی روایة عمر بن یزید:أنّه هل تباع أُمّ الولد فی الدین علی حدّ سائر الأموال التی تباع فیه؟ و حاصل الجواب:تقریر ذلک فی خصوص ثمن الرقبة،فیکون ثمن الرقبة بالنسبة إلی أُمّ الولد کسائر الدیون بالنسبة إلی سائر الأموال.</w:t>
      </w:r>
    </w:p>
    <w:p>
      <w:pPr>
        <w:pStyle w:val="BookText"/>
      </w:pPr>
      <w:r>
        <w:rPr>
          <w:rFonts w:ascii="IRNazanin" w:hAnsi="IRNazanin" w:eastAsia="IRNazanin" w:cs="IRNazanin"/>
          <w:lang w:bidi="fa-IR"/>
          <w:color w:val="111111"/>
          <w:sz w:val="28"/>
          <w:szCs w:val="28"/>
          <w:rtl/>
        </w:rPr>
        <w:t xml:space="preserve">و ممّا ذکر یظهر:أنّه لو کان نفس أُمّ الولد ممّا یحتاج إلیها المولی للخدمة فلا تباع فی ثمن رقبتها؛لأنّ غایة الأمر کونها بالنسبة إلی الثمن کجاریة أُخری یحتاج إلیها.</w:t>
      </w:r>
    </w:p>
    <w:p>
      <w:pPr>
        <w:pStyle w:val="BookText"/>
      </w:pPr>
      <w:r>
        <w:rPr>
          <w:rFonts w:ascii="IRNazanin" w:hAnsi="IRNazanin" w:eastAsia="IRNazanin" w:cs="IRNazanin"/>
          <w:lang w:bidi="fa-IR"/>
          <w:color w:val="111111"/>
          <w:sz w:val="28"/>
          <w:szCs w:val="28"/>
          <w:rtl/>
        </w:rPr>
        <w:t xml:space="preserve">و ممّا ذکرنا یظهر الوجه فی استثناء الکفن و مئونة التجهیز،فإذا کان للمیّت کفنٌ و أُمّ ولد،بیعت فی الدین دون الکفن؛إذ یصدق أنّ المیّت لم یدع ما یؤدّی عنه الدین عداها؛لأنّ الکفن لا یؤدّی عنه الدین.</w:t>
      </w:r>
    </w:p>
    <w:p>
      <w:pPr>
        <w:pStyle w:val="BookText"/>
      </w:pPr>
      <w:r>
        <w:rPr>
          <w:rFonts w:ascii="IRNazanin" w:hAnsi="IRNazanin" w:eastAsia="IRNazanin" w:cs="IRNazanin"/>
          <w:lang w:bidi="fa-IR"/>
          <w:color w:val="111111"/>
          <w:sz w:val="28"/>
          <w:szCs w:val="28"/>
          <w:rtl/>
        </w:rPr>
        <w:t xml:space="preserve">ثمّ إنّه لا فرق بین کون ثمنها بنفسه دیناً للبائع،أو استدان الثمن و اشتری به.أمّا لو اشتری فی الذمّة ثمّ استدان ما أوفی به البائع فلیس بیعها فی ثمن رقبتها،بل ربما تُؤمّل فیما قبله،فتأمّل.</w:t>
      </w:r>
    </w:p>
    <w:p>
      <w:pPr>
        <w:pStyle w:val="BookText"/>
      </w:pPr>
      <w:r>
        <w:rPr>
          <w:rFonts w:ascii="IRNazanin" w:hAnsi="IRNazanin" w:eastAsia="IRNazanin" w:cs="IRNazanin"/>
          <w:lang w:bidi="fa-IR"/>
          <w:color w:val="111111"/>
          <w:sz w:val="28"/>
          <w:szCs w:val="28"/>
          <w:rtl/>
        </w:rPr>
        <w:t xml:space="preserve">و لا فرق بین بقاء جمیع الثمن فی الذمّة أو بعضه،و لا بین نقصان قیمتها عن الثمن أو زیادتها علیه.نعم،لو أمکن الوفاء ببیع بعضها اقتصر علیه،کما عن غایة المراد التصریح به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الثمن مؤجّلاً لم یجز للمولی بیعها قبل حلول الأجل و إن</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مأیوساً من الأداء عند الأجل.</w:t>
      </w:r>
    </w:p>
    <w:p>
      <w:pPr>
        <w:pStyle w:val="BookText"/>
      </w:pPr>
      <w:r>
        <w:rPr>
          <w:rFonts w:ascii="IRNazanin" w:hAnsi="IRNazanin" w:eastAsia="IRNazanin" w:cs="IRNazanin"/>
          <w:lang w:bidi="fa-IR"/>
          <w:color w:val="111111"/>
          <w:sz w:val="28"/>
          <w:szCs w:val="28"/>
          <w:rtl/>
        </w:rPr>
        <w:t xml:space="preserve">و فی اشتراط مطالبة البائع،أو الاکتفاء باستحقاقه و لو امتنع عن التسلّم،أو الفرق بین رضاه بالتأخیر و إسقاطه لحقّ الحلول و إن لم یسقط بذلک و بین عدم المطالبة فیجوز فی الأوّل دون الثانی </w:t>
      </w:r>
      <w:r>
        <w:rPr>
          <w:rStyle w:val="FootnoteReference"/>
        </w:rPr>
        <w:footnoteReference w:id="1184"/>
      </w:r>
      <w:r>
        <w:rPr>
          <w:rFonts w:ascii="IRNazanin" w:hAnsi="IRNazanin" w:eastAsia="IRNazanin" w:cs="IRNazanin"/>
          <w:lang w:bidi="fa-IR"/>
          <w:color w:val="111111"/>
          <w:sz w:val="28"/>
          <w:szCs w:val="28"/>
          <w:rtl/>
        </w:rPr>
        <w:t xml:space="preserve">.وجوهٌ، أحوطها الأوّل،و مقتضی الإطلاق الثانی.</w:t>
      </w:r>
    </w:p>
    <w:p>
      <w:pPr>
        <w:pStyle w:val="BookText"/>
      </w:pPr>
      <w:r>
        <w:rPr>
          <w:rFonts w:ascii="IRNazanin" w:hAnsi="IRNazanin" w:eastAsia="IRNazanin" w:cs="IRNazanin"/>
          <w:lang w:bidi="fa-IR"/>
          <w:color w:val="111111"/>
          <w:sz w:val="28"/>
          <w:szCs w:val="28"/>
          <w:rtl/>
        </w:rPr>
        <w:t xml:space="preserve">و لو تبرّع متبرّعٌ بالأداء،فإن سلّم إلی البائع برئت ذمّة المشتری و لا یجوز بیعها،و إن سلّم إلی المولی أو الورثة،ففی وجوب القبول نظر؛و کذا لو ارضی </w:t>
      </w:r>
      <w:r>
        <w:rPr>
          <w:rStyle w:val="FootnoteReference"/>
        </w:rPr>
        <w:footnoteReference w:id="1185"/>
      </w:r>
      <w:r>
        <w:rPr>
          <w:rFonts w:ascii="IRNazanin" w:hAnsi="IRNazanin" w:eastAsia="IRNazanin" w:cs="IRNazanin"/>
          <w:lang w:bidi="fa-IR"/>
          <w:color w:val="111111"/>
          <w:sz w:val="28"/>
          <w:szCs w:val="28"/>
          <w:rtl/>
        </w:rPr>
        <w:t xml:space="preserve">البائع باستسعائها فی الأداء.</w:t>
      </w:r>
    </w:p>
    <w:p>
      <w:pPr>
        <w:pStyle w:val="BookText"/>
      </w:pPr>
      <w:r>
        <w:rPr>
          <w:rFonts w:ascii="IRNazanin" w:hAnsi="IRNazanin" w:eastAsia="IRNazanin" w:cs="IRNazanin"/>
          <w:lang w:bidi="fa-IR"/>
          <w:color w:val="111111"/>
          <w:sz w:val="28"/>
          <w:szCs w:val="28"/>
          <w:rtl/>
        </w:rPr>
        <w:t xml:space="preserve">و لو دار الأمر بین بیعها ممّن تنعتق علیه أو بشرط العتق،و بیعها من غیره،ففی وجوب تقدیم الأوّل وجهان.</w:t>
      </w:r>
    </w:p>
    <w:p>
      <w:pPr>
        <w:pStyle w:val="BookText"/>
      </w:pPr>
      <w:r>
        <w:rPr>
          <w:rFonts w:ascii="IRNazanin" w:hAnsi="IRNazanin" w:eastAsia="IRNazanin" w:cs="IRNazanin"/>
          <w:lang w:bidi="fa-IR"/>
          <w:color w:val="111111"/>
          <w:sz w:val="28"/>
          <w:szCs w:val="28"/>
          <w:rtl/>
        </w:rPr>
        <w:t xml:space="preserve">و لو أدّی الولد ثمن نصیبه،انعتق </w:t>
      </w:r>
      <w:r>
        <w:rPr>
          <w:rStyle w:val="FootnoteReference"/>
        </w:rPr>
        <w:footnoteReference w:id="1186"/>
      </w:r>
      <w:r>
        <w:rPr>
          <w:rFonts w:ascii="IRNazanin" w:hAnsi="IRNazanin" w:eastAsia="IRNazanin" w:cs="IRNazanin"/>
          <w:lang w:bidi="fa-IR"/>
          <w:color w:val="111111"/>
          <w:sz w:val="28"/>
          <w:szCs w:val="28"/>
          <w:rtl/>
        </w:rPr>
        <w:t xml:space="preserve">علیه،و حکم الباقی یعلم من مسائل السرایة.</w:t>
      </w:r>
    </w:p>
    <w:p>
      <w:pPr>
        <w:pStyle w:val="BookText"/>
      </w:pPr>
      <w:r>
        <w:rPr>
          <w:rFonts w:ascii="IRNazanin" w:hAnsi="IRNazanin" w:eastAsia="IRNazanin" w:cs="IRNazanin"/>
          <w:lang w:bidi="fa-IR"/>
          <w:color w:val="111111"/>
          <w:sz w:val="28"/>
          <w:szCs w:val="28"/>
          <w:rtl/>
        </w:rPr>
        <w:t xml:space="preserve">و لو أدّی ثمن جمیعها،فإن أقبضه البائع فکالمتبرّع،و إن کان بطریق الشراء ففی وجوب قبول ذلک علی الورثة نظر:من الإطلاق،</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الجمع بین حقّی الاستیلاد و الدین.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لو امتنع المولی من أداء الثمن من غیر عذرٍ،فلجواز بیع البائع لها مقاصّةً مطلقاً،أو مع إذن الحاکم وجهٌ.و ربما یستوجه خلافه </w:t>
      </w:r>
      <w:r>
        <w:rPr>
          <w:rStyle w:val="FootnoteReference"/>
        </w:rPr>
        <w:footnoteReference w:id="1187"/>
      </w:r>
      <w:r>
        <w:rPr>
          <w:rFonts w:ascii="IRNazanin" w:hAnsi="IRNazanin" w:eastAsia="IRNazanin" w:cs="IRNazanin"/>
          <w:lang w:bidi="fa-IR"/>
          <w:color w:val="111111"/>
          <w:sz w:val="28"/>
          <w:szCs w:val="28"/>
          <w:rtl/>
        </w:rPr>
        <w:t xml:space="preserve">لأنّ المنع لحقّ أُمّ الولد،فلا یسقط بامتناع المولی،و لظاهر الفتاوی و تغلیب جانب الحرّیة.</w:t>
      </w:r>
    </w:p>
    <w:p>
      <w:pPr>
        <w:pStyle w:val="BookText"/>
      </w:pPr>
      <w:r>
        <w:rPr>
          <w:rFonts w:ascii="IRNazanin" w:hAnsi="IRNazanin" w:eastAsia="IRNazanin" w:cs="IRNazanin"/>
          <w:lang w:bidi="fa-IR"/>
          <w:color w:val="111111"/>
          <w:sz w:val="28"/>
          <w:szCs w:val="28"/>
          <w:rtl/>
        </w:rPr>
        <w:t xml:space="preserve">و فی الجمیع نظر.</w:t>
      </w:r>
    </w:p>
    <w:p>
      <w:pPr>
        <w:pStyle w:val="BookText"/>
      </w:pPr>
      <w:r>
        <w:rPr>
          <w:rFonts w:ascii="IRNazanin" w:hAnsi="IRNazanin" w:eastAsia="IRNazanin" w:cs="IRNazanin"/>
          <w:lang w:bidi="fa-IR"/>
          <w:color w:val="111111"/>
          <w:sz w:val="28"/>
          <w:szCs w:val="28"/>
          <w:rtl/>
        </w:rPr>
        <w:t xml:space="preserve">و المراد بثمنها:ما جعل عوضاً لها فی عقد مساومتها و إن کان صلحاً.</w:t>
      </w:r>
    </w:p>
    <w:p>
      <w:pPr>
        <w:pStyle w:val="BookText"/>
      </w:pPr>
      <w:r>
        <w:rPr>
          <w:rFonts w:ascii="IRNazanin" w:hAnsi="IRNazanin" w:eastAsia="IRNazanin" w:cs="IRNazanin"/>
          <w:lang w:bidi="fa-IR"/>
          <w:color w:val="111111"/>
          <w:sz w:val="28"/>
          <w:szCs w:val="28"/>
          <w:rtl/>
        </w:rPr>
        <w:t xml:space="preserve">و فی إلحاق الشرط المذکور فی متن العقد بالثمن کما إذا اشترط الإنفاق علی البائع مدّة معیّنة إشکال.</w:t>
      </w:r>
    </w:p>
    <w:p>
      <w:pPr>
        <w:pStyle w:val="BookText"/>
      </w:pPr>
      <w:r>
        <w:rPr>
          <w:rFonts w:ascii="IRNazanin" w:hAnsi="IRNazanin" w:eastAsia="IRNazanin" w:cs="IRNazanin"/>
          <w:lang w:bidi="fa-IR"/>
          <w:color w:val="111111"/>
          <w:sz w:val="28"/>
          <w:szCs w:val="28"/>
          <w:rtl/>
        </w:rPr>
        <w:t xml:space="preserve">و علی العدم،لو فسخ البائع،فإن قلنا بعدم منع الاستیلاد من الاسترداد بالفسخ استردّت،و إن قلنا بمنعه عنه فینتقل إلی القیمة.</w:t>
      </w:r>
    </w:p>
    <w:p>
      <w:pPr>
        <w:pStyle w:val="BookText"/>
      </w:pPr>
      <w:r>
        <w:rPr>
          <w:rFonts w:ascii="IRNazanin" w:hAnsi="IRNazanin" w:eastAsia="IRNazanin" w:cs="IRNazanin"/>
          <w:lang w:bidi="fa-IR"/>
          <w:color w:val="111111"/>
          <w:sz w:val="28"/>
          <w:szCs w:val="28"/>
          <w:rtl/>
        </w:rPr>
        <w:t xml:space="preserve">و لو قلنا بجواز بیعها حینئذٍ فی أداء القیمة أمکن القول بجواز استردادها؛لأنّ المانع عنه هو عدم انتقالها،فإذا لم یکن بدٌّ من نقلها لأجل القیمة لم یمنع عن ردّها إلی البائع،کما لو بیعت علی البائع فی ثمن رقبتها.</w:t>
      </w:r>
    </w:p>
    <w:p>
      <w:pPr>
        <w:pStyle w:val="BookText"/>
      </w:pPr>
      <w:r>
        <w:rPr>
          <w:rFonts w:ascii="IRNazanin" w:hAnsi="IRNazanin" w:eastAsia="IRNazanin" w:cs="IRNazanin"/>
          <w:lang w:bidi="fa-IR"/>
          <w:color w:val="111111"/>
          <w:sz w:val="28"/>
          <w:szCs w:val="28"/>
          <w:rtl/>
        </w:rPr>
        <w:t xml:space="preserve">هذا مجمل القول فی بیعها فی ثمنها.</w:t>
      </w:r>
    </w:p>
    <w:p>
      <w:pPr>
        <w:pStyle w:val="BookText"/>
      </w:pPr>
      <w:r>
        <w:rPr>
          <w:rFonts w:ascii="IRNazanin" w:hAnsi="IRNazanin" w:eastAsia="IRNazanin" w:cs="IRNazanin"/>
          <w:lang w:bidi="fa-IR"/>
          <w:color w:val="111111"/>
          <w:sz w:val="28"/>
          <w:szCs w:val="28"/>
          <w:rtl/>
        </w:rPr>
        <w:t xml:space="preserve">و أمّا بیعها فی دَینٍ آخر،فإن کان مولاها حیّاً،لم یجز إجماعاً علی الظاهر المصرّح به فی کلام بعض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بیعها بعد موته،فالمعروف من مذهب الأصحاب المنع</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أیضاً؛لأصالة بقاء المنع فی حال الحیاة،و لإطلاق روایتی عمر بن یزید المتقدّمتین </w:t>
      </w:r>
      <w:r>
        <w:rPr>
          <w:rStyle w:val="FootnoteReference"/>
        </w:rPr>
        <w:footnoteReference w:id="1189"/>
      </w:r>
      <w:r>
        <w:rPr>
          <w:rFonts w:ascii="IRNazanin" w:hAnsi="IRNazanin" w:eastAsia="IRNazanin" w:cs="IRNazanin"/>
          <w:lang w:bidi="fa-IR"/>
          <w:color w:val="111111"/>
          <w:sz w:val="28"/>
          <w:szCs w:val="28"/>
          <w:rtl/>
        </w:rPr>
        <w:t xml:space="preserve">منطوقاً و مفهوماً.و بهما یخصّص ما دلّ بعمومه علی الجواز ممّا یتخیّل صلاحیّته لتخصیص قاعدة المنع عن بیع أُمّ الولد،کمفهوم مقطوعة یونس:«فی أُمّ ولدٍ لیس لها ولد،مات ولدها،و مات عنها صاحبها و لم یعتقها،هل یجوز لأحد تزویجها؟ قال:لا،لا یحلّ لأحد تزویجها إلّا بعتقٍ من الورثة،و إن کان لها ولدٌ و لیس علی المیّت دینٌ فهی للولد،و إذا ملکها الولد عتقت بملک ولدها لها،و إن کانت بین شرکاء فقد عتقت من نصیبه و تستسعی فی بقیّة ثمنها»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للمحکیّ عن المبسوط،فجوّز البیع حینئذٍ مع استغراق الدین </w:t>
      </w:r>
      <w:r>
        <w:rPr>
          <w:rStyle w:val="FootnoteReference"/>
        </w:rPr>
        <w:footnoteReference w:id="1191"/>
      </w:r>
      <w:r>
        <w:rPr>
          <w:rFonts w:ascii="IRNazanin" w:hAnsi="IRNazanin" w:eastAsia="IRNazanin" w:cs="IRNazanin"/>
          <w:lang w:bidi="fa-IR"/>
          <w:color w:val="111111"/>
          <w:sz w:val="28"/>
          <w:szCs w:val="28"/>
          <w:rtl/>
        </w:rPr>
        <w:t xml:space="preserve">.و الجواز ظاهر اللمعتین </w:t>
      </w:r>
      <w:r>
        <w:rPr>
          <w:rStyle w:val="FootnoteReference"/>
        </w:rPr>
        <w:footnoteReference w:id="1192"/>
      </w:r>
      <w:r>
        <w:rPr>
          <w:rFonts w:ascii="IRNazanin" w:hAnsi="IRNazanin" w:eastAsia="IRNazanin" w:cs="IRNazanin"/>
          <w:lang w:bidi="fa-IR"/>
          <w:color w:val="111111"/>
          <w:sz w:val="28"/>
          <w:szCs w:val="28"/>
          <w:rtl/>
        </w:rPr>
        <w:t xml:space="preserve">و کنز العرفان </w:t>
      </w:r>
      <w:r>
        <w:rPr>
          <w:rStyle w:val="FootnoteReference"/>
        </w:rPr>
        <w:footnoteReference w:id="1193"/>
      </w:r>
      <w:r>
        <w:rPr>
          <w:rFonts w:ascii="IRNazanin" w:hAnsi="IRNazanin" w:eastAsia="IRNazanin" w:cs="IRNazanin"/>
          <w:lang w:bidi="fa-IR"/>
          <w:color w:val="111111"/>
          <w:sz w:val="28"/>
          <w:szCs w:val="28"/>
          <w:rtl/>
        </w:rPr>
        <w:t xml:space="preserve">و الصیمری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وجه تفصیل الشیخ:أنّ الورثة لا یرثون مع الاستغراق، فلا سبیل إلی انعتاق أُمّ الولد الذی هو الغرض من المنع عن بیعها.</w:t>
      </w:r>
    </w:p>
    <w:p>
      <w:pPr>
        <w:pStyle w:val="BookText"/>
      </w:pPr>
      <w:r>
        <w:rPr>
          <w:rFonts w:ascii="IRNazanin" w:hAnsi="IRNazanin" w:eastAsia="IRNazanin" w:cs="IRNazanin"/>
          <w:lang w:bidi="fa-IR"/>
          <w:color w:val="111111"/>
          <w:sz w:val="28"/>
          <w:szCs w:val="28"/>
          <w:rtl/>
        </w:rPr>
        <w:t xml:space="preserve">و عن نکاح المسالک:أنّ الأقوی انتقال الترکة إلی الوارث مطلقاً، و إن مُنع من التصرّف بها </w:t>
      </w:r>
      <w:r>
        <w:rPr>
          <w:rStyle w:val="FootnoteReference"/>
        </w:rPr>
        <w:footnoteReference w:id="1195"/>
      </w:r>
      <w:r>
        <w:rPr>
          <w:rFonts w:ascii="IRNazanin" w:hAnsi="IRNazanin" w:eastAsia="IRNazanin" w:cs="IRNazanin"/>
          <w:lang w:bidi="fa-IR"/>
          <w:color w:val="111111"/>
          <w:sz w:val="28"/>
          <w:szCs w:val="28"/>
          <w:rtl/>
        </w:rPr>
        <w:t xml:space="preserve">علی تقدیر استغراق الدین،فینعتق نصیب</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منها کما لو لم یکن دین،و یلزمه </w:t>
      </w:r>
      <w:r>
        <w:rPr>
          <w:rStyle w:val="FootnoteReference"/>
        </w:rPr>
        <w:footnoteReference w:id="1196"/>
      </w:r>
      <w:r>
        <w:rPr>
          <w:rFonts w:ascii="IRNazanin" w:hAnsi="IRNazanin" w:eastAsia="IRNazanin" w:cs="IRNazanin"/>
          <w:lang w:bidi="fa-IR"/>
          <w:color w:val="111111"/>
          <w:sz w:val="28"/>
          <w:szCs w:val="28"/>
          <w:rtl/>
        </w:rPr>
        <w:t xml:space="preserve">أداء قیمة النصیب من ماله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ینتصر </w:t>
      </w:r>
      <w:r>
        <w:rPr>
          <w:rStyle w:val="FootnoteReference"/>
        </w:rPr>
        <w:footnoteReference w:id="1198"/>
      </w:r>
      <w:r>
        <w:rPr>
          <w:rFonts w:ascii="IRNazanin" w:hAnsi="IRNazanin" w:eastAsia="IRNazanin" w:cs="IRNazanin"/>
          <w:lang w:bidi="fa-IR"/>
          <w:color w:val="111111"/>
          <w:sz w:val="28"/>
          <w:szCs w:val="28"/>
          <w:rtl/>
        </w:rPr>
        <w:t xml:space="preserve">للمبسوط علی المسالک:</w:t>
      </w:r>
    </w:p>
    <w:p>
      <w:pPr>
        <w:pStyle w:val="BookText"/>
      </w:pPr>
      <w:r>
        <w:rPr>
          <w:rFonts w:ascii="Amiri" w:hAnsi="Amiri" w:eastAsia="Amiri" w:cs="Amiri"/>
          <w:lang w:bidi="ar-SA"/>
          <w:color w:val="111111"/>
          <w:sz w:val="28"/>
          <w:szCs w:val="28"/>
          <w:rtl/>
        </w:rPr>
        <w:t xml:space="preserve">أوّلاً:بأنّ المستفاد ممّا دلّ علی أنّها تعتق من نصیب ولدها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ذلک من جهة استحقاقه لذلک النصیب من غیر أن تقوّم علیه أصلاً، و إنّما الکلام فی باقی الحصص إذا </w:t>
      </w:r>
      <w:r>
        <w:rPr>
          <w:rStyle w:val="FootnoteReference"/>
        </w:rPr>
        <w:footnoteReference w:id="1200"/>
      </w:r>
      <w:r>
        <w:rPr>
          <w:rFonts w:ascii="IRNazanin" w:hAnsi="IRNazanin" w:eastAsia="IRNazanin" w:cs="IRNazanin"/>
          <w:lang w:bidi="fa-IR"/>
          <w:color w:val="111111"/>
          <w:sz w:val="28"/>
          <w:szCs w:val="28"/>
          <w:rtl/>
        </w:rPr>
        <w:t xml:space="preserve">لم یفِ نصیبه من جمیع الترکة بقیمة امّه،هل تقوّم علیه،أو تسعی هی فی أداء قیمتها؟ و ثانیاً:بأنّ النصیب إذا نسب إلی الوارث،فلا یراد منه إلّا ما یفضل من الترکة بعد أداء الدین و سائر ما یخرج من الأصل.و المقصود منه النصیب المستقرّ الثابت،لا النصیب الذی یحکم بتملّک الوارث له؛ تفصّیاً من لزوم بقاء الملک بلا مالک.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و ثالثاً </w:t>
      </w:r>
      <w:r>
        <w:rPr>
          <w:rStyle w:val="FootnoteReference"/>
        </w:rPr>
        <w:footnoteReference w:id="1201"/>
      </w:r>
      <w:r>
        <w:rPr>
          <w:rFonts w:ascii="IRNazanin" w:hAnsi="IRNazanin" w:eastAsia="IRNazanin" w:cs="IRNazanin"/>
          <w:lang w:bidi="fa-IR"/>
          <w:color w:val="111111"/>
          <w:sz w:val="28"/>
          <w:szCs w:val="28"/>
          <w:rtl/>
        </w:rPr>
        <w:t xml:space="preserve">:أنّ ما ادّعاه من الانعتاق علی الولد بمثل هذا الملک ممّا لم ینصّ علیه الأصحاب،و لا دلّ علیه دلیل معتبر،و ما یوهمه الأخبار و کلام الأصحاب من إطلاق الملک،فالظاهر أنّ المراد به غیر هذا القسم؛و لذا لا یحکم بانعتاق العبد الموقوف علی من ینعتق علیه؛بناءً</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صحّة الوقف و انتقال الموقوف إلی الموقوف علیه.</w:t>
      </w:r>
    </w:p>
    <w:p>
      <w:pPr>
        <w:pStyle w:val="BookText"/>
      </w:pPr>
      <w:r>
        <w:rPr>
          <w:rFonts w:ascii="Amiri" w:hAnsi="Amiri" w:eastAsia="Amiri" w:cs="Amiri"/>
          <w:lang w:bidi="ar-SA"/>
          <w:color w:val="111111"/>
          <w:sz w:val="28"/>
          <w:szCs w:val="28"/>
          <w:rtl/>
        </w:rPr>
        <w:t xml:space="preserve">و رابعاً </w:t>
      </w:r>
      <w:r>
        <w:rPr>
          <w:rStyle w:val="FootnoteReference"/>
        </w:rPr>
        <w:footnoteReference w:id="1202"/>
      </w:r>
      <w:r>
        <w:rPr>
          <w:rFonts w:ascii="Amiri" w:hAnsi="Amiri" w:eastAsia="Amiri" w:cs="Amiri"/>
          <w:lang w:bidi="ar-SA"/>
          <w:color w:val="111111"/>
          <w:sz w:val="28"/>
          <w:szCs w:val="28"/>
          <w:rtl/>
        </w:rPr>
        <w:t xml:space="preserve">:أنّه یلزم </w:t>
      </w:r>
      <w:r>
        <w:rPr>
          <w:rStyle w:val="FootnoteReference"/>
        </w:rPr>
        <w:footnoteReference w:id="1203"/>
      </w:r>
      <w:r>
        <w:rPr>
          <w:rFonts w:ascii="IRNazanin" w:hAnsi="IRNazanin" w:eastAsia="IRNazanin" w:cs="IRNazanin"/>
          <w:lang w:bidi="fa-IR"/>
          <w:color w:val="111111"/>
          <w:sz w:val="28"/>
          <w:szCs w:val="28"/>
          <w:rtl/>
        </w:rPr>
        <w:t xml:space="preserve">علی کلامه أنّه متی کان نصیب الولد من أصل </w:t>
      </w:r>
      <w:r>
        <w:rPr>
          <w:rStyle w:val="FootnoteReference"/>
        </w:rPr>
        <w:footnoteReference w:id="1204"/>
      </w:r>
      <w:r>
        <w:rPr>
          <w:rFonts w:ascii="IRNazanin" w:hAnsi="IRNazanin" w:eastAsia="IRNazanin" w:cs="IRNazanin"/>
          <w:lang w:bidi="fa-IR"/>
          <w:color w:val="111111"/>
          <w:sz w:val="28"/>
          <w:szCs w:val="28"/>
          <w:rtl/>
        </w:rPr>
        <w:t xml:space="preserve">الترکة بأجمعها ما </w:t>
      </w:r>
      <w:r>
        <w:rPr>
          <w:rStyle w:val="FootnoteReference"/>
        </w:rPr>
        <w:footnoteReference w:id="1205"/>
      </w:r>
      <w:r>
        <w:rPr>
          <w:rFonts w:ascii="Amiri" w:hAnsi="Amiri" w:eastAsia="Amiri" w:cs="Amiri"/>
          <w:lang w:bidi="ar-SA"/>
          <w:color w:val="111111"/>
          <w:sz w:val="28"/>
          <w:szCs w:val="28"/>
          <w:rtl/>
        </w:rPr>
        <w:t xml:space="preserve">یساوی قیمة امّه تقوّم </w:t>
      </w:r>
      <w:r>
        <w:rPr>
          <w:rStyle w:val="FootnoteReference"/>
        </w:rPr>
        <w:footnoteReference w:id="1206"/>
      </w:r>
      <w:r>
        <w:rPr>
          <w:rFonts w:ascii="IRNazanin" w:hAnsi="IRNazanin" w:eastAsia="IRNazanin" w:cs="IRNazanin"/>
          <w:lang w:bidi="fa-IR"/>
          <w:color w:val="111111"/>
          <w:sz w:val="28"/>
          <w:szCs w:val="28"/>
          <w:rtl/>
        </w:rPr>
        <w:t xml:space="preserve">علیه،سواء کان هناک دین مستغرق أم لا،و سواء کان نصیبه الثابت فی الباقی بعد الدیون و نحوها یساوی قیمتها أم لا؛و کذلک لو ساوی نصیبه من الأصل نصفها أو ثلثها أو غیر ذلک،فإنّه یقوّم نصیبه علیه کائناً ما کان و یسقط من القیمة نصیبه الباقی الثابت إن کان له نصیب و یطلب بالباقی.و هذا ممّا لا یقوله أحد من الأصحاب،و ینبغی القطع ببطلانه.</w:t>
      </w:r>
    </w:p>
    <w:p>
      <w:pPr>
        <w:pStyle w:val="BookText"/>
      </w:pPr>
      <w:r>
        <w:rPr>
          <w:rFonts w:ascii="IRNazanin" w:hAnsi="IRNazanin" w:eastAsia="IRNazanin" w:cs="IRNazanin"/>
          <w:lang w:bidi="fa-IR"/>
          <w:color w:val="111111"/>
          <w:sz w:val="28"/>
          <w:szCs w:val="28"/>
          <w:rtl/>
        </w:rPr>
        <w:t xml:space="preserve">و یمکن دفع الأوّل:بأنّ المستفاد من ظاهر الأدلّة انعتاقها من نصیب ولدها حتّی مع الدین المستغرق،فالدین غیر مانع من انعتاقها علی الولد،لکن ذلک لا ینافی اشتغال ذمّة الولد قهراً بقیمة نصیبه أو وجوب بیعها فی القیمة جمعاً بین ما دلّ علی الانعتاق علی الولد الذی یکشف عنه إطلاق النهی عن بیعها </w:t>
      </w:r>
      <w:r>
        <w:rPr>
          <w:rStyle w:val="FootnoteReference"/>
        </w:rPr>
        <w:footnoteReference w:id="1207"/>
      </w:r>
      <w:r>
        <w:rPr>
          <w:rFonts w:ascii="IRNazanin" w:hAnsi="IRNazanin" w:eastAsia="IRNazanin" w:cs="IRNazanin"/>
          <w:lang w:bidi="fa-IR"/>
          <w:color w:val="111111"/>
          <w:sz w:val="28"/>
          <w:szCs w:val="28"/>
          <w:rtl/>
        </w:rPr>
        <w:t xml:space="preserve">،و بین ما دلّ علی أنّ الوارث لا یستقرّ له ما قابل نصیبه من الدین علی وجه یسقط حقّ </w:t>
      </w:r>
      <w:r>
        <w:rPr>
          <w:rStyle w:val="FootnoteReference"/>
        </w:rPr>
        <w:footnoteReference w:id="1208"/>
      </w:r>
      <w:r>
        <w:rPr>
          <w:rFonts w:ascii="Amiri" w:hAnsi="Amiri" w:eastAsia="Amiri" w:cs="Amiri"/>
          <w:lang w:bidi="ar-SA"/>
          <w:color w:val="111111"/>
          <w:sz w:val="28"/>
          <w:szCs w:val="28"/>
          <w:rtl/>
        </w:rPr>
        <w:t xml:space="preserve">الدیّان </w:t>
      </w:r>
      <w:r>
        <w:rPr>
          <w:rStyle w:val="FootnoteReference"/>
        </w:rPr>
        <w:footnoteReference w:id="12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الأمر سقوط حقّهم عن عین هذا المال الخاصّ و عدم کونه کسائر الأموال التی یکون للوارث الامتناع عن أداء مقابلها و دفع عینها إلی الدیّان،و یکون </w:t>
      </w:r>
      <w:r>
        <w:rPr>
          <w:rStyle w:val="FootnoteReference"/>
        </w:rPr>
        <w:footnoteReference w:id="1210"/>
      </w:r>
      <w:r>
        <w:rPr>
          <w:rFonts w:ascii="IRNazanin" w:hAnsi="IRNazanin" w:eastAsia="IRNazanin" w:cs="IRNazanin"/>
          <w:lang w:bidi="fa-IR"/>
          <w:color w:val="111111"/>
          <w:sz w:val="28"/>
          <w:szCs w:val="28"/>
          <w:rtl/>
        </w:rPr>
        <w:t xml:space="preserve">لهم أخذ العین إذا امتنع الوارث من أداء ما قابل العین.</w:t>
      </w:r>
    </w:p>
    <w:p>
      <w:pPr>
        <w:pStyle w:val="BookText"/>
      </w:pPr>
      <w:r>
        <w:rPr>
          <w:rFonts w:ascii="IRNazanin" w:hAnsi="IRNazanin" w:eastAsia="IRNazanin" w:cs="IRNazanin"/>
          <w:lang w:bidi="fa-IR"/>
          <w:color w:val="111111"/>
          <w:sz w:val="28"/>
          <w:szCs w:val="28"/>
          <w:rtl/>
        </w:rPr>
        <w:t xml:space="preserve">و الحاصل:أنّ مقتضی النهی </w:t>
      </w:r>
      <w:r>
        <w:rPr>
          <w:rStyle w:val="FootnoteReference"/>
        </w:rPr>
        <w:footnoteReference w:id="1211"/>
      </w:r>
      <w:r>
        <w:rPr>
          <w:rFonts w:ascii="IRNazanin" w:hAnsi="IRNazanin" w:eastAsia="IRNazanin" w:cs="IRNazanin"/>
          <w:lang w:bidi="fa-IR"/>
          <w:color w:val="111111"/>
          <w:sz w:val="28"/>
          <w:szCs w:val="28"/>
          <w:rtl/>
        </w:rPr>
        <w:t xml:space="preserve">عن بیع أُمّ الولد فی دین غیر ثمنها بعد موت المولی،عدم تسلّط الدیّان علی أخذها و لو مع امتناع الولد عن فکّها بالقیمة،و عدم تسلّط الولد علی دفعها وفاءً عن دین </w:t>
      </w:r>
      <w:r>
        <w:rPr>
          <w:rStyle w:val="FootnoteReference"/>
        </w:rPr>
        <w:footnoteReference w:id="1212"/>
      </w:r>
      <w:r>
        <w:rPr>
          <w:rFonts w:ascii="IRNazanin" w:hAnsi="IRNazanin" w:eastAsia="IRNazanin" w:cs="IRNazanin"/>
          <w:lang w:bidi="fa-IR"/>
          <w:color w:val="111111"/>
          <w:sz w:val="28"/>
          <w:szCs w:val="28"/>
          <w:rtl/>
        </w:rPr>
        <w:t xml:space="preserve">أبیه، و لازم ذلک انعتاقها علی الولد.</w:t>
      </w:r>
    </w:p>
    <w:p>
      <w:pPr>
        <w:pStyle w:val="BookText"/>
      </w:pPr>
      <w:r>
        <w:rPr>
          <w:rFonts w:ascii="Amiri" w:hAnsi="Amiri" w:eastAsia="Amiri" w:cs="Amiri"/>
          <w:lang w:bidi="ar-SA"/>
          <w:color w:val="111111"/>
          <w:sz w:val="28"/>
          <w:szCs w:val="28"/>
          <w:rtl/>
        </w:rPr>
        <w:t xml:space="preserve">فیتردّد الأمر حینئذٍ:</w:t>
      </w:r>
    </w:p>
    <w:p>
      <w:pPr>
        <w:pStyle w:val="BookText"/>
      </w:pPr>
      <w:r>
        <w:rPr>
          <w:rFonts w:ascii="IRNazanin" w:hAnsi="IRNazanin" w:eastAsia="IRNazanin" w:cs="IRNazanin"/>
          <w:lang w:bidi="fa-IR"/>
          <w:color w:val="111111"/>
          <w:sz w:val="28"/>
          <w:szCs w:val="28"/>
          <w:rtl/>
        </w:rPr>
        <w:t xml:space="preserve">بین سقوط حقّ الدیّان عن ما قابلها من الدین،فتکون أُمّ الولد نظیر مئونة التجهیز التی لا یتعلّق حقّ الدیّان بها.</w:t>
      </w:r>
    </w:p>
    <w:p>
      <w:pPr>
        <w:pStyle w:val="BookText"/>
      </w:pPr>
      <w:r>
        <w:rPr>
          <w:rFonts w:ascii="IRNazanin" w:hAnsi="IRNazanin" w:eastAsia="IRNazanin" w:cs="IRNazanin"/>
          <w:lang w:bidi="fa-IR"/>
          <w:color w:val="111111"/>
          <w:sz w:val="28"/>
          <w:szCs w:val="28"/>
          <w:rtl/>
        </w:rPr>
        <w:t xml:space="preserve">و بین أن یتعلّق حقّ الدیّان بقیمتها علی من تتلف فی ملکه و تنعتق علیه،و هو الولد.</w:t>
      </w:r>
    </w:p>
    <w:p>
      <w:pPr>
        <w:pStyle w:val="BookText"/>
      </w:pPr>
      <w:r>
        <w:rPr>
          <w:rFonts w:ascii="IRNazanin" w:hAnsi="IRNazanin" w:eastAsia="IRNazanin" w:cs="IRNazanin"/>
          <w:lang w:bidi="fa-IR"/>
          <w:color w:val="111111"/>
          <w:sz w:val="28"/>
          <w:szCs w:val="28"/>
          <w:rtl/>
        </w:rPr>
        <w:t xml:space="preserve">و بین أن یتعلّق حقّ الدیّان بقیمتها علی رقبتها،فتسعی فیها.</w:t>
      </w:r>
    </w:p>
    <w:p>
      <w:pPr>
        <w:pStyle w:val="BookText"/>
      </w:pPr>
      <w:r>
        <w:rPr>
          <w:rFonts w:ascii="IRNazanin" w:hAnsi="IRNazanin" w:eastAsia="IRNazanin" w:cs="IRNazanin"/>
          <w:lang w:bidi="fa-IR"/>
          <w:color w:val="111111"/>
          <w:sz w:val="28"/>
          <w:szCs w:val="28"/>
          <w:rtl/>
        </w:rPr>
        <w:t xml:space="preserve">و بین أن یتعلّق حقّ الدیّان بمنافعها،فلهم أن یؤجروها مدّة طویلة یفی أُجرتها بدینهم،کما قیل یتعلّق </w:t>
      </w:r>
      <w:r>
        <w:rPr>
          <w:rStyle w:val="FootnoteReference"/>
        </w:rPr>
        <w:footnoteReference w:id="1213"/>
      </w:r>
      <w:r>
        <w:rPr>
          <w:rFonts w:ascii="Amiri" w:hAnsi="Amiri" w:eastAsia="Amiri" w:cs="Amiri"/>
          <w:lang w:bidi="ar-SA"/>
          <w:color w:val="111111"/>
          <w:sz w:val="28"/>
          <w:szCs w:val="28"/>
          <w:rtl/>
        </w:rPr>
        <w:t xml:space="preserve">حقّ الغرماء بمنافع أُمّ ولد المفلّس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إشکال فی عدم جواز رفع الید عمّا دلّ علی بقاء حقّ الدیّان متعلّقاً بالترکة </w:t>
      </w:r>
      <w:r>
        <w:rPr>
          <w:rStyle w:val="FootnoteReference"/>
        </w:rPr>
        <w:footnoteReference w:id="1215"/>
      </w:r>
      <w:r>
        <w:rPr>
          <w:rFonts w:ascii="IRNazanin" w:hAnsi="IRNazanin" w:eastAsia="IRNazanin" w:cs="IRNazanin"/>
          <w:lang w:bidi="fa-IR"/>
          <w:color w:val="111111"/>
          <w:sz w:val="28"/>
          <w:szCs w:val="28"/>
          <w:rtl/>
        </w:rPr>
        <w:t xml:space="preserve">،فیدور الأمر بین الوجهین الأخیرین، فتنعتق علی کلِّ حالٍ،و یبقی الترجیح بین الوجهین محتاجاً إلی التأمّل.</w:t>
      </w:r>
    </w:p>
    <w:p>
      <w:pPr>
        <w:pStyle w:val="BookText"/>
      </w:pPr>
      <w:r>
        <w:rPr>
          <w:rFonts w:ascii="IRNazanin" w:hAnsi="IRNazanin" w:eastAsia="IRNazanin" w:cs="IRNazanin"/>
          <w:lang w:bidi="fa-IR"/>
          <w:color w:val="111111"/>
          <w:sz w:val="28"/>
          <w:szCs w:val="28"/>
          <w:rtl/>
        </w:rPr>
        <w:t xml:space="preserve">و ممّا ذکرنا یظهر اندفاع الوجه الثانی،فإنّ مقتضی المنع عن بیعها مطلقاً أو فی دین غیر ثمنها استقرار ملک الوارث علیها.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منه یظهر الجواب عن الوجه الثالث،إذ بعد ما ثبت عدم تعلّق حقّ الدیّان بعینها علی أن یکون لهم أخذها عند امتناع الوارث من الأداء فلا مانع عن انعتاقها.و لا جامع بینها و بین الوقف الذی هو ملک للبطن اللاحق کما هو ملک للبطن السابق.</w:t>
      </w:r>
    </w:p>
    <w:p>
      <w:pPr>
        <w:pStyle w:val="BookText"/>
      </w:pPr>
      <w:r>
        <w:rPr>
          <w:rFonts w:ascii="IRNazanin" w:hAnsi="IRNazanin" w:eastAsia="IRNazanin" w:cs="IRNazanin"/>
          <w:lang w:bidi="fa-IR"/>
          <w:color w:val="111111"/>
          <w:sz w:val="28"/>
          <w:szCs w:val="28"/>
          <w:rtl/>
        </w:rPr>
        <w:t xml:space="preserve">و أمّا ما ذکره رابعاً،فهو إنّما ینافی الجزم بکون قیمتها بعد الانعتاق متعلّقاً بالولد،أمّا إذا قلنا باستسعائها فلا یلزم شیء.</w:t>
      </w:r>
    </w:p>
    <w:p>
      <w:pPr>
        <w:pStyle w:val="BookText"/>
      </w:pPr>
      <w:r>
        <w:rPr>
          <w:rFonts w:ascii="IRNazanin" w:hAnsi="IRNazanin" w:eastAsia="IRNazanin" w:cs="IRNazanin"/>
          <w:lang w:bidi="fa-IR"/>
          <w:color w:val="111111"/>
          <w:sz w:val="28"/>
          <w:szCs w:val="28"/>
          <w:rtl/>
        </w:rPr>
        <w:t xml:space="preserve">فالضابط حینئذٍ:إنه ینعتق </w:t>
      </w:r>
      <w:r>
        <w:rPr>
          <w:rStyle w:val="FootnoteReference"/>
        </w:rPr>
        <w:footnoteReference w:id="1216"/>
      </w:r>
      <w:r>
        <w:rPr>
          <w:rFonts w:ascii="IRNazanin" w:hAnsi="IRNazanin" w:eastAsia="IRNazanin" w:cs="IRNazanin"/>
          <w:lang w:bidi="fa-IR"/>
          <w:color w:val="111111"/>
          <w:sz w:val="28"/>
          <w:szCs w:val="28"/>
          <w:rtl/>
        </w:rPr>
        <w:t xml:space="preserve">علی الولد ما لم یتعقّبه ضمان من نصیبه،فإن کان مجموع نصیبه أو بعض نصیبه یملکه مع ضمان أداء ما قابلة من الدین،کان ذلک </w:t>
      </w:r>
      <w:r>
        <w:rPr>
          <w:rStyle w:val="FootnoteReference"/>
        </w:rPr>
        <w:footnoteReference w:id="1217"/>
      </w:r>
      <w:r>
        <w:rPr>
          <w:rFonts w:ascii="IRNazanin" w:hAnsi="IRNazanin" w:eastAsia="IRNazanin" w:cs="IRNazanin"/>
          <w:lang w:bidi="fa-IR"/>
          <w:color w:val="111111"/>
          <w:sz w:val="28"/>
          <w:szCs w:val="28"/>
          <w:rtl/>
        </w:rPr>
        <w:t xml:space="preserve">فی رقبتها.</w:t>
      </w:r>
    </w:p>
    <w:p>
      <w:pPr>
        <w:pStyle w:val="BookText"/>
      </w:pPr>
      <w:r>
        <w:rPr>
          <w:rFonts w:ascii="Amiri" w:hAnsi="Amiri" w:eastAsia="Amiri" w:cs="Amiri"/>
          <w:lang w:bidi="ar-SA"/>
          <w:color w:val="111111"/>
          <w:sz w:val="28"/>
          <w:szCs w:val="28"/>
          <w:rtl/>
        </w:rPr>
        <w:t xml:space="preserve">و ممّا ذکرنا یظهر أیضاً:أنّه لو کان غیر ولدها أیضاً مستحقّاً</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لشیءٍ منها بالإرث لم یملک نصیبه مجّاناً،بل إمّا أن یدفع إلی الدیّان ما قابل نصیبه فتسعی </w:t>
      </w:r>
      <w:r>
        <w:rPr>
          <w:rStyle w:val="FootnoteReference"/>
        </w:rPr>
        <w:footnoteReference w:id="1218"/>
      </w:r>
      <w:r>
        <w:rPr>
          <w:rFonts w:ascii="IRNazanin" w:hAnsi="IRNazanin" w:eastAsia="IRNazanin" w:cs="IRNazanin"/>
          <w:lang w:bidi="fa-IR"/>
          <w:color w:val="111111"/>
          <w:sz w:val="28"/>
          <w:szCs w:val="28"/>
          <w:rtl/>
        </w:rPr>
        <w:t xml:space="preserve">أُمّ الولد کما لو لم یکن دینٌ،فینعتق نصیب غیر ولدها علیه مع ضمانها أو ضمان ولدها قیمة حصّته </w:t>
      </w:r>
      <w:r>
        <w:rPr>
          <w:rStyle w:val="FootnoteReference"/>
        </w:rPr>
        <w:footnoteReference w:id="1219"/>
      </w:r>
      <w:r>
        <w:rPr>
          <w:rFonts w:ascii="IRNazanin" w:hAnsi="IRNazanin" w:eastAsia="IRNazanin" w:cs="IRNazanin"/>
          <w:lang w:bidi="fa-IR"/>
          <w:color w:val="111111"/>
          <w:sz w:val="28"/>
          <w:szCs w:val="28"/>
          <w:rtl/>
        </w:rPr>
        <w:t xml:space="preserve">التی فکّها من الدیّان،و إمّا أن یخلّی بینها و بین الدیّان فتنعتق أیضاً علیهم مع ضمانها أو ضمان ولدها ما قابل الدین لهم.</w:t>
      </w:r>
    </w:p>
    <w:p>
      <w:pPr>
        <w:pStyle w:val="BookText"/>
      </w:pPr>
      <w:r>
        <w:rPr>
          <w:rFonts w:ascii="IRNazanin" w:hAnsi="IRNazanin" w:eastAsia="IRNazanin" w:cs="IRNazanin"/>
          <w:lang w:bidi="fa-IR"/>
          <w:color w:val="111111"/>
          <w:sz w:val="28"/>
          <w:szCs w:val="28"/>
          <w:rtl/>
        </w:rPr>
        <w:t xml:space="preserve">و أمّا حرمان الدیّان عنها عیناً و قیمةً و إرث الورثة لها و أخذ غیر ولدها قیمة حصّته منها أو من ولدها و صرفها فی غیر الدین فهو باطل </w:t>
      </w:r>
      <w:r>
        <w:rPr>
          <w:rStyle w:val="FootnoteReference"/>
        </w:rPr>
        <w:footnoteReference w:id="1220"/>
      </w:r>
      <w:r>
        <w:rPr>
          <w:rFonts w:ascii="IRNazanin" w:hAnsi="IRNazanin" w:eastAsia="IRNazanin" w:cs="IRNazanin"/>
          <w:lang w:bidi="fa-IR"/>
          <w:color w:val="111111"/>
          <w:sz w:val="28"/>
          <w:szCs w:val="28"/>
          <w:rtl/>
        </w:rPr>
        <w:t xml:space="preserve">لمخالفته </w:t>
      </w:r>
      <w:r>
        <w:rPr>
          <w:rStyle w:val="FootnoteReference"/>
        </w:rPr>
        <w:footnoteReference w:id="1221"/>
      </w:r>
      <w:r>
        <w:rPr>
          <w:rFonts w:ascii="IRNazanin" w:hAnsi="IRNazanin" w:eastAsia="IRNazanin" w:cs="IRNazanin"/>
          <w:lang w:bidi="fa-IR"/>
          <w:color w:val="111111"/>
          <w:sz w:val="28"/>
          <w:szCs w:val="28"/>
          <w:rtl/>
        </w:rPr>
        <w:t xml:space="preserve">لأدلّة ثبوت حقّ الدیّان من غیر أن یقتضی النهی عن التصرّف فی أُمّ الولد لذلک.</w:t>
      </w:r>
    </w:p>
    <w:p>
      <w:pPr>
        <w:pStyle w:val="BookText"/>
      </w:pPr>
      <w:r>
        <w:rPr>
          <w:rFonts w:ascii="IRNazanin" w:hAnsi="IRNazanin" w:eastAsia="IRNazanin" w:cs="IRNazanin"/>
          <w:lang w:bidi="fa-IR"/>
          <w:color w:val="111111"/>
          <w:sz w:val="28"/>
          <w:szCs w:val="28"/>
          <w:rtl/>
        </w:rPr>
        <w:t xml:space="preserve">و ممّا ذکرنا یظهر ما فی قول بعض من أورد علی ما فی المسالک بما ذکرناه:أنّ الجمع بین فتاوی الأصحاب و أدلّتهم مشکلٌ جدّاً؛حیث إنّهم قیّدوا الدین بکونه ثمناً و حکموا بأنّها تعتق علی ولدها من نصیبه، و أنّ ما فضل عن نصیبه ینعتق بالسرایة و تسعی فی أداء قیمته.و لو قصدوا:أنّ أُمّ الولد أو سهم الولد مستثنی من الدین کالکفن عملاً بالنصوص المزبورة،فله وجهٌ،إلّا أنّهم لا یعدّون ذلک من المستثنیات، و لا ذکر فی النصوص صریحاً </w:t>
      </w:r>
      <w:r>
        <w:rPr>
          <w:rStyle w:val="FootnoteReference"/>
        </w:rPr>
        <w:footnoteReference w:id="12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9" w:name="pg14419_167035"/>
    <w:bookmarkEnd w:id="199"/>
    <w:p>
      <w:pPr>
        <w:pStyle w:val="BookText"/>
      </w:pPr>
      <w:r>
        <w:rPr>
          <w:rFonts w:ascii="IRNazanin" w:hAnsi="IRNazanin" w:eastAsia="IRNazanin" w:cs="IRNazanin"/>
          <w:lang w:bidi="fa-IR"/>
          <w:color w:val="111111"/>
          <w:sz w:val="28"/>
          <w:szCs w:val="28"/>
          <w:rtl/>
        </w:rPr>
        <w:t xml:space="preserve">و أنت خبیر بأنّ النصوص المزبورة </w:t>
      </w:r>
      <w:r>
        <w:rPr>
          <w:rStyle w:val="FootnoteReference"/>
        </w:rPr>
        <w:footnoteReference w:id="1223"/>
      </w:r>
      <w:r>
        <w:rPr>
          <w:rFonts w:ascii="IRNazanin" w:hAnsi="IRNazanin" w:eastAsia="IRNazanin" w:cs="IRNazanin"/>
          <w:lang w:bidi="fa-IR"/>
          <w:color w:val="111111"/>
          <w:sz w:val="28"/>
          <w:szCs w:val="28"/>
          <w:rtl/>
        </w:rPr>
        <w:t xml:space="preserve">لا تقتضی سقوط حقّ الدیّان،کما لا یخفی.</w:t>
      </w:r>
    </w:p>
    <w:p>
      <w:pPr>
        <w:pStyle w:val="Heading6"/>
      </w:pPr>
      <w:bookmarkStart w:id="999" w:name="_Toc439"/>
      <w:r>
        <w:t>و منها : تعلّق کفن مولاها بها</w:t>
      </w:r>
      <w:bookmarkEnd w:id="9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24"/>
      </w:r>
      <w:r>
        <w:rPr>
          <w:rFonts w:ascii="IRNazanin" w:hAnsi="IRNazanin" w:eastAsia="IRNazanin" w:cs="IRNazanin"/>
          <w:lang w:bidi="fa-IR"/>
          <w:color w:val="111111"/>
          <w:sz w:val="28"/>
          <w:szCs w:val="28"/>
          <w:rtl/>
        </w:rPr>
        <w:t xml:space="preserve">: تعلّق کفن مولاها بها</w:t>
      </w:r>
    </w:p>
    <w:p>
      <w:pPr>
        <w:pStyle w:val="BookText"/>
      </w:pPr>
      <w:r>
        <w:rPr>
          <w:rFonts w:ascii="IRNazanin" w:hAnsi="IRNazanin" w:eastAsia="IRNazanin" w:cs="IRNazanin"/>
          <w:lang w:bidi="fa-IR"/>
          <w:color w:val="111111"/>
          <w:sz w:val="28"/>
          <w:szCs w:val="28"/>
          <w:rtl/>
        </w:rPr>
        <w:t xml:space="preserve">علی ما حکاه فی الروضة </w:t>
      </w:r>
      <w:r>
        <w:rPr>
          <w:rStyle w:val="FootnoteReference"/>
        </w:rPr>
        <w:footnoteReference w:id="1225"/>
      </w:r>
      <w:r>
        <w:rPr>
          <w:rFonts w:ascii="IRNazanin" w:hAnsi="IRNazanin" w:eastAsia="IRNazanin" w:cs="IRNazanin"/>
          <w:lang w:bidi="fa-IR"/>
          <w:color w:val="111111"/>
          <w:sz w:val="28"/>
          <w:szCs w:val="28"/>
          <w:rtl/>
        </w:rPr>
        <w:t xml:space="preserve">بشرط عدم کفایة بعضها له،بناءً علی ما تقدّم نظیره فی الدین:من أنّ المنع لغایة الإرث،و هو مفقودٌ مع الحاجة إلی الکفن،و قد عرفت أنّ هذه حکمةٌ غیر مطّردة و لا منعکسة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بناءً علی ما تقدّم </w:t>
      </w:r>
      <w:r>
        <w:rPr>
          <w:rStyle w:val="FootnoteReference"/>
        </w:rPr>
        <w:footnoteReference w:id="1227"/>
      </w:r>
      <w:r>
        <w:rPr>
          <w:rFonts w:ascii="IRNazanin" w:hAnsi="IRNazanin" w:eastAsia="IRNazanin" w:cs="IRNazanin"/>
          <w:lang w:bidi="fa-IR"/>
          <w:color w:val="111111"/>
          <w:sz w:val="28"/>
          <w:szCs w:val="28"/>
          <w:rtl/>
        </w:rPr>
        <w:t xml:space="preserve">:من جواز بیعها فی غیر ثمنها من الدین مع أنّ الکفن یتقدّم علی الدین فبیعها له أولی،بل اللازم ذلک أیضاً؛ بناءً علی حصر الجواز فی بیعها فی ثمنها؛بناءً </w:t>
      </w:r>
      <w:r>
        <w:rPr>
          <w:rStyle w:val="FootnoteReference"/>
        </w:rPr>
        <w:footnoteReference w:id="1228"/>
      </w:r>
      <w:r>
        <w:rPr>
          <w:rFonts w:ascii="IRNazanin" w:hAnsi="IRNazanin" w:eastAsia="IRNazanin" w:cs="IRNazanin"/>
          <w:lang w:bidi="fa-IR"/>
          <w:color w:val="111111"/>
          <w:sz w:val="28"/>
          <w:szCs w:val="28"/>
          <w:rtl/>
        </w:rPr>
        <w:t xml:space="preserve">علی ما تقدّم من أنّ وجود مقابل الکفن الممکن صرفه فی ثمنها لا یمنع عن بیعها،فیُعلم من ذلک تقدیم الکفن علی حقّ الاستیلاد،و إلّا لصُرف مقابله فی ثمنها و لم تُبع.</w:t>
      </w:r>
    </w:p>
    <w:p>
      <w:pPr>
        <w:pStyle w:val="BookText"/>
      </w:pPr>
      <w:r>
        <w:rPr>
          <w:rFonts w:ascii="IRNazanin" w:hAnsi="IRNazanin" w:eastAsia="IRNazanin" w:cs="IRNazanin"/>
          <w:lang w:bidi="fa-IR"/>
          <w:color w:val="111111"/>
          <w:sz w:val="28"/>
          <w:szCs w:val="28"/>
          <w:rtl/>
        </w:rPr>
        <w:t xml:space="preserve">و من ذلک یظهر النظر فیما قیل:من أنّ هذا القول مأخوذٌ من</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بجواز بیعها فی مطلق الدین المستوعب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توضیحه:أنّه إذا کان للمیّت المدیون أُمّ ولد و مقدار ما یجهّز به،فقد اجتمع هنا حقّ المیّت،و حقّ بائع أُمّ الولد،و حقّ أُمّ الولد، فإذا ثبت عدم سقوط حقّ بائع أُمّ الولد،دار الأمر بین إهمال حقّ المیّت بترک الکفن،و إهمال حقّ أُمّ الولد ببیعها.فإذا حکم بجواز بیع أُمّ الولد حینئذٍ بناءً علی ما تقدّم فی المسألة السابقة کان معناه:تقدیم حقّ المیّت علی حقّ أُمّ الولد،و لازم ذلک تقدیمه علیها مع عدم الدین، و انحصار الحقّ فی المیّت و أُمّ الولد.</w:t>
      </w:r>
    </w:p>
    <w:p>
      <w:pPr>
        <w:pStyle w:val="BookText"/>
      </w:pPr>
      <w:r>
        <w:rPr>
          <w:rFonts w:ascii="IRNazanin" w:hAnsi="IRNazanin" w:eastAsia="IRNazanin" w:cs="IRNazanin"/>
          <w:lang w:bidi="fa-IR"/>
          <w:color w:val="111111"/>
          <w:sz w:val="28"/>
          <w:szCs w:val="28"/>
          <w:rtl/>
        </w:rPr>
        <w:t xml:space="preserve">اللهمّ إلّا أن یقال:لمّا ثبت بالدلیل السابق </w:t>
      </w:r>
      <w:r>
        <w:rPr>
          <w:rStyle w:val="FootnoteReference"/>
        </w:rPr>
        <w:footnoteReference w:id="1230"/>
      </w:r>
      <w:r>
        <w:rPr>
          <w:rFonts w:ascii="IRNazanin" w:hAnsi="IRNazanin" w:eastAsia="IRNazanin" w:cs="IRNazanin"/>
          <w:lang w:bidi="fa-IR"/>
          <w:color w:val="111111"/>
          <w:sz w:val="28"/>
          <w:szCs w:val="28"/>
          <w:rtl/>
        </w:rPr>
        <w:t xml:space="preserve">تقدیم دین ثمن أُمّ الولد علی حقّها،و ثبت بعموم النصّ </w:t>
      </w:r>
      <w:r>
        <w:rPr>
          <w:rStyle w:val="FootnoteReference"/>
        </w:rPr>
        <w:footnoteReference w:id="1231"/>
      </w:r>
      <w:r>
        <w:rPr>
          <w:rFonts w:ascii="IRNazanin" w:hAnsi="IRNazanin" w:eastAsia="IRNazanin" w:cs="IRNazanin"/>
          <w:lang w:bidi="fa-IR"/>
          <w:color w:val="111111"/>
          <w:sz w:val="28"/>
          <w:szCs w:val="28"/>
          <w:rtl/>
        </w:rPr>
        <w:t xml:space="preserve">تقدیم الکفن علی الدین،اقتضی الجمع بینهما تخصیص جواز صرفها فی ثمنها بما إذا لم یحتج المیّت إلی الکفن بنفسه أو لبذل باذل،أو بما إذا کان للمیّت مقابل الکفن؛لأنّ مقابل الکفن غیر قابل للصرف فی الدین،فلو لم یکن غیرها لزم من صرفها فی الثمن تقدیم الدین علی الکفن.</w:t>
      </w:r>
    </w:p>
    <w:p>
      <w:pPr>
        <w:pStyle w:val="BookText"/>
      </w:pPr>
      <w:r>
        <w:rPr>
          <w:rFonts w:ascii="IRNazanin" w:hAnsi="IRNazanin" w:eastAsia="IRNazanin" w:cs="IRNazanin"/>
          <w:lang w:bidi="fa-IR"/>
          <w:color w:val="111111"/>
          <w:sz w:val="28"/>
          <w:szCs w:val="28"/>
          <w:rtl/>
        </w:rPr>
        <w:t xml:space="preserve">أمّا إذا لم یکن هناک دینٌ و تردّد الأمر بین حقّها و حقّ مولاها المیّت،فلا دلیل علی تقدیم حقّ مولاها،لیخصّص به قاعدة المنع عن بیع أُمّ الولد،عدا ما یُدّعی:من قاعدة تعلّق حقّ الکفن بمال المیّت.</w:t>
      </w:r>
    </w:p>
    <w:p>
      <w:pPr>
        <w:pStyle w:val="BookText"/>
      </w:pPr>
      <w:r>
        <w:rPr>
          <w:rFonts w:ascii="IRNazanin" w:hAnsi="IRNazanin" w:eastAsia="IRNazanin" w:cs="IRNazanin"/>
          <w:lang w:bidi="fa-IR"/>
          <w:color w:val="111111"/>
          <w:sz w:val="28"/>
          <w:szCs w:val="28"/>
          <w:rtl/>
        </w:rPr>
        <w:t xml:space="preserve">لکن الظاهر اختصاص تلک القاعدة بما إذا لم یتعلّق به حقٌّ سابقٌ مانع</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0" w:name="pg14419_167037"/>
    <w:bookmarkEnd w:id="200"/>
    <w:p>
      <w:pPr>
        <w:pStyle w:val="BookText"/>
      </w:pPr>
      <w:r>
        <w:rPr>
          <w:rFonts w:ascii="IRNazanin" w:hAnsi="IRNazanin" w:eastAsia="IRNazanin" w:cs="IRNazanin"/>
          <w:lang w:bidi="fa-IR"/>
          <w:color w:val="111111"/>
          <w:sz w:val="28"/>
          <w:szCs w:val="28"/>
          <w:rtl/>
        </w:rPr>
        <w:t xml:space="preserve">من التصرّف فیه،و الاستیلاد من ذلک الحقّ؛و لو فرض تعارض الحقّین فالمرجع إلی أصالة فساد بیعها قبل الحاجة إلی الکفن،فتأمّل.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نعم،یمکن أن یقال نظیر ما قیل </w:t>
      </w:r>
      <w:r>
        <w:rPr>
          <w:rStyle w:val="FootnoteReference"/>
        </w:rPr>
        <w:footnoteReference w:id="1232"/>
      </w:r>
      <w:r>
        <w:rPr>
          <w:rFonts w:ascii="IRNazanin" w:hAnsi="IRNazanin" w:eastAsia="IRNazanin" w:cs="IRNazanin"/>
          <w:lang w:bidi="fa-IR"/>
          <w:color w:val="111111"/>
          <w:sz w:val="28"/>
          <w:szCs w:val="28"/>
          <w:rtl/>
        </w:rPr>
        <w:t xml:space="preserve">فی الدین:من أنّ الولد یرث نصیبه و ینعتق علیه و یتعلّق بذمّته مئونة التجهیز،أو تستسعی </w:t>
      </w:r>
      <w:r>
        <w:rPr>
          <w:rStyle w:val="FootnoteReference"/>
        </w:rPr>
        <w:footnoteReference w:id="1233"/>
      </w:r>
      <w:r>
        <w:rPr>
          <w:rFonts w:ascii="IRNazanin" w:hAnsi="IRNazanin" w:eastAsia="IRNazanin" w:cs="IRNazanin"/>
          <w:lang w:bidi="fa-IR"/>
          <w:color w:val="111111"/>
          <w:sz w:val="28"/>
          <w:szCs w:val="28"/>
          <w:rtl/>
        </w:rPr>
        <w:t xml:space="preserve">امّه و لو بإیجار نفسها فی مدّة و أخذ الأُجرة قبل العمل و صرفها فی التجهیز.</w:t>
      </w:r>
    </w:p>
    <w:p>
      <w:pPr>
        <w:pStyle w:val="BookText"/>
      </w:pPr>
      <w:r>
        <w:rPr>
          <w:rFonts w:ascii="IRNazanin" w:hAnsi="IRNazanin" w:eastAsia="IRNazanin" w:cs="IRNazanin"/>
          <w:lang w:bidi="fa-IR"/>
          <w:color w:val="111111"/>
          <w:sz w:val="28"/>
          <w:szCs w:val="28"/>
          <w:rtl/>
        </w:rPr>
        <w:t xml:space="preserve">و المسألة محلّ إشکال.</w:t>
      </w:r>
    </w:p>
    <w:p>
      <w:pPr>
        <w:pStyle w:val="Heading6"/>
      </w:pPr>
      <w:bookmarkStart w:id="1000" w:name="_Toc440"/>
      <w:r>
        <w:t>و منها : ما إذا جنت علی غیر مولاها فی حیاته</w:t>
      </w:r>
      <w:bookmarkEnd w:id="1000"/>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34"/>
      </w:r>
      <w:r>
        <w:rPr>
          <w:rFonts w:ascii="IRNazanin" w:hAnsi="IRNazanin" w:eastAsia="IRNazanin" w:cs="IRNazanin"/>
          <w:lang w:bidi="fa-IR"/>
          <w:color w:val="111111"/>
          <w:sz w:val="28"/>
          <w:szCs w:val="28"/>
          <w:rtl/>
        </w:rPr>
        <w:t xml:space="preserve">: ما إذا جنت علی غیر مولاها فی حیاته،أمّا بعد موته، فلا إشکال فی حکمها؛لأنّها بعد موت المولی تخرج عن التشبّث بالحریة،إمّا إلی الحرّیة الخالصة،أو الرقّیة الخالصة.</w:t>
      </w:r>
    </w:p>
    <w:p>
      <w:pPr>
        <w:pStyle w:val="BookText"/>
      </w:pPr>
      <w:r>
        <w:rPr>
          <w:rFonts w:ascii="IRNazanin" w:hAnsi="IRNazanin" w:eastAsia="IRNazanin" w:cs="IRNazanin"/>
          <w:lang w:bidi="fa-IR"/>
          <w:color w:val="111111"/>
          <w:sz w:val="28"/>
          <w:szCs w:val="28"/>
          <w:rtl/>
        </w:rPr>
        <w:t xml:space="preserve">و حکم جنایتها عمداً:أنّه إن کان فی موردٍ ثبت القصاص، فللمجنیّ علیه القصاص،نفساً کان أو طرفاً،و له استرقاقها کلا أو بعضاً علی حسب جنایتها،فیصیر المقدار المسترقّ منها ملکاً طِلْقاً.</w:t>
      </w:r>
    </w:p>
    <w:p>
      <w:pPr>
        <w:pStyle w:val="BookText"/>
      </w:pPr>
      <w:r>
        <w:rPr>
          <w:rFonts w:ascii="Amiri" w:hAnsi="Amiri" w:eastAsia="Amiri" w:cs="Amiri"/>
          <w:lang w:bidi="ar-SA"/>
          <w:color w:val="111111"/>
          <w:sz w:val="28"/>
          <w:szCs w:val="28"/>
          <w:rtl/>
        </w:rPr>
        <w:t xml:space="preserve">و ربما تخیّل بعضٌ </w:t>
      </w:r>
      <w:r>
        <w:rPr>
          <w:rStyle w:val="FootnoteReference"/>
        </w:rPr>
        <w:footnoteReference w:id="1235"/>
      </w:r>
      <w:r>
        <w:rPr>
          <w:rFonts w:ascii="Amiri" w:hAnsi="Amiri" w:eastAsia="Amiri" w:cs="Amiri"/>
          <w:lang w:bidi="ar-SA"/>
          <w:color w:val="111111"/>
          <w:sz w:val="28"/>
          <w:szCs w:val="28"/>
          <w:rtl/>
        </w:rPr>
        <w:t xml:space="preserve">أنّه یمکن أن یقال:إنّ رقّیتها </w:t>
      </w:r>
      <w:r>
        <w:rPr>
          <w:rStyle w:val="FootnoteReference"/>
        </w:rPr>
        <w:footnoteReference w:id="1236"/>
      </w:r>
      <w:r>
        <w:rPr>
          <w:rFonts w:ascii="IRNazanin" w:hAnsi="IRNazanin" w:eastAsia="IRNazanin" w:cs="IRNazanin"/>
          <w:lang w:bidi="fa-IR"/>
          <w:color w:val="111111"/>
          <w:sz w:val="28"/>
          <w:szCs w:val="28"/>
          <w:rtl/>
        </w:rPr>
        <w:t xml:space="preserve">للمجنیّ علیه لا تزید علی رقّیتها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للمالک الأوّل؛لأنّها تنتقل إلیه علی حسب ما کانت عند الأوّل.ثمّ ادّعی أنّه یمکن أن یدّعی ظهور أدلّة المنع</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صحیحة عمر بن یزید المتقدّمة </w:t>
      </w:r>
      <w:r>
        <w:rPr>
          <w:rStyle w:val="FootnoteReference"/>
        </w:rPr>
        <w:footnoteReference w:id="1237"/>
      </w:r>
      <w:r>
        <w:rPr>
          <w:rFonts w:ascii="Amiri" w:hAnsi="Amiri" w:eastAsia="Amiri" w:cs="Amiri"/>
          <w:lang w:bidi="ar-SA"/>
          <w:color w:val="111111"/>
          <w:sz w:val="28"/>
          <w:szCs w:val="28"/>
          <w:rtl/>
        </w:rPr>
        <w:t xml:space="preserve">فی عدم بیع أُمّ الولد مطلقاً.</w:t>
      </w:r>
    </w:p>
    <w:p>
      <w:pPr>
        <w:pStyle w:val="BookText"/>
      </w:pPr>
      <w:r>
        <w:rPr>
          <w:rFonts w:ascii="IRNazanin" w:hAnsi="IRNazanin" w:eastAsia="IRNazanin" w:cs="IRNazanin"/>
          <w:lang w:bidi="fa-IR"/>
          <w:color w:val="111111"/>
          <w:sz w:val="28"/>
          <w:szCs w:val="28"/>
          <w:rtl/>
        </w:rPr>
        <w:t xml:space="preserve">و الظاهر أنّ مراده بإمکان القول المذکور مقابل امتناعه عقلاً،و إلّا فهو احتمالٌ مخالفٌ للإجماع و النصّ الدالّ علی الاسترقاق </w:t>
      </w:r>
      <w:r>
        <w:rPr>
          <w:rStyle w:val="FootnoteReference"/>
        </w:rPr>
        <w:footnoteReference w:id="1238"/>
      </w:r>
      <w:r>
        <w:rPr>
          <w:rFonts w:ascii="Amiri" w:hAnsi="Amiri" w:eastAsia="Amiri" w:cs="Amiri"/>
          <w:lang w:bidi="ar-SA"/>
          <w:color w:val="111111"/>
          <w:sz w:val="28"/>
          <w:szCs w:val="28"/>
          <w:rtl/>
        </w:rPr>
        <w:t xml:space="preserve">،الظاهر فی صیرورة الجانی رِقّاً خالصاً.</w:t>
      </w:r>
    </w:p>
    <w:p>
      <w:pPr>
        <w:pStyle w:val="BookText"/>
      </w:pPr>
      <w:r>
        <w:rPr>
          <w:rFonts w:ascii="IRNazanin" w:hAnsi="IRNazanin" w:eastAsia="IRNazanin" w:cs="IRNazanin"/>
          <w:lang w:bidi="fa-IR"/>
          <w:color w:val="111111"/>
          <w:sz w:val="28"/>
          <w:szCs w:val="28"/>
          <w:rtl/>
        </w:rPr>
        <w:t xml:space="preserve">و ما وجَّه به هذا الاحتمال:من أنّها تنتقل إلی المجنیّ علیه علی حسب ما کانت عند الأوّل،فیه:أنّه لیس فی النصّ إلّا الاسترقاق، و هو جعلها رِقّاً له کسائر الرقیق،لا انتقالها عن المولی الأوّل إلیه حتّی یقال:إنّه إنّما کان علی النحو الذی کان للمولی الأوّل.</w:t>
      </w:r>
    </w:p>
    <w:p>
      <w:pPr>
        <w:pStyle w:val="BookText"/>
      </w:pPr>
      <w:r>
        <w:rPr>
          <w:rFonts w:ascii="IRNazanin" w:hAnsi="IRNazanin" w:eastAsia="IRNazanin" w:cs="IRNazanin"/>
          <w:lang w:bidi="fa-IR"/>
          <w:color w:val="111111"/>
          <w:sz w:val="28"/>
          <w:szCs w:val="28"/>
          <w:rtl/>
        </w:rPr>
        <w:t xml:space="preserve">و الحاصل:أنّ المستفاد بالضرورة من النصّ و الفتوی:أنّ الاستیلاد یُحدث للأمة حقّا علی مستولدها یمنع من مباشرة بیعها و من البیع لغرضٍ عائدٍ إلیه،مثل قضاء دیونه،و کفنه،علی خلافٍ فی ذلک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کانت الجنایة خطأً:فالمشهور أنّها کغیرها من الممالیک، یتخیّر المولی بین دفعها أو دفع ما قابل الجنایة منها إلی المجنیّ علیه،</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أن یفدیها بأقلّ الأمرین علی المشهور،أو بالأرش علی ما عن الشیخ </w:t>
      </w:r>
      <w:r>
        <w:rPr>
          <w:rStyle w:val="FootnoteReference"/>
        </w:rPr>
        <w:footnoteReference w:id="1240"/>
      </w:r>
      <w:r>
        <w:rPr>
          <w:rFonts w:ascii="IRNazanin" w:hAnsi="IRNazanin" w:eastAsia="IRNazanin" w:cs="IRNazanin"/>
          <w:lang w:bidi="fa-IR"/>
          <w:color w:val="111111"/>
          <w:sz w:val="28"/>
          <w:szCs w:val="28"/>
          <w:rtl/>
        </w:rPr>
        <w:t xml:space="preserve">و غیره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الخلاف </w:t>
      </w:r>
      <w:r>
        <w:rPr>
          <w:rStyle w:val="FootnoteReference"/>
        </w:rPr>
        <w:footnoteReference w:id="1242"/>
      </w:r>
      <w:r>
        <w:rPr>
          <w:rFonts w:ascii="IRNazanin" w:hAnsi="IRNazanin" w:eastAsia="IRNazanin" w:cs="IRNazanin"/>
          <w:lang w:bidi="fa-IR"/>
          <w:color w:val="111111"/>
          <w:sz w:val="28"/>
          <w:szCs w:val="28"/>
          <w:rtl/>
        </w:rPr>
        <w:t xml:space="preserve">و السرائر </w:t>
      </w:r>
      <w:r>
        <w:rPr>
          <w:rStyle w:val="FootnoteReference"/>
        </w:rPr>
        <w:footnoteReference w:id="1243"/>
      </w:r>
      <w:r>
        <w:rPr>
          <w:rFonts w:ascii="IRNazanin" w:hAnsi="IRNazanin" w:eastAsia="IRNazanin" w:cs="IRNazanin"/>
          <w:lang w:bidi="fa-IR"/>
          <w:color w:val="111111"/>
          <w:sz w:val="28"/>
          <w:szCs w:val="28"/>
          <w:rtl/>
        </w:rPr>
        <w:t xml:space="preserve">و استیلاد المبسوط </w:t>
      </w:r>
      <w:r>
        <w:rPr>
          <w:rStyle w:val="FootnoteReference"/>
        </w:rPr>
        <w:footnoteReference w:id="1244"/>
      </w:r>
      <w:r>
        <w:rPr>
          <w:rFonts w:ascii="IRNazanin" w:hAnsi="IRNazanin" w:eastAsia="IRNazanin" w:cs="IRNazanin"/>
          <w:lang w:bidi="fa-IR"/>
          <w:color w:val="111111"/>
          <w:sz w:val="28"/>
          <w:szCs w:val="28"/>
          <w:rtl/>
        </w:rPr>
        <w:t xml:space="preserve">:أنّه لا خلاف فی أنّ جنایتها تتعلّق برقبتها.لکن عن دیات المبسوط:أنّ جنایتها علی سیّدها بلا خلاف إلّا من أبی ثور،فإنّه جعلها فی ذمّتها تتبع بها بعد العتق </w:t>
      </w:r>
      <w:r>
        <w:rPr>
          <w:rStyle w:val="FootnoteReference"/>
        </w:rPr>
        <w:footnoteReference w:id="1245"/>
      </w:r>
      <w:r>
        <w:rPr>
          <w:rFonts w:ascii="IRNazanin" w:hAnsi="IRNazanin" w:eastAsia="IRNazanin" w:cs="IRNazanin"/>
          <w:lang w:bidi="fa-IR"/>
          <w:color w:val="111111"/>
          <w:sz w:val="28"/>
          <w:szCs w:val="28"/>
          <w:rtl/>
        </w:rPr>
        <w:t xml:space="preserve">.و هو مخالف لما فی الاستیلاد من المبسوط.و ربما یوجّه </w:t>
      </w:r>
      <w:r>
        <w:rPr>
          <w:rStyle w:val="FootnoteReference"/>
        </w:rPr>
        <w:footnoteReference w:id="1246"/>
      </w:r>
      <w:r>
        <w:rPr>
          <w:rFonts w:ascii="IRNazanin" w:hAnsi="IRNazanin" w:eastAsia="IRNazanin" w:cs="IRNazanin"/>
          <w:lang w:bidi="fa-IR"/>
          <w:color w:val="111111"/>
          <w:sz w:val="28"/>
          <w:szCs w:val="28"/>
          <w:rtl/>
        </w:rPr>
        <w:t xml:space="preserve">بإرادة نفی الخلاف بین العامّة،و ربما نسب إلیه الغفلة،کما عن المختلف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الأظهر:أنّ المراد بکونها علی سیّدها عود خسارة الجنایة </w:t>
      </w:r>
      <w:r>
        <w:rPr>
          <w:rStyle w:val="FootnoteReference"/>
        </w:rPr>
        <w:footnoteReference w:id="1248"/>
      </w:r>
      <w:r>
        <w:rPr>
          <w:rFonts w:ascii="IRNazanin" w:hAnsi="IRNazanin" w:eastAsia="IRNazanin" w:cs="IRNazanin"/>
          <w:lang w:bidi="fa-IR"/>
          <w:color w:val="111111"/>
          <w:sz w:val="28"/>
          <w:szCs w:val="28"/>
          <w:rtl/>
        </w:rPr>
        <w:t xml:space="preserve">علی السیّد،فی مقابل عدم خسارة المولی لا </w:t>
      </w:r>
      <w:r>
        <w:rPr>
          <w:rStyle w:val="FootnoteReference"/>
        </w:rPr>
        <w:footnoteReference w:id="1249"/>
      </w:r>
      <w:r>
        <w:rPr>
          <w:rFonts w:ascii="IRNazanin" w:hAnsi="IRNazanin" w:eastAsia="IRNazanin" w:cs="IRNazanin"/>
          <w:lang w:bidi="fa-IR"/>
          <w:color w:val="111111"/>
          <w:sz w:val="28"/>
          <w:szCs w:val="28"/>
          <w:rtl/>
        </w:rPr>
        <w:t xml:space="preserve">من عین الجانی و لا من مال</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و کونها فی ذمّة نفسها تتبع بها بعد العتق،و لیس المراد وجوب فدائها.</w:t>
      </w:r>
    </w:p>
    <w:p>
      <w:pPr>
        <w:pStyle w:val="BookText"/>
      </w:pPr>
      <w:r>
        <w:rPr>
          <w:rFonts w:ascii="IRNazanin" w:hAnsi="IRNazanin" w:eastAsia="IRNazanin" w:cs="IRNazanin"/>
          <w:lang w:bidi="fa-IR"/>
          <w:color w:val="111111"/>
          <w:sz w:val="28"/>
          <w:szCs w:val="28"/>
          <w:rtl/>
        </w:rPr>
        <w:t xml:space="preserve">و علی هذا أیضاً یحمل </w:t>
      </w:r>
      <w:r>
        <w:rPr>
          <w:rStyle w:val="FootnoteReference"/>
        </w:rPr>
        <w:footnoteReference w:id="1250"/>
      </w:r>
      <w:r>
        <w:rPr>
          <w:rFonts w:ascii="IRNazanin" w:hAnsi="IRNazanin" w:eastAsia="IRNazanin" w:cs="IRNazanin"/>
          <w:lang w:bidi="fa-IR"/>
          <w:color w:val="111111"/>
          <w:sz w:val="28"/>
          <w:szCs w:val="28"/>
          <w:rtl/>
        </w:rPr>
        <w:t xml:space="preserve">ما فی روایة مسمع عن أبی عبد اللّٰه علیه السلام، «قال:أُمّ الولد جنایتها فی حقوق الناس علی سیّدها،و ما کان من حقوق اللّٰه فی الحدود،فإنّ ذلک فی بدنها» </w:t>
      </w:r>
      <w:r>
        <w:rPr>
          <w:rStyle w:val="FootnoteReference"/>
        </w:rPr>
        <w:footnoteReference w:id="1251"/>
      </w:r>
      <w:r>
        <w:rPr>
          <w:rFonts w:ascii="IRNazanin" w:hAnsi="IRNazanin" w:eastAsia="IRNazanin" w:cs="IRNazanin"/>
          <w:lang w:bidi="fa-IR"/>
          <w:color w:val="111111"/>
          <w:sz w:val="28"/>
          <w:szCs w:val="28"/>
          <w:rtl/>
        </w:rPr>
        <w:t xml:space="preserve">،فمعنی کونها علی سیّدها:</w:t>
      </w:r>
    </w:p>
    <w:p>
      <w:pPr>
        <w:pStyle w:val="BookText"/>
      </w:pPr>
      <w:r>
        <w:rPr>
          <w:rFonts w:ascii="IRNazanin" w:hAnsi="IRNazanin" w:eastAsia="IRNazanin" w:cs="IRNazanin"/>
          <w:lang w:bidi="fa-IR"/>
          <w:color w:val="111111"/>
          <w:sz w:val="28"/>
          <w:szCs w:val="28"/>
          <w:rtl/>
        </w:rPr>
        <w:t xml:space="preserve">أنّ الأمة بنفسها لا تتحمّل من الجنایة شیئاً.</w:t>
      </w:r>
    </w:p>
    <w:p>
      <w:pPr>
        <w:pStyle w:val="BookText"/>
      </w:pPr>
      <w:r>
        <w:rPr>
          <w:rFonts w:ascii="IRNazanin" w:hAnsi="IRNazanin" w:eastAsia="IRNazanin" w:cs="IRNazanin"/>
          <w:lang w:bidi="fa-IR"/>
          <w:color w:val="111111"/>
          <w:sz w:val="28"/>
          <w:szCs w:val="28"/>
          <w:rtl/>
        </w:rPr>
        <w:t xml:space="preserve">و مثلها ما أُرسل عن علیّ علیه السلام فی:«المعتق عن دَبْر هو </w:t>
      </w:r>
      <w:r>
        <w:rPr>
          <w:rStyle w:val="FootnoteReference"/>
        </w:rPr>
        <w:footnoteReference w:id="1252"/>
      </w:r>
      <w:r>
        <w:rPr>
          <w:rFonts w:ascii="IRNazanin" w:hAnsi="IRNazanin" w:eastAsia="IRNazanin" w:cs="IRNazanin"/>
          <w:lang w:bidi="fa-IR"/>
          <w:color w:val="111111"/>
          <w:sz w:val="28"/>
          <w:szCs w:val="28"/>
          <w:rtl/>
        </w:rPr>
        <w:t xml:space="preserve">من الثلث،و ما جنی هو[و المکاتب </w:t>
      </w:r>
      <w:r>
        <w:rPr>
          <w:rStyle w:val="FootnoteReference"/>
        </w:rPr>
        <w:footnoteReference w:id="1253"/>
      </w:r>
      <w:r>
        <w:rPr>
          <w:rFonts w:ascii="IRNazanin" w:hAnsi="IRNazanin" w:eastAsia="IRNazanin" w:cs="IRNazanin"/>
          <w:lang w:bidi="fa-IR"/>
          <w:color w:val="111111"/>
          <w:sz w:val="28"/>
          <w:szCs w:val="28"/>
          <w:rtl/>
        </w:rPr>
        <w:t xml:space="preserve">]و أُمّ الولد فالمولی ضامن لجنایتهم»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جمیع ذلک:خروج دیة الجنایة من مال المولی المردّد بین ملکه الجانی أو ملک آخر.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کان،فإطلاقات حکم جنایة مطلق المملوک </w:t>
      </w:r>
      <w:r>
        <w:rPr>
          <w:rStyle w:val="FootnoteReference"/>
        </w:rPr>
        <w:footnoteReference w:id="1255"/>
      </w:r>
      <w:r>
        <w:rPr>
          <w:rFonts w:ascii="IRNazanin" w:hAnsi="IRNazanin" w:eastAsia="IRNazanin" w:cs="IRNazanin"/>
          <w:lang w:bidi="fa-IR"/>
          <w:color w:val="111111"/>
          <w:sz w:val="28"/>
          <w:szCs w:val="28"/>
          <w:rtl/>
        </w:rPr>
        <w:t xml:space="preserve">سلیمة عن المخصّص.و لا یعارضها أیضاً إطلاق المنع عن بیع أُمّ الولد </w:t>
      </w:r>
      <w:r>
        <w:rPr>
          <w:rStyle w:val="FootnoteReference"/>
        </w:rPr>
        <w:footnoteReference w:id="1256"/>
      </w:r>
      <w:r>
        <w:rPr>
          <w:rFonts w:ascii="IRNazanin" w:hAnsi="IRNazanin" w:eastAsia="IRNazanin" w:cs="IRNazanin"/>
          <w:lang w:bidi="fa-IR"/>
          <w:color w:val="111111"/>
          <w:sz w:val="28"/>
          <w:szCs w:val="28"/>
          <w:rtl/>
        </w:rPr>
        <w:t xml:space="preserve">لأنّ ترک فدائها و التخلیة بینها،و بین المجنیّ علیه لیس نقلاً لها.</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1" w:name="pg14419_167041"/>
    <w:bookmarkEnd w:id="201"/>
    <w:p>
      <w:pPr>
        <w:pStyle w:val="BookText"/>
      </w:pPr>
      <w:r>
        <w:rPr>
          <w:rFonts w:ascii="Amiri" w:hAnsi="Amiri" w:eastAsia="Amiri" w:cs="Amiri"/>
          <w:lang w:bidi="ar-SA"/>
          <w:color w:val="111111"/>
          <w:sz w:val="28"/>
          <w:szCs w:val="28"/>
          <w:rtl/>
        </w:rPr>
        <w:t xml:space="preserve">خلافاً للمحکیّ </w:t>
      </w:r>
      <w:r>
        <w:rPr>
          <w:rStyle w:val="FootnoteReference"/>
        </w:rPr>
        <w:footnoteReference w:id="1257"/>
      </w:r>
      <w:r>
        <w:rPr>
          <w:rFonts w:ascii="IRNazanin" w:hAnsi="IRNazanin" w:eastAsia="IRNazanin" w:cs="IRNazanin"/>
          <w:lang w:bidi="fa-IR"/>
          <w:color w:val="111111"/>
          <w:sz w:val="28"/>
          <w:szCs w:val="28"/>
          <w:rtl/>
        </w:rPr>
        <w:t xml:space="preserve">عن موضع من المبسوط </w:t>
      </w:r>
      <w:r>
        <w:rPr>
          <w:rStyle w:val="FootnoteReference"/>
        </w:rPr>
        <w:footnoteReference w:id="1258"/>
      </w:r>
      <w:r>
        <w:rPr>
          <w:rFonts w:ascii="Amiri" w:hAnsi="Amiri" w:eastAsia="Amiri" w:cs="Amiri"/>
          <w:lang w:bidi="ar-SA"/>
          <w:color w:val="111111"/>
          <w:sz w:val="28"/>
          <w:szCs w:val="28"/>
          <w:rtl/>
        </w:rPr>
        <w:t xml:space="preserve">و المهذّب </w:t>
      </w:r>
      <w:r>
        <w:rPr>
          <w:rStyle w:val="FootnoteReference"/>
        </w:rPr>
        <w:footnoteReference w:id="1259"/>
      </w:r>
      <w:r>
        <w:rPr>
          <w:rFonts w:ascii="IRNazanin" w:hAnsi="IRNazanin" w:eastAsia="IRNazanin" w:cs="IRNazanin"/>
          <w:lang w:bidi="fa-IR"/>
          <w:color w:val="111111"/>
          <w:sz w:val="28"/>
          <w:szCs w:val="28"/>
          <w:rtl/>
        </w:rPr>
        <w:t xml:space="preserve">و المختلف </w:t>
      </w:r>
      <w:r>
        <w:rPr>
          <w:rStyle w:val="FootnoteReference"/>
        </w:rPr>
        <w:footnoteReference w:id="1260"/>
      </w:r>
      <w:r>
        <w:rPr>
          <w:rFonts w:ascii="IRNazanin" w:hAnsi="IRNazanin" w:eastAsia="IRNazanin" w:cs="IRNazanin"/>
          <w:lang w:bidi="fa-IR"/>
          <w:color w:val="111111"/>
          <w:sz w:val="28"/>
          <w:szCs w:val="28"/>
          <w:rtl/>
        </w:rPr>
        <w:t xml:space="preserve">:من تعیین الفداء علی السیّد.</w:t>
      </w:r>
    </w:p>
    <w:p>
      <w:pPr>
        <w:pStyle w:val="BookText"/>
      </w:pPr>
      <w:r>
        <w:rPr>
          <w:rFonts w:ascii="IRNazanin" w:hAnsi="IRNazanin" w:eastAsia="IRNazanin" w:cs="IRNazanin"/>
          <w:lang w:bidi="fa-IR"/>
          <w:color w:val="111111"/>
          <w:sz w:val="28"/>
          <w:szCs w:val="28"/>
          <w:rtl/>
        </w:rPr>
        <w:t xml:space="preserve">و لعلّه للروایتین </w:t>
      </w:r>
      <w:r>
        <w:rPr>
          <w:rStyle w:val="FootnoteReference"/>
        </w:rPr>
        <w:footnoteReference w:id="1261"/>
      </w:r>
      <w:r>
        <w:rPr>
          <w:rFonts w:ascii="IRNazanin" w:hAnsi="IRNazanin" w:eastAsia="IRNazanin" w:cs="IRNazanin"/>
          <w:lang w:bidi="fa-IR"/>
          <w:color w:val="111111"/>
          <w:sz w:val="28"/>
          <w:szCs w:val="28"/>
          <w:rtl/>
        </w:rPr>
        <w:t xml:space="preserve">المؤیّدتین بأنّ استیلاد المولی هو الذی أبطل أحد طرفی التخییر فتعیّن علیه الآخر؛بناءً علی أنّه لا فرق بین إبطال أحد طرفی التخییر بعد الجنایة کما لو قتل أو باع عبده الجانی و بین إبطاله قبلها،کالاستیلاد الموجب لعدم تأثیر أسباب الانتقال فیها.و قد عرفت معنی الروایتین،و المؤیّد مصادرة لا یبطل به إطلاق النصوص.</w:t>
      </w:r>
    </w:p>
    <w:p>
      <w:pPr>
        <w:pStyle w:val="Heading6"/>
      </w:pPr>
      <w:bookmarkStart w:id="1001" w:name="_Toc441"/>
      <w:r>
        <w:t>و منها : ما إذا جنت علی مولاها بما یوجب صحّة استرقاقها لو کان المجنیّ علیه غیر المولی</w:t>
      </w:r>
      <w:bookmarkEnd w:id="1001"/>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62"/>
      </w:r>
      <w:r>
        <w:rPr>
          <w:rFonts w:ascii="IRNazanin" w:hAnsi="IRNazanin" w:eastAsia="IRNazanin" w:cs="IRNazanin"/>
          <w:lang w:bidi="fa-IR"/>
          <w:color w:val="111111"/>
          <w:sz w:val="28"/>
          <w:szCs w:val="28"/>
          <w:rtl/>
        </w:rPr>
        <w:t xml:space="preserve">: ما إذا جنت علی مولاها بما یوجب صحّة استرقاقها لو کان المجنیّ علیه غیر المولی،</w:t>
      </w:r>
    </w:p>
    <w:p>
      <w:pPr>
        <w:pStyle w:val="BookText"/>
      </w:pPr>
      <w:r>
        <w:rPr>
          <w:rFonts w:ascii="IRNazanin" w:hAnsi="IRNazanin" w:eastAsia="IRNazanin" w:cs="IRNazanin"/>
          <w:lang w:bidi="fa-IR"/>
          <w:color w:val="111111"/>
          <w:sz w:val="28"/>
          <w:szCs w:val="28"/>
          <w:rtl/>
        </w:rPr>
        <w:t xml:space="preserve">فهل تعود مِلکاً طِلْقاً بجنایتها علی مولاها، فیجوز له التصرّف الناقل فیها کما هو المحکیّ فی الروضة عن بعض </w:t>
      </w:r>
      <w:r>
        <w:rPr>
          <w:rStyle w:val="FootnoteReference"/>
        </w:rPr>
        <w:footnoteReference w:id="1263"/>
      </w:r>
      <w:r>
        <w:rPr>
          <w:rFonts w:ascii="IRNazanin" w:hAnsi="IRNazanin" w:eastAsia="IRNazanin" w:cs="IRNazanin"/>
          <w:lang w:bidi="fa-IR"/>
          <w:color w:val="111111"/>
          <w:sz w:val="28"/>
          <w:szCs w:val="28"/>
          <w:rtl/>
        </w:rPr>
        <w:t xml:space="preserve">و عدّها السیوری من صور الجواز </w:t>
      </w:r>
      <w:r>
        <w:rPr>
          <w:rStyle w:val="FootnoteReference"/>
        </w:rPr>
        <w:footnoteReference w:id="1264"/>
      </w:r>
      <w:r>
        <w:rPr>
          <w:rFonts w:ascii="IRNazanin" w:hAnsi="IRNazanin" w:eastAsia="IRNazanin" w:cs="IRNazanin"/>
          <w:lang w:bidi="fa-IR"/>
          <w:color w:val="111111"/>
          <w:sz w:val="28"/>
          <w:szCs w:val="28"/>
          <w:rtl/>
        </w:rPr>
        <w:t xml:space="preserve">أم لا؟کما هو المشهور؛إذ لم</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یتحقّق بجنایتها علی مولاها إلّا جواز الاقتصاص منها،و أمّا الاسترقاق فهو تحصیل للحاصل.</w:t>
      </w:r>
    </w:p>
    <w:p>
      <w:pPr>
        <w:pStyle w:val="BookText"/>
      </w:pPr>
      <w:r>
        <w:rPr>
          <w:rFonts w:ascii="IRNazanin" w:hAnsi="IRNazanin" w:eastAsia="IRNazanin" w:cs="IRNazanin"/>
          <w:lang w:bidi="fa-IR"/>
          <w:color w:val="111111"/>
          <w:sz w:val="28"/>
          <w:szCs w:val="28"/>
          <w:rtl/>
        </w:rPr>
        <w:t xml:space="preserve">و ما یقال فی توجیهه:من«أنّ الأسباب الشرعیّة تؤثّر بقدر الإمکان،فإذا لم تؤثّر الجنایة الاسترقاق أمکن أن یتحقّق للمولی أثر جدید،و هو استقلال جدید فی التصرّف فیها،مضافاً إلی أنّ استرقاقها لترک القصاص کفکاک رقابهنّ الذی أُنیط به الجواز فی صحیحة ابن یزید المتقدّمة </w:t>
      </w:r>
      <w:r>
        <w:rPr>
          <w:rStyle w:val="FootnoteReference"/>
        </w:rPr>
        <w:footnoteReference w:id="1265"/>
      </w:r>
      <w:r>
        <w:rPr>
          <w:rFonts w:ascii="IRNazanin" w:hAnsi="IRNazanin" w:eastAsia="IRNazanin" w:cs="IRNazanin"/>
          <w:lang w:bidi="fa-IR"/>
          <w:color w:val="111111"/>
          <w:sz w:val="28"/>
          <w:szCs w:val="28"/>
          <w:rtl/>
        </w:rPr>
        <w:t xml:space="preserve">مضافاً إلی أنّ المنع عن التصرّف لأجل التخفیف لا یناسب الجانی عمداً </w:t>
      </w:r>
      <w:r>
        <w:rPr>
          <w:rStyle w:val="FootnoteReference"/>
        </w:rPr>
        <w:footnoteReference w:id="1266"/>
      </w:r>
      <w:r>
        <w:rPr>
          <w:rFonts w:ascii="IRNazanin" w:hAnsi="IRNazanin" w:eastAsia="IRNazanin" w:cs="IRNazanin"/>
          <w:lang w:bidi="fa-IR"/>
          <w:color w:val="111111"/>
          <w:sz w:val="28"/>
          <w:szCs w:val="28"/>
          <w:rtl/>
        </w:rPr>
        <w:t xml:space="preserve">»فمندفع بما لا یخفی.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الجنایة علی مولاها خطأً،فلا إشکال فی أنّها لا تجوّز التصرّف فیها،کما لا یخفی،و روی الشیخ فی الموثّق عن غیاث،عن جعفر،عن أبیه،عن علیّ علیه السلام قال:«أُمّ الولد إذا قتلت سیّدها خطأً فهی حرّة لا سعایة علیها»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الشیخ و الصدوق بإسنادهما عن وهب بن وهب،عن جعفر، عن أبیه صلوات اللّٰه و سلامه علیهما:«أنّ أُمّ الولد إذا قتلت سیّدها خطأً فهی حرّة لا سبیل علیها،و إن قتلته عمداً قُتلت به»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2" w:name="pg14419_167043"/>
    <w:bookmarkEnd w:id="202"/>
    <w:p>
      <w:pPr>
        <w:pStyle w:val="BookText"/>
      </w:pPr>
      <w:r>
        <w:rPr>
          <w:rFonts w:ascii="IRNazanin" w:hAnsi="IRNazanin" w:eastAsia="IRNazanin" w:cs="IRNazanin"/>
          <w:lang w:bidi="fa-IR"/>
          <w:color w:val="111111"/>
          <w:sz w:val="28"/>
          <w:szCs w:val="28"/>
          <w:rtl/>
        </w:rPr>
        <w:t xml:space="preserve">و عن الشیخ،عن حمّاد،عن جعفر،عن أبیه علیه السلام:«إذا قتلت أُمّ الولد مولاها سعت فی قیمتها»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حملها علی سعیها فی بقیّة قیمتها إذا قصر نصیب ولدها.</w:t>
      </w:r>
    </w:p>
    <w:p>
      <w:pPr>
        <w:pStyle w:val="BookText"/>
      </w:pPr>
      <w:r>
        <w:rPr>
          <w:rFonts w:ascii="IRNazanin" w:hAnsi="IRNazanin" w:eastAsia="IRNazanin" w:cs="IRNazanin"/>
          <w:lang w:bidi="fa-IR"/>
          <w:color w:val="111111"/>
          <w:sz w:val="28"/>
          <w:szCs w:val="28"/>
          <w:rtl/>
        </w:rPr>
        <w:t xml:space="preserve">و عن الشیخ فی التهذیب و الاستبصار-:الجمع بینهما بغیر ذلک، فراجع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6"/>
      </w:pPr>
      <w:bookmarkStart w:id="1002" w:name="_Toc442"/>
      <w:r>
        <w:t>و منها : ما إذا جنی حرّ علیها بما فیه دیتها</w:t>
      </w:r>
      <w:bookmarkEnd w:id="1002"/>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71"/>
      </w:r>
      <w:r>
        <w:rPr>
          <w:rFonts w:ascii="IRNazanin" w:hAnsi="IRNazanin" w:eastAsia="IRNazanin" w:cs="IRNazanin"/>
          <w:lang w:bidi="fa-IR"/>
          <w:color w:val="111111"/>
          <w:sz w:val="28"/>
          <w:szCs w:val="28"/>
          <w:rtl/>
        </w:rPr>
        <w:t xml:space="preserve">: ما إذا جنی حرّ علیها بما فیه دیتها،</w:t>
      </w:r>
    </w:p>
    <w:p>
      <w:pPr>
        <w:pStyle w:val="BookText"/>
      </w:pPr>
      <w:r>
        <w:rPr>
          <w:rFonts w:ascii="IRNazanin" w:hAnsi="IRNazanin" w:eastAsia="IRNazanin" w:cs="IRNazanin"/>
          <w:lang w:bidi="fa-IR"/>
          <w:color w:val="111111"/>
          <w:sz w:val="28"/>
          <w:szCs w:val="28"/>
          <w:rtl/>
        </w:rPr>
        <w:t xml:space="preserve">فإنّها لو لم تکن مستولدة کان للمولی التخییر بین دفعها إلی الجانی و أخذ قیمتها،و بین إمساکها،و لا شیء له؛لئلّا یلزم الجمع بین العوض و المعوَّض،ففی المستولدة یحتمل ذلک،و یحتمل أن لا یجوز للمولی أخذ القیمة،لیلزم منه استحقاق الجانی للرقبة.</w:t>
      </w:r>
    </w:p>
    <w:p>
      <w:pPr>
        <w:pStyle w:val="BookText"/>
      </w:pPr>
      <w:r>
        <w:rPr>
          <w:rFonts w:ascii="IRNazanin" w:hAnsi="IRNazanin" w:eastAsia="IRNazanin" w:cs="IRNazanin"/>
          <w:lang w:bidi="fa-IR"/>
          <w:color w:val="111111"/>
          <w:sz w:val="28"/>
          <w:szCs w:val="28"/>
          <w:rtl/>
        </w:rPr>
        <w:t xml:space="preserve">و أمّا احتمال منع الجانی عن أخذها و عدم تملّکه لها بعد أخذ الدیة منه،فلا وجه له؛لأنّ الاستیلاد یمنع عن المعاوضة أو ما فی حکمها، لا </w:t>
      </w:r>
      <w:r>
        <w:rPr>
          <w:rStyle w:val="FootnoteReference"/>
        </w:rPr>
        <w:footnoteReference w:id="1272"/>
      </w:r>
      <w:r>
        <w:rPr>
          <w:rFonts w:ascii="IRNazanin" w:hAnsi="IRNazanin" w:eastAsia="IRNazanin" w:cs="IRNazanin"/>
          <w:lang w:bidi="fa-IR"/>
          <w:color w:val="111111"/>
          <w:sz w:val="28"/>
          <w:szCs w:val="28"/>
          <w:rtl/>
        </w:rPr>
        <w:t xml:space="preserve">عن أخذ العوض بعد إعطاء المعوّض </w:t>
      </w:r>
      <w:r>
        <w:rPr>
          <w:rStyle w:val="FootnoteReference"/>
        </w:rPr>
        <w:footnoteReference w:id="1273"/>
      </w:r>
      <w:r>
        <w:rPr>
          <w:rFonts w:ascii="IRNazanin" w:hAnsi="IRNazanin" w:eastAsia="IRNazanin" w:cs="IRNazanin"/>
          <w:lang w:bidi="fa-IR"/>
          <w:color w:val="111111"/>
          <w:sz w:val="28"/>
          <w:szCs w:val="28"/>
          <w:rtl/>
        </w:rPr>
        <w:t xml:space="preserve">بحکم الشرع.</w:t>
      </w:r>
    </w:p>
    <w:p>
      <w:pPr>
        <w:pStyle w:val="BookText"/>
      </w:pPr>
      <w:r>
        <w:rPr>
          <w:rFonts w:ascii="IRNazanin" w:hAnsi="IRNazanin" w:eastAsia="IRNazanin" w:cs="IRNazanin"/>
          <w:lang w:bidi="fa-IR"/>
          <w:color w:val="111111"/>
          <w:sz w:val="28"/>
          <w:szCs w:val="28"/>
          <w:rtl/>
        </w:rPr>
        <w:t xml:space="preserve">و المسألة من أصلها موضع إشکال؛لعدم لزوم الجمع بین العوض</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3" w:name="pg14419_167044"/>
    <w:bookmarkEnd w:id="203"/>
    <w:p>
      <w:pPr>
        <w:pStyle w:val="BookText"/>
      </w:pPr>
      <w:r>
        <w:rPr>
          <w:rFonts w:ascii="IRNazanin" w:hAnsi="IRNazanin" w:eastAsia="IRNazanin" w:cs="IRNazanin"/>
          <w:lang w:bidi="fa-IR"/>
          <w:color w:val="111111"/>
          <w:sz w:val="28"/>
          <w:szCs w:val="28"/>
          <w:rtl/>
        </w:rPr>
        <w:t xml:space="preserve">و المعوّض؛لأنّ الدیة عوض شرعی عمّا فات بالجنایة،لا عن رقبة العبد.و تمام الکلام فی محلّه.</w:t>
      </w:r>
    </w:p>
    <w:p>
      <w:pPr>
        <w:pStyle w:val="Heading6"/>
      </w:pPr>
      <w:bookmarkStart w:id="1003" w:name="_Toc443"/>
      <w:r>
        <w:t>و منها : ما إذا لحقت بدار الحرب ثمّ استرقّت</w:t>
      </w:r>
      <w:bookmarkEnd w:id="1003"/>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74"/>
      </w:r>
      <w:r>
        <w:rPr>
          <w:rFonts w:ascii="IRNazanin" w:hAnsi="IRNazanin" w:eastAsia="IRNazanin" w:cs="IRNazanin"/>
          <w:lang w:bidi="fa-IR"/>
          <w:color w:val="111111"/>
          <w:sz w:val="28"/>
          <w:szCs w:val="28"/>
          <w:rtl/>
        </w:rPr>
        <w:t xml:space="preserve">: ما إذا لحقت بدار الحرب ثمّ استرقّت،</w:t>
      </w:r>
    </w:p>
    <w:p>
      <w:pPr>
        <w:pStyle w:val="BookText"/>
      </w:pPr>
      <w:r>
        <w:rPr>
          <w:rFonts w:ascii="IRNazanin" w:hAnsi="IRNazanin" w:eastAsia="IRNazanin" w:cs="IRNazanin"/>
          <w:lang w:bidi="fa-IR"/>
          <w:color w:val="111111"/>
          <w:sz w:val="28"/>
          <w:szCs w:val="28"/>
          <w:rtl/>
        </w:rPr>
        <w:t xml:space="preserve">حکاه فی الروضة </w:t>
      </w:r>
      <w:r>
        <w:rPr>
          <w:rStyle w:val="FootnoteReference"/>
        </w:rPr>
        <w:footnoteReference w:id="1275"/>
      </w:r>
      <w:r>
        <w:rPr>
          <w:rFonts w:ascii="IRNazanin" w:hAnsi="IRNazanin" w:eastAsia="IRNazanin" w:cs="IRNazanin"/>
          <w:lang w:bidi="fa-IR"/>
          <w:color w:val="111111"/>
          <w:sz w:val="28"/>
          <w:szCs w:val="28"/>
          <w:rtl/>
        </w:rPr>
        <w:t xml:space="preserve">.و کذا لو أسرها المشرکون ثمّ استعادها المسلمون فکأنه فیما إذا </w:t>
      </w:r>
      <w:r>
        <w:rPr>
          <w:rStyle w:val="FootnoteReference"/>
        </w:rPr>
        <w:footnoteReference w:id="1276"/>
      </w:r>
      <w:r>
        <w:rPr>
          <w:rFonts w:ascii="IRNazanin" w:hAnsi="IRNazanin" w:eastAsia="IRNazanin" w:cs="IRNazanin"/>
          <w:lang w:bidi="fa-IR"/>
          <w:color w:val="111111"/>
          <w:sz w:val="28"/>
          <w:szCs w:val="28"/>
          <w:rtl/>
        </w:rPr>
        <w:t xml:space="preserve">أسرها غیر مولاها فلم یثبت کونها أمة المولی إلّا بعد القسمة،و قلنا بأنّ القسمة لا تنقص </w:t>
      </w:r>
      <w:r>
        <w:rPr>
          <w:rStyle w:val="FootnoteReference"/>
        </w:rPr>
        <w:footnoteReference w:id="1277"/>
      </w:r>
      <w:r>
        <w:rPr>
          <w:rFonts w:ascii="IRNazanin" w:hAnsi="IRNazanin" w:eastAsia="IRNazanin" w:cs="IRNazanin"/>
          <w:lang w:bidi="fa-IR"/>
          <w:color w:val="111111"/>
          <w:sz w:val="28"/>
          <w:szCs w:val="28"/>
          <w:rtl/>
        </w:rPr>
        <w:t xml:space="preserve">و یغرم الإمام قیمتها لمالکها لکن المحکیّ عن الأکثر و المنصوص:أنّها تردّ علی مالکها،و یغرم قیمتها للمقاتلة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6"/>
      </w:pPr>
      <w:bookmarkStart w:id="1004" w:name="_Toc444"/>
      <w:r>
        <w:t>و منها : ما إذا خرج مولاها عن الذمّة و ملکت أموالُه التی هی منها</w:t>
      </w:r>
      <w:bookmarkEnd w:id="1004"/>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79"/>
      </w:r>
      <w:r>
        <w:rPr>
          <w:rFonts w:ascii="IRNazanin" w:hAnsi="IRNazanin" w:eastAsia="IRNazanin" w:cs="IRNazanin"/>
          <w:lang w:bidi="fa-IR"/>
          <w:color w:val="111111"/>
          <w:sz w:val="28"/>
          <w:szCs w:val="28"/>
          <w:rtl/>
        </w:rPr>
        <w:t xml:space="preserve">: ما إذا خرج مولاها عن الذمّة و ملکت أموالُه التی هی منها.</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4" w:name="pg14419_167045"/>
    <w:bookmarkEnd w:id="204"/>
    <w:p>
      <w:pPr>
        <w:pStyle w:val="Heading6"/>
      </w:pPr>
      <w:bookmarkStart w:id="1005" w:name="_Toc445"/>
      <w:r>
        <w:t>و منها : ما إذا کان مولاها ذمّیا و قتل مسلماً</w:t>
      </w:r>
      <w:bookmarkEnd w:id="1005"/>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80"/>
      </w:r>
      <w:r>
        <w:rPr>
          <w:rFonts w:ascii="IRNazanin" w:hAnsi="IRNazanin" w:eastAsia="IRNazanin" w:cs="IRNazanin"/>
          <w:lang w:bidi="fa-IR"/>
          <w:color w:val="111111"/>
          <w:sz w:val="28"/>
          <w:szCs w:val="28"/>
          <w:rtl/>
        </w:rPr>
        <w:t xml:space="preserve">: ما إذا کان مولاها ذمّیا و قتل مسلماً،</w:t>
      </w:r>
    </w:p>
    <w:p>
      <w:pPr>
        <w:pStyle w:val="BookText"/>
      </w:pPr>
      <w:r>
        <w:rPr>
          <w:rFonts w:ascii="IRNazanin" w:hAnsi="IRNazanin" w:eastAsia="IRNazanin" w:cs="IRNazanin"/>
          <w:lang w:bidi="fa-IR"/>
          <w:color w:val="111111"/>
          <w:sz w:val="28"/>
          <w:szCs w:val="28"/>
          <w:rtl/>
        </w:rPr>
        <w:t xml:space="preserve">فإنّه یدفع هو و أمواله إلی أولیاء المقتول.</w:t>
      </w:r>
    </w:p>
    <w:p>
      <w:pPr>
        <w:pStyle w:val="BookText"/>
      </w:pPr>
      <w:r>
        <w:rPr>
          <w:rFonts w:ascii="IRNazanin" w:hAnsi="IRNazanin" w:eastAsia="IRNazanin" w:cs="IRNazanin"/>
          <w:lang w:bidi="fa-IR"/>
          <w:color w:val="111111"/>
          <w:sz w:val="28"/>
          <w:szCs w:val="28"/>
          <w:rtl/>
        </w:rPr>
        <w:t xml:space="preserve">هذا ما ظفرت به من موارد القسم الأوّل،و هو ما إذا عرض لاُمّ الولد حقّ للغیر أقوی من الاستیلاد.</w:t>
      </w:r>
    </w:p>
    <w:p>
      <w:pPr>
        <w:pStyle w:val="Heading6"/>
      </w:pPr>
      <w:bookmarkStart w:id="1006" w:name="_Toc446"/>
      <w:r>
        <w:t>و أمّا القسم الثانی : و هو ما إذا عرض لها حقّ لنفسها أولی بالمراعاة من حقّ الاستیلاد</w:t>
      </w:r>
      <w:bookmarkEnd w:id="1006"/>
    </w:p>
    <w:p>
      <w:pPr>
        <w:pStyle w:val="Heading6"/>
      </w:pPr>
      <w:bookmarkStart w:id="1007" w:name="_Toc447"/>
      <w:r>
        <w:t>اشارة</w:t>
      </w:r>
      <w:bookmarkEnd w:id="1007"/>
    </w:p>
    <w:p>
      <w:pPr>
        <w:pStyle w:val="BookText"/>
      </w:pPr>
      <w:r>
        <w:rPr>
          <w:rFonts w:ascii="IRNazanin" w:hAnsi="IRNazanin" w:eastAsia="IRNazanin" w:cs="IRNazanin"/>
          <w:lang w:bidi="fa-IR"/>
          <w:color w:val="111111"/>
          <w:sz w:val="28"/>
          <w:szCs w:val="28"/>
          <w:rtl/>
        </w:rPr>
        <w:t xml:space="preserve">و أمّا القسم الثانی </w:t>
      </w:r>
      <w:r>
        <w:rPr>
          <w:rStyle w:val="FootnoteReference"/>
        </w:rPr>
        <w:footnoteReference w:id="1281"/>
      </w:r>
      <w:r>
        <w:rPr>
          <w:rFonts w:ascii="IRNazanin" w:hAnsi="IRNazanin" w:eastAsia="IRNazanin" w:cs="IRNazanin"/>
          <w:lang w:bidi="fa-IR"/>
          <w:color w:val="111111"/>
          <w:sz w:val="28"/>
          <w:szCs w:val="28"/>
          <w:rtl/>
        </w:rPr>
        <w:t xml:space="preserve">: و هو ما إذا عرض لها حقّ لنفسها أولی بالمراعاة من حقّ الاستیلاد</w:t>
      </w:r>
    </w:p>
    <w:p>
      <w:pPr>
        <w:pStyle w:val="Heading6"/>
      </w:pPr>
      <w:bookmarkStart w:id="1008" w:name="_Toc448"/>
      <w:r>
        <w:t>فمن موارده : ما إذا أسلمت و هی أمة ذمّی</w:t>
      </w:r>
      <w:bookmarkEnd w:id="1008"/>
    </w:p>
    <w:p>
      <w:pPr>
        <w:pStyle w:val="BookText"/>
      </w:pPr>
      <w:r>
        <w:rPr>
          <w:rFonts w:ascii="IRNazanin" w:hAnsi="IRNazanin" w:eastAsia="IRNazanin" w:cs="IRNazanin"/>
          <w:lang w:bidi="fa-IR"/>
          <w:color w:val="111111"/>
          <w:sz w:val="28"/>
          <w:szCs w:val="28"/>
          <w:rtl/>
        </w:rPr>
        <w:t xml:space="preserve">فإنّها تباع علیه؛بناءً علی أنّ حقّ إسلامها المقتضی لعدم سلطنة الکافر علیها أولی من حقّ الاستیلاد المعرِّض للعتق.و لو فرض تکافؤ دلیلهما کان المرجع عمومات صحّة البیع دون قاعدة«سلطنة الناس علی أموالهم»المقتضیة لعدم جواز بیعها علیه؛لأنّ المفروض:أنّ قاعدة«السلطنة»قد ارتفعت بحکومة أدلّة نفی سلطنة الکافر علی المسلم </w:t>
      </w:r>
      <w:r>
        <w:rPr>
          <w:rStyle w:val="FootnoteReference"/>
        </w:rPr>
        <w:footnoteReference w:id="1282"/>
      </w:r>
      <w:r>
        <w:rPr>
          <w:rFonts w:ascii="Amiri" w:hAnsi="Amiri" w:eastAsia="Amiri" w:cs="Amiri"/>
          <w:lang w:bidi="ar-SA"/>
          <w:color w:val="111111"/>
          <w:sz w:val="28"/>
          <w:szCs w:val="28"/>
          <w:rtl/>
        </w:rPr>
        <w:t xml:space="preserve">،فالمالک لیس مسلّطاً قطعاً،و لا حقّ له فی عین الملک جزماً.</w:t>
      </w:r>
    </w:p>
    <w:p>
      <w:pPr>
        <w:pStyle w:val="BookText"/>
      </w:pPr>
      <w:r>
        <w:rPr>
          <w:rFonts w:ascii="IRNazanin" w:hAnsi="IRNazanin" w:eastAsia="IRNazanin" w:cs="IRNazanin"/>
          <w:lang w:bidi="fa-IR"/>
          <w:color w:val="111111"/>
          <w:sz w:val="28"/>
          <w:szCs w:val="28"/>
          <w:rtl/>
        </w:rPr>
        <w:t xml:space="preserve">إنّما الکلام فی تعارض حقّی أُمّ الولد من حیث کونها مسلمة فلا یجوز کونها مقهورة بید الکافر،و من حیث کونها فی معرض العتق فلا یجوز إخراجها عن هذه العرضة.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الظاهر أنّ الأوّل أولی؛للاعتبار، و حکومة قاعدة«نفی السبیل»علی جُلّ القواعد،و لقوله صلّی اللّٰه علیه و آله و سلم:</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5" w:name="pg14419_167046"/>
    <w:bookmarkEnd w:id="205"/>
    <w:p>
      <w:pPr>
        <w:pStyle w:val="BookText"/>
      </w:pPr>
      <w:r>
        <w:rPr>
          <w:rFonts w:ascii="IRNazanin" w:hAnsi="IRNazanin" w:eastAsia="IRNazanin" w:cs="IRNazanin"/>
          <w:lang w:bidi="fa-IR"/>
          <w:color w:val="111111"/>
          <w:sz w:val="28"/>
          <w:szCs w:val="28"/>
          <w:rtl/>
        </w:rPr>
        <w:t xml:space="preserve">«الإسلام یعلو و لا یعلی علیه»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ظهر:أنّه لا وجه للتمسّک باستصحاب المنع قبل إسلامها؛لأنّ الشکّ إنّما هو فی طروّ ما هو مقدّم علی حقّ الاستیلاد و الأصل عدمه </w:t>
      </w:r>
      <w:r>
        <w:rPr>
          <w:rStyle w:val="FootnoteReference"/>
        </w:rPr>
        <w:footnoteReference w:id="1284"/>
      </w:r>
      <w:r>
        <w:rPr>
          <w:rFonts w:ascii="IRNazanin" w:hAnsi="IRNazanin" w:eastAsia="IRNazanin" w:cs="IRNazanin"/>
          <w:lang w:bidi="fa-IR"/>
          <w:color w:val="111111"/>
          <w:sz w:val="28"/>
          <w:szCs w:val="28"/>
          <w:rtl/>
        </w:rPr>
        <w:t xml:space="preserve">،مع إمکان معارضة الأصل بمثله لو فرض فی بعض الصور تقدّم الإسلام علی المنع عن البیع.و </w:t>
      </w:r>
      <w:r>
        <w:rPr>
          <w:rStyle w:val="FootnoteReference"/>
        </w:rPr>
        <w:footnoteReference w:id="1285"/>
      </w:r>
      <w:r>
        <w:rPr>
          <w:rFonts w:ascii="IRNazanin" w:hAnsi="IRNazanin" w:eastAsia="IRNazanin" w:cs="IRNazanin"/>
          <w:lang w:bidi="fa-IR"/>
          <w:color w:val="111111"/>
          <w:sz w:val="28"/>
          <w:szCs w:val="28"/>
          <w:rtl/>
        </w:rPr>
        <w:t xml:space="preserve">مع إمکان دعوی ظهور قاعدة«المنع»فی عدم سلطنة المالک و تقدیم حقّ الاستیلاد علی حقّ الملک،فلا ینافی تقدیم حقٍّ آخر لها علی هذا الحقّ.</w:t>
      </w:r>
    </w:p>
    <w:p>
      <w:pPr>
        <w:pStyle w:val="Heading6"/>
      </w:pPr>
      <w:bookmarkStart w:id="1009" w:name="_Toc449"/>
      <w:r>
        <w:t>و منها : ما إذا عجز مولاها عن نفقتها و لو بکسبها</w:t>
      </w:r>
      <w:bookmarkEnd w:id="1009"/>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86"/>
      </w:r>
      <w:r>
        <w:rPr>
          <w:rFonts w:ascii="IRNazanin" w:hAnsi="IRNazanin" w:eastAsia="IRNazanin" w:cs="IRNazanin"/>
          <w:lang w:bidi="fa-IR"/>
          <w:color w:val="111111"/>
          <w:sz w:val="28"/>
          <w:szCs w:val="28"/>
          <w:rtl/>
        </w:rPr>
        <w:t xml:space="preserve">: ما إذا عجز مولاها عن نفقتها و لو بکسبها </w:t>
      </w:r>
      <w:r>
        <w:rPr>
          <w:rStyle w:val="FootnoteReference"/>
        </w:rPr>
        <w:footnoteReference w:id="1287"/>
      </w:r>
      <w:r>
        <w:rPr>
          <w:rFonts w:ascii="IRNazanin" w:hAnsi="IRNazanin" w:eastAsia="IRNazanin" w:cs="IRNazanin"/>
          <w:lang w:bidi="fa-IR"/>
          <w:color w:val="111111"/>
          <w:sz w:val="28"/>
          <w:szCs w:val="28"/>
          <w:rtl/>
        </w:rPr>
        <w:t xml:space="preserve">،فتباع </w:t>
      </w:r>
      <w:r>
        <w:rPr>
          <w:rStyle w:val="FootnoteReference"/>
        </w:rPr>
        <w:footnoteReference w:id="1288"/>
      </w:r>
      <w:r>
        <w:rPr>
          <w:rFonts w:ascii="IRNazanin" w:hAnsi="IRNazanin" w:eastAsia="IRNazanin" w:cs="IRNazanin"/>
          <w:lang w:bidi="fa-IR"/>
          <w:color w:val="111111"/>
          <w:sz w:val="28"/>
          <w:szCs w:val="28"/>
          <w:rtl/>
        </w:rPr>
        <w:t xml:space="preserve">علی من ینفق علیها،</w:t>
      </w:r>
    </w:p>
    <w:p>
      <w:pPr>
        <w:pStyle w:val="BookText"/>
      </w:pPr>
      <w:r>
        <w:rPr>
          <w:rFonts w:ascii="IRNazanin" w:hAnsi="IRNazanin" w:eastAsia="IRNazanin" w:cs="IRNazanin"/>
          <w:lang w:bidi="fa-IR"/>
          <w:color w:val="111111"/>
          <w:sz w:val="28"/>
          <w:szCs w:val="28"/>
          <w:rtl/>
        </w:rPr>
        <w:t xml:space="preserve">علی ما حکی </w:t>
      </w:r>
      <w:r>
        <w:rPr>
          <w:rStyle w:val="FootnoteReference"/>
        </w:rPr>
        <w:footnoteReference w:id="1289"/>
      </w:r>
      <w:r>
        <w:rPr>
          <w:rFonts w:ascii="Amiri" w:hAnsi="Amiri" w:eastAsia="Amiri" w:cs="Amiri"/>
          <w:lang w:bidi="ar-SA"/>
          <w:color w:val="111111"/>
          <w:sz w:val="28"/>
          <w:szCs w:val="28"/>
          <w:rtl/>
        </w:rPr>
        <w:t xml:space="preserve">عن اللمعة </w:t>
      </w:r>
      <w:r>
        <w:rPr>
          <w:rStyle w:val="FootnoteReference"/>
        </w:rPr>
        <w:footnoteReference w:id="1290"/>
      </w:r>
      <w:r>
        <w:rPr>
          <w:rFonts w:ascii="IRNazanin" w:hAnsi="IRNazanin" w:eastAsia="IRNazanin" w:cs="IRNazanin"/>
          <w:lang w:bidi="fa-IR"/>
          <w:color w:val="111111"/>
          <w:sz w:val="28"/>
          <w:szCs w:val="28"/>
          <w:rtl/>
        </w:rPr>
        <w:t xml:space="preserve">و کنز العرفان </w:t>
      </w:r>
      <w:r>
        <w:rPr>
          <w:rStyle w:val="FootnoteReference"/>
        </w:rPr>
        <w:footnoteReference w:id="1291"/>
      </w:r>
      <w:r>
        <w:rPr>
          <w:rFonts w:ascii="IRNazanin" w:hAnsi="IRNazanin" w:eastAsia="IRNazanin" w:cs="IRNazanin"/>
          <w:lang w:bidi="fa-IR"/>
          <w:color w:val="111111"/>
          <w:sz w:val="28"/>
          <w:szCs w:val="28"/>
          <w:rtl/>
        </w:rPr>
        <w:t xml:space="preserve">و أبی العباس </w:t>
      </w:r>
      <w:r>
        <w:rPr>
          <w:rStyle w:val="FootnoteReference"/>
        </w:rPr>
        <w:footnoteReference w:id="1292"/>
      </w:r>
      <w:r>
        <w:rPr>
          <w:rFonts w:ascii="IRNazanin" w:hAnsi="IRNazanin" w:eastAsia="IRNazanin" w:cs="IRNazanin"/>
          <w:lang w:bidi="fa-IR"/>
          <w:color w:val="111111"/>
          <w:sz w:val="28"/>
          <w:szCs w:val="28"/>
          <w:rtl/>
        </w:rPr>
        <w:t xml:space="preserve">و الصیمری </w:t>
      </w:r>
      <w:r>
        <w:rPr>
          <w:rStyle w:val="FootnoteReference"/>
        </w:rPr>
        <w:footnoteReference w:id="1293"/>
      </w:r>
      <w:r>
        <w:rPr>
          <w:rFonts w:ascii="IRNazanin" w:hAnsi="IRNazanin" w:eastAsia="IRNazanin" w:cs="IRNazanin"/>
          <w:lang w:bidi="fa-IR"/>
          <w:color w:val="111111"/>
          <w:sz w:val="28"/>
          <w:szCs w:val="28"/>
          <w:rtl/>
        </w:rPr>
        <w:t xml:space="preserve">و المحقّق الثانی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14419_167047"/>
    <w:bookmarkEnd w:id="206"/>
    <w:p>
      <w:pPr>
        <w:pStyle w:val="BookText"/>
      </w:pPr>
      <w:r>
        <w:rPr>
          <w:rFonts w:ascii="IRNazanin" w:hAnsi="IRNazanin" w:eastAsia="IRNazanin" w:cs="IRNazanin"/>
          <w:lang w:bidi="fa-IR"/>
          <w:color w:val="111111"/>
          <w:sz w:val="28"/>
          <w:szCs w:val="28"/>
          <w:rtl/>
        </w:rPr>
        <w:t xml:space="preserve">و قال فی القواعد:لو عجز عن الإنفاق علی أُمّ الولد أُمرت بالتکسّب،فإن عجزت أُنفق علیها من بیت المال،و لا یجب عتقها،و لو کانت الکفایة بالتزویج وجب،و لو تعذّر الجمیع ففی البیع إشکال </w:t>
      </w:r>
      <w:r>
        <w:rPr>
          <w:rStyle w:val="FootnoteReference"/>
        </w:rPr>
        <w:footnoteReference w:id="129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ظاهره عدم جواز البیع مهما أمکن الإنفاق من مال المولی، أو کسبها </w:t>
      </w:r>
      <w:r>
        <w:rPr>
          <w:rStyle w:val="FootnoteReference"/>
        </w:rPr>
        <w:footnoteReference w:id="1296"/>
      </w:r>
      <w:r>
        <w:rPr>
          <w:rFonts w:ascii="IRNazanin" w:hAnsi="IRNazanin" w:eastAsia="IRNazanin" w:cs="IRNazanin"/>
          <w:lang w:bidi="fa-IR"/>
          <w:color w:val="111111"/>
          <w:sz w:val="28"/>
          <w:szCs w:val="28"/>
          <w:rtl/>
        </w:rPr>
        <w:t xml:space="preserve">،أو مالها </w:t>
      </w:r>
      <w:r>
        <w:rPr>
          <w:rStyle w:val="FootnoteReference"/>
        </w:rPr>
        <w:footnoteReference w:id="1297"/>
      </w:r>
      <w:r>
        <w:rPr>
          <w:rFonts w:ascii="IRNazanin" w:hAnsi="IRNazanin" w:eastAsia="IRNazanin" w:cs="IRNazanin"/>
          <w:lang w:bidi="fa-IR"/>
          <w:color w:val="111111"/>
          <w:sz w:val="28"/>
          <w:szCs w:val="28"/>
          <w:rtl/>
        </w:rPr>
        <w:t xml:space="preserve">،أو عوض بُضعها،أو وجود من یؤخذ بنفقتها، أو بیت المال،و هو حسن.</w:t>
      </w:r>
    </w:p>
    <w:p>
      <w:pPr>
        <w:pStyle w:val="BookText"/>
      </w:pPr>
      <w:r>
        <w:rPr>
          <w:rFonts w:ascii="IRNazanin" w:hAnsi="IRNazanin" w:eastAsia="IRNazanin" w:cs="IRNazanin"/>
          <w:lang w:bidi="fa-IR"/>
          <w:color w:val="111111"/>
          <w:sz w:val="28"/>
          <w:szCs w:val="28"/>
          <w:rtl/>
        </w:rPr>
        <w:t xml:space="preserve">و مع عدم ذلک کلّه فلا یبعد المنع عن البیع أیضاً،و فرضها کالحرّ فی وجوب سدّ رمقها کفایةً علی جمیع من اطّلع علیها.</w:t>
      </w:r>
    </w:p>
    <w:p>
      <w:pPr>
        <w:pStyle w:val="BookText"/>
      </w:pPr>
      <w:r>
        <w:rPr>
          <w:rFonts w:ascii="IRNazanin" w:hAnsi="IRNazanin" w:eastAsia="IRNazanin" w:cs="IRNazanin"/>
          <w:lang w:bidi="fa-IR"/>
          <w:color w:val="111111"/>
          <w:sz w:val="28"/>
          <w:szCs w:val="28"/>
          <w:rtl/>
        </w:rPr>
        <w:t xml:space="preserve">و لو فرض عدم ذلک أیضاً،أو کون ذلک ضرراً عظیماً علیها، فلا یبعد الجواز؛لحکومة أدلّة نفی الضرر،و لأنّ رفع هذا عنها أولی من تحمّلها </w:t>
      </w:r>
      <w:r>
        <w:rPr>
          <w:rStyle w:val="FootnoteReference"/>
        </w:rPr>
        <w:footnoteReference w:id="1298"/>
      </w:r>
      <w:r>
        <w:rPr>
          <w:rFonts w:ascii="IRNazanin" w:hAnsi="IRNazanin" w:eastAsia="IRNazanin" w:cs="IRNazanin"/>
          <w:lang w:bidi="fa-IR"/>
          <w:color w:val="111111"/>
          <w:sz w:val="28"/>
          <w:szCs w:val="28"/>
          <w:rtl/>
        </w:rPr>
        <w:t xml:space="preserve">ذلک؛رجاء أن تنعتق من نصیب ولدها،مع جریان ما ذکرنا أخیراً فی الصورة السابقة:من احتمال ظهور أدلّة المنع فی ترجیح حقّ الاستیلاد علی حقّ مالکها،لا علی حقّها الآخر،فتدبّر.</w:t>
      </w:r>
    </w:p>
    <w:p>
      <w:pPr>
        <w:pStyle w:val="Heading6"/>
      </w:pPr>
      <w:bookmarkStart w:id="1010" w:name="_Toc450"/>
      <w:r>
        <w:t>و منها : بیعها علی من تنعتق علیه</w:t>
      </w:r>
      <w:bookmarkEnd w:id="1010"/>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299"/>
      </w:r>
      <w:r>
        <w:rPr>
          <w:rFonts w:ascii="IRNazanin" w:hAnsi="IRNazanin" w:eastAsia="IRNazanin" w:cs="IRNazanin"/>
          <w:lang w:bidi="fa-IR"/>
          <w:color w:val="111111"/>
          <w:sz w:val="28"/>
          <w:szCs w:val="28"/>
          <w:rtl/>
        </w:rPr>
        <w:t xml:space="preserve">: بیعها علی من تنعتق علیه</w:t>
      </w:r>
    </w:p>
    <w:p>
      <w:pPr>
        <w:pStyle w:val="BookText"/>
      </w:pPr>
      <w:r>
        <w:rPr>
          <w:rFonts w:ascii="IRNazanin" w:hAnsi="IRNazanin" w:eastAsia="IRNazanin" w:cs="IRNazanin"/>
          <w:lang w:bidi="fa-IR"/>
          <w:color w:val="111111"/>
          <w:sz w:val="28"/>
          <w:szCs w:val="28"/>
          <w:rtl/>
        </w:rPr>
        <w:t xml:space="preserve">علی ما حکی من الجماعة</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14419_167048"/>
    <w:bookmarkEnd w:id="207"/>
    <w:p>
      <w:pPr>
        <w:pStyle w:val="BookText"/>
      </w:pPr>
      <w:r>
        <w:rPr>
          <w:rFonts w:ascii="IRNazanin" w:hAnsi="IRNazanin" w:eastAsia="IRNazanin" w:cs="IRNazanin"/>
          <w:lang w:bidi="fa-IR"/>
          <w:color w:val="111111"/>
          <w:sz w:val="28"/>
          <w:szCs w:val="28"/>
          <w:rtl/>
        </w:rPr>
        <w:t xml:space="preserve">المتقدّم إلیهم الإشارة </w:t>
      </w:r>
      <w:r>
        <w:rPr>
          <w:rStyle w:val="FootnoteReference"/>
        </w:rPr>
        <w:footnoteReference w:id="1300"/>
      </w:r>
      <w:r>
        <w:rPr>
          <w:rFonts w:ascii="Amiri" w:hAnsi="Amiri" w:eastAsia="Amiri" w:cs="Amiri"/>
          <w:lang w:bidi="ar-SA"/>
          <w:color w:val="111111"/>
          <w:sz w:val="28"/>
          <w:szCs w:val="28"/>
          <w:rtl/>
        </w:rPr>
        <w:t xml:space="preserve">لأنّ فیه تعجیل حقّها.</w:t>
      </w:r>
    </w:p>
    <w:p>
      <w:pPr>
        <w:pStyle w:val="BookText"/>
      </w:pPr>
      <w:r>
        <w:rPr>
          <w:rFonts w:ascii="IRNazanin" w:hAnsi="IRNazanin" w:eastAsia="IRNazanin" w:cs="IRNazanin"/>
          <w:lang w:bidi="fa-IR"/>
          <w:color w:val="111111"/>
          <w:sz w:val="28"/>
          <w:szCs w:val="28"/>
          <w:rtl/>
        </w:rPr>
        <w:t xml:space="preserve">و هو حسن لو عُلم أنّ العلّة حصول العتق،فلعلّ الحکمة انعتاقٌ خاصّ،اللهمّ إلّا أن یستند إلی ما ذکرنا أخیراً فی ظهور أدلّة المنع،أو یقال:إنّ هذا عتقٌ فی الحقیقة.</w:t>
      </w:r>
    </w:p>
    <w:p>
      <w:pPr>
        <w:pStyle w:val="BookText"/>
      </w:pPr>
      <w:r>
        <w:rPr>
          <w:rFonts w:ascii="IRNazanin" w:hAnsi="IRNazanin" w:eastAsia="IRNazanin" w:cs="IRNazanin"/>
          <w:lang w:bidi="fa-IR"/>
          <w:color w:val="111111"/>
          <w:sz w:val="28"/>
          <w:szCs w:val="28"/>
          <w:rtl/>
        </w:rPr>
        <w:t xml:space="preserve">و یلحق بذلک بیعها بشرط العتق،فلو لم یفِ المشتری احتمل وجوب استردادها،کما عن الشهید الثانی </w:t>
      </w:r>
      <w:r>
        <w:rPr>
          <w:rStyle w:val="FootnoteReference"/>
        </w:rPr>
        <w:footnoteReference w:id="1301"/>
      </w:r>
      <w:r>
        <w:rPr>
          <w:rFonts w:ascii="IRNazanin" w:hAnsi="IRNazanin" w:eastAsia="IRNazanin" w:cs="IRNazanin"/>
          <w:lang w:bidi="fa-IR"/>
          <w:color w:val="111111"/>
          <w:sz w:val="28"/>
          <w:szCs w:val="28"/>
          <w:rtl/>
        </w:rPr>
        <w:t xml:space="preserve">.و یحتمل إجبار الحاکم أو العدول للمشتری علی الإعتاق،أو إعتاقها علیه قهراً.</w:t>
      </w:r>
    </w:p>
    <w:p>
      <w:pPr>
        <w:pStyle w:val="BookText"/>
      </w:pPr>
      <w:r>
        <w:rPr>
          <w:rFonts w:ascii="IRNazanin" w:hAnsi="IRNazanin" w:eastAsia="IRNazanin" w:cs="IRNazanin"/>
          <w:lang w:bidi="fa-IR"/>
          <w:color w:val="111111"/>
          <w:sz w:val="28"/>
          <w:szCs w:val="28"/>
          <w:rtl/>
        </w:rPr>
        <w:t xml:space="preserve">و کذلک بیعها ممّن أقرّ بحرّیتها.و یشکل بأنّه إن علم المولی صدق المقرّ لم یجز له البیع و أخذ الثمن فی مقابل الحرّ،و إن علم بکذبه لم یجز أیضاً؛لعدم جواز بیع أُمّ الولد.و مجرّد صیرورتها حرّة علی المشتری فی ظاهر الشرع مع کونها ملکاً له فی الواقع،و بقائها فی الواقع علی صفة الرّقیّة للمشتری لا یجوّز البیع،بل الحریّة الواقعیّة و إن تأخّرت أولی من الظاهریة و إن تعجّلت.</w:t>
      </w:r>
    </w:p>
    <w:p>
      <w:pPr>
        <w:pStyle w:val="Heading6"/>
      </w:pPr>
      <w:bookmarkStart w:id="1011" w:name="_Toc451"/>
      <w:r>
        <w:t>و منها : ما إذا مات قریبها و خلّف ترکة و لم یکن له وارث سواها</w:t>
      </w:r>
      <w:bookmarkEnd w:id="10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02"/>
      </w:r>
      <w:r>
        <w:rPr>
          <w:rFonts w:ascii="IRNazanin" w:hAnsi="IRNazanin" w:eastAsia="IRNazanin" w:cs="IRNazanin"/>
          <w:lang w:bidi="fa-IR"/>
          <w:color w:val="111111"/>
          <w:sz w:val="28"/>
          <w:szCs w:val="28"/>
          <w:rtl/>
        </w:rPr>
        <w:t xml:space="preserve">: ما إذا مات قریبها و خلّف ترکة و لم یکن له وارث سواها فتشتری من مولاها لتعتق </w:t>
      </w:r>
      <w:r>
        <w:rPr>
          <w:rStyle w:val="FootnoteReference"/>
        </w:rPr>
        <w:footnoteReference w:id="1303"/>
      </w:r>
      <w:r>
        <w:rPr>
          <w:rFonts w:ascii="IRNazanin" w:hAnsi="IRNazanin" w:eastAsia="IRNazanin" w:cs="IRNazanin"/>
          <w:lang w:bidi="fa-IR"/>
          <w:color w:val="111111"/>
          <w:sz w:val="28"/>
          <w:szCs w:val="28"/>
          <w:rtl/>
        </w:rPr>
        <w:t xml:space="preserve">و ترث قریبها.</w:t>
      </w:r>
    </w:p>
    <w:p>
      <w:pPr>
        <w:pStyle w:val="BookText"/>
      </w:pPr>
      <w:r>
        <w:rPr>
          <w:rFonts w:ascii="Amiri" w:hAnsi="Amiri" w:eastAsia="Amiri" w:cs="Amiri"/>
          <w:lang w:bidi="ar-SA"/>
          <w:color w:val="111111"/>
          <w:sz w:val="28"/>
          <w:szCs w:val="28"/>
          <w:rtl/>
        </w:rPr>
        <w:t xml:space="preserve">و هو مختار الجماعة</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8" w:name="pg14419_167049"/>
    <w:bookmarkEnd w:id="208"/>
    <w:p>
      <w:pPr>
        <w:pStyle w:val="BookText"/>
      </w:pPr>
      <w:r>
        <w:rPr>
          <w:rFonts w:ascii="Amiri" w:hAnsi="Amiri" w:eastAsia="Amiri" w:cs="Amiri"/>
          <w:lang w:bidi="ar-SA"/>
          <w:color w:val="111111"/>
          <w:sz w:val="28"/>
          <w:szCs w:val="28"/>
          <w:rtl/>
        </w:rPr>
        <w:t xml:space="preserve">السابقة </w:t>
      </w:r>
      <w:r>
        <w:rPr>
          <w:rStyle w:val="FootnoteReference"/>
        </w:rPr>
        <w:footnoteReference w:id="1304"/>
      </w:r>
      <w:r>
        <w:rPr>
          <w:rFonts w:ascii="IRNazanin" w:hAnsi="IRNazanin" w:eastAsia="IRNazanin" w:cs="IRNazanin"/>
          <w:lang w:bidi="fa-IR"/>
          <w:color w:val="111111"/>
          <w:sz w:val="28"/>
          <w:szCs w:val="28"/>
          <w:rtl/>
        </w:rPr>
        <w:t xml:space="preserve">و ابن سعید فی النزهة </w:t>
      </w:r>
      <w:r>
        <w:rPr>
          <w:rStyle w:val="FootnoteReference"/>
        </w:rPr>
        <w:footnoteReference w:id="1305"/>
      </w:r>
      <w:r>
        <w:rPr>
          <w:rFonts w:ascii="IRNazanin" w:hAnsi="IRNazanin" w:eastAsia="IRNazanin" w:cs="IRNazanin"/>
          <w:lang w:bidi="fa-IR"/>
          <w:color w:val="111111"/>
          <w:sz w:val="28"/>
          <w:szCs w:val="28"/>
          <w:rtl/>
        </w:rPr>
        <w:t xml:space="preserve">،و حکی عن العمانی </w:t>
      </w:r>
      <w:r>
        <w:rPr>
          <w:rStyle w:val="FootnoteReference"/>
        </w:rPr>
        <w:footnoteReference w:id="1306"/>
      </w:r>
      <w:r>
        <w:rPr>
          <w:rFonts w:ascii="Amiri" w:hAnsi="Amiri" w:eastAsia="Amiri" w:cs="Amiri"/>
          <w:lang w:bidi="ar-SA"/>
          <w:color w:val="111111"/>
          <w:sz w:val="28"/>
          <w:szCs w:val="28"/>
          <w:rtl/>
        </w:rPr>
        <w:t xml:space="preserve">و عن المهذّب:</w:t>
      </w:r>
    </w:p>
    <w:p>
      <w:pPr>
        <w:pStyle w:val="BookText"/>
      </w:pPr>
      <w:r>
        <w:rPr>
          <w:rFonts w:ascii="IRNazanin" w:hAnsi="IRNazanin" w:eastAsia="IRNazanin" w:cs="IRNazanin"/>
          <w:lang w:bidi="fa-IR"/>
          <w:color w:val="111111"/>
          <w:sz w:val="28"/>
          <w:szCs w:val="28"/>
          <w:rtl/>
        </w:rPr>
        <w:t xml:space="preserve">إجماع الأصحاب علیه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یمکن ترجیح أخبار«الإرث»علی قاعدة«المنع»،مضافاً إلی ظهورها فی رفع سلطنة المالک،و المفروض هنا عدم کون البیع باختیاره،بل تباع علیه لو امتنع.</w:t>
      </w:r>
    </w:p>
    <w:p>
      <w:pPr>
        <w:pStyle w:val="Heading6"/>
      </w:pPr>
      <w:bookmarkStart w:id="1012" w:name="_Toc452"/>
      <w:r>
        <w:t>[موارد القسم الثالث أی تعلق حق سابق علی الاستیلاد]</w:t>
      </w:r>
      <w:bookmarkEnd w:id="1012"/>
    </w:p>
    <w:p>
      <w:pPr>
        <w:pStyle w:val="Heading6"/>
      </w:pPr>
      <w:bookmarkStart w:id="1013" w:name="_Toc453"/>
      <w:r>
        <w:t>و من القسم الثالث : ما إذا کان علوقها بعد الرهن</w:t>
      </w:r>
      <w:bookmarkEnd w:id="1013"/>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1308"/>
      </w:r>
      <w:r>
        <w:rPr>
          <w:rFonts w:ascii="IRNazanin" w:hAnsi="IRNazanin" w:eastAsia="IRNazanin" w:cs="IRNazanin"/>
          <w:lang w:bidi="fa-IR"/>
          <w:color w:val="111111"/>
          <w:sz w:val="28"/>
          <w:szCs w:val="28"/>
          <w:rtl/>
        </w:rPr>
        <w:t xml:space="preserve">القسم الثالث </w:t>
      </w:r>
      <w:r>
        <w:rPr>
          <w:rStyle w:val="FootnoteReference"/>
        </w:rPr>
        <w:footnoteReference w:id="1309"/>
      </w:r>
      <w:r>
        <w:rPr>
          <w:rFonts w:ascii="IRNazanin" w:hAnsi="IRNazanin" w:eastAsia="IRNazanin" w:cs="IRNazanin"/>
          <w:lang w:bidi="fa-IR"/>
          <w:color w:val="111111"/>
          <w:sz w:val="28"/>
          <w:szCs w:val="28"/>
          <w:rtl/>
        </w:rPr>
        <w:t xml:space="preserve">و هو ما یکون الجواز لحقٍّ سابق علی الاستیلاد ما </w:t>
      </w:r>
      <w:r>
        <w:rPr>
          <w:rStyle w:val="FootnoteReference"/>
        </w:rPr>
        <w:footnoteReference w:id="1310"/>
      </w:r>
      <w:r>
        <w:rPr>
          <w:rFonts w:ascii="IRNazanin" w:hAnsi="IRNazanin" w:eastAsia="IRNazanin" w:cs="IRNazanin"/>
          <w:lang w:bidi="fa-IR"/>
          <w:color w:val="111111"/>
          <w:sz w:val="28"/>
          <w:szCs w:val="28"/>
          <w:rtl/>
        </w:rPr>
        <w:t xml:space="preserve">إذا کان علوقها بعد الرهن،</w:t>
      </w:r>
    </w:p>
    <w:p>
      <w:pPr>
        <w:pStyle w:val="BookText"/>
      </w:pPr>
      <w:r>
        <w:rPr>
          <w:rFonts w:ascii="IRNazanin" w:hAnsi="IRNazanin" w:eastAsia="IRNazanin" w:cs="IRNazanin"/>
          <w:lang w:bidi="fa-IR"/>
          <w:color w:val="111111"/>
          <w:sz w:val="28"/>
          <w:szCs w:val="28"/>
          <w:rtl/>
        </w:rPr>
        <w:t xml:space="preserve">فإنّ المحکی عن الشیخ </w:t>
      </w:r>
      <w:r>
        <w:rPr>
          <w:rStyle w:val="FootnoteReference"/>
        </w:rPr>
        <w:footnoteReference w:id="1311"/>
      </w:r>
      <w:r>
        <w:rPr>
          <w:rFonts w:ascii="Amiri" w:hAnsi="Amiri" w:eastAsia="Amiri" w:cs="Amiri"/>
          <w:lang w:bidi="ar-SA"/>
          <w:color w:val="111111"/>
          <w:sz w:val="28"/>
          <w:szCs w:val="28"/>
          <w:rtl/>
        </w:rPr>
        <w:t xml:space="preserve">و الحلیّ </w:t>
      </w:r>
      <w:r>
        <w:rPr>
          <w:rStyle w:val="FootnoteReference"/>
        </w:rPr>
        <w:footnoteReference w:id="1312"/>
      </w:r>
      <w:r>
        <w:rPr>
          <w:rFonts w:ascii="Amiri" w:hAnsi="Amiri" w:eastAsia="Amiri" w:cs="Amiri"/>
          <w:lang w:bidi="ar-SA"/>
          <w:color w:val="111111"/>
          <w:sz w:val="28"/>
          <w:szCs w:val="28"/>
          <w:rtl/>
        </w:rPr>
        <w:t xml:space="preserve">و ابن زهرة </w:t>
      </w:r>
      <w:r>
        <w:rPr>
          <w:rStyle w:val="FootnoteReference"/>
        </w:rPr>
        <w:footnoteReference w:id="1313"/>
      </w:r>
      <w:r>
        <w:rPr>
          <w:rFonts w:ascii="IRNazanin" w:hAnsi="IRNazanin" w:eastAsia="IRNazanin" w:cs="IRNazanin"/>
          <w:lang w:bidi="fa-IR"/>
          <w:color w:val="111111"/>
          <w:sz w:val="28"/>
          <w:szCs w:val="28"/>
          <w:rtl/>
        </w:rPr>
        <w:t xml:space="preserve">و المختلف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9" w:name="pg14419_167050"/>
    <w:bookmarkEnd w:id="209"/>
    <w:p>
      <w:pPr>
        <w:pStyle w:val="BookText"/>
      </w:pPr>
      <w:r>
        <w:rPr>
          <w:rFonts w:ascii="IRNazanin" w:hAnsi="IRNazanin" w:eastAsia="IRNazanin" w:cs="IRNazanin"/>
          <w:lang w:bidi="fa-IR"/>
          <w:color w:val="111111"/>
          <w:sz w:val="28"/>
          <w:szCs w:val="28"/>
          <w:rtl/>
        </w:rPr>
        <w:t xml:space="preserve">و التذکرة </w:t>
      </w:r>
      <w:r>
        <w:rPr>
          <w:rStyle w:val="FootnoteReference"/>
        </w:rPr>
        <w:footnoteReference w:id="1315"/>
      </w:r>
      <w:r>
        <w:rPr>
          <w:rFonts w:ascii="Amiri" w:hAnsi="Amiri" w:eastAsia="Amiri" w:cs="Amiri"/>
          <w:lang w:bidi="ar-SA"/>
          <w:color w:val="111111"/>
          <w:sz w:val="28"/>
          <w:szCs w:val="28"/>
          <w:rtl/>
        </w:rPr>
        <w:t xml:space="preserve">و اللمعة </w:t>
      </w:r>
      <w:r>
        <w:rPr>
          <w:rStyle w:val="FootnoteReference"/>
        </w:rPr>
        <w:footnoteReference w:id="1316"/>
      </w:r>
      <w:r>
        <w:rPr>
          <w:rFonts w:ascii="IRNazanin" w:hAnsi="IRNazanin" w:eastAsia="IRNazanin" w:cs="IRNazanin"/>
          <w:lang w:bidi="fa-IR"/>
          <w:color w:val="111111"/>
          <w:sz w:val="28"/>
          <w:szCs w:val="28"/>
          <w:rtl/>
        </w:rPr>
        <w:t xml:space="preserve">و المسالک </w:t>
      </w:r>
      <w:r>
        <w:rPr>
          <w:rStyle w:val="FootnoteReference"/>
        </w:rPr>
        <w:footnoteReference w:id="1317"/>
      </w:r>
      <w:r>
        <w:rPr>
          <w:rFonts w:ascii="IRNazanin" w:hAnsi="IRNazanin" w:eastAsia="IRNazanin" w:cs="IRNazanin"/>
          <w:lang w:bidi="fa-IR"/>
          <w:color w:val="111111"/>
          <w:sz w:val="28"/>
          <w:szCs w:val="28"/>
          <w:rtl/>
        </w:rPr>
        <w:t xml:space="preserve">و المحقّق الثانی </w:t>
      </w:r>
      <w:r>
        <w:rPr>
          <w:rStyle w:val="FootnoteReference"/>
        </w:rPr>
        <w:footnoteReference w:id="1318"/>
      </w:r>
      <w:r>
        <w:rPr>
          <w:rFonts w:ascii="IRNazanin" w:hAnsi="IRNazanin" w:eastAsia="IRNazanin" w:cs="IRNazanin"/>
          <w:lang w:bidi="fa-IR"/>
          <w:color w:val="111111"/>
          <w:sz w:val="28"/>
          <w:szCs w:val="28"/>
          <w:rtl/>
        </w:rPr>
        <w:t xml:space="preserve">و السیوری </w:t>
      </w:r>
      <w:r>
        <w:rPr>
          <w:rStyle w:val="FootnoteReference"/>
        </w:rPr>
        <w:footnoteReference w:id="1319"/>
      </w:r>
      <w:r>
        <w:rPr>
          <w:rFonts w:ascii="IRNazanin" w:hAnsi="IRNazanin" w:eastAsia="IRNazanin" w:cs="IRNazanin"/>
          <w:lang w:bidi="fa-IR"/>
          <w:color w:val="111111"/>
          <w:sz w:val="28"/>
          <w:szCs w:val="28"/>
          <w:rtl/>
        </w:rPr>
        <w:t xml:space="preserve">و أبی العباس </w:t>
      </w:r>
      <w:r>
        <w:rPr>
          <w:rStyle w:val="FootnoteReference"/>
        </w:rPr>
        <w:footnoteReference w:id="1320"/>
      </w:r>
      <w:r>
        <w:rPr>
          <w:rFonts w:ascii="IRNazanin" w:hAnsi="IRNazanin" w:eastAsia="IRNazanin" w:cs="IRNazanin"/>
          <w:lang w:bidi="fa-IR"/>
          <w:color w:val="111111"/>
          <w:sz w:val="28"/>
          <w:szCs w:val="28"/>
          <w:rtl/>
        </w:rPr>
        <w:t xml:space="preserve">و الصیمری </w:t>
      </w:r>
      <w:r>
        <w:rPr>
          <w:rStyle w:val="FootnoteReference"/>
        </w:rPr>
        <w:footnoteReference w:id="1321"/>
      </w:r>
      <w:r>
        <w:rPr>
          <w:rFonts w:ascii="IRNazanin" w:hAnsi="IRNazanin" w:eastAsia="IRNazanin" w:cs="IRNazanin"/>
          <w:lang w:bidi="fa-IR"/>
          <w:color w:val="111111"/>
          <w:sz w:val="28"/>
          <w:szCs w:val="28"/>
          <w:rtl/>
        </w:rPr>
        <w:t xml:space="preserve">:جواز بیعها حینئذٍ.و لعلّه لعدم الدلیل علی بطلان حکم الرهن السابق </w:t>
      </w:r>
      <w:r>
        <w:rPr>
          <w:rStyle w:val="FootnoteReference"/>
        </w:rPr>
        <w:footnoteReference w:id="1322"/>
      </w:r>
      <w:r>
        <w:rPr>
          <w:rFonts w:ascii="IRNazanin" w:hAnsi="IRNazanin" w:eastAsia="IRNazanin" w:cs="IRNazanin"/>
          <w:lang w:bidi="fa-IR"/>
          <w:color w:val="111111"/>
          <w:sz w:val="28"/>
          <w:szCs w:val="28"/>
          <w:rtl/>
        </w:rPr>
        <w:t xml:space="preserve">بالاستیلاد اللاحق بعد تعارض أدلّة حکم الرهن،و أدلّة المنع عن بیع أُمّ الولد فی دین غیر ثمنها.</w:t>
      </w:r>
    </w:p>
    <w:p>
      <w:pPr>
        <w:pStyle w:val="BookText"/>
      </w:pPr>
      <w:r>
        <w:rPr>
          <w:rFonts w:ascii="IRNazanin" w:hAnsi="IRNazanin" w:eastAsia="IRNazanin" w:cs="IRNazanin"/>
          <w:lang w:bidi="fa-IR"/>
          <w:color w:val="111111"/>
          <w:sz w:val="28"/>
          <w:szCs w:val="28"/>
          <w:rtl/>
        </w:rPr>
        <w:t xml:space="preserve">خلافاً للمحکیّ عن الشرائع </w:t>
      </w:r>
      <w:r>
        <w:rPr>
          <w:rStyle w:val="FootnoteReference"/>
        </w:rPr>
        <w:footnoteReference w:id="1323"/>
      </w:r>
      <w:r>
        <w:rPr>
          <w:rFonts w:ascii="IRNazanin" w:hAnsi="IRNazanin" w:eastAsia="IRNazanin" w:cs="IRNazanin"/>
          <w:lang w:bidi="fa-IR"/>
          <w:color w:val="111111"/>
          <w:sz w:val="28"/>
          <w:szCs w:val="28"/>
          <w:rtl/>
        </w:rPr>
        <w:t xml:space="preserve">و التحریر </w:t>
      </w:r>
      <w:r>
        <w:rPr>
          <w:rStyle w:val="FootnoteReference"/>
        </w:rPr>
        <w:footnoteReference w:id="1324"/>
      </w:r>
      <w:r>
        <w:rPr>
          <w:rFonts w:ascii="IRNazanin" w:hAnsi="IRNazanin" w:eastAsia="IRNazanin" w:cs="IRNazanin"/>
          <w:lang w:bidi="fa-IR"/>
          <w:color w:val="111111"/>
          <w:sz w:val="28"/>
          <w:szCs w:val="28"/>
          <w:rtl/>
        </w:rPr>
        <w:t xml:space="preserve">،فالمنع مطلقاً.</w:t>
      </w:r>
    </w:p>
    <w:p>
      <w:pPr>
        <w:pStyle w:val="BookText"/>
      </w:pPr>
      <w:r>
        <w:rPr>
          <w:rFonts w:ascii="IRNazanin" w:hAnsi="IRNazanin" w:eastAsia="IRNazanin" w:cs="IRNazanin"/>
          <w:lang w:bidi="fa-IR"/>
          <w:color w:val="111111"/>
          <w:sz w:val="28"/>
          <w:szCs w:val="28"/>
          <w:rtl/>
        </w:rPr>
        <w:t xml:space="preserve">و عن الشهید فی بعض تحقیقاته:الفرق بین وقوع الوطء بإذن المرتهن،و وقوعه بدونه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الإرشاد و القواعد:التردّد </w:t>
      </w:r>
      <w:r>
        <w:rPr>
          <w:rStyle w:val="FootnoteReference"/>
        </w:rPr>
        <w:footnoteReference w:id="1326"/>
      </w:r>
      <w:r>
        <w:rPr>
          <w:rFonts w:ascii="IRNazanin" w:hAnsi="IRNazanin" w:eastAsia="IRNazanin" w:cs="IRNazanin"/>
          <w:lang w:bidi="fa-IR"/>
          <w:color w:val="111111"/>
          <w:sz w:val="28"/>
          <w:szCs w:val="28"/>
          <w:rtl/>
        </w:rPr>
        <w:t xml:space="preserve">،و تمام الکلام فی باب الرهن.</w:t>
      </w:r>
    </w:p>
    <w:p>
      <w:pPr>
        <w:pStyle w:val="Heading6"/>
      </w:pPr>
      <w:bookmarkStart w:id="1014" w:name="_Toc454"/>
      <w:r>
        <w:t>و منها : ما إذا کان علوقها بعد إفلاس المولی و الحَجر علیه</w:t>
      </w:r>
      <w:bookmarkEnd w:id="1014"/>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27"/>
      </w:r>
      <w:r>
        <w:rPr>
          <w:rFonts w:ascii="IRNazanin" w:hAnsi="IRNazanin" w:eastAsia="IRNazanin" w:cs="IRNazanin"/>
          <w:lang w:bidi="fa-IR"/>
          <w:color w:val="111111"/>
          <w:sz w:val="28"/>
          <w:szCs w:val="28"/>
          <w:rtl/>
        </w:rPr>
        <w:t xml:space="preserve">: ما إذا کان علوقها بعد إفلاس المولی و الحَجر علیه،</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0" w:name="pg14419_167051"/>
    <w:bookmarkEnd w:id="210"/>
    <w:p>
      <w:pPr>
        <w:pStyle w:val="BookText"/>
      </w:pPr>
      <w:r>
        <w:rPr>
          <w:rFonts w:ascii="IRNazanin" w:hAnsi="IRNazanin" w:eastAsia="IRNazanin" w:cs="IRNazanin"/>
          <w:lang w:bidi="fa-IR"/>
          <w:color w:val="111111"/>
          <w:sz w:val="28"/>
          <w:szCs w:val="28"/>
          <w:rtl/>
        </w:rPr>
        <w:t xml:space="preserve">و کانت فاضلة عن المستثنیات فی أداء الدین،فتباع حینئذٍ،کما فی القواعد </w:t>
      </w:r>
      <w:r>
        <w:rPr>
          <w:rStyle w:val="FootnoteReference"/>
        </w:rPr>
        <w:footnoteReference w:id="1328"/>
      </w:r>
      <w:r>
        <w:rPr>
          <w:rFonts w:ascii="Amiri" w:hAnsi="Amiri" w:eastAsia="Amiri" w:cs="Amiri"/>
          <w:lang w:bidi="ar-SA"/>
          <w:color w:val="111111"/>
          <w:sz w:val="28"/>
          <w:szCs w:val="28"/>
          <w:rtl/>
        </w:rPr>
        <w:t xml:space="preserve">و اللمعة </w:t>
      </w:r>
      <w:r>
        <w:rPr>
          <w:rStyle w:val="FootnoteReference"/>
        </w:rPr>
        <w:footnoteReference w:id="1329"/>
      </w:r>
      <w:r>
        <w:rPr>
          <w:rFonts w:ascii="IRNazanin" w:hAnsi="IRNazanin" w:eastAsia="IRNazanin" w:cs="IRNazanin"/>
          <w:lang w:bidi="fa-IR"/>
          <w:color w:val="111111"/>
          <w:sz w:val="28"/>
          <w:szCs w:val="28"/>
          <w:rtl/>
        </w:rPr>
        <w:t xml:space="preserve">و جامع المقاصد </w:t>
      </w:r>
      <w:r>
        <w:rPr>
          <w:rStyle w:val="FootnoteReference"/>
        </w:rPr>
        <w:footnoteReference w:id="1330"/>
      </w:r>
      <w:r>
        <w:rPr>
          <w:rFonts w:ascii="Amiri" w:hAnsi="Amiri" w:eastAsia="Amiri" w:cs="Amiri"/>
          <w:lang w:bidi="ar-SA"/>
          <w:color w:val="111111"/>
          <w:sz w:val="28"/>
          <w:szCs w:val="28"/>
          <w:rtl/>
        </w:rPr>
        <w:t xml:space="preserve">.و عن المهذّب </w:t>
      </w:r>
      <w:r>
        <w:rPr>
          <w:rStyle w:val="FootnoteReference"/>
        </w:rPr>
        <w:footnoteReference w:id="1331"/>
      </w:r>
      <w:r>
        <w:rPr>
          <w:rFonts w:ascii="IRNazanin" w:hAnsi="IRNazanin" w:eastAsia="IRNazanin" w:cs="IRNazanin"/>
          <w:lang w:bidi="fa-IR"/>
          <w:color w:val="111111"/>
          <w:sz w:val="28"/>
          <w:szCs w:val="28"/>
          <w:rtl/>
        </w:rPr>
        <w:t xml:space="preserve">و کنز العرفان </w:t>
      </w:r>
      <w:r>
        <w:rPr>
          <w:rStyle w:val="FootnoteReference"/>
        </w:rPr>
        <w:footnoteReference w:id="1332"/>
      </w:r>
      <w:r>
        <w:rPr>
          <w:rFonts w:ascii="IRNazanin" w:hAnsi="IRNazanin" w:eastAsia="IRNazanin" w:cs="IRNazanin"/>
          <w:lang w:bidi="fa-IR"/>
          <w:color w:val="111111"/>
          <w:sz w:val="28"/>
          <w:szCs w:val="28"/>
          <w:rtl/>
        </w:rPr>
        <w:t xml:space="preserve">و غایة المرام </w:t>
      </w:r>
      <w:r>
        <w:rPr>
          <w:rStyle w:val="FootnoteReference"/>
        </w:rPr>
        <w:footnoteReference w:id="1333"/>
      </w:r>
      <w:r>
        <w:rPr>
          <w:rFonts w:ascii="IRNazanin" w:hAnsi="IRNazanin" w:eastAsia="IRNazanin" w:cs="IRNazanin"/>
          <w:lang w:bidi="fa-IR"/>
          <w:color w:val="111111"/>
          <w:sz w:val="28"/>
          <w:szCs w:val="28"/>
          <w:rtl/>
        </w:rPr>
        <w:t xml:space="preserve">لما ذکر من سبق تعلّق حقّ الدیّان بها،و لا دلیل علی بطلانه بالاستیلاد.</w:t>
      </w:r>
    </w:p>
    <w:p>
      <w:pPr>
        <w:pStyle w:val="BookText"/>
      </w:pPr>
      <w:r>
        <w:rPr>
          <w:rFonts w:ascii="IRNazanin" w:hAnsi="IRNazanin" w:eastAsia="IRNazanin" w:cs="IRNazanin"/>
          <w:lang w:bidi="fa-IR"/>
          <w:color w:val="111111"/>
          <w:sz w:val="28"/>
          <w:szCs w:val="28"/>
          <w:rtl/>
        </w:rPr>
        <w:t xml:space="preserve">و هو حسن مع وجود الدلیل علی تعلّق حقّ الغرماء بالأعیان.</w:t>
      </w:r>
    </w:p>
    <w:p>
      <w:pPr>
        <w:pStyle w:val="BookText"/>
      </w:pPr>
      <w:r>
        <w:rPr>
          <w:rFonts w:ascii="IRNazanin" w:hAnsi="IRNazanin" w:eastAsia="IRNazanin" w:cs="IRNazanin"/>
          <w:lang w:bidi="fa-IR"/>
          <w:color w:val="111111"/>
          <w:sz w:val="28"/>
          <w:szCs w:val="28"/>
          <w:rtl/>
        </w:rPr>
        <w:t xml:space="preserve">أمّا لو لم یثبت إلّا الحجر علی المفلّس فی التصرّف و وجوب بیع الحاکم أمواله فی الدین،فلا یؤثّر فی دعوی اختصاصها بما هو قابل للبیع فی نفسه،فتأمّل.و تمام الکلام فی باب الحَجْر،إن شاء اللّٰه.</w:t>
      </w:r>
    </w:p>
    <w:p>
      <w:pPr>
        <w:pStyle w:val="Heading6"/>
      </w:pPr>
      <w:bookmarkStart w:id="1015" w:name="_Toc455"/>
      <w:r>
        <w:t>و منها : ما إذا کان علوقها بعد جنایتها</w:t>
      </w:r>
      <w:bookmarkEnd w:id="1015"/>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34"/>
      </w:r>
      <w:r>
        <w:rPr>
          <w:rFonts w:ascii="IRNazanin" w:hAnsi="IRNazanin" w:eastAsia="IRNazanin" w:cs="IRNazanin"/>
          <w:lang w:bidi="fa-IR"/>
          <w:color w:val="111111"/>
          <w:sz w:val="28"/>
          <w:szCs w:val="28"/>
          <w:rtl/>
        </w:rPr>
        <w:t xml:space="preserve">: ما إذا کان علوقها بعد جنایتها،</w:t>
      </w:r>
    </w:p>
    <w:p>
      <w:pPr>
        <w:pStyle w:val="BookText"/>
      </w:pPr>
      <w:r>
        <w:rPr>
          <w:rFonts w:ascii="IRNazanin" w:hAnsi="IRNazanin" w:eastAsia="IRNazanin" w:cs="IRNazanin"/>
          <w:lang w:bidi="fa-IR"/>
          <w:color w:val="111111"/>
          <w:sz w:val="28"/>
          <w:szCs w:val="28"/>
          <w:rtl/>
        </w:rPr>
        <w:t xml:space="preserve">و هذا </w:t>
      </w:r>
      <w:r>
        <w:rPr>
          <w:rStyle w:val="FootnoteReference"/>
        </w:rPr>
        <w:footnoteReference w:id="1335"/>
      </w:r>
      <w:r>
        <w:rPr>
          <w:rFonts w:ascii="IRNazanin" w:hAnsi="IRNazanin" w:eastAsia="IRNazanin" w:cs="IRNazanin"/>
          <w:lang w:bidi="fa-IR"/>
          <w:color w:val="111111"/>
          <w:sz w:val="28"/>
          <w:szCs w:val="28"/>
          <w:rtl/>
        </w:rPr>
        <w:t xml:space="preserve">فی الجنایة التی لا تجوّز البیع لو کانت لاحقة </w:t>
      </w:r>
      <w:r>
        <w:rPr>
          <w:rStyle w:val="FootnoteReference"/>
        </w:rPr>
        <w:footnoteReference w:id="1336"/>
      </w:r>
      <w:r>
        <w:rPr>
          <w:rFonts w:ascii="IRNazanin" w:hAnsi="IRNazanin" w:eastAsia="IRNazanin" w:cs="IRNazanin"/>
          <w:lang w:bidi="fa-IR"/>
          <w:color w:val="111111"/>
          <w:sz w:val="28"/>
          <w:szCs w:val="28"/>
          <w:rtl/>
        </w:rPr>
        <w:t xml:space="preserve">،بل یلزم </w:t>
      </w:r>
      <w:r>
        <w:rPr>
          <w:rStyle w:val="FootnoteReference"/>
        </w:rPr>
        <w:footnoteReference w:id="1337"/>
      </w:r>
      <w:r>
        <w:rPr>
          <w:rFonts w:ascii="IRNazanin" w:hAnsi="IRNazanin" w:eastAsia="IRNazanin" w:cs="IRNazanin"/>
          <w:lang w:bidi="fa-IR"/>
          <w:color w:val="111111"/>
          <w:sz w:val="28"/>
          <w:szCs w:val="28"/>
          <w:rtl/>
        </w:rPr>
        <w:t xml:space="preserve">المولی الفداء </w:t>
      </w:r>
      <w:r>
        <w:rPr>
          <w:rStyle w:val="FootnoteReference"/>
        </w:rPr>
        <w:footnoteReference w:id="1338"/>
      </w:r>
      <w:r>
        <w:rPr>
          <w:rFonts w:ascii="IRNazanin" w:hAnsi="IRNazanin" w:eastAsia="IRNazanin" w:cs="IRNazanin"/>
          <w:lang w:bidi="fa-IR"/>
          <w:color w:val="111111"/>
          <w:sz w:val="28"/>
          <w:szCs w:val="28"/>
          <w:rtl/>
        </w:rPr>
        <w:t xml:space="preserve">.و أمّا لو قلنا</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1" w:name="pg14419_167052"/>
    <w:bookmarkEnd w:id="211"/>
    <w:p>
      <w:pPr>
        <w:pStyle w:val="BookText"/>
      </w:pPr>
      <w:r>
        <w:rPr>
          <w:rFonts w:ascii="IRNazanin" w:hAnsi="IRNazanin" w:eastAsia="IRNazanin" w:cs="IRNazanin"/>
          <w:lang w:bidi="fa-IR"/>
          <w:color w:val="111111"/>
          <w:sz w:val="28"/>
          <w:szCs w:val="28"/>
          <w:rtl/>
        </w:rPr>
        <w:t xml:space="preserve">بأنّ الجنایة اللاحقة أیضاً ترفع المنع لم یکن فائدة فی فرض تقدیمها.</w:t>
      </w:r>
    </w:p>
    <w:p>
      <w:pPr>
        <w:pStyle w:val="Heading6"/>
      </w:pPr>
      <w:bookmarkStart w:id="1016" w:name="_Toc456"/>
      <w:r>
        <w:t>و منها : ما إذا کان علوقها فی زمان خیار بائعها</w:t>
      </w:r>
      <w:bookmarkEnd w:id="1016"/>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39"/>
      </w:r>
      <w:r>
        <w:rPr>
          <w:rFonts w:ascii="IRNazanin" w:hAnsi="IRNazanin" w:eastAsia="IRNazanin" w:cs="IRNazanin"/>
          <w:lang w:bidi="fa-IR"/>
          <w:color w:val="111111"/>
          <w:sz w:val="28"/>
          <w:szCs w:val="28"/>
          <w:rtl/>
        </w:rPr>
        <w:t xml:space="preserve">: ما إذا کان علوقها فی زمان خیار بائعها،</w:t>
      </w:r>
    </w:p>
    <w:p>
      <w:pPr>
        <w:pStyle w:val="BookText"/>
      </w:pPr>
      <w:r>
        <w:rPr>
          <w:rFonts w:ascii="IRNazanin" w:hAnsi="IRNazanin" w:eastAsia="IRNazanin" w:cs="IRNazanin"/>
          <w:lang w:bidi="fa-IR"/>
          <w:color w:val="111111"/>
          <w:sz w:val="28"/>
          <w:szCs w:val="28"/>
          <w:rtl/>
        </w:rPr>
        <w:t xml:space="preserve">فإنّ المحکی عن الحلّی جواز استردادها مع کونها ملکاً للمشتری </w:t>
      </w:r>
      <w:r>
        <w:rPr>
          <w:rStyle w:val="FootnoteReference"/>
        </w:rPr>
        <w:footnoteReference w:id="1340"/>
      </w:r>
      <w:r>
        <w:rPr>
          <w:rFonts w:ascii="IRNazanin" w:hAnsi="IRNazanin" w:eastAsia="IRNazanin" w:cs="IRNazanin"/>
          <w:lang w:bidi="fa-IR"/>
          <w:color w:val="111111"/>
          <w:sz w:val="28"/>
          <w:szCs w:val="28"/>
          <w:rtl/>
        </w:rPr>
        <w:t xml:space="preserve">.و لعلّه لاقتضاء الخیار ذلک فلا یبطله الاستیلاد.</w:t>
      </w:r>
    </w:p>
    <w:p>
      <w:pPr>
        <w:pStyle w:val="BookText"/>
      </w:pPr>
      <w:r>
        <w:rPr>
          <w:rFonts w:ascii="Amiri" w:hAnsi="Amiri" w:eastAsia="Amiri" w:cs="Amiri"/>
          <w:lang w:bidi="ar-SA"/>
          <w:color w:val="111111"/>
          <w:sz w:val="28"/>
          <w:szCs w:val="28"/>
          <w:rtl/>
        </w:rPr>
        <w:t xml:space="preserve">خلافاً للعلّامة </w:t>
      </w:r>
      <w:r>
        <w:rPr>
          <w:rStyle w:val="FootnoteReference"/>
        </w:rPr>
        <w:footnoteReference w:id="1341"/>
      </w:r>
      <w:r>
        <w:rPr>
          <w:rFonts w:ascii="IRNazanin" w:hAnsi="IRNazanin" w:eastAsia="IRNazanin" w:cs="IRNazanin"/>
          <w:lang w:bidi="fa-IR"/>
          <w:color w:val="111111"/>
          <w:sz w:val="28"/>
          <w:szCs w:val="28"/>
          <w:rtl/>
        </w:rPr>
        <w:t xml:space="preserve">و ولده </w:t>
      </w:r>
      <w:r>
        <w:rPr>
          <w:rStyle w:val="FootnoteReference"/>
        </w:rPr>
        <w:footnoteReference w:id="1342"/>
      </w:r>
      <w:r>
        <w:rPr>
          <w:rFonts w:ascii="Amiri" w:hAnsi="Amiri" w:eastAsia="Amiri" w:cs="Amiri"/>
          <w:lang w:bidi="ar-SA"/>
          <w:color w:val="111111"/>
          <w:sz w:val="28"/>
          <w:szCs w:val="28"/>
          <w:rtl/>
        </w:rPr>
        <w:t xml:space="preserve">و المحقّق </w:t>
      </w:r>
      <w:r>
        <w:rPr>
          <w:rStyle w:val="FootnoteReference"/>
        </w:rPr>
        <w:footnoteReference w:id="1343"/>
      </w:r>
      <w:r>
        <w:rPr>
          <w:rFonts w:ascii="IRNazanin" w:hAnsi="IRNazanin" w:eastAsia="IRNazanin" w:cs="IRNazanin"/>
          <w:lang w:bidi="fa-IR"/>
          <w:color w:val="111111"/>
          <w:sz w:val="28"/>
          <w:szCs w:val="28"/>
          <w:rtl/>
        </w:rPr>
        <w:t xml:space="preserve">و الشهید الثانیین </w:t>
      </w:r>
      <w:r>
        <w:rPr>
          <w:rStyle w:val="FootnoteReference"/>
        </w:rPr>
        <w:footnoteReference w:id="1344"/>
      </w:r>
      <w:r>
        <w:rPr>
          <w:rFonts w:ascii="IRNazanin" w:hAnsi="IRNazanin" w:eastAsia="IRNazanin" w:cs="IRNazanin"/>
          <w:lang w:bidi="fa-IR"/>
          <w:color w:val="111111"/>
          <w:sz w:val="28"/>
          <w:szCs w:val="28"/>
          <w:rtl/>
        </w:rPr>
        <w:t xml:space="preserve">و غیرهم، فحکموا بأنّه إذا فسخ رجع بقیمة أُمّ الولد.و لعلّه لصیرورتها بمنزلة </w:t>
      </w:r>
      <w:r>
        <w:rPr>
          <w:rStyle w:val="FootnoteReference"/>
        </w:rPr>
        <w:footnoteReference w:id="1345"/>
      </w:r>
      <w:r>
        <w:rPr>
          <w:rFonts w:ascii="IRNazanin" w:hAnsi="IRNazanin" w:eastAsia="IRNazanin" w:cs="IRNazanin"/>
          <w:lang w:bidi="fa-IR"/>
          <w:color w:val="111111"/>
          <w:sz w:val="28"/>
          <w:szCs w:val="28"/>
          <w:rtl/>
        </w:rPr>
        <w:t xml:space="preserve">التالف،و الفسخ بنفسه لا یقتضی إلّا جعل العقد من زمان الفسخ کأن لم یکن،و أمّا وجوب ردّ العین فهو من أحکامه لو لم یمتنع عقلاً أو شرعاً،و المانع الشرعی کالعقلی.</w:t>
      </w:r>
    </w:p>
    <w:p>
      <w:pPr>
        <w:pStyle w:val="BookText"/>
      </w:pPr>
      <w:r>
        <w:rPr>
          <w:rFonts w:ascii="IRNazanin" w:hAnsi="IRNazanin" w:eastAsia="IRNazanin" w:cs="IRNazanin"/>
          <w:lang w:bidi="fa-IR"/>
          <w:color w:val="111111"/>
          <w:sz w:val="28"/>
          <w:szCs w:val="28"/>
          <w:rtl/>
        </w:rPr>
        <w:t xml:space="preserve">نعم،لو قیل:إنّ الممنوع إنّما هو نقل المالک أو النقل من قِبَله لدیونه،أمّا الانتقال </w:t>
      </w:r>
      <w:r>
        <w:rPr>
          <w:rStyle w:val="FootnoteReference"/>
        </w:rPr>
        <w:footnoteReference w:id="1346"/>
      </w:r>
      <w:r>
        <w:rPr>
          <w:rFonts w:ascii="IRNazanin" w:hAnsi="IRNazanin" w:eastAsia="IRNazanin" w:cs="IRNazanin"/>
          <w:lang w:bidi="fa-IR"/>
          <w:color w:val="111111"/>
          <w:sz w:val="28"/>
          <w:szCs w:val="28"/>
          <w:rtl/>
        </w:rPr>
        <w:t xml:space="preserve">عنه بسببٍ یقتضیه الدلیل خارجٍ عن اختیاره، فلم یثبت،فلا مانع شرعاً من استرداد عینها.</w:t>
      </w:r>
    </w:p>
    <w:p>
      <w:pPr>
        <w:pStyle w:val="BookText"/>
      </w:pPr>
      <w:r>
        <w:rPr>
          <w:rFonts w:ascii="IRNazanin" w:hAnsi="IRNazanin" w:eastAsia="IRNazanin" w:cs="IRNazanin"/>
          <w:lang w:bidi="fa-IR"/>
          <w:color w:val="111111"/>
          <w:sz w:val="28"/>
          <w:szCs w:val="28"/>
          <w:rtl/>
        </w:rPr>
        <w:t xml:space="preserve">و الحاصل:أنّ منع الاستیلاد عن استرداد بائعها لها یحتاج إلی</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2" w:name="pg14419_167053"/>
    <w:bookmarkEnd w:id="212"/>
    <w:p>
      <w:pPr>
        <w:pStyle w:val="BookText"/>
      </w:pPr>
      <w:r>
        <w:rPr>
          <w:rFonts w:ascii="IRNazanin" w:hAnsi="IRNazanin" w:eastAsia="IRNazanin" w:cs="IRNazanin"/>
          <w:lang w:bidi="fa-IR"/>
          <w:color w:val="111111"/>
          <w:sz w:val="28"/>
          <w:szCs w:val="28"/>
          <w:rtl/>
        </w:rPr>
        <w:t xml:space="preserve">دلیل مفقود.اللهمّ إلّا أن یدّعی:أنّ الاستیلاد حقٌّ لاُمّ الولد مانعٌ عن انتقالها عن ملک المولی لحقّه أو لحقّ غیره،إلّا أن یکون للغیر حقٌّ أقوی أو سابقٌ یقتضی انتقالها،و المفروض أنّ حقّ الخیار لا یقتضی انتقالها بقولٍ مطلق،بل یقتضی انتقالها مع الإمکان شرعاً،و المفروض أنّ تعلّق حقّ أُمّ الولد مانعٌ شرعاً کالعتق و البیع علی القول بصحّتهما فی زمان الخیار،فتأمّل.</w:t>
      </w:r>
    </w:p>
    <w:p>
      <w:pPr>
        <w:pStyle w:val="Heading6"/>
      </w:pPr>
      <w:bookmarkStart w:id="1017" w:name="_Toc457"/>
      <w:r>
        <w:t>و منها : ما إذا کان علوقها بعد اشتراط أداء مال الضمان منها</w:t>
      </w:r>
      <w:bookmarkEnd w:id="1017"/>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47"/>
      </w:r>
      <w:r>
        <w:rPr>
          <w:rFonts w:ascii="IRNazanin" w:hAnsi="IRNazanin" w:eastAsia="IRNazanin" w:cs="IRNazanin"/>
          <w:lang w:bidi="fa-IR"/>
          <w:color w:val="111111"/>
          <w:sz w:val="28"/>
          <w:szCs w:val="28"/>
          <w:rtl/>
        </w:rPr>
        <w:t xml:space="preserve">: ما إذا کان علوقها بعد اشتراط أداء مال الضمان منها،</w:t>
      </w:r>
    </w:p>
    <w:p>
      <w:pPr>
        <w:pStyle w:val="BookText"/>
      </w:pPr>
      <w:r>
        <w:rPr>
          <w:rFonts w:ascii="IRNazanin" w:hAnsi="IRNazanin" w:eastAsia="IRNazanin" w:cs="IRNazanin"/>
          <w:lang w:bidi="fa-IR"/>
          <w:color w:val="111111"/>
          <w:sz w:val="28"/>
          <w:szCs w:val="28"/>
          <w:rtl/>
        </w:rPr>
        <w:t xml:space="preserve">بناءً علی ما استظهر الاتّفاق علیه:من جواز اشتراط الأداء من مالٍ معیّن </w:t>
      </w:r>
      <w:r>
        <w:rPr>
          <w:rStyle w:val="FootnoteReference"/>
        </w:rPr>
        <w:footnoteReference w:id="1348"/>
      </w:r>
      <w:r>
        <w:rPr>
          <w:rFonts w:ascii="IRNazanin" w:hAnsi="IRNazanin" w:eastAsia="IRNazanin" w:cs="IRNazanin"/>
          <w:lang w:bidi="fa-IR"/>
          <w:color w:val="111111"/>
          <w:sz w:val="28"/>
          <w:szCs w:val="28"/>
          <w:rtl/>
        </w:rPr>
        <w:t xml:space="preserve">،فیتعلّق به حقّ المضمون له،و حیث فرض سابقاً علی الاستیلاد فلا یزاحم به علی قولٍ محکیٍّ فی الروضة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6"/>
      </w:pPr>
      <w:bookmarkStart w:id="1018" w:name="_Toc458"/>
      <w:r>
        <w:t>و منها : ما إذا کان علوقها بعد نذر جَعلها صدقةً</w:t>
      </w:r>
      <w:bookmarkEnd w:id="101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50"/>
      </w:r>
      <w:r>
        <w:rPr>
          <w:rFonts w:ascii="IRNazanin" w:hAnsi="IRNazanin" w:eastAsia="IRNazanin" w:cs="IRNazanin"/>
          <w:lang w:bidi="fa-IR"/>
          <w:color w:val="111111"/>
          <w:sz w:val="28"/>
          <w:szCs w:val="28"/>
          <w:rtl/>
        </w:rPr>
        <w:t xml:space="preserve">: ما إذا کان علوقها بعد نذر جَعلها صدقةً إذا کان النذر مشروطاً بشرط لم یحصل قبل الوطء ثمّ حصل بعده،</w:t>
      </w:r>
    </w:p>
    <w:p>
      <w:pPr>
        <w:pStyle w:val="BookText"/>
      </w:pPr>
      <w:r>
        <w:rPr>
          <w:rFonts w:ascii="IRNazanin" w:hAnsi="IRNazanin" w:eastAsia="IRNazanin" w:cs="IRNazanin"/>
          <w:lang w:bidi="fa-IR"/>
          <w:color w:val="111111"/>
          <w:sz w:val="28"/>
          <w:szCs w:val="28"/>
          <w:rtl/>
        </w:rPr>
        <w:t xml:space="preserve">بناءً علی ما ذکروه من خروج المنذور کونها صدقةً عن ملک الناذر بمجرّد النذر فی المطلق و بعد حصول الشرط فی المعلّق،کما حکاه صاحب المدارک عنهم فی باب الزکاة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کون استیلادها کإتلافها،فیحصل الحنث و یستقرّ القیمة؛ جمعاً بین حقّی أُمّ الولد و المنذور له.</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14419_167054"/>
    <w:bookmarkEnd w:id="213"/>
    <w:p>
      <w:pPr>
        <w:pStyle w:val="BookText"/>
      </w:pPr>
      <w:r>
        <w:rPr>
          <w:rFonts w:ascii="IRNazanin" w:hAnsi="IRNazanin" w:eastAsia="IRNazanin" w:cs="IRNazanin"/>
          <w:lang w:bidi="fa-IR"/>
          <w:color w:val="111111"/>
          <w:sz w:val="28"/>
          <w:szCs w:val="28"/>
          <w:rtl/>
        </w:rPr>
        <w:t xml:space="preserve">و لو نذر التصدّق بها،فإن کان مطلقاً و قلنا بخروجها عن الملک بمجرّد ذلک کما حکی عن بعضٍ </w:t>
      </w:r>
      <w:r>
        <w:rPr>
          <w:rStyle w:val="FootnoteReference"/>
        </w:rPr>
        <w:footnoteReference w:id="1352"/>
      </w:r>
      <w:r>
        <w:rPr>
          <w:rFonts w:ascii="IRNazanin" w:hAnsi="IRNazanin" w:eastAsia="IRNazanin" w:cs="IRNazanin"/>
          <w:lang w:bidi="fa-IR"/>
          <w:color w:val="111111"/>
          <w:sz w:val="28"/>
          <w:szCs w:val="28"/>
          <w:rtl/>
        </w:rPr>
        <w:t xml:space="preserve">فلا حکم للعلوق.و إن قلنا بعدم خروجها عن ملکه،احتمل:تقدیم حقّ المنذور له فی العین،و تقدیم حقّ الاستیلاد،و الجمع بینهما بالقیمة.</w:t>
      </w:r>
    </w:p>
    <w:p>
      <w:pPr>
        <w:pStyle w:val="BookText"/>
      </w:pPr>
      <w:r>
        <w:rPr>
          <w:rFonts w:ascii="IRNazanin" w:hAnsi="IRNazanin" w:eastAsia="IRNazanin" w:cs="IRNazanin"/>
          <w:lang w:bidi="fa-IR"/>
          <w:color w:val="111111"/>
          <w:sz w:val="28"/>
          <w:szCs w:val="28"/>
          <w:rtl/>
        </w:rPr>
        <w:t xml:space="preserve">و لو کان معلّقاً فوطأها قبل حصول الشرط صارت أُمّ ولد،فإذا حصل الشرط وجب التصدّق بها؛لتقدّم سببه.و یحتمل انحلال النذر؛ لصیرورة التصدّق مرجوحاً بالاستیلاد مع الرجوع إلی القیمة أو بدونه.</w:t>
      </w:r>
    </w:p>
    <w:p>
      <w:pPr>
        <w:pStyle w:val="BookText"/>
      </w:pPr>
      <w:r>
        <w:rPr>
          <w:rFonts w:ascii="IRNazanin" w:hAnsi="IRNazanin" w:eastAsia="IRNazanin" w:cs="IRNazanin"/>
          <w:lang w:bidi="fa-IR"/>
          <w:color w:val="111111"/>
          <w:sz w:val="28"/>
          <w:szCs w:val="28"/>
          <w:rtl/>
        </w:rPr>
        <w:t xml:space="preserve">و تمام الکلام یحتاج إلی بسطٍ تمامٍ </w:t>
      </w:r>
      <w:r>
        <w:rPr>
          <w:rStyle w:val="FootnoteReference"/>
        </w:rPr>
        <w:footnoteReference w:id="1353"/>
      </w:r>
      <w:r>
        <w:rPr>
          <w:rFonts w:ascii="IRNazanin" w:hAnsi="IRNazanin" w:eastAsia="IRNazanin" w:cs="IRNazanin"/>
          <w:lang w:bidi="fa-IR"/>
          <w:color w:val="111111"/>
          <w:sz w:val="28"/>
          <w:szCs w:val="28"/>
          <w:rtl/>
        </w:rPr>
        <w:t xml:space="preserve">لا یسعه الوقت.</w:t>
      </w:r>
    </w:p>
    <w:p>
      <w:pPr>
        <w:pStyle w:val="Heading6"/>
      </w:pPr>
      <w:bookmarkStart w:id="1019" w:name="_Toc459"/>
      <w:r>
        <w:t>و منها : ما إذا کان علوقها من مکاتَب مشروط ثمّ فُسخت کتابته</w:t>
      </w:r>
      <w:bookmarkEnd w:id="1019"/>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54"/>
      </w:r>
      <w:r>
        <w:rPr>
          <w:rFonts w:ascii="IRNazanin" w:hAnsi="IRNazanin" w:eastAsia="IRNazanin" w:cs="IRNazanin"/>
          <w:lang w:bidi="fa-IR"/>
          <w:color w:val="111111"/>
          <w:sz w:val="28"/>
          <w:szCs w:val="28"/>
          <w:rtl/>
        </w:rPr>
        <w:t xml:space="preserve">: ما إذا کان علوقها من مکاتَب مشروط ثمّ فُسخت کتابته،</w:t>
      </w:r>
    </w:p>
    <w:p>
      <w:pPr>
        <w:pStyle w:val="BookText"/>
      </w:pPr>
      <w:r>
        <w:rPr>
          <w:rFonts w:ascii="IRNazanin" w:hAnsi="IRNazanin" w:eastAsia="IRNazanin" w:cs="IRNazanin"/>
          <w:lang w:bidi="fa-IR"/>
          <w:color w:val="111111"/>
          <w:sz w:val="28"/>
          <w:szCs w:val="28"/>
          <w:rtl/>
        </w:rPr>
        <w:t xml:space="preserve">فللمولی أن یبیعها علی ما حکاه فی الروضة عن بعض الأصحاب </w:t>
      </w:r>
      <w:r>
        <w:rPr>
          <w:rStyle w:val="FootnoteReference"/>
        </w:rPr>
        <w:footnoteReference w:id="1355"/>
      </w:r>
      <w:r>
        <w:rPr>
          <w:rFonts w:ascii="IRNazanin" w:hAnsi="IRNazanin" w:eastAsia="IRNazanin" w:cs="IRNazanin"/>
          <w:lang w:bidi="fa-IR"/>
          <w:color w:val="111111"/>
          <w:sz w:val="28"/>
          <w:szCs w:val="28"/>
          <w:rtl/>
        </w:rPr>
        <w:t xml:space="preserve">بناءً علی أنّ مستولدته أُمّ ولد بالفعل غیر معلّق علی عتقه فلا یجوز له بیع ولدها.</w:t>
      </w:r>
    </w:p>
    <w:p>
      <w:pPr>
        <w:pStyle w:val="Heading6"/>
      </w:pPr>
      <w:bookmarkStart w:id="1020" w:name="_Toc460"/>
      <w:r>
        <w:t>و القسم الرابع : و هو ما کان إبقاؤها فی ملک المولی غیر معرّضٍ لها للعتق</w:t>
      </w:r>
      <w:bookmarkEnd w:id="1020"/>
    </w:p>
    <w:p>
      <w:pPr>
        <w:pStyle w:val="BookText"/>
      </w:pPr>
      <w:r>
        <w:rPr>
          <w:rFonts w:ascii="IRNazanin" w:hAnsi="IRNazanin" w:eastAsia="IRNazanin" w:cs="IRNazanin"/>
          <w:lang w:bidi="fa-IR"/>
          <w:color w:val="111111"/>
          <w:sz w:val="28"/>
          <w:szCs w:val="28"/>
          <w:rtl/>
        </w:rPr>
        <w:t xml:space="preserve">و القسم الرابع </w:t>
      </w:r>
      <w:r>
        <w:rPr>
          <w:rStyle w:val="FootnoteReference"/>
        </w:rPr>
        <w:footnoteReference w:id="1356"/>
      </w:r>
      <w:r>
        <w:rPr>
          <w:rFonts w:ascii="IRNazanin" w:hAnsi="IRNazanin" w:eastAsia="IRNazanin" w:cs="IRNazanin"/>
          <w:lang w:bidi="fa-IR"/>
          <w:color w:val="111111"/>
          <w:sz w:val="28"/>
          <w:szCs w:val="28"/>
          <w:rtl/>
        </w:rPr>
        <w:t xml:space="preserve">:و هو ما کان </w:t>
      </w:r>
      <w:r>
        <w:rPr>
          <w:rStyle w:val="FootnoteReference"/>
        </w:rPr>
        <w:footnoteReference w:id="1357"/>
      </w:r>
      <w:r>
        <w:rPr>
          <w:rFonts w:ascii="IRNazanin" w:hAnsi="IRNazanin" w:eastAsia="IRNazanin" w:cs="IRNazanin"/>
          <w:lang w:bidi="fa-IR"/>
          <w:color w:val="111111"/>
          <w:sz w:val="28"/>
          <w:szCs w:val="28"/>
          <w:rtl/>
        </w:rPr>
        <w:t xml:space="preserve">إبقاؤها فی ملک المولی غیر [...]</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لها للعتق؛لعدم توریث الولد من أبیه؛لأحد موانع الإرث أو لعدم ثبوت النسب من طرف الأُمّ أو الأب واقعاً؛لفجورٍ،أو ظاهراً؛ باعتراف.</w:t>
      </w:r>
    </w:p>
    <w:p>
      <w:pPr>
        <w:pStyle w:val="BookText"/>
      </w:pPr>
      <w:r>
        <w:rPr>
          <w:rFonts w:ascii="IRNazanin" w:hAnsi="IRNazanin" w:eastAsia="IRNazanin" w:cs="IRNazanin"/>
          <w:lang w:bidi="fa-IR"/>
          <w:color w:val="111111"/>
          <w:sz w:val="28"/>
          <w:szCs w:val="28"/>
          <w:rtl/>
        </w:rPr>
        <w:t xml:space="preserve">ثمّ إنّا لم نذکر فی کلّ مورد من موارد الاستثناء إلّا قلیلاً من کثیر ما یتحمّله من الکلام،فیطلب تفصیل کلّ واحدٍ من مقامه.</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4" w:name="pg14419_167056"/>
    <w:bookmarkEnd w:id="214"/>
    <w:p>
      <w:pPr>
        <w:pStyle w:val="Heading6"/>
      </w:pPr>
      <w:bookmarkStart w:id="1021" w:name="_Toc461"/>
      <w:r>
        <w:t>مسألة : و من أسباب خروج الملک عن کونه طِلْقاً : کونه مرهوناً</w:t>
      </w:r>
      <w:bookmarkEnd w:id="1021"/>
    </w:p>
    <w:p>
      <w:pPr>
        <w:pStyle w:val="Heading6"/>
      </w:pPr>
      <w:bookmarkStart w:id="1022" w:name="_Toc462"/>
      <w:r>
        <w:t>اشارة</w:t>
      </w:r>
      <w:bookmarkEnd w:id="1022"/>
    </w:p>
    <w:p>
      <w:pPr>
        <w:pStyle w:val="BookText"/>
      </w:pPr>
      <w:r>
        <w:rPr>
          <w:rFonts w:ascii="IRNazanin" w:hAnsi="IRNazanin" w:eastAsia="IRNazanin" w:cs="IRNazanin"/>
          <w:lang w:bidi="fa-IR"/>
          <w:color w:val="111111"/>
          <w:sz w:val="28"/>
          <w:szCs w:val="28"/>
          <w:rtl/>
        </w:rPr>
        <w:t xml:space="preserve">فإنّ الظاهر بل المقطوع به-:الاتّفاق علی عدم استقلال المالک فی بیع ملکه المرهون.</w:t>
      </w:r>
    </w:p>
    <w:p>
      <w:pPr>
        <w:pStyle w:val="BookText"/>
      </w:pPr>
      <w:r>
        <w:rPr>
          <w:rFonts w:ascii="IRNazanin" w:hAnsi="IRNazanin" w:eastAsia="IRNazanin" w:cs="IRNazanin"/>
          <w:lang w:bidi="fa-IR"/>
          <w:color w:val="111111"/>
          <w:sz w:val="28"/>
          <w:szCs w:val="28"/>
          <w:rtl/>
        </w:rPr>
        <w:t xml:space="preserve">و حکی عن الخلاف:إجماع الفرقة و أخبارهم علی ذلک </w:t>
      </w:r>
      <w:r>
        <w:rPr>
          <w:rStyle w:val="FootnoteReference"/>
        </w:rPr>
        <w:footnoteReference w:id="1358"/>
      </w:r>
      <w:r>
        <w:rPr>
          <w:rFonts w:ascii="IRNazanin" w:hAnsi="IRNazanin" w:eastAsia="IRNazanin" w:cs="IRNazanin"/>
          <w:lang w:bidi="fa-IR"/>
          <w:color w:val="111111"/>
          <w:sz w:val="28"/>
          <w:szCs w:val="28"/>
          <w:rtl/>
        </w:rPr>
        <w:t xml:space="preserve">،و قد حکی الإجماع عن غیره أیضاً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المختلف فی باب تزویج الأمة المرهونة أنّه أرسل عن النبیّ صلّی اللّٰه علیه و آله و سلم:«أنّ الراهن و المرتهن ممنوعان من التصرّف»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6"/>
      </w:pPr>
      <w:bookmarkStart w:id="1023" w:name="_Toc463"/>
      <w:r>
        <w:t>و إنّما الکلام فی أنّ بیع الراهن هل یقع باطلاً من أصله؟أو یقع موقوفاً علی الإجازة،</w:t>
      </w:r>
      <w:bookmarkEnd w:id="1023"/>
    </w:p>
    <w:p>
      <w:pPr>
        <w:pStyle w:val="BookText"/>
      </w:pPr>
      <w:r>
        <w:rPr>
          <w:rFonts w:ascii="IRNazanin" w:hAnsi="IRNazanin" w:eastAsia="IRNazanin" w:cs="IRNazanin"/>
          <w:lang w:bidi="fa-IR"/>
          <w:color w:val="111111"/>
          <w:sz w:val="28"/>
          <w:szCs w:val="28"/>
          <w:rtl/>
        </w:rPr>
        <w:t xml:space="preserve">أو سقوط حقّه بإسقاطه أو بالفکّ؟</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فظاهر عبائر جماعةٍ من القدماء و غیرهم </w:t>
      </w:r>
      <w:r>
        <w:rPr>
          <w:rStyle w:val="FootnoteReference"/>
        </w:rPr>
        <w:footnoteReference w:id="1361"/>
      </w:r>
      <w:r>
        <w:rPr>
          <w:rFonts w:ascii="IRNazanin" w:hAnsi="IRNazanin" w:eastAsia="IRNazanin" w:cs="IRNazanin"/>
          <w:lang w:bidi="fa-IR"/>
          <w:color w:val="111111"/>
          <w:sz w:val="28"/>
          <w:szCs w:val="28"/>
          <w:rtl/>
        </w:rPr>
        <w:t xml:space="preserve">الأوّل،إلّا أنّ صریح الشیخ فی النهایة </w:t>
      </w:r>
      <w:r>
        <w:rPr>
          <w:rStyle w:val="FootnoteReference"/>
        </w:rPr>
        <w:footnoteReference w:id="1362"/>
      </w:r>
      <w:r>
        <w:rPr>
          <w:rFonts w:ascii="IRNazanin" w:hAnsi="IRNazanin" w:eastAsia="IRNazanin" w:cs="IRNazanin"/>
          <w:lang w:bidi="fa-IR"/>
          <w:color w:val="111111"/>
          <w:sz w:val="28"/>
          <w:szCs w:val="28"/>
          <w:rtl/>
        </w:rPr>
        <w:t xml:space="preserve">و ابن حمزة فی الوسیلة </w:t>
      </w:r>
      <w:r>
        <w:rPr>
          <w:rStyle w:val="FootnoteReference"/>
        </w:rPr>
        <w:footnoteReference w:id="1363"/>
      </w:r>
      <w:r>
        <w:rPr>
          <w:rFonts w:ascii="IRNazanin" w:hAnsi="IRNazanin" w:eastAsia="IRNazanin" w:cs="IRNazanin"/>
          <w:lang w:bidi="fa-IR"/>
          <w:color w:val="111111"/>
          <w:sz w:val="28"/>
          <w:szCs w:val="28"/>
          <w:rtl/>
        </w:rPr>
        <w:t xml:space="preserve">و جمهور المتأخّرین </w:t>
      </w:r>
      <w:r>
        <w:rPr>
          <w:rStyle w:val="FootnoteReference"/>
        </w:rPr>
        <w:footnoteReference w:id="1364"/>
      </w:r>
      <w:r>
        <w:rPr>
          <w:rFonts w:ascii="Amiri" w:hAnsi="Amiri" w:eastAsia="Amiri" w:cs="Amiri"/>
          <w:lang w:bidi="ar-SA"/>
          <w:color w:val="111111"/>
          <w:sz w:val="28"/>
          <w:szCs w:val="28"/>
          <w:rtl/>
        </w:rPr>
        <w:t xml:space="preserve">عدا شاذٍّ منهم </w:t>
      </w:r>
      <w:r>
        <w:rPr>
          <w:rStyle w:val="FootnoteReference"/>
        </w:rPr>
        <w:footnoteReference w:id="1365"/>
      </w:r>
      <w:r>
        <w:rPr>
          <w:rFonts w:ascii="IRNazanin" w:hAnsi="IRNazanin" w:eastAsia="IRNazanin" w:cs="IRNazanin"/>
          <w:lang w:bidi="fa-IR"/>
          <w:color w:val="111111"/>
          <w:sz w:val="28"/>
          <w:szCs w:val="28"/>
          <w:rtl/>
        </w:rPr>
        <w:t xml:space="preserve">هو کونه موقوفاً،و هو الأقوی؛للعمومات السلیمة عن المخصّص؛لأنّ معقد الإجماع و الأخبار الظاهرة فی المنع عن التصرّف هو الاستقلال،کما یشهد به عطف«المرتهن»علی«الراهن» </w:t>
      </w:r>
      <w:r>
        <w:rPr>
          <w:rStyle w:val="FootnoteReference"/>
        </w:rPr>
        <w:footnoteReference w:id="1366"/>
      </w:r>
      <w:r>
        <w:rPr>
          <w:rFonts w:ascii="IRNazanin" w:hAnsi="IRNazanin" w:eastAsia="IRNazanin" w:cs="IRNazanin"/>
          <w:lang w:bidi="fa-IR"/>
          <w:color w:val="111111"/>
          <w:sz w:val="28"/>
          <w:szCs w:val="28"/>
          <w:rtl/>
        </w:rPr>
        <w:t xml:space="preserve">،مع ما ثبت فی محلّه من وقوع تصرّف المرتهن موقوفاً،لا باطلاً.</w:t>
      </w:r>
    </w:p>
    <w:p>
      <w:pPr>
        <w:pStyle w:val="BookText"/>
      </w:pPr>
      <w:r>
        <w:rPr>
          <w:rFonts w:ascii="IRNazanin" w:hAnsi="IRNazanin" w:eastAsia="IRNazanin" w:cs="IRNazanin"/>
          <w:lang w:bidi="fa-IR"/>
          <w:color w:val="111111"/>
          <w:sz w:val="28"/>
          <w:szCs w:val="28"/>
          <w:rtl/>
        </w:rPr>
        <w:t xml:space="preserve">و علی تسلیم الظهور فی بطلان التصرّف رأساً،فهی موهونة بمصیر جمهور المتأخّرین علی خلافه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کلّه،مضافاً إلی ما یستفاد من صحّة نکاح العبد بالإجازة؛ معلّلاً ب«أنّه لم یعصِ اللّٰه و إنّما عصی سیّده» </w:t>
      </w:r>
      <w:r>
        <w:rPr>
          <w:rStyle w:val="FootnoteReference"/>
        </w:rPr>
        <w:footnoteReference w:id="1368"/>
      </w:r>
      <w:r>
        <w:rPr>
          <w:rFonts w:ascii="Amiri" w:hAnsi="Amiri" w:eastAsia="Amiri" w:cs="Amiri"/>
          <w:lang w:bidi="ar-SA"/>
          <w:color w:val="111111"/>
          <w:sz w:val="28"/>
          <w:szCs w:val="28"/>
          <w:rtl/>
        </w:rPr>
        <w:t xml:space="preserve">إذ المستفاد منه:أنّ کلّ</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کان النهی عنه لحقّ الآدمی یرتفع </w:t>
      </w:r>
      <w:r>
        <w:rPr>
          <w:rStyle w:val="FootnoteReference"/>
        </w:rPr>
        <w:footnoteReference w:id="1369"/>
      </w:r>
      <w:r>
        <w:rPr>
          <w:rFonts w:ascii="IRNazanin" w:hAnsi="IRNazanin" w:eastAsia="IRNazanin" w:cs="IRNazanin"/>
          <w:lang w:bidi="fa-IR"/>
          <w:color w:val="111111"/>
          <w:sz w:val="28"/>
          <w:szCs w:val="28"/>
          <w:rtl/>
        </w:rPr>
        <w:t xml:space="preserve">المنع و یحصل التأثیر بارتفاع المنع و حصول الرضا،و لیس ذلک کمعصیة اللّٰه أصالة </w:t>
      </w:r>
      <w:r>
        <w:rPr>
          <w:rStyle w:val="FootnoteReference"/>
        </w:rPr>
        <w:footnoteReference w:id="1370"/>
      </w:r>
      <w:r>
        <w:rPr>
          <w:rFonts w:ascii="IRNazanin" w:hAnsi="IRNazanin" w:eastAsia="IRNazanin" w:cs="IRNazanin"/>
          <w:lang w:bidi="fa-IR"/>
          <w:color w:val="111111"/>
          <w:sz w:val="28"/>
          <w:szCs w:val="28"/>
          <w:rtl/>
        </w:rPr>
        <w:t xml:space="preserve">فی إیقاع العقد التی لا یمکن أن یلحقها </w:t>
      </w:r>
      <w:r>
        <w:rPr>
          <w:rStyle w:val="FootnoteReference"/>
        </w:rPr>
        <w:footnoteReference w:id="1371"/>
      </w:r>
      <w:r>
        <w:rPr>
          <w:rFonts w:ascii="Amiri" w:hAnsi="Amiri" w:eastAsia="Amiri" w:cs="Amiri"/>
          <w:lang w:bidi="ar-SA"/>
          <w:color w:val="111111"/>
          <w:sz w:val="28"/>
          <w:szCs w:val="28"/>
          <w:rtl/>
        </w:rPr>
        <w:t xml:space="preserve">رضا اللّٰه تعالی.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هذا کلّه،مضافاً إلی فحوی أدلّة صحّة الفضولی.</w:t>
      </w:r>
    </w:p>
    <w:p>
      <w:pPr>
        <w:pStyle w:val="BookText"/>
      </w:pPr>
      <w:r>
        <w:rPr>
          <w:rFonts w:ascii="IRNazanin" w:hAnsi="IRNazanin" w:eastAsia="IRNazanin" w:cs="IRNazanin"/>
          <w:lang w:bidi="fa-IR"/>
          <w:color w:val="111111"/>
          <w:sz w:val="28"/>
          <w:szCs w:val="28"/>
          <w:rtl/>
        </w:rPr>
        <w:t xml:space="preserve">لکن الظاهر من التذکرة:أنّ کلّ من أبطل عقد الفضولی أبطل العقد هنا </w:t>
      </w:r>
      <w:r>
        <w:rPr>
          <w:rStyle w:val="FootnoteReference"/>
        </w:rPr>
        <w:footnoteReference w:id="1372"/>
      </w:r>
      <w:r>
        <w:rPr>
          <w:rFonts w:ascii="IRNazanin" w:hAnsi="IRNazanin" w:eastAsia="IRNazanin" w:cs="IRNazanin"/>
          <w:lang w:bidi="fa-IR"/>
          <w:color w:val="111111"/>
          <w:sz w:val="28"/>
          <w:szCs w:val="28"/>
          <w:rtl/>
        </w:rPr>
        <w:t xml:space="preserve">،و فیه نظر؛لأنّ من استند فی البطلان فی الفضولی إلی مثل قوله صلّی اللّٰه علیه و آله و سلم:«لا بیع إلّا فی ملک» </w:t>
      </w:r>
      <w:r>
        <w:rPr>
          <w:rStyle w:val="FootnoteReference"/>
        </w:rPr>
        <w:footnoteReference w:id="1373"/>
      </w:r>
      <w:r>
        <w:rPr>
          <w:rFonts w:ascii="IRNazanin" w:hAnsi="IRNazanin" w:eastAsia="IRNazanin" w:cs="IRNazanin"/>
          <w:lang w:bidi="fa-IR"/>
          <w:color w:val="111111"/>
          <w:sz w:val="28"/>
          <w:szCs w:val="28"/>
          <w:rtl/>
        </w:rPr>
        <w:t xml:space="preserve">لا یلزمه البطلان هنا،بل الأظهر ما سیجیء عن إیضاح النافع:من أنّ الظاهر وقوف هذا العقد و إن قلنا ببطلان الفضولی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ظهر من ذلک ضعف ما قوّاه بعض من عاصرناه </w:t>
      </w:r>
      <w:r>
        <w:rPr>
          <w:rStyle w:val="FootnoteReference"/>
        </w:rPr>
        <w:footnoteReference w:id="1375"/>
      </w:r>
      <w:r>
        <w:rPr>
          <w:rFonts w:ascii="IRNazanin" w:hAnsi="IRNazanin" w:eastAsia="IRNazanin" w:cs="IRNazanin"/>
          <w:lang w:bidi="fa-IR"/>
          <w:color w:val="111111"/>
          <w:sz w:val="28"/>
          <w:szCs w:val="28"/>
          <w:rtl/>
        </w:rPr>
        <w:t xml:space="preserve">من القول بالبطلان،متمسّکاً بظاهر الإجماعات و الأخبار المحکیّة علی المنع و النهی، قال:و هو موجب للبطلان و إن کان لحقّ الغیر؛إذ العبرة بتعلّق النهی بالعقد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لأمرٍ خارجٍ عنه،و هو کافٍ فی اقتضاء الفساد کما اقتضاه فی بیع الوقف و أُمّ الولد و غیرهما،مع استواء الجمیع </w:t>
      </w:r>
      <w:r>
        <w:rPr>
          <w:rStyle w:val="FootnoteReference"/>
        </w:rPr>
        <w:footnoteReference w:id="1377"/>
      </w:r>
      <w:r>
        <w:rPr>
          <w:rFonts w:ascii="IRNazanin" w:hAnsi="IRNazanin" w:eastAsia="IRNazanin" w:cs="IRNazanin"/>
          <w:lang w:bidi="fa-IR"/>
          <w:color w:val="111111"/>
          <w:sz w:val="28"/>
          <w:szCs w:val="28"/>
          <w:rtl/>
        </w:rPr>
        <w:t xml:space="preserve">فی کون سبب النهی حقّ الغیر.</w:t>
      </w:r>
    </w:p>
    <w:p>
      <w:pPr>
        <w:pStyle w:val="BookText"/>
      </w:pPr>
      <w:r>
        <w:rPr>
          <w:rFonts w:ascii="IRNazanin" w:hAnsi="IRNazanin" w:eastAsia="IRNazanin" w:cs="IRNazanin"/>
          <w:lang w:bidi="fa-IR"/>
          <w:color w:val="111111"/>
          <w:sz w:val="28"/>
          <w:szCs w:val="28"/>
          <w:rtl/>
        </w:rPr>
        <w:t xml:space="preserve">ثمّ أورد علی نفسه بقوله:فإن قلت:فعلی هذا یلزم بطلان عقد الفضولی و عقد المرتهن،مع أنّ کثیراً من الأصحاب ساووا بین الراهن و المرتهن فی المنع </w:t>
      </w:r>
      <w:r>
        <w:rPr>
          <w:rStyle w:val="FootnoteReference"/>
        </w:rPr>
        <w:footnoteReference w:id="1378"/>
      </w:r>
      <w:r>
        <w:rPr>
          <w:rFonts w:ascii="IRNazanin" w:hAnsi="IRNazanin" w:eastAsia="IRNazanin" w:cs="IRNazanin"/>
          <w:lang w:bidi="fa-IR"/>
          <w:color w:val="111111"/>
          <w:sz w:val="28"/>
          <w:szCs w:val="28"/>
          <w:rtl/>
        </w:rPr>
        <w:t xml:space="preserve">کما دلّت علیه الروایة </w:t>
      </w:r>
      <w:r>
        <w:rPr>
          <w:rStyle w:val="FootnoteReference"/>
        </w:rPr>
        <w:footnoteReference w:id="1379"/>
      </w:r>
      <w:r>
        <w:rPr>
          <w:rFonts w:ascii="IRNazanin" w:hAnsi="IRNazanin" w:eastAsia="IRNazanin" w:cs="IRNazanin"/>
          <w:lang w:bidi="fa-IR"/>
          <w:color w:val="111111"/>
          <w:sz w:val="28"/>
          <w:szCs w:val="28"/>
          <w:rtl/>
        </w:rPr>
        <w:t xml:space="preserve">فیلزم بطلان عقد الجمیع أو صحّته،فالفرق تحکّم.</w:t>
      </w:r>
    </w:p>
    <w:p>
      <w:pPr>
        <w:pStyle w:val="BookText"/>
      </w:pPr>
      <w:r>
        <w:rPr>
          <w:rFonts w:ascii="IRNazanin" w:hAnsi="IRNazanin" w:eastAsia="IRNazanin" w:cs="IRNazanin"/>
          <w:lang w:bidi="fa-IR"/>
          <w:color w:val="111111"/>
          <w:sz w:val="28"/>
          <w:szCs w:val="28"/>
          <w:rtl/>
        </w:rPr>
        <w:t xml:space="preserve">قلنا:إنّ التصرّف المنهیّ عنه إن کان انتفاعاً بمال الغیر فهو محرّم، و لا تحلّله الإجازة المتعقّبة.و إن کان عقداً أو إیقاعاً،فإن وقع بطریق الاستقلال </w:t>
      </w:r>
      <w:r>
        <w:rPr>
          <w:rStyle w:val="FootnoteReference"/>
        </w:rPr>
        <w:footnoteReference w:id="1380"/>
      </w:r>
      <w:r>
        <w:rPr>
          <w:rFonts w:ascii="IRNazanin" w:hAnsi="IRNazanin" w:eastAsia="IRNazanin" w:cs="IRNazanin"/>
          <w:lang w:bidi="fa-IR"/>
          <w:color w:val="111111"/>
          <w:sz w:val="28"/>
          <w:szCs w:val="28"/>
          <w:rtl/>
        </w:rPr>
        <w:t xml:space="preserve">لا علی وجه النیابة عن المالک،فالظاهر أنّه کذلک کما سبق فی الفضولی و إلّا فلا یعدّ تصرّفاً یتعلّق به النهی،فالعقد الصادر عن الفضولی قد یکون محرّماً،و قد لا یکون کذلک.</w:t>
      </w:r>
    </w:p>
    <w:p>
      <w:pPr>
        <w:pStyle w:val="BookText"/>
      </w:pPr>
      <w:r>
        <w:rPr>
          <w:rFonts w:ascii="IRNazanin" w:hAnsi="IRNazanin" w:eastAsia="IRNazanin" w:cs="IRNazanin"/>
          <w:lang w:bidi="fa-IR"/>
          <w:color w:val="111111"/>
          <w:sz w:val="28"/>
          <w:szCs w:val="28"/>
          <w:rtl/>
        </w:rPr>
        <w:t xml:space="preserve">و کذا الصادر عن المرتهن إن وقع بطریق الاستقلال المستند إلی البناء علی ظلم الراهن و غصب حقّه،أو إلی زعم التسلّط علیه بمجرّد الارتهان کان منهیّاً عنه.و إن کان بقصد النیابة عن الراهن فی مجرّد</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إجراء الصیغة،فلا یزید عن عقد الفضولی،فلا یتعلّق به نهیٌ أصلاً.</w:t>
      </w:r>
    </w:p>
    <w:p>
      <w:pPr>
        <w:pStyle w:val="BookText"/>
      </w:pPr>
      <w:r>
        <w:rPr>
          <w:rFonts w:ascii="IRNazanin" w:hAnsi="IRNazanin" w:eastAsia="IRNazanin" w:cs="IRNazanin"/>
          <w:lang w:bidi="fa-IR"/>
          <w:color w:val="111111"/>
          <w:sz w:val="28"/>
          <w:szCs w:val="28"/>
          <w:rtl/>
        </w:rPr>
        <w:t xml:space="preserve">و أمّا المالک،فلمّا حُجر علی ماله برهنه و کان عقده لا یقع إلّا مستنداً إلی ملکه لانحصار </w:t>
      </w:r>
      <w:r>
        <w:rPr>
          <w:rStyle w:val="FootnoteReference"/>
        </w:rPr>
        <w:footnoteReference w:id="1381"/>
      </w:r>
      <w:r>
        <w:rPr>
          <w:rFonts w:ascii="IRNazanin" w:hAnsi="IRNazanin" w:eastAsia="IRNazanin" w:cs="IRNazanin"/>
          <w:lang w:bidi="fa-IR"/>
          <w:color w:val="111111"/>
          <w:sz w:val="28"/>
          <w:szCs w:val="28"/>
          <w:rtl/>
        </w:rPr>
        <w:t xml:space="preserve">المالکیّة فیه و لا معنی لقصده النیابة،فهو منهیٌّ عنه؛لکونه تصرّفاً مطلقاً و منافیاً للحجر الثابت علیه،فیخصّص العمومات بما ذکر.و مجرّد الملک لا یقضی بالصحّة؛إذ الظاهر بمقتضی التأمّل:أنّ الملک المسوّغ للبیع هو ملک الأصل مع ملک التصرّف فیه؛ و لذا </w:t>
      </w:r>
      <w:r>
        <w:rPr>
          <w:rStyle w:val="FootnoteReference"/>
        </w:rPr>
        <w:footnoteReference w:id="1382"/>
      </w:r>
      <w:r>
        <w:rPr>
          <w:rFonts w:ascii="IRNazanin" w:hAnsi="IRNazanin" w:eastAsia="IRNazanin" w:cs="IRNazanin"/>
          <w:lang w:bidi="fa-IR"/>
          <w:color w:val="111111"/>
          <w:sz w:val="28"/>
          <w:szCs w:val="28"/>
          <w:rtl/>
        </w:rPr>
        <w:t xml:space="preserve">لم یصحّ البیع فی مواضع وجد فیها سبب الملک و کان ناقصاً؛ للمنع عن التصرّف.</w:t>
      </w:r>
    </w:p>
    <w:p>
      <w:pPr>
        <w:pStyle w:val="BookText"/>
      </w:pPr>
      <w:r>
        <w:rPr>
          <w:rFonts w:ascii="IRNazanin" w:hAnsi="IRNazanin" w:eastAsia="IRNazanin" w:cs="IRNazanin"/>
          <w:lang w:bidi="fa-IR"/>
          <w:color w:val="111111"/>
          <w:sz w:val="28"/>
          <w:szCs w:val="28"/>
          <w:rtl/>
        </w:rPr>
        <w:t xml:space="preserve">ثمّ قال:و بالجملة،فالذی یظهر بالتتبّع فی الأدلّة </w:t>
      </w:r>
      <w:r>
        <w:rPr>
          <w:rStyle w:val="FootnoteReference"/>
        </w:rPr>
        <w:footnoteReference w:id="1383"/>
      </w:r>
      <w:r>
        <w:rPr>
          <w:rFonts w:ascii="IRNazanin" w:hAnsi="IRNazanin" w:eastAsia="IRNazanin" w:cs="IRNazanin"/>
          <w:lang w:bidi="fa-IR"/>
          <w:color w:val="111111"/>
          <w:sz w:val="28"/>
          <w:szCs w:val="28"/>
          <w:rtl/>
        </w:rPr>
        <w:t xml:space="preserve">:أنّ العقود ما لم تنته إلی المالک فیمکن وقوعها موقوفة علی إجازته،و أمّا إذا انتهت إلی إذن المالک أو إجازته أو صدرت منه و کان تصرّفه علی وجه الأصالة فلا تقع علی وجهین،بل تکون فاسدة أو صحیحة لازمة إذا کان وضع ذلک </w:t>
      </w:r>
      <w:r>
        <w:rPr>
          <w:rStyle w:val="FootnoteReference"/>
        </w:rPr>
        <w:footnoteReference w:id="1384"/>
      </w:r>
      <w:r>
        <w:rPr>
          <w:rFonts w:ascii="IRNazanin" w:hAnsi="IRNazanin" w:eastAsia="IRNazanin" w:cs="IRNazanin"/>
          <w:lang w:bidi="fa-IR"/>
          <w:color w:val="111111"/>
          <w:sz w:val="28"/>
          <w:szCs w:val="28"/>
          <w:rtl/>
        </w:rPr>
        <w:t xml:space="preserve">العقد علی اللزوم.و أمّا التعلیل المستفاد من الروایة المرویّة فی النکاح من قوله:«لم یعص اللّٰه و إنّما عصی سیّده..إلی آخره» </w:t>
      </w:r>
      <w:r>
        <w:rPr>
          <w:rStyle w:val="FootnoteReference"/>
        </w:rPr>
        <w:footnoteReference w:id="1385"/>
      </w:r>
      <w:r>
        <w:rPr>
          <w:rFonts w:ascii="IRNazanin" w:hAnsi="IRNazanin" w:eastAsia="IRNazanin" w:cs="IRNazanin"/>
          <w:lang w:bidi="fa-IR"/>
          <w:color w:val="111111"/>
          <w:sz w:val="28"/>
          <w:szCs w:val="28"/>
          <w:rtl/>
        </w:rPr>
        <w:t xml:space="preserve">،فهو جارٍ فی من لم یکن مالکاً کما أنّ العبد لا یملک أمر</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نفسه،و أمّا المالک المحجور علیه،فهو عاصٍ للّٰه بتصرّفه.و لا یقال:إنّه عصی المرتهن؛لعدم کونه مالکاً،و إنّما منع اللّٰه من تفویت حقّه بالتصرّف،و ما ذکرناه جارٍ فی کلّ مالکٍ متولٍّ لأمر نفسه إذا حُجر علی ماله لعارضٍ کالفَلَس و غیره فیحکم بفساد الجمیع.و ربما یتّجه الصحّة فیما إذا کان الغرض من الحَجْر رعایة مصلحةٍ کالشفعة </w:t>
      </w:r>
      <w:r>
        <w:rPr>
          <w:rStyle w:val="FootnoteReference"/>
        </w:rPr>
        <w:footnoteReference w:id="1386"/>
      </w:r>
      <w:r>
        <w:rPr>
          <w:rFonts w:ascii="IRNazanin" w:hAnsi="IRNazanin" w:eastAsia="IRNazanin" w:cs="IRNazanin"/>
          <w:lang w:bidi="fa-IR"/>
          <w:color w:val="111111"/>
          <w:sz w:val="28"/>
          <w:szCs w:val="28"/>
          <w:rtl/>
        </w:rPr>
        <w:t xml:space="preserve">فالقول بالبطلان هنا کما اختاره أساطین الفقهاء هو الأقوی </w:t>
      </w:r>
      <w:r>
        <w:rPr>
          <w:rStyle w:val="FootnoteReference"/>
        </w:rPr>
        <w:footnoteReference w:id="13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 یرد علیه بعد منع الفرق فی الحکم بین بیع ملک الغیر علی وجه الاستقلال و بیعه علی وجه النیابة،و منع اقتضاء مطلق النهی،لا لأمرٍ خارجٍ،للفساد-:</w:t>
      </w:r>
    </w:p>
    <w:p>
      <w:pPr>
        <w:pStyle w:val="BookText"/>
      </w:pPr>
      <w:r>
        <w:rPr>
          <w:rFonts w:ascii="IRNazanin" w:hAnsi="IRNazanin" w:eastAsia="IRNazanin" w:cs="IRNazanin"/>
          <w:lang w:bidi="fa-IR"/>
          <w:color w:val="111111"/>
          <w:sz w:val="28"/>
          <w:szCs w:val="28"/>
          <w:rtl/>
        </w:rPr>
        <w:t xml:space="preserve">أوّلاً:أنّ نظیر ذلک یتصوّر فی بیع الراهن؛فإنّه قد یبیع رجاءً لإجازة المرتهن و لا ینوی الاستقلال،و قد یبیع </w:t>
      </w:r>
      <w:r>
        <w:rPr>
          <w:rStyle w:val="FootnoteReference"/>
        </w:rPr>
        <w:footnoteReference w:id="1388"/>
      </w:r>
      <w:r>
        <w:rPr>
          <w:rFonts w:ascii="IRNazanin" w:hAnsi="IRNazanin" w:eastAsia="IRNazanin" w:cs="IRNazanin"/>
          <w:lang w:bidi="fa-IR"/>
          <w:color w:val="111111"/>
          <w:sz w:val="28"/>
          <w:szCs w:val="28"/>
          <w:rtl/>
        </w:rPr>
        <w:t xml:space="preserve">جاهلاً بالرهن أو بحکمه أو ناسیاً،و لا حرمة فی شیءٍ من ذلک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ثانیاً:أنّ المتیقّن من الإجماع و الأخبار علی منع الراهن کونه علی نحو منع المرتهن علی ما یقتضیه عبارة معقد الإجماع و الأخبار،</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قولهم:«الراهن و المرتهن ممنوعان»،و معلوم أنّ المنع فی المرتهن إنّما هو علی وجهٍ لا ینافی وقوعه موقوفاً،و حاصله یرجع إلی منع العقد علی الرهن و الوفاء بمقتضاه علی سبیل الاستقلال و عدم مراجعة صاحبه فی ذلک.و إثبات المنع أزید من ذلک یحتاج إلی دلیل،و مع عدمه یرجع إلی العمومات.</w:t>
      </w:r>
    </w:p>
    <w:p>
      <w:pPr>
        <w:pStyle w:val="BookText"/>
      </w:pPr>
      <w:r>
        <w:rPr>
          <w:rFonts w:ascii="IRNazanin" w:hAnsi="IRNazanin" w:eastAsia="IRNazanin" w:cs="IRNazanin"/>
          <w:lang w:bidi="fa-IR"/>
          <w:color w:val="111111"/>
          <w:sz w:val="28"/>
          <w:szCs w:val="28"/>
          <w:rtl/>
        </w:rPr>
        <w:t xml:space="preserve">و أمّا ما ذکره من منع جریان التعلیل فی روایات العبد فیما نحن فیه مستنداً إلی الفرق بینهما،فلم أتحقّق الفرق بینهما،بل الظاهر کون النهی فی کلٍّ منهما لحقّ الغیر،فإنّ منع اللّٰه جلّ ذکره من تفویت حقّ الغیر ثابت فی کلِّ ما کان النهی عنه لحقّ الغیر،من غیر فرقٍ بین بیع الفضولی و نکاح العبد و بیع الراهن.</w:t>
      </w:r>
    </w:p>
    <w:p>
      <w:pPr>
        <w:pStyle w:val="BookText"/>
      </w:pPr>
      <w:r>
        <w:rPr>
          <w:rFonts w:ascii="IRNazanin" w:hAnsi="IRNazanin" w:eastAsia="IRNazanin" w:cs="IRNazanin"/>
          <w:lang w:bidi="fa-IR"/>
          <w:color w:val="111111"/>
          <w:sz w:val="28"/>
          <w:szCs w:val="28"/>
          <w:rtl/>
        </w:rPr>
        <w:t xml:space="preserve">و أمّا ما ذکره من المساواة بین بیع الراهن و بیع الوقف و أُمّ الولد، ففیه:أنّ الحکم فیهما تعبّدٌ؛و لذا لا یؤثّر الإذن السابق فی صحّة البیع، فقیاس الرهن علیه فی غیر محلّه.</w:t>
      </w:r>
    </w:p>
    <w:p>
      <w:pPr>
        <w:pStyle w:val="BookText"/>
      </w:pPr>
      <w:r>
        <w:rPr>
          <w:rFonts w:ascii="IRNazanin" w:hAnsi="IRNazanin" w:eastAsia="IRNazanin" w:cs="IRNazanin"/>
          <w:lang w:bidi="fa-IR"/>
          <w:color w:val="111111"/>
          <w:sz w:val="28"/>
          <w:szCs w:val="28"/>
          <w:rtl/>
        </w:rPr>
        <w:t xml:space="preserve">و بالجملة،فالمستفاد من طریقة الأصحاب،بل الأخبار:أنّ المنع من المعاملة إذا کان لحقّ الغیر الذی یکفی إذنه السابق لا یقتضی الإبطال رأساً،بل إنّما یقتضی الفساد،بمعنی عدم ترتّب الأثر علیه مستقلا من دون مراجعة ذی الحقّ.و یندرج فی ذلک:</w:t>
      </w:r>
    </w:p>
    <w:p>
      <w:pPr>
        <w:pStyle w:val="BookText"/>
      </w:pPr>
      <w:r>
        <w:rPr>
          <w:rFonts w:ascii="IRNazanin" w:hAnsi="IRNazanin" w:eastAsia="IRNazanin" w:cs="IRNazanin"/>
          <w:lang w:bidi="fa-IR"/>
          <w:color w:val="111111"/>
          <w:sz w:val="28"/>
          <w:szCs w:val="28"/>
          <w:rtl/>
        </w:rPr>
        <w:t xml:space="preserve">الفضولی و عقد الراهن،و المفلَّس،و المریض،و عقد الزوج لبنت أُخت زوجته أو أخیها،و للأمة علی الحرّة و غیر ذلک،فإنّ النهی فی جمیع ذلک إنّما یقتضی الفساد بمعنی عدم ترتّب الأثر </w:t>
      </w:r>
      <w:r>
        <w:rPr>
          <w:rStyle w:val="FootnoteReference"/>
        </w:rPr>
        <w:footnoteReference w:id="1390"/>
      </w:r>
      <w:r>
        <w:rPr>
          <w:rFonts w:ascii="IRNazanin" w:hAnsi="IRNazanin" w:eastAsia="IRNazanin" w:cs="IRNazanin"/>
          <w:lang w:bidi="fa-IR"/>
          <w:color w:val="111111"/>
          <w:sz w:val="28"/>
          <w:szCs w:val="28"/>
          <w:rtl/>
        </w:rPr>
        <w:t xml:space="preserve">المقصود من العقد</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5" w:name="pg14419_167063"/>
    <w:bookmarkEnd w:id="215"/>
    <w:p>
      <w:pPr>
        <w:pStyle w:val="BookText"/>
      </w:pPr>
      <w:r>
        <w:rPr>
          <w:rFonts w:ascii="IRNazanin" w:hAnsi="IRNazanin" w:eastAsia="IRNazanin" w:cs="IRNazanin"/>
          <w:lang w:bidi="fa-IR"/>
          <w:color w:val="111111"/>
          <w:sz w:val="28"/>
          <w:szCs w:val="28"/>
          <w:rtl/>
        </w:rPr>
        <w:t xml:space="preserve">عرفاً،و هو صیرورته سبباً مستقلا لآثاره من دون مدخلیّة رضا غیر المتعاقدین.</w:t>
      </w:r>
    </w:p>
    <w:p>
      <w:pPr>
        <w:pStyle w:val="BookText"/>
      </w:pPr>
      <w:r>
        <w:rPr>
          <w:rFonts w:ascii="IRNazanin" w:hAnsi="IRNazanin" w:eastAsia="IRNazanin" w:cs="IRNazanin"/>
          <w:lang w:bidi="fa-IR"/>
          <w:color w:val="111111"/>
          <w:sz w:val="28"/>
          <w:szCs w:val="28"/>
          <w:rtl/>
        </w:rPr>
        <w:t xml:space="preserve">و قد یتخیّل وجهٌ آخر لبطلان البیع هنا؛بناءً علی ما سیجیء:</w:t>
      </w:r>
    </w:p>
    <w:p>
      <w:pPr>
        <w:pStyle w:val="BookText"/>
      </w:pPr>
      <w:r>
        <w:rPr>
          <w:rFonts w:ascii="IRNazanin" w:hAnsi="IRNazanin" w:eastAsia="IRNazanin" w:cs="IRNazanin"/>
          <w:lang w:bidi="fa-IR"/>
          <w:color w:val="111111"/>
          <w:sz w:val="28"/>
          <w:szCs w:val="28"/>
          <w:rtl/>
        </w:rPr>
        <w:t xml:space="preserve">من أنّ ظاهرهم کون الإجازة هنا کاشفة؛حیث إنّه یلزم منه کون مال غیر الراهن و هو المشتری رهناً للبائع.</w:t>
      </w:r>
    </w:p>
    <w:p>
      <w:pPr>
        <w:pStyle w:val="BookText"/>
      </w:pPr>
      <w:r>
        <w:rPr>
          <w:rFonts w:ascii="IRNazanin" w:hAnsi="IRNazanin" w:eastAsia="IRNazanin" w:cs="IRNazanin"/>
          <w:lang w:bidi="fa-IR"/>
          <w:color w:val="111111"/>
          <w:sz w:val="28"/>
          <w:szCs w:val="28"/>
          <w:rtl/>
        </w:rPr>
        <w:t xml:space="preserve">و بعبارة اخری:الرهن و البیع متنافیان،فلا یحکم بتحقّقهما فی زمانٍ واحد،أعنی:ما قبل الإجازة؛و هذا نظیر ما تقدّم فی مسألة «من باع شیئاً ثمّ مَلکه»من أنّه علی تقدیر صحّة البیع یلزم کون الملک لشخصین فی الواقع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یدفعه:أنّ القائل یلتزم بکشف الإجازة عن عدم الرهن فی الواقع،و إلّا لجری ذلک فی عقد الفضولی أیضاً؛لأنّ فرض کون المجیز مالکاً للمبیع نافِذَ الإجازة یوجب تملّک مالِکَین لِملکٍ </w:t>
      </w:r>
      <w:r>
        <w:rPr>
          <w:rStyle w:val="FootnoteReference"/>
        </w:rPr>
        <w:footnoteReference w:id="1392"/>
      </w:r>
      <w:r>
        <w:rPr>
          <w:rFonts w:ascii="Amiri" w:hAnsi="Amiri" w:eastAsia="Amiri" w:cs="Amiri"/>
          <w:lang w:bidi="ar-SA"/>
          <w:color w:val="111111"/>
          <w:sz w:val="28"/>
          <w:szCs w:val="28"/>
          <w:rtl/>
        </w:rPr>
        <w:t xml:space="preserve">واحدٍ قبل الإجازة.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ما یلزم فی مسألة«من باع شیئاً ثمّ مَلکه»فلا یلزم فی مسألة إجازة المرتهن،نعم یلزم فی مسألة افتکاک الرهن،و سیجیء التنبیه علیه،إن شاء اللّٰه تعالی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6"/>
      </w:pPr>
      <w:bookmarkStart w:id="1024" w:name="_Toc464"/>
      <w:r>
        <w:t>ثمّ إنّ الکلام فی کون الإجازة من المرتهن کاشفةً أو ناقلةً،هو الکلام فی مسألة الفضولی،</w:t>
      </w:r>
      <w:bookmarkEnd w:id="1024"/>
    </w:p>
    <w:p>
      <w:pPr>
        <w:pStyle w:val="BookText"/>
      </w:pPr>
      <w:r>
        <w:rPr>
          <w:rFonts w:ascii="Amiri" w:hAnsi="Amiri" w:eastAsia="Amiri" w:cs="Amiri"/>
          <w:lang w:bidi="ar-SA"/>
          <w:color w:val="111111"/>
          <w:sz w:val="28"/>
          <w:szCs w:val="28"/>
          <w:rtl/>
        </w:rPr>
        <w:t xml:space="preserve">و محصّله:أنّ مقتضی القاعدة النقل،إلّا أنّ</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6" w:name="pg14419_167064"/>
    <w:bookmarkEnd w:id="216"/>
    <w:p>
      <w:pPr>
        <w:pStyle w:val="BookText"/>
      </w:pPr>
      <w:r>
        <w:rPr>
          <w:rFonts w:ascii="IRNazanin" w:hAnsi="IRNazanin" w:eastAsia="IRNazanin" w:cs="IRNazanin"/>
          <w:lang w:bidi="fa-IR"/>
          <w:color w:val="111111"/>
          <w:sz w:val="28"/>
          <w:szCs w:val="28"/>
          <w:rtl/>
        </w:rPr>
        <w:t xml:space="preserve">الظاهر من بعض الأخبار </w:t>
      </w:r>
      <w:r>
        <w:rPr>
          <w:rStyle w:val="FootnoteReference"/>
        </w:rPr>
        <w:footnoteReference w:id="1394"/>
      </w:r>
      <w:r>
        <w:rPr>
          <w:rFonts w:ascii="IRNazanin" w:hAnsi="IRNazanin" w:eastAsia="IRNazanin" w:cs="IRNazanin"/>
          <w:lang w:bidi="fa-IR"/>
          <w:color w:val="111111"/>
          <w:sz w:val="28"/>
          <w:szCs w:val="28"/>
          <w:rtl/>
        </w:rPr>
        <w:t xml:space="preserve">هو الکشف،و القول بالکشف هناک یستلزمه هنا بالفحوی؛لأنّ إجازة المالک أشبه بجزء المقتضی،و هی هنا من قبیل رفع المانع؛و من أجل ذلک جوّزوا عتق الراهن هنا مع تعقّب إجازة المرتهن </w:t>
      </w:r>
      <w:r>
        <w:rPr>
          <w:rStyle w:val="FootnoteReference"/>
        </w:rPr>
        <w:footnoteReference w:id="1395"/>
      </w:r>
      <w:r>
        <w:rPr>
          <w:rFonts w:ascii="IRNazanin" w:hAnsi="IRNazanin" w:eastAsia="IRNazanin" w:cs="IRNazanin"/>
          <w:lang w:bidi="fa-IR"/>
          <w:color w:val="111111"/>
          <w:sz w:val="28"/>
          <w:szCs w:val="28"/>
          <w:rtl/>
        </w:rPr>
        <w:t xml:space="preserve">،مع أنّ الإیقاعات عندهم لا تقع مراعاة.و الاعتذار عن ذلک ببناءِ العتق علی التغلیب کما فعله المحقّق الثانی فی کتاب الرهن،فی مسألة عفو الراهن عن جنایة الجانی علی العبد المرهون </w:t>
      </w:r>
      <w:r>
        <w:rPr>
          <w:rStyle w:val="FootnoteReference"/>
        </w:rPr>
        <w:footnoteReference w:id="1396"/>
      </w:r>
      <w:r>
        <w:rPr>
          <w:rFonts w:ascii="IRNazanin" w:hAnsi="IRNazanin" w:eastAsia="IRNazanin" w:cs="IRNazanin"/>
          <w:lang w:bidi="fa-IR"/>
          <w:color w:val="111111"/>
          <w:sz w:val="28"/>
          <w:szCs w:val="28"/>
          <w:rtl/>
        </w:rPr>
        <w:t xml:space="preserve">منافٍ لتمسّکهم فی العتق بعمومات العتق؛مع أنّ العلّامة قدّس سرّه فی تلک المسألة قد جوّز العفو مراعی بفکّ الرهن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رضی المرتهن بالبیع و أجازه.أمّا إذا أسقط حقّ الرهن، ففی کون الإسقاط کاشفاً أو ناقلاً کلامٌ یأتی فی افتکاک الرهن أو إبراء الدین.</w:t>
      </w:r>
    </w:p>
    <w:p>
      <w:pPr>
        <w:pStyle w:val="Heading6"/>
      </w:pPr>
      <w:bookmarkStart w:id="1025" w:name="_Toc465"/>
      <w:r>
        <w:t>[هل تنفع الإجازة بعد الرد أم لا]</w:t>
      </w:r>
      <w:bookmarkEnd w:id="1025"/>
    </w:p>
    <w:p>
      <w:pPr>
        <w:pStyle w:val="BookText"/>
      </w:pPr>
      <w:r>
        <w:rPr>
          <w:rFonts w:ascii="IRNazanin" w:hAnsi="IRNazanin" w:eastAsia="IRNazanin" w:cs="IRNazanin"/>
          <w:lang w:bidi="fa-IR"/>
          <w:color w:val="111111"/>
          <w:sz w:val="28"/>
          <w:szCs w:val="28"/>
          <w:rtl/>
        </w:rPr>
        <w:t xml:space="preserve">ثمّ إنّه لا إشکال فی أنّه لا ینفع الردّ بعد الإجازة،و هو واضح.</w:t>
      </w:r>
    </w:p>
    <w:p>
      <w:pPr>
        <w:pStyle w:val="BookText"/>
      </w:pPr>
      <w:r>
        <w:rPr>
          <w:rFonts w:ascii="IRNazanin" w:hAnsi="IRNazanin" w:eastAsia="IRNazanin" w:cs="IRNazanin"/>
          <w:lang w:bidi="fa-IR"/>
          <w:color w:val="111111"/>
          <w:sz w:val="28"/>
          <w:szCs w:val="28"/>
          <w:rtl/>
        </w:rPr>
        <w:t xml:space="preserve">و هل ینفع الإجازة بعد الردّ؟وجهان:</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7" w:name="pg14419_167065"/>
    <w:bookmarkEnd w:id="217"/>
    <w:p>
      <w:pPr>
        <w:pStyle w:val="BookText"/>
      </w:pPr>
      <w:r>
        <w:rPr>
          <w:rFonts w:ascii="IRNazanin" w:hAnsi="IRNazanin" w:eastAsia="IRNazanin" w:cs="IRNazanin"/>
          <w:lang w:bidi="fa-IR"/>
          <w:color w:val="111111"/>
          <w:sz w:val="28"/>
          <w:szCs w:val="28"/>
          <w:rtl/>
        </w:rPr>
        <w:t xml:space="preserve">من أنّ الردّ فی معنی عدم رفع الید عن حقّه فله إسقاطه بعد ذلک،و لیس ذلک کردّ بیع الفضولی،لأنّ المجیز هناک فی معنی أحد المتعاقدین،و قد تقرّر أنّ ردّ أحد العاقدین مبطلٌ لإنشاء العاقد الآخر، بخلافه هنا؛فإنّ المرتهن أجنبیٌّ له حقٌّ فی العین.</w:t>
      </w:r>
    </w:p>
    <w:p>
      <w:pPr>
        <w:pStyle w:val="BookText"/>
      </w:pPr>
      <w:r>
        <w:rPr>
          <w:rFonts w:ascii="IRNazanin" w:hAnsi="IRNazanin" w:eastAsia="IRNazanin" w:cs="IRNazanin"/>
          <w:lang w:bidi="fa-IR"/>
          <w:color w:val="111111"/>
          <w:sz w:val="28"/>
          <w:szCs w:val="28"/>
          <w:rtl/>
        </w:rPr>
        <w:t xml:space="preserve">و من أنّ الإیجاب المؤثّر إنّما یتحقّق برضا المالک و المرتهن،فرضا کلٍّ منهما جزءٌ مقوّمٌ للإیجاب المؤثِّر،فکما أنّ ردّ المالک فی الفضولی مبطلٌ للعقد بالتقریب المتقدّم،کذلک ردّ المرتهن؛و هذا هو الأظهر من قواعدهم.</w:t>
      </w:r>
    </w:p>
    <w:p>
      <w:pPr>
        <w:pStyle w:val="Heading6"/>
      </w:pPr>
      <w:bookmarkStart w:id="1026" w:name="_Toc466"/>
      <w:r>
        <w:t>[فک الرهن بعد البیع بمنزلة الإجازة]</w:t>
      </w:r>
      <w:bookmarkEnd w:id="1026"/>
    </w:p>
    <w:p>
      <w:pPr>
        <w:pStyle w:val="BookText"/>
      </w:pPr>
      <w:r>
        <w:rPr>
          <w:rFonts w:ascii="IRNazanin" w:hAnsi="IRNazanin" w:eastAsia="IRNazanin" w:cs="IRNazanin"/>
          <w:lang w:bidi="fa-IR"/>
          <w:color w:val="111111"/>
          <w:sz w:val="28"/>
          <w:szCs w:val="28"/>
          <w:rtl/>
        </w:rPr>
        <w:t xml:space="preserve">ثمّ إنّ الظاهر أنّ فکّ الرهن بعد البیع بمنزلة الإجازة؛لسقوط حقّ المرتهن بذلک،کما صرّح به فی التذکرة </w:t>
      </w:r>
      <w:r>
        <w:rPr>
          <w:rStyle w:val="FootnoteReference"/>
        </w:rPr>
        <w:footnoteReference w:id="1398"/>
      </w:r>
      <w:r>
        <w:rPr>
          <w:rFonts w:ascii="IRNazanin" w:hAnsi="IRNazanin" w:eastAsia="IRNazanin" w:cs="IRNazanin"/>
          <w:lang w:bidi="fa-IR"/>
          <w:color w:val="111111"/>
          <w:sz w:val="28"/>
          <w:szCs w:val="28"/>
          <w:rtl/>
        </w:rPr>
        <w:t xml:space="preserve">.و حکی عن فخر الإسلام </w:t>
      </w:r>
      <w:r>
        <w:rPr>
          <w:rStyle w:val="FootnoteReference"/>
        </w:rPr>
        <w:footnoteReference w:id="1399"/>
      </w:r>
      <w:r>
        <w:rPr>
          <w:rFonts w:ascii="IRNazanin" w:hAnsi="IRNazanin" w:eastAsia="IRNazanin" w:cs="IRNazanin"/>
          <w:lang w:bidi="fa-IR"/>
          <w:color w:val="111111"/>
          <w:sz w:val="28"/>
          <w:szCs w:val="28"/>
          <w:rtl/>
        </w:rPr>
        <w:t xml:space="preserve">و الشهید فی الحواشی </w:t>
      </w:r>
      <w:r>
        <w:rPr>
          <w:rStyle w:val="FootnoteReference"/>
        </w:rPr>
        <w:footnoteReference w:id="1400"/>
      </w:r>
      <w:r>
        <w:rPr>
          <w:rFonts w:ascii="IRNazanin" w:hAnsi="IRNazanin" w:eastAsia="IRNazanin" w:cs="IRNazanin"/>
          <w:lang w:bidi="fa-IR"/>
          <w:color w:val="111111"/>
          <w:sz w:val="28"/>
          <w:szCs w:val="28"/>
          <w:rtl/>
        </w:rPr>
        <w:t xml:space="preserve">،و هو الظاهر من المحقّق و الشهید الثانیین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عدم لزوم العقد بالفکّ کما احتمله فی القواعد </w:t>
      </w:r>
      <w:r>
        <w:rPr>
          <w:rStyle w:val="FootnoteReference"/>
        </w:rPr>
        <w:footnoteReference w:id="1402"/>
      </w:r>
      <w:r>
        <w:rPr>
          <w:rFonts w:ascii="IRNazanin" w:hAnsi="IRNazanin" w:eastAsia="IRNazanin" w:cs="IRNazanin"/>
          <w:lang w:bidi="fa-IR"/>
          <w:color w:val="111111"/>
          <w:sz w:val="28"/>
          <w:szCs w:val="28"/>
          <w:rtl/>
        </w:rPr>
        <w:t xml:space="preserve">بل بمطلق </w:t>
      </w:r>
      <w:r>
        <w:rPr>
          <w:rStyle w:val="FootnoteReference"/>
        </w:rPr>
        <w:footnoteReference w:id="1403"/>
      </w:r>
      <w:r>
        <w:rPr>
          <w:rFonts w:ascii="IRNazanin" w:hAnsi="IRNazanin" w:eastAsia="IRNazanin" w:cs="IRNazanin"/>
          <w:lang w:bidi="fa-IR"/>
          <w:color w:val="111111"/>
          <w:sz w:val="28"/>
          <w:szCs w:val="28"/>
          <w:rtl/>
        </w:rPr>
        <w:t xml:space="preserve">السقوط الحاصل بالإسقاط أو الإبراء أو بغیرهما؛نظراً إلی أنّ</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8" w:name="pg14419_167066"/>
    <w:bookmarkEnd w:id="218"/>
    <w:p>
      <w:pPr>
        <w:pStyle w:val="BookText"/>
      </w:pPr>
      <w:r>
        <w:rPr>
          <w:rFonts w:ascii="IRNazanin" w:hAnsi="IRNazanin" w:eastAsia="IRNazanin" w:cs="IRNazanin"/>
          <w:lang w:bidi="fa-IR"/>
          <w:color w:val="111111"/>
          <w:sz w:val="28"/>
          <w:szCs w:val="28"/>
          <w:rtl/>
        </w:rPr>
        <w:t xml:space="preserve">الراهن تصرّف فیما فیه حقّ المرتهن،و سقوطه بعد ذلک لا یؤثّر فی تصحیحه.</w:t>
      </w:r>
    </w:p>
    <w:p>
      <w:pPr>
        <w:pStyle w:val="Heading6"/>
      </w:pPr>
      <w:bookmarkStart w:id="1027" w:name="_Toc467"/>
      <w:r>
        <w:t>و الفرق بین الإجازة و الفکّ:</w:t>
      </w:r>
      <w:bookmarkEnd w:id="1027"/>
    </w:p>
    <w:p>
      <w:pPr>
        <w:pStyle w:val="BookText"/>
      </w:pPr>
      <w:r>
        <w:rPr>
          <w:rFonts w:ascii="Amiri" w:hAnsi="Amiri" w:eastAsia="Amiri" w:cs="Amiri"/>
          <w:lang w:bidi="ar-SA"/>
          <w:color w:val="111111"/>
          <w:sz w:val="28"/>
          <w:szCs w:val="28"/>
          <w:rtl/>
        </w:rPr>
        <w:t xml:space="preserve">أنّ مقتضی ثبوت الحقّ له </w:t>
      </w:r>
      <w:r>
        <w:rPr>
          <w:rStyle w:val="FootnoteReference"/>
        </w:rPr>
        <w:footnoteReference w:id="1404"/>
      </w:r>
      <w:r>
        <w:rPr>
          <w:rFonts w:ascii="IRNazanin" w:hAnsi="IRNazanin" w:eastAsia="IRNazanin" w:cs="IRNazanin"/>
          <w:lang w:bidi="fa-IR"/>
          <w:color w:val="111111"/>
          <w:sz w:val="28"/>
          <w:szCs w:val="28"/>
          <w:rtl/>
        </w:rPr>
        <w:t xml:space="preserve">هو صحّة إمضائه للبیع الواقع فی زمان حقّه،و إن لزم من الإجازة سقوط حقّه،فیسقط حقّه بلزوم البیع.و بالجملة،فالإجازة تصرّف من المرتهن فی الرهن حال وجود حقّه أعنی حال العقد بما یوجب سقوط حقّه، نظیر إجازة المالک.بخلاف الإسقاط أو السقوط بالإبراء أو الأداء؛فإنّه لیس فیه دلالة علی مضیّ العقد حال وقوعه،فهو أشبه شیءٍ ببیع الفضولی أو الغاصب لنفسهما ثمّ تملّکهما،و قد تقدّم الإشکال فیه عن جماعة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مضافاً إلی استصحاب عدم اللزوم الحاکم علی عموم أَوْفُوا بِالْعُقُودِ </w:t>
      </w:r>
      <w:r>
        <w:rPr>
          <w:rStyle w:val="FootnoteReference"/>
        </w:rPr>
        <w:footnoteReference w:id="1406"/>
      </w:r>
      <w:r>
        <w:rPr>
          <w:rFonts w:ascii="IRNazanin" w:hAnsi="IRNazanin" w:eastAsia="IRNazanin" w:cs="IRNazanin"/>
          <w:lang w:bidi="fa-IR"/>
          <w:color w:val="111111"/>
          <w:sz w:val="28"/>
          <w:szCs w:val="28"/>
          <w:rtl/>
        </w:rPr>
        <w:t xml:space="preserve">بناءً علی أنّ هذا العقد غیر لازم قبل السقوط فیستصحب حکم الخاصّ.و لیس ذلک محلّ التمسّک بالعامّ؛إذ لیس فی اللفظ عموم زمانی حتّی یقال:إنّ المتیقّن خروجه هو العقد قبل السقوط،فیبقی ما بعد السقوط داخلاً فی العامّ.</w:t>
      </w:r>
    </w:p>
    <w:p>
      <w:pPr>
        <w:pStyle w:val="BookText"/>
      </w:pPr>
      <w:r>
        <w:rPr>
          <w:rFonts w:ascii="IRNazanin" w:hAnsi="IRNazanin" w:eastAsia="IRNazanin" w:cs="IRNazanin"/>
          <w:lang w:bidi="fa-IR"/>
          <w:color w:val="111111"/>
          <w:sz w:val="28"/>
          <w:szCs w:val="28"/>
          <w:rtl/>
        </w:rPr>
        <w:t xml:space="preserve">و یؤیّد ما ذکرناه بل یدلّ علیه-:ما یظهر من بعض الروایات من عدم صحّة نکاح العبد بدون إذن سیّده بمجرّد عتقه ما لم یتحقّق الإجازة و لو بالرضا المستکشف من سکوت السیّد مع علمه بالنکاح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9" w:name="pg14419_167067"/>
    <w:bookmarkEnd w:id="219"/>
    <w:p>
      <w:pPr>
        <w:pStyle w:val="BookText"/>
      </w:pPr>
      <w:r>
        <w:rPr>
          <w:rFonts w:ascii="IRNazanin" w:hAnsi="IRNazanin" w:eastAsia="IRNazanin" w:cs="IRNazanin"/>
          <w:lang w:bidi="fa-IR"/>
          <w:color w:val="111111"/>
          <w:sz w:val="28"/>
          <w:szCs w:val="28"/>
          <w:rtl/>
        </w:rPr>
        <w:t xml:space="preserve">هذا،و لکنّ الإنصاف ضعف الاحتمال المذکور،من جهة أنّ عدم تأثیر بیع المالک فی زمان الرهن لیس إلّا لمزاحمة حقّ المرتهن المتقدّم علی حقّ المالک بتسلیط المالک،فعدم الأثر لیس لقصورٍ فی المقتضی، و إنّما هو من جهة المانع،فإذا زال أثّر المقتضی.</w:t>
      </w:r>
    </w:p>
    <w:p>
      <w:pPr>
        <w:pStyle w:val="BookText"/>
      </w:pPr>
      <w:r>
        <w:rPr>
          <w:rFonts w:ascii="Amiri" w:hAnsi="Amiri" w:eastAsia="Amiri" w:cs="Amiri"/>
          <w:lang w:bidi="ar-SA"/>
          <w:color w:val="111111"/>
          <w:sz w:val="28"/>
          <w:szCs w:val="28"/>
          <w:rtl/>
        </w:rPr>
        <w:t xml:space="preserve">و مرجع ما ذکرنا إلی أنّ أدلّة سببیّة البیع المستفادة من نحو أَوْفُوا بِالْعُقُودِ و«الناس مسلّطون علی أموالهم» </w:t>
      </w:r>
      <w:r>
        <w:rPr>
          <w:rStyle w:val="FootnoteReference"/>
        </w:rPr>
        <w:footnoteReference w:id="1408"/>
      </w:r>
      <w:r>
        <w:rPr>
          <w:rFonts w:ascii="IRNazanin" w:hAnsi="IRNazanin" w:eastAsia="IRNazanin" w:cs="IRNazanin"/>
          <w:lang w:bidi="fa-IR"/>
          <w:color w:val="111111"/>
          <w:sz w:val="28"/>
          <w:szCs w:val="28"/>
          <w:rtl/>
        </w:rPr>
        <w:t xml:space="preserve">و نحو ذلک،عامّة، و خروج زمان الرهن یعلم أنّه من جهة مزاحمة حقّ المرتهن الذی هو أسبق،فإذا زال المزاحم وجب تأثیر السبب.و لا مجال لاستصحاب عدم تأثیر البیع؛للعلم بمناط المستصحب و ارتفاعه،فالمقام من باب وجوب العمل بالعامّ،لا من مقام استصحاب حکم الخاصّ، فافهم.</w:t>
      </w:r>
    </w:p>
    <w:p>
      <w:pPr>
        <w:pStyle w:val="BookText"/>
      </w:pPr>
      <w:r>
        <w:rPr>
          <w:rFonts w:ascii="IRNazanin" w:hAnsi="IRNazanin" w:eastAsia="IRNazanin" w:cs="IRNazanin"/>
          <w:lang w:bidi="fa-IR"/>
          <w:color w:val="111111"/>
          <w:sz w:val="28"/>
          <w:szCs w:val="28"/>
          <w:rtl/>
        </w:rPr>
        <w:t xml:space="preserve">و أمّا قیاس ما نحن فیه علی نکاح العبد بدون إذن سیّده،فهو قیاسٌ مع الفارق؛لأنّ المانع عن سببیّة نکاح العبد بدون إذن سیّده قصور تصرّفاته عن الاستقلال فی التأثیر،لا مزاحمة حقّ السیّد لمقتضی النکاح؛إذ لا منافاة بین کونه عبداً و کونه زوجاً؛و لأجل ما ذکرنا لو تصرّف العبد لغیر السیّد ببیعٍ أو غیره،ثمّ انعتق العبد لم ینفع فی تصحیح ذلک التصرّف.</w:t>
      </w:r>
    </w:p>
    <w:p>
      <w:pPr>
        <w:pStyle w:val="Heading6"/>
      </w:pPr>
      <w:bookmarkStart w:id="1028" w:name="_Toc468"/>
      <w:r>
        <w:t>[هل سقوط حق الرهانة کاشف أو ناقل]</w:t>
      </w:r>
      <w:bookmarkEnd w:id="1028"/>
    </w:p>
    <w:p>
      <w:pPr>
        <w:pStyle w:val="BookText"/>
      </w:pPr>
      <w:r>
        <w:rPr>
          <w:rFonts w:ascii="IRNazanin" w:hAnsi="IRNazanin" w:eastAsia="IRNazanin" w:cs="IRNazanin"/>
          <w:lang w:bidi="fa-IR"/>
          <w:color w:val="111111"/>
          <w:sz w:val="28"/>
          <w:szCs w:val="28"/>
          <w:rtl/>
        </w:rPr>
        <w:t xml:space="preserve">هذا،و لکن مقتضی ما ذکرنا:کون سقوط حقّ الرهانة بالفکّ أو الإسقاط أو الإبراء أو غیر ذلک ناقلاً و مؤثّراً من حینه،لا کاشفاً عن تأثیر العقد من حین وقوعه،خصوصاً بناءً علی الاستدلال علی الکشف</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0" w:name="pg14419_167068"/>
    <w:bookmarkEnd w:id="220"/>
    <w:p>
      <w:pPr>
        <w:pStyle w:val="BookText"/>
      </w:pPr>
      <w:r>
        <w:rPr>
          <w:rFonts w:ascii="IRNazanin" w:hAnsi="IRNazanin" w:eastAsia="IRNazanin" w:cs="IRNazanin"/>
          <w:lang w:bidi="fa-IR"/>
          <w:color w:val="111111"/>
          <w:sz w:val="28"/>
          <w:szCs w:val="28"/>
          <w:rtl/>
        </w:rPr>
        <w:t xml:space="preserve">بما ذکره جماعة ممّن قارب عصرنا </w:t>
      </w:r>
      <w:r>
        <w:rPr>
          <w:rStyle w:val="FootnoteReference"/>
        </w:rPr>
        <w:footnoteReference w:id="1409"/>
      </w:r>
      <w:r>
        <w:rPr>
          <w:rFonts w:ascii="IRNazanin" w:hAnsi="IRNazanin" w:eastAsia="IRNazanin" w:cs="IRNazanin"/>
          <w:lang w:bidi="fa-IR"/>
          <w:color w:val="111111"/>
          <w:sz w:val="28"/>
          <w:szCs w:val="28"/>
          <w:rtl/>
        </w:rPr>
        <w:t xml:space="preserve">:من أنّ مقتضی مفهوم </w:t>
      </w:r>
      <w:r>
        <w:rPr>
          <w:rStyle w:val="FootnoteReference"/>
        </w:rPr>
        <w:footnoteReference w:id="1410"/>
      </w:r>
      <w:r>
        <w:rPr>
          <w:rFonts w:ascii="IRNazanin" w:hAnsi="IRNazanin" w:eastAsia="IRNazanin" w:cs="IRNazanin"/>
          <w:lang w:bidi="fa-IR"/>
          <w:color w:val="111111"/>
          <w:sz w:val="28"/>
          <w:szCs w:val="28"/>
          <w:rtl/>
        </w:rPr>
        <w:t xml:space="preserve">الإجازة إمضاء العقد من حینه،فإنّ هذا غیر متحقّق فی افتکاک الرهن،فهو نظیر بیع الفضولی ثمّ تملّکه للمبیع،حیث إنّه لا یسع القائل بصحّته إلّا التزام تأثیر العقد من حین انتقاله عن ملک المالک الأوّل لا من حین العقد،و إلّا لزم فی المقام کون ملک الغیر رهناً لغیر مالکه کما کان </w:t>
      </w:r>
      <w:r>
        <w:rPr>
          <w:rStyle w:val="FootnoteReference"/>
        </w:rPr>
        <w:footnoteReference w:id="1411"/>
      </w:r>
      <w:r>
        <w:rPr>
          <w:rFonts w:ascii="IRNazanin" w:hAnsi="IRNazanin" w:eastAsia="IRNazanin" w:cs="IRNazanin"/>
          <w:lang w:bidi="fa-IR"/>
          <w:color w:val="111111"/>
          <w:sz w:val="28"/>
          <w:szCs w:val="28"/>
          <w:rtl/>
        </w:rPr>
        <w:t xml:space="preserve">یلزم فی تلک المسألة کون المبیع لمالکین فی زمان واحد لو قلنا بکشف الإجازة للتأثیر من حین العقد.</w:t>
      </w:r>
    </w:p>
    <w:p>
      <w:pPr>
        <w:pStyle w:val="Heading6"/>
      </w:pPr>
      <w:bookmarkStart w:id="1029" w:name="_Toc469"/>
      <w:r>
        <w:t>[ظاهر کل من قال بلزوم العقد هو الکشف]</w:t>
      </w:r>
      <w:bookmarkEnd w:id="1029"/>
    </w:p>
    <w:p>
      <w:pPr>
        <w:pStyle w:val="BookText"/>
      </w:pPr>
      <w:r>
        <w:rPr>
          <w:rFonts w:ascii="IRNazanin" w:hAnsi="IRNazanin" w:eastAsia="IRNazanin" w:cs="IRNazanin"/>
          <w:lang w:bidi="fa-IR"/>
          <w:color w:val="111111"/>
          <w:sz w:val="28"/>
          <w:szCs w:val="28"/>
          <w:rtl/>
        </w:rPr>
        <w:t xml:space="preserve">هذا،و لکن ظاهر کلّ من قال بلزوم العقد هو القول بالکشف.</w:t>
      </w:r>
    </w:p>
    <w:p>
      <w:pPr>
        <w:pStyle w:val="BookText"/>
      </w:pPr>
      <w:r>
        <w:rPr>
          <w:rFonts w:ascii="IRNazanin" w:hAnsi="IRNazanin" w:eastAsia="IRNazanin" w:cs="IRNazanin"/>
          <w:lang w:bidi="fa-IR"/>
          <w:color w:val="111111"/>
          <w:sz w:val="28"/>
          <w:szCs w:val="28"/>
          <w:rtl/>
        </w:rPr>
        <w:t xml:space="preserve">و قد تقدّم عن القواعد فی مسألة عفو الراهن عن الجانی علی المرهون-:أنّ الفکّ یکشف عن صحّته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الکشف أیضاً ما استدلّوا به علی الکشف فی الفضولی:</w:t>
      </w:r>
    </w:p>
    <w:p>
      <w:pPr>
        <w:pStyle w:val="BookText"/>
      </w:pPr>
      <w:r>
        <w:rPr>
          <w:rFonts w:ascii="IRNazanin" w:hAnsi="IRNazanin" w:eastAsia="IRNazanin" w:cs="IRNazanin"/>
          <w:lang w:bidi="fa-IR"/>
          <w:color w:val="111111"/>
          <w:sz w:val="28"/>
          <w:szCs w:val="28"/>
          <w:rtl/>
        </w:rPr>
        <w:t xml:space="preserve">من أنّ العقد سببٌ تامّ..إلی آخر ما ذکره فی الروضة </w:t>
      </w:r>
      <w:r>
        <w:rPr>
          <w:rStyle w:val="FootnoteReference"/>
        </w:rPr>
        <w:footnoteReference w:id="1413"/>
      </w:r>
      <w:r>
        <w:rPr>
          <w:rFonts w:ascii="IRNazanin" w:hAnsi="IRNazanin" w:eastAsia="IRNazanin" w:cs="IRNazanin"/>
          <w:lang w:bidi="fa-IR"/>
          <w:color w:val="111111"/>
          <w:sz w:val="28"/>
          <w:szCs w:val="28"/>
          <w:rtl/>
        </w:rPr>
        <w:t xml:space="preserve">و جامع المقاصد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لازم الکشف کما عرفت فی مسألة الفضولی </w:t>
      </w:r>
      <w:r>
        <w:rPr>
          <w:rStyle w:val="FootnoteReference"/>
        </w:rPr>
        <w:footnoteReference w:id="1415"/>
      </w:r>
      <w:r>
        <w:rPr>
          <w:rFonts w:ascii="IRNazanin" w:hAnsi="IRNazanin" w:eastAsia="IRNazanin" w:cs="IRNazanin"/>
          <w:lang w:bidi="fa-IR"/>
          <w:color w:val="111111"/>
          <w:sz w:val="28"/>
          <w:szCs w:val="28"/>
          <w:rtl/>
        </w:rPr>
        <w:t xml:space="preserve">لزوم العقد</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إجازة المرتهن من طرف الراهن کالمشتری الأصیل </w:t>
      </w:r>
      <w:r>
        <w:rPr>
          <w:rStyle w:val="FootnoteReference"/>
        </w:rPr>
        <w:footnoteReference w:id="1416"/>
      </w:r>
      <w:r>
        <w:rPr>
          <w:rFonts w:ascii="IRNazanin" w:hAnsi="IRNazanin" w:eastAsia="IRNazanin" w:cs="IRNazanin"/>
          <w:lang w:bidi="fa-IR"/>
          <w:color w:val="111111"/>
          <w:sz w:val="28"/>
          <w:szCs w:val="28"/>
          <w:rtl/>
        </w:rPr>
        <w:t xml:space="preserve">فلا یجوز له فسخه،بل و لا إبطاله بالإذن للمرتهن فی البیع.</w:t>
      </w:r>
    </w:p>
    <w:p>
      <w:pPr>
        <w:pStyle w:val="BookText"/>
      </w:pPr>
      <w:r>
        <w:rPr>
          <w:rFonts w:ascii="IRNazanin" w:hAnsi="IRNazanin" w:eastAsia="IRNazanin" w:cs="IRNazanin"/>
          <w:lang w:bidi="fa-IR"/>
          <w:color w:val="111111"/>
          <w:sz w:val="28"/>
          <w:szCs w:val="28"/>
          <w:rtl/>
        </w:rPr>
        <w:t xml:space="preserve">نعم،یمکن أن یقال بوجوب فکّه من مالٍ آخر،إذ لا یتمّ الوفاء بالعقد الثانی إلّا بذلک،فالوفاء بمقتضی الرهن غیر منافٍ للوفاء بالبیع.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و یمکن أن یقال:إنّه إنّما </w:t>
      </w:r>
      <w:r>
        <w:rPr>
          <w:rStyle w:val="FootnoteReference"/>
        </w:rPr>
        <w:footnoteReference w:id="1417"/>
      </w:r>
      <w:r>
        <w:rPr>
          <w:rFonts w:ascii="IRNazanin" w:hAnsi="IRNazanin" w:eastAsia="IRNazanin" w:cs="IRNazanin"/>
          <w:lang w:bidi="fa-IR"/>
          <w:color w:val="111111"/>
          <w:sz w:val="28"/>
          <w:szCs w:val="28"/>
          <w:rtl/>
        </w:rPr>
        <w:t xml:space="preserve">یلزم الوفاء بالبیع،بمعنی عدم جواز نقضه،و أمّا دفع حقوق الغیر و سلطنته فلا یجب؛و لذا لا یجب علی من باع مال الغیر لنفسه أن یشتریه من مالکه و یدفعه إلیه،بناءً علی لزوم العقد بذلک.</w:t>
      </w:r>
    </w:p>
    <w:p>
      <w:pPr>
        <w:pStyle w:val="BookText"/>
      </w:pPr>
      <w:r>
        <w:rPr>
          <w:rFonts w:ascii="IRNazanin" w:hAnsi="IRNazanin" w:eastAsia="IRNazanin" w:cs="IRNazanin"/>
          <w:lang w:bidi="fa-IR"/>
          <w:color w:val="111111"/>
          <w:sz w:val="28"/>
          <w:szCs w:val="28"/>
          <w:rtl/>
        </w:rPr>
        <w:t xml:space="preserve">و کیف کان،فلو امتنع،فهل یباع علیه؛لحقّ المرتهن؛لاقتضاء الرهن ذلک و إن لزم من ذلک إبطال بیع الراهن؛لتقدّم حقّ المرتهن؟أو یجبر الحاکمُ الراهنَ علی فکّه من مالٍ آخر؛جمعاً بین حقّی المشتری و المرتهن اللازمین علی الراهن البائع؟وجهان.و مع انحصار المال فی المبیع فلا إشکال فی تقدیم حقّ المرتهن.</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1" w:name="pg14419_167070"/>
    <w:bookmarkEnd w:id="221"/>
    <w:p>
      <w:pPr>
        <w:pStyle w:val="Heading6"/>
      </w:pPr>
      <w:bookmarkStart w:id="1030" w:name="_Toc470"/>
      <w:r>
        <w:t>مسألة : إذا جنی العبد عمداً بما یوجب قتله أو استرقاق کلِّه أو بعضه</w:t>
      </w:r>
      <w:bookmarkEnd w:id="1030"/>
    </w:p>
    <w:p>
      <w:pPr>
        <w:pStyle w:val="BookText"/>
      </w:pPr>
      <w:r>
        <w:rPr>
          <w:rFonts w:ascii="Amiri" w:hAnsi="Amiri" w:eastAsia="Amiri" w:cs="Amiri"/>
          <w:lang w:bidi="ar-SA"/>
          <w:color w:val="111111"/>
          <w:sz w:val="28"/>
          <w:szCs w:val="28"/>
          <w:rtl/>
        </w:rPr>
        <w:t xml:space="preserve">فالأقوی صحّة بیعه،وفاقاً للمحکیّ عن العلّامة </w:t>
      </w:r>
      <w:r>
        <w:rPr>
          <w:rStyle w:val="FootnoteReference"/>
        </w:rPr>
        <w:footnoteReference w:id="1418"/>
      </w:r>
      <w:r>
        <w:rPr>
          <w:rFonts w:ascii="IRNazanin" w:hAnsi="IRNazanin" w:eastAsia="IRNazanin" w:cs="IRNazanin"/>
          <w:lang w:bidi="fa-IR"/>
          <w:color w:val="111111"/>
          <w:sz w:val="28"/>
          <w:szCs w:val="28"/>
          <w:rtl/>
        </w:rPr>
        <w:t xml:space="preserve">و الشهید </w:t>
      </w:r>
      <w:r>
        <w:rPr>
          <w:rStyle w:val="FootnoteReference"/>
        </w:rPr>
        <w:footnoteReference w:id="1419"/>
      </w:r>
      <w:r>
        <w:rPr>
          <w:rFonts w:ascii="IRNazanin" w:hAnsi="IRNazanin" w:eastAsia="IRNazanin" w:cs="IRNazanin"/>
          <w:lang w:bidi="fa-IR"/>
          <w:color w:val="111111"/>
          <w:sz w:val="28"/>
          <w:szCs w:val="28"/>
          <w:rtl/>
        </w:rPr>
        <w:t xml:space="preserve">و المحقّق الثانی </w:t>
      </w:r>
      <w:r>
        <w:rPr>
          <w:rStyle w:val="FootnoteReference"/>
        </w:rPr>
        <w:footnoteReference w:id="1420"/>
      </w:r>
      <w:r>
        <w:rPr>
          <w:rFonts w:ascii="IRNazanin" w:hAnsi="IRNazanin" w:eastAsia="IRNazanin" w:cs="IRNazanin"/>
          <w:lang w:bidi="fa-IR"/>
          <w:color w:val="111111"/>
          <w:sz w:val="28"/>
          <w:szCs w:val="28"/>
          <w:rtl/>
        </w:rPr>
        <w:t xml:space="preserve">و غیرهم </w:t>
      </w:r>
      <w:r>
        <w:rPr>
          <w:rStyle w:val="FootnoteReference"/>
        </w:rPr>
        <w:footnoteReference w:id="1421"/>
      </w:r>
      <w:r>
        <w:rPr>
          <w:rFonts w:ascii="IRNazanin" w:hAnsi="IRNazanin" w:eastAsia="IRNazanin" w:cs="IRNazanin"/>
          <w:lang w:bidi="fa-IR"/>
          <w:color w:val="111111"/>
          <w:sz w:val="28"/>
          <w:szCs w:val="28"/>
          <w:rtl/>
        </w:rPr>
        <w:t xml:space="preserve">،بل فی شرح الصیمری:أنّه المشهور </w:t>
      </w:r>
      <w:r>
        <w:rPr>
          <w:rStyle w:val="FootnoteReference"/>
        </w:rPr>
        <w:footnoteReference w:id="1422"/>
      </w:r>
      <w:r>
        <w:rPr>
          <w:rFonts w:ascii="IRNazanin" w:hAnsi="IRNazanin" w:eastAsia="IRNazanin" w:cs="IRNazanin"/>
          <w:lang w:bidi="fa-IR"/>
          <w:color w:val="111111"/>
          <w:sz w:val="28"/>
          <w:szCs w:val="28"/>
          <w:rtl/>
        </w:rPr>
        <w:t xml:space="preserve">لأنّه لم یخرج باستحقاقه للقتل أو الاسترقاق عن ملک مولاه،علی ما هو المعروف عمّن عدا الشیخ </w:t>
      </w:r>
      <w:r>
        <w:rPr>
          <w:rStyle w:val="FootnoteReference"/>
        </w:rPr>
        <w:footnoteReference w:id="1423"/>
      </w:r>
      <w:r>
        <w:rPr>
          <w:rFonts w:ascii="IRNazanin" w:hAnsi="IRNazanin" w:eastAsia="IRNazanin" w:cs="IRNazanin"/>
          <w:lang w:bidi="fa-IR"/>
          <w:color w:val="111111"/>
          <w:sz w:val="28"/>
          <w:szCs w:val="28"/>
          <w:rtl/>
        </w:rPr>
        <w:t xml:space="preserve">فی الخلاف کما سیجیء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تعلّق حقّ المجنیّ علیه به لا یوجب خروج الملک عن قابلیّة</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الانتفاع به.و مجرّد إمکان مطالبة أولیاء المجنیّ علیه له فی کلّ وقتٍ بالاسترقاق أو القتل لا یسقط اعتبار مالیّته.</w:t>
      </w:r>
    </w:p>
    <w:p>
      <w:pPr>
        <w:pStyle w:val="BookText"/>
      </w:pPr>
      <w:r>
        <w:rPr>
          <w:rFonts w:ascii="IRNazanin" w:hAnsi="IRNazanin" w:eastAsia="IRNazanin" w:cs="IRNazanin"/>
          <w:lang w:bidi="fa-IR"/>
          <w:color w:val="111111"/>
          <w:sz w:val="28"/>
          <w:szCs w:val="28"/>
          <w:rtl/>
        </w:rPr>
        <w:t xml:space="preserve">و علی تقدیر تسلیمه،فلا ینقص ذلک عن بیع مال الغیر،فیکون موقوفاً علی افتکاکه عن القتل و الاسترقاق،فإن افتکّ لزم،و إلّا بطل البیع من أصله.</w:t>
      </w:r>
    </w:p>
    <w:p>
      <w:pPr>
        <w:pStyle w:val="BookText"/>
      </w:pPr>
      <w:r>
        <w:rPr>
          <w:rFonts w:ascii="IRNazanin" w:hAnsi="IRNazanin" w:eastAsia="IRNazanin" w:cs="IRNazanin"/>
          <w:lang w:bidi="fa-IR"/>
          <w:color w:val="111111"/>
          <w:sz w:val="28"/>
          <w:szCs w:val="28"/>
          <w:rtl/>
        </w:rPr>
        <w:t xml:space="preserve">و یحتمل أن یکون البیع غیر متزلزل،فیکون تلفه من المشتری فی غیر زمن الخیار؛لوقوعه فی ملکه،غایة الأمر أنّ کون المبیع عرضة لذلک عیب </w:t>
      </w:r>
      <w:r>
        <w:rPr>
          <w:rStyle w:val="FootnoteReference"/>
        </w:rPr>
        <w:footnoteReference w:id="1425"/>
      </w:r>
      <w:r>
        <w:rPr>
          <w:rFonts w:ascii="IRNazanin" w:hAnsi="IRNazanin" w:eastAsia="IRNazanin" w:cs="IRNazanin"/>
          <w:lang w:bidi="fa-IR"/>
          <w:color w:val="111111"/>
          <w:sz w:val="28"/>
          <w:szCs w:val="28"/>
          <w:rtl/>
        </w:rPr>
        <w:t xml:space="preserve">یوجب الخیار مع الجهل،کالمبیع </w:t>
      </w:r>
      <w:r>
        <w:rPr>
          <w:rStyle w:val="FootnoteReference"/>
        </w:rPr>
        <w:footnoteReference w:id="1426"/>
      </w:r>
      <w:r>
        <w:rPr>
          <w:rFonts w:ascii="IRNazanin" w:hAnsi="IRNazanin" w:eastAsia="IRNazanin" w:cs="IRNazanin"/>
          <w:lang w:bidi="fa-IR"/>
          <w:color w:val="111111"/>
          <w:sz w:val="28"/>
          <w:szCs w:val="28"/>
          <w:rtl/>
        </w:rPr>
        <w:t xml:space="preserve">الأرمد إذا عمی، و المریض إذا مات بمرضه.</w:t>
      </w:r>
    </w:p>
    <w:p>
      <w:pPr>
        <w:pStyle w:val="BookText"/>
      </w:pPr>
      <w:r>
        <w:rPr>
          <w:rFonts w:ascii="IRNazanin" w:hAnsi="IRNazanin" w:eastAsia="IRNazanin" w:cs="IRNazanin"/>
          <w:lang w:bidi="fa-IR"/>
          <w:color w:val="111111"/>
          <w:sz w:val="28"/>
          <w:szCs w:val="28"/>
          <w:rtl/>
        </w:rPr>
        <w:t xml:space="preserve">و یردّه:أنّ المبیع إذا کان متعلّقاً لحقّ الغیر فلا یقبل أن یقع لازماً؛لأدائه إلی سقوط حقّ الغیر،فلا بدّ إمّا أن یبطل و إمّا أن یقع مراعیً،و قد عرفت أنّ مقتضی عدم استقلال البائع فی ماله و مدخلیّة الغیر فیه:وقوع بیعه مراعیً،لا باطلاً.</w:t>
      </w:r>
    </w:p>
    <w:p>
      <w:pPr>
        <w:pStyle w:val="BookText"/>
      </w:pPr>
      <w:r>
        <w:rPr>
          <w:rFonts w:ascii="IRNazanin" w:hAnsi="IRNazanin" w:eastAsia="IRNazanin" w:cs="IRNazanin"/>
          <w:lang w:bidi="fa-IR"/>
          <w:color w:val="111111"/>
          <w:sz w:val="28"/>
          <w:szCs w:val="28"/>
          <w:rtl/>
        </w:rPr>
        <w:t xml:space="preserve">و بذلک یظهر الفرق بین ما نحن فیه و بین بیع المریض الذی یخاف علیه من الموت،و الأرمد الذی یخاف علیه من العمی الموجب للانعتاق؛ فإنّ الخوف فی المثالین لا یوجب نقصاناً فی سلطنة المالک مانعاً عن </w:t>
      </w:r>
      <w:r>
        <w:rPr>
          <w:rStyle w:val="FootnoteReference"/>
        </w:rPr>
        <w:footnoteReference w:id="1427"/>
      </w:r>
      <w:r>
        <w:rPr>
          <w:rFonts w:ascii="Amiri" w:hAnsi="Amiri" w:eastAsia="Amiri" w:cs="Amiri"/>
          <w:lang w:bidi="ar-SA"/>
          <w:color w:val="111111"/>
          <w:sz w:val="28"/>
          <w:szCs w:val="28"/>
          <w:rtl/>
        </w:rPr>
        <w:t xml:space="preserve">نفوذ تملیکه منجّزاً،بخلاف تعلّق حقّ الغیر.اللهمّ إلّا أن یقال </w:t>
      </w:r>
      <w:r>
        <w:rPr>
          <w:rStyle w:val="FootnoteReference"/>
        </w:rPr>
        <w:footnoteReference w:id="1428"/>
      </w: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حقّ المجنیّ علیه لا یمنع من نفوذ تملیکه منجّزاً؛لأنّ للبائع سلطنة مطلقة علیه </w:t>
      </w:r>
      <w:r>
        <w:rPr>
          <w:rStyle w:val="FootnoteReference"/>
        </w:rPr>
        <w:footnoteReference w:id="1429"/>
      </w:r>
      <w:r>
        <w:rPr>
          <w:rFonts w:ascii="IRNazanin" w:hAnsi="IRNazanin" w:eastAsia="IRNazanin" w:cs="IRNazanin"/>
          <w:lang w:bidi="fa-IR"/>
          <w:color w:val="111111"/>
          <w:sz w:val="28"/>
          <w:szCs w:val="28"/>
          <w:rtl/>
        </w:rPr>
        <w:t xml:space="preserve">،و کذا للمشتری؛و لذا یجوز </w:t>
      </w:r>
      <w:r>
        <w:rPr>
          <w:rStyle w:val="FootnoteReference"/>
        </w:rPr>
        <w:footnoteReference w:id="1430"/>
      </w:r>
      <w:r>
        <w:rPr>
          <w:rFonts w:ascii="IRNazanin" w:hAnsi="IRNazanin" w:eastAsia="IRNazanin" w:cs="IRNazanin"/>
          <w:lang w:bidi="fa-IR"/>
          <w:color w:val="111111"/>
          <w:sz w:val="28"/>
          <w:szCs w:val="28"/>
          <w:rtl/>
        </w:rPr>
        <w:t xml:space="preserve">التصرّف لهما فیه </w:t>
      </w:r>
      <w:r>
        <w:rPr>
          <w:rStyle w:val="FootnoteReference"/>
        </w:rPr>
        <w:footnoteReference w:id="1431"/>
      </w:r>
      <w:r>
        <w:rPr>
          <w:rFonts w:ascii="IRNazanin" w:hAnsi="IRNazanin" w:eastAsia="IRNazanin" w:cs="IRNazanin"/>
          <w:lang w:bidi="fa-IR"/>
          <w:color w:val="111111"/>
          <w:sz w:val="28"/>
          <w:szCs w:val="28"/>
          <w:rtl/>
        </w:rPr>
        <w:t xml:space="preserve">من دون مراجعة ذی الحقّ،غایة الأمر أنّ له التسلّط علی إزالة ملکهما </w:t>
      </w:r>
      <w:r>
        <w:rPr>
          <w:rStyle w:val="FootnoteReference"/>
        </w:rPr>
        <w:footnoteReference w:id="1432"/>
      </w:r>
      <w:r>
        <w:rPr>
          <w:rFonts w:ascii="IRNazanin" w:hAnsi="IRNazanin" w:eastAsia="IRNazanin" w:cs="IRNazanin"/>
          <w:lang w:bidi="fa-IR"/>
          <w:color w:val="111111"/>
          <w:sz w:val="28"/>
          <w:szCs w:val="28"/>
          <w:rtl/>
        </w:rPr>
        <w:t xml:space="preserve">و رفعه بالإتلاف أو التملیک،و هذا لا یقتضی وقوع العقد مراعی و عدم استقرار الملک.</w:t>
      </w:r>
    </w:p>
    <w:p>
      <w:pPr>
        <w:pStyle w:val="BookText"/>
      </w:pPr>
      <w:r>
        <w:rPr>
          <w:rFonts w:ascii="IRNazanin" w:hAnsi="IRNazanin" w:eastAsia="IRNazanin" w:cs="IRNazanin"/>
          <w:lang w:bidi="fa-IR"/>
          <w:color w:val="111111"/>
          <w:sz w:val="28"/>
          <w:szCs w:val="28"/>
          <w:rtl/>
        </w:rPr>
        <w:t xml:space="preserve">و بما ذکرنا ظهر الفرق بین حقّ المرتهن </w:t>
      </w:r>
      <w:r>
        <w:rPr>
          <w:rStyle w:val="FootnoteReference"/>
        </w:rPr>
        <w:footnoteReference w:id="1433"/>
      </w:r>
      <w:r>
        <w:rPr>
          <w:rFonts w:ascii="IRNazanin" w:hAnsi="IRNazanin" w:eastAsia="IRNazanin" w:cs="IRNazanin"/>
          <w:lang w:bidi="fa-IR"/>
          <w:color w:val="111111"/>
          <w:sz w:val="28"/>
          <w:szCs w:val="28"/>
          <w:rtl/>
        </w:rPr>
        <w:t xml:space="preserve">المانع من تصرّف الغیر و حقّ المجنیّ علیه الغیر المانع فعلاً،غایة الأمر أنّه رافع </w:t>
      </w:r>
      <w:r>
        <w:rPr>
          <w:rStyle w:val="FootnoteReference"/>
        </w:rPr>
        <w:footnoteReference w:id="1434"/>
      </w:r>
      <w:r>
        <w:rPr>
          <w:rFonts w:ascii="Amiri" w:hAnsi="Amiri" w:eastAsia="Amiri" w:cs="Amiri"/>
          <w:lang w:bidi="ar-SA"/>
          <w:color w:val="111111"/>
          <w:sz w:val="28"/>
          <w:szCs w:val="28"/>
          <w:rtl/>
        </w:rPr>
        <w:t xml:space="preserve">شأناً.</w:t>
      </w:r>
    </w:p>
    <w:p>
      <w:pPr>
        <w:pStyle w:val="BookText"/>
      </w:pPr>
      <w:r>
        <w:rPr>
          <w:rFonts w:ascii="IRNazanin" w:hAnsi="IRNazanin" w:eastAsia="IRNazanin" w:cs="IRNazanin"/>
          <w:lang w:bidi="fa-IR"/>
          <w:color w:val="111111"/>
          <w:sz w:val="28"/>
          <w:szCs w:val="28"/>
          <w:rtl/>
        </w:rPr>
        <w:t xml:space="preserve">و کیف کان،فقد حکی عن الشیخ فی الخلاف البطلان،فإنّه قال فیما حکی عنه:إذا کان لرجلٍ عبدٌ،فجنی </w:t>
      </w:r>
      <w:r>
        <w:rPr>
          <w:rStyle w:val="FootnoteReference"/>
        </w:rPr>
        <w:footnoteReference w:id="1435"/>
      </w:r>
      <w:r>
        <w:rPr>
          <w:rFonts w:ascii="IRNazanin" w:hAnsi="IRNazanin" w:eastAsia="IRNazanin" w:cs="IRNazanin"/>
          <w:lang w:bidi="fa-IR"/>
          <w:color w:val="111111"/>
          <w:sz w:val="28"/>
          <w:szCs w:val="28"/>
          <w:rtl/>
        </w:rPr>
        <w:t xml:space="preserve">،فباعه مولاه بغیر إذن المجنیّ علیه،فإن کانت جنایته توجب القصاص فلا یصحّ البیع،و إن کانت جنایته توجب الأرش صحّ إذا التزم مولاه الأرش.ثمّ استدلّ بأنّه إذا وجب علیه القود فلا یصحّ بیعه؛لأنّه قد باع منه ما لا یملکه،</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حقٌّ للمجنیّ علیه.و أمّا إذا وجب علیه الأرش صحّ؛لأنّ رقبته سلیمةٌ،و الجنایة أرشها فقد التزمه السیّد،فلا وجه یفسد البیع </w:t>
      </w:r>
      <w:r>
        <w:rPr>
          <w:rStyle w:val="FootnoteReference"/>
        </w:rPr>
        <w:footnoteReference w:id="143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حکی عن المختلف:أنّه حکیٰ عنه </w:t>
      </w:r>
      <w:r>
        <w:rPr>
          <w:rStyle w:val="FootnoteReference"/>
        </w:rPr>
        <w:footnoteReference w:id="1437"/>
      </w:r>
      <w:r>
        <w:rPr>
          <w:rFonts w:ascii="IRNazanin" w:hAnsi="IRNazanin" w:eastAsia="IRNazanin" w:cs="IRNazanin"/>
          <w:lang w:bidi="fa-IR"/>
          <w:color w:val="111111"/>
          <w:sz w:val="28"/>
          <w:szCs w:val="28"/>
          <w:rtl/>
        </w:rPr>
        <w:t xml:space="preserve">فی کتاب الظهار:</w:t>
      </w:r>
    </w:p>
    <w:p>
      <w:pPr>
        <w:pStyle w:val="BookText"/>
      </w:pPr>
      <w:r>
        <w:rPr>
          <w:rFonts w:ascii="IRNazanin" w:hAnsi="IRNazanin" w:eastAsia="IRNazanin" w:cs="IRNazanin"/>
          <w:lang w:bidi="fa-IR"/>
          <w:color w:val="111111"/>
          <w:sz w:val="28"/>
          <w:szCs w:val="28"/>
          <w:rtl/>
        </w:rPr>
        <w:t xml:space="preserve">التصریح بعدم بقاء ملک المولی علی الجانی عمداً،حیث قال:إذا کان عبدٌ قد جنی جنایةً فإنّه لا یجزئ عتقه عن الکفّارة،و إن کان خطأً جاز ذلک.و استدلّ بإجماع الفرقة،فإنّه لا خلاف بینهم أنّه إذا کانت جنایته عمداً ینتقل ملکه إلی المجنیّ علیه،و إن کان خطأ فدیة ما جناه علی مولاه </w:t>
      </w:r>
      <w:r>
        <w:rPr>
          <w:rStyle w:val="FootnoteReference"/>
        </w:rPr>
        <w:footnoteReference w:id="143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ربما یستظهر ذلک من عبارة الإسکافیّ المحکیّة عنه فی الرهن، و هی:أنّ من شرط الرهن أن یکون الراهن </w:t>
      </w:r>
      <w:r>
        <w:rPr>
          <w:rStyle w:val="FootnoteReference"/>
        </w:rPr>
        <w:footnoteReference w:id="1439"/>
      </w:r>
      <w:r>
        <w:rPr>
          <w:rFonts w:ascii="IRNazanin" w:hAnsi="IRNazanin" w:eastAsia="IRNazanin" w:cs="IRNazanin"/>
          <w:lang w:bidi="fa-IR"/>
          <w:color w:val="111111"/>
          <w:sz w:val="28"/>
          <w:szCs w:val="28"/>
          <w:rtl/>
        </w:rPr>
        <w:t xml:space="preserve">مثبتاً لملکه إیّاه،غیر خارجٍ بارتدادٍ أو استحقاق الرقبة بجنایته عن ملکه </w:t>
      </w:r>
      <w:r>
        <w:rPr>
          <w:rStyle w:val="FootnoteReference"/>
        </w:rPr>
        <w:footnoteReference w:id="144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ربما یستظهر البطلان من عبارة الشرائع أیضاً فی کتاب القصاص،حیث قال:إنّه </w:t>
      </w:r>
      <w:r>
        <w:rPr>
          <w:rStyle w:val="FootnoteReference"/>
        </w:rPr>
        <w:footnoteReference w:id="1441"/>
      </w:r>
      <w:r>
        <w:rPr>
          <w:rFonts w:ascii="IRNazanin" w:hAnsi="IRNazanin" w:eastAsia="IRNazanin" w:cs="IRNazanin"/>
          <w:lang w:bidi="fa-IR"/>
          <w:color w:val="111111"/>
          <w:sz w:val="28"/>
          <w:szCs w:val="28"/>
          <w:rtl/>
        </w:rPr>
        <w:t xml:space="preserve">إذا قتل العبد حرّا عمداً فأعتقه مولاه صحّ،و لم یسقط القود،و لو قیل:لا یصحّ لئلّا یبطل حقّ الولی </w:t>
      </w:r>
      <w:r>
        <w:rPr>
          <w:rStyle w:val="FootnoteReference"/>
        </w:rPr>
        <w:footnoteReference w:id="1442"/>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الاسترقاق،کان حسناً.و کذا بیعه وهبته </w:t>
      </w:r>
      <w:r>
        <w:rPr>
          <w:rStyle w:val="FootnoteReference"/>
        </w:rPr>
        <w:footnoteReference w:id="144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یحتمل قویّاً أن یکون مراده بالصحّة:وقوعه لازماً غیر متزلزل کوقوع العتق؛لأنّه الذی یبطل به حقّ الاسترقاق،دون وقوعه مراعی بافتکاکه عن القتل و الاسترقاق.</w:t>
      </w:r>
    </w:p>
    <w:p>
      <w:pPr>
        <w:pStyle w:val="BookText"/>
      </w:pPr>
      <w:r>
        <w:rPr>
          <w:rFonts w:ascii="IRNazanin" w:hAnsi="IRNazanin" w:eastAsia="IRNazanin" w:cs="IRNazanin"/>
          <w:lang w:bidi="fa-IR"/>
          <w:color w:val="111111"/>
          <w:sz w:val="28"/>
          <w:szCs w:val="28"/>
          <w:rtl/>
        </w:rPr>
        <w:t xml:space="preserve">و کیف کان،فالظاهر من عبارة الخلاف الاستناد فی عدم الصحّة إلی عدم الملک،و هو ممنوع؛لأصالة بقاء ملکه،و لظهور </w:t>
      </w:r>
      <w:r>
        <w:rPr>
          <w:rStyle w:val="FootnoteReference"/>
        </w:rPr>
        <w:footnoteReference w:id="1444"/>
      </w:r>
      <w:r>
        <w:rPr>
          <w:rFonts w:ascii="IRNazanin" w:hAnsi="IRNazanin" w:eastAsia="IRNazanin" w:cs="IRNazanin"/>
          <w:lang w:bidi="fa-IR"/>
          <w:color w:val="111111"/>
          <w:sz w:val="28"/>
          <w:szCs w:val="28"/>
          <w:rtl/>
        </w:rPr>
        <w:t xml:space="preserve">لفظ «الاسترقاق»فی بعض الأخبار </w:t>
      </w:r>
      <w:r>
        <w:rPr>
          <w:rStyle w:val="FootnoteReference"/>
        </w:rPr>
        <w:footnoteReference w:id="1445"/>
      </w:r>
      <w:r>
        <w:rPr>
          <w:rFonts w:ascii="IRNazanin" w:hAnsi="IRNazanin" w:eastAsia="IRNazanin" w:cs="IRNazanin"/>
          <w:lang w:bidi="fa-IR"/>
          <w:color w:val="111111"/>
          <w:sz w:val="28"/>
          <w:szCs w:val="28"/>
          <w:rtl/>
        </w:rPr>
        <w:t xml:space="preserve">فی بقاء الملک.نعم،فی بعض الأخبار ما یدلّ علی الخلاف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یکون مراد الشیخ بالملک السلطنة علیه؛فإنّه ینتقل إلی المجنیّ علیه،و یکون عدم جواز بیعه من المولی مبنیّاً علی المنع عن بیع الفضولی المستلزم للمنع عن بیع کلّ ما یتعلّق به حقّ الغیر ینافیه السلطنة المطلقة من المشتری علیه،کما فی الرهن.</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2" w:name="pg14419_167075"/>
    <w:bookmarkEnd w:id="222"/>
    <w:p>
      <w:pPr>
        <w:pStyle w:val="Heading6"/>
      </w:pPr>
      <w:bookmarkStart w:id="1031" w:name="_Toc471"/>
      <w:r>
        <w:t>مسألة : إذا جنی العبد خطأً صحّ بیعه علی المشهور</w:t>
      </w:r>
      <w:bookmarkEnd w:id="1031"/>
    </w:p>
    <w:p>
      <w:pPr>
        <w:pStyle w:val="BookText"/>
      </w:pPr>
      <w:r>
        <w:rPr>
          <w:rFonts w:ascii="IRNazanin" w:hAnsi="IRNazanin" w:eastAsia="IRNazanin" w:cs="IRNazanin"/>
          <w:lang w:bidi="fa-IR"/>
          <w:color w:val="111111"/>
          <w:sz w:val="28"/>
          <w:szCs w:val="28"/>
          <w:rtl/>
        </w:rPr>
        <w:t xml:space="preserve">بل فی شرح الصیمری:أنّه لا خلاف فی جواز بیع الجانی إذا کانت الجنایة خطأً أو شبه عمد،و یضمن المولی أقلّ الأمرین من قیمته و دیة الجنایة،و لو امتنع کان للمجنیّ علیه أو لولیّه انتزاعه،فیبطل البیع.و کذا لو کان المولی معسراً،فللمشتری الفسخ مع الجهالة لتزلزل ملکه ما لم یَفْدِه </w:t>
      </w:r>
      <w:r>
        <w:rPr>
          <w:rStyle w:val="FootnoteReference"/>
        </w:rPr>
        <w:footnoteReference w:id="1447"/>
      </w:r>
      <w:r>
        <w:rPr>
          <w:rFonts w:ascii="IRNazanin" w:hAnsi="IRNazanin" w:eastAsia="IRNazanin" w:cs="IRNazanin"/>
          <w:lang w:bidi="fa-IR"/>
          <w:color w:val="111111"/>
          <w:sz w:val="28"/>
          <w:szCs w:val="28"/>
          <w:rtl/>
        </w:rPr>
        <w:t xml:space="preserve">المولی </w:t>
      </w:r>
      <w:r>
        <w:rPr>
          <w:rStyle w:val="FootnoteReference"/>
        </w:rPr>
        <w:footnoteReference w:id="144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ظاهره أنّه أراد نفی الخلاف عن الجواز قبل التزام السیّد،إلّا أنّ المحکیّ عن السرائر </w:t>
      </w:r>
      <w:r>
        <w:rPr>
          <w:rStyle w:val="FootnoteReference"/>
        </w:rPr>
        <w:footnoteReference w:id="1449"/>
      </w:r>
      <w:r>
        <w:rPr>
          <w:rFonts w:ascii="IRNazanin" w:hAnsi="IRNazanin" w:eastAsia="IRNazanin" w:cs="IRNazanin"/>
          <w:lang w:bidi="fa-IR"/>
          <w:color w:val="111111"/>
          <w:sz w:val="28"/>
          <w:szCs w:val="28"/>
          <w:rtl/>
        </w:rPr>
        <w:t xml:space="preserve">و الخلاف </w:t>
      </w:r>
      <w:r>
        <w:rPr>
          <w:rStyle w:val="FootnoteReference"/>
        </w:rPr>
        <w:footnoteReference w:id="1450"/>
      </w:r>
      <w:r>
        <w:rPr>
          <w:rFonts w:ascii="IRNazanin" w:hAnsi="IRNazanin" w:eastAsia="IRNazanin" w:cs="IRNazanin"/>
          <w:lang w:bidi="fa-IR"/>
          <w:color w:val="111111"/>
          <w:sz w:val="28"/>
          <w:szCs w:val="28"/>
          <w:rtl/>
        </w:rPr>
        <w:t xml:space="preserve">:أنّه لا یجوز إلّا إذا فداه </w:t>
      </w:r>
      <w:r>
        <w:rPr>
          <w:rStyle w:val="FootnoteReference"/>
        </w:rPr>
        <w:footnoteReference w:id="1451"/>
      </w:r>
      <w:r>
        <w:rPr>
          <w:rFonts w:ascii="IRNazanin" w:hAnsi="IRNazanin" w:eastAsia="IRNazanin" w:cs="IRNazanin"/>
          <w:lang w:bidi="fa-IR"/>
          <w:color w:val="111111"/>
          <w:sz w:val="28"/>
          <w:szCs w:val="28"/>
          <w:rtl/>
        </w:rPr>
        <w:t xml:space="preserve">المولی أو</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التزم بالفداء،لا أنّه </w:t>
      </w:r>
      <w:r>
        <w:rPr>
          <w:rStyle w:val="FootnoteReference"/>
        </w:rPr>
        <w:footnoteReference w:id="1452"/>
      </w:r>
      <w:r>
        <w:rPr>
          <w:rFonts w:ascii="IRNazanin" w:hAnsi="IRNazanin" w:eastAsia="IRNazanin" w:cs="IRNazanin"/>
          <w:lang w:bidi="fa-IR"/>
          <w:color w:val="111111"/>
          <w:sz w:val="28"/>
          <w:szCs w:val="28"/>
          <w:rtl/>
        </w:rPr>
        <w:t xml:space="preserve">إذا باع ضمن.</w:t>
      </w:r>
    </w:p>
    <w:p>
      <w:pPr>
        <w:pStyle w:val="BookText"/>
      </w:pPr>
      <w:r>
        <w:rPr>
          <w:rFonts w:ascii="IRNazanin" w:hAnsi="IRNazanin" w:eastAsia="IRNazanin" w:cs="IRNazanin"/>
          <w:lang w:bidi="fa-IR"/>
          <w:color w:val="111111"/>
          <w:sz w:val="28"/>
          <w:szCs w:val="28"/>
          <w:rtl/>
        </w:rPr>
        <w:t xml:space="preserve">و الأوفق بالقواعد أن یقال بجواز البیع؛لکونه ملکاً لمولاه،و تعلّق حقّ الغیر لا یمنع عن ذلک؛لأنّ کون المبیع مال الغیر لا یوجب بطلان البیع رأساً فضلاً عن تعلّق حقّ الغیر.و لعلّ ما عن الخلاف و السرائر مبنیٌّ علی أصلهما من بطلان الفضولی و ما أشبهه من کلّ بیعٍ یلزم من لزومه بطلان حقّ الغیر،کما یومئ إلیه استدلال الحلّی علی بطلان البیع قبل التزامه و ضمانه:بأنّه قد تعلّق </w:t>
      </w:r>
      <w:r>
        <w:rPr>
          <w:rStyle w:val="FootnoteReference"/>
        </w:rPr>
        <w:footnoteReference w:id="1453"/>
      </w:r>
      <w:r>
        <w:rPr>
          <w:rFonts w:ascii="IRNazanin" w:hAnsi="IRNazanin" w:eastAsia="IRNazanin" w:cs="IRNazanin"/>
          <w:lang w:bidi="fa-IR"/>
          <w:color w:val="111111"/>
          <w:sz w:val="28"/>
          <w:szCs w:val="28"/>
          <w:rtl/>
        </w:rPr>
        <w:t xml:space="preserve">برقبة العبد الجانی فلا یجوز إبطاله </w:t>
      </w:r>
      <w:r>
        <w:rPr>
          <w:rStyle w:val="FootnoteReference"/>
        </w:rPr>
        <w:footnoteReference w:id="1454"/>
      </w:r>
      <w:r>
        <w:rPr>
          <w:rFonts w:ascii="IRNazanin" w:hAnsi="IRNazanin" w:eastAsia="IRNazanin" w:cs="IRNazanin"/>
          <w:lang w:bidi="fa-IR"/>
          <w:color w:val="111111"/>
          <w:sz w:val="28"/>
          <w:szCs w:val="28"/>
          <w:rtl/>
        </w:rPr>
        <w:t xml:space="preserve">.و مرجع هذا المذهب إلی أنّه لا واسطة بین لزوم البیع و بطلانه، فإذا صحّ البیع أبطل حقّ الغیر.</w:t>
      </w:r>
    </w:p>
    <w:p>
      <w:pPr>
        <w:pStyle w:val="BookText"/>
      </w:pPr>
      <w:r>
        <w:rPr>
          <w:rFonts w:ascii="IRNazanin" w:hAnsi="IRNazanin" w:eastAsia="IRNazanin" w:cs="IRNazanin"/>
          <w:lang w:bidi="fa-IR"/>
          <w:color w:val="111111"/>
          <w:sz w:val="28"/>
          <w:szCs w:val="28"/>
          <w:rtl/>
        </w:rPr>
        <w:t xml:space="preserve">و قد تقدّم غیر مرّة:أنّه لا مانع من وقوع البیع مراعیً بإجازة ذی الحقّ أو سقوط حقّه،فإذا باع المولی فیما نحن فیه قبل أداء الدیة أو أقلّ الأمرین علی الخلاف وقع مراعیً،فإن فدّاه المولی أو رضی المجنیّ علیه بضمانه فذاک،و إلّا انتزعه المجنیّ علیه من المشتری،و علی هذا فلا یکون البیع موجباً لضمان البائع حقّ المجنیّ علیه.</w:t>
      </w:r>
    </w:p>
    <w:p>
      <w:pPr>
        <w:pStyle w:val="BookText"/>
      </w:pPr>
      <w:r>
        <w:rPr>
          <w:rFonts w:ascii="IRNazanin" w:hAnsi="IRNazanin" w:eastAsia="IRNazanin" w:cs="IRNazanin"/>
          <w:lang w:bidi="fa-IR"/>
          <w:color w:val="111111"/>
          <w:sz w:val="28"/>
          <w:szCs w:val="28"/>
          <w:rtl/>
        </w:rPr>
        <w:t xml:space="preserve">قال فی کتاب الرهن من القواعد:و لا یجبر السیّد علی فداء الجانی و إن رهنه أو باعه،بل یتسلّط المجنیّ علیه،فإن استوعب الجنایة القیمة بطل الرهن،و إلّا ففی المقابل </w:t>
      </w:r>
      <w:r>
        <w:rPr>
          <w:rStyle w:val="FootnoteReference"/>
        </w:rPr>
        <w:footnoteReference w:id="14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ظاهر العلّامة فی غیر هذا المقام و غیره هو أنّ البیع بنفسه التزام بالفداء.و لعلّ وجهه:أنّه یجب علی المولی حیث تعلّق بالعبد و هو مالٌ من أمواله،و فی یده </w:t>
      </w:r>
      <w:r>
        <w:rPr>
          <w:rStyle w:val="FootnoteReference"/>
        </w:rPr>
        <w:footnoteReference w:id="1456"/>
      </w:r>
      <w:r>
        <w:rPr>
          <w:rFonts w:ascii="IRNazanin" w:hAnsi="IRNazanin" w:eastAsia="IRNazanin" w:cs="IRNazanin"/>
          <w:lang w:bidi="fa-IR"/>
          <w:color w:val="111111"/>
          <w:sz w:val="28"/>
          <w:szCs w:val="28"/>
          <w:rtl/>
        </w:rPr>
        <w:t xml:space="preserve">حقٌّ یتخیّر المولی فی نقله عنه إلی ذمّته،أن یوفی حقّ المجنی علیه إمّا من العین أو من ذمّته،فیجب علیه:إمّا تخلیص العبد من المشتری بفسخٍ أو غیره،و إمّا أن یفدیه من ماله،فإذا امتنع المشتری من ردّه و المفروض عدم سلطنة البائع علی أخذه قهراً؛للزوم الوفاء بالعقد وجب علیه دفع الفداء.</w:t>
      </w:r>
    </w:p>
    <w:p>
      <w:pPr>
        <w:pStyle w:val="BookText"/>
      </w:pPr>
      <w:r>
        <w:rPr>
          <w:rFonts w:ascii="IRNazanin" w:hAnsi="IRNazanin" w:eastAsia="IRNazanin" w:cs="IRNazanin"/>
          <w:lang w:bidi="fa-IR"/>
          <w:color w:val="111111"/>
          <w:sz w:val="28"/>
          <w:szCs w:val="28"/>
          <w:rtl/>
        </w:rPr>
        <w:t xml:space="preserve">و یرد علیه:أنّ فداء العبد غیر لازم قبل البیع،و بیعه لیس إتلافاً له حتّی یتعیّن علیه الفداء،و وجوب الوفاء بالبیع لا یقتضی إلّا رفع یده،لا رفع ید الغیر،بل هذا أولی بعدم وجوب الفکّ من الرهن الذی تقدّم فی آخر مسألته الخدشة </w:t>
      </w:r>
      <w:r>
        <w:rPr>
          <w:rStyle w:val="FootnoteReference"/>
        </w:rPr>
        <w:footnoteReference w:id="1457"/>
      </w:r>
      <w:r>
        <w:rPr>
          <w:rFonts w:ascii="IRNazanin" w:hAnsi="IRNazanin" w:eastAsia="IRNazanin" w:cs="IRNazanin"/>
          <w:lang w:bidi="fa-IR"/>
          <w:color w:val="111111"/>
          <w:sz w:val="28"/>
          <w:szCs w:val="28"/>
          <w:rtl/>
        </w:rPr>
        <w:t xml:space="preserve">فی وجوب الفکّ علی الراهن بعد بیعه؛لتعلّق الدین هناک بالذمّة و تعلّق الحقّ هنا بالعین،فتأمّل.</w:t>
      </w:r>
    </w:p>
    <w:p>
      <w:pPr>
        <w:pStyle w:val="BookText"/>
      </w:pPr>
      <w:r>
        <w:rPr>
          <w:rFonts w:ascii="Amiri" w:hAnsi="Amiri" w:eastAsia="Amiri" w:cs="Amiri"/>
          <w:lang w:bidi="ar-SA"/>
          <w:color w:val="111111"/>
          <w:sz w:val="28"/>
          <w:szCs w:val="28"/>
          <w:rtl/>
        </w:rPr>
        <w:t xml:space="preserve">ثمّ إنّ المصرَّح به فی التذکرة </w:t>
      </w:r>
      <w:r>
        <w:rPr>
          <w:rStyle w:val="FootnoteReference"/>
        </w:rPr>
        <w:footnoteReference w:id="1458"/>
      </w:r>
      <w:r>
        <w:rPr>
          <w:rFonts w:ascii="IRNazanin" w:hAnsi="IRNazanin" w:eastAsia="IRNazanin" w:cs="IRNazanin"/>
          <w:lang w:bidi="fa-IR"/>
          <w:color w:val="111111"/>
          <w:sz w:val="28"/>
          <w:szCs w:val="28"/>
          <w:rtl/>
        </w:rPr>
        <w:t xml:space="preserve">و المحکیّ عن غیرها </w:t>
      </w:r>
      <w:r>
        <w:rPr>
          <w:rStyle w:val="FootnoteReference"/>
        </w:rPr>
        <w:footnoteReference w:id="1459"/>
      </w:r>
      <w:r>
        <w:rPr>
          <w:rFonts w:ascii="IRNazanin" w:hAnsi="IRNazanin" w:eastAsia="IRNazanin" w:cs="IRNazanin"/>
          <w:lang w:bidi="fa-IR"/>
          <w:color w:val="111111"/>
          <w:sz w:val="28"/>
          <w:szCs w:val="28"/>
          <w:rtl/>
        </w:rPr>
        <w:t xml:space="preserve">:أنّ للمشتری فکّ العبد،و حکم رجوعه إلی البائع حکم قضاء الدین عنه.</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3" w:name="pg14419_167078"/>
    <w:bookmarkEnd w:id="223"/>
    <w:p>
      <w:pPr>
        <w:pStyle w:val="Heading6"/>
      </w:pPr>
      <w:bookmarkStart w:id="1032" w:name="_Toc472"/>
      <w:r>
        <w:t>مسألة الثالث من شروط العوضین:القدرة علی التسلیم</w:t>
      </w:r>
      <w:bookmarkEnd w:id="1032"/>
    </w:p>
    <w:p>
      <w:pPr>
        <w:pStyle w:val="Heading6"/>
      </w:pPr>
      <w:bookmarkStart w:id="1033" w:name="_Toc473"/>
      <w:r>
        <w:t>اشارة</w:t>
      </w:r>
      <w:bookmarkEnd w:id="1033"/>
    </w:p>
    <w:p>
      <w:pPr>
        <w:pStyle w:val="BookText"/>
      </w:pPr>
      <w:r>
        <w:rPr>
          <w:rFonts w:ascii="IRNazanin" w:hAnsi="IRNazanin" w:eastAsia="IRNazanin" w:cs="IRNazanin"/>
          <w:lang w:bidi="fa-IR"/>
          <w:color w:val="111111"/>
          <w:sz w:val="28"/>
          <w:szCs w:val="28"/>
          <w:rtl/>
        </w:rPr>
        <w:t xml:space="preserve">فإنّ الظاهر الإجماع علی اشتراطها فی الجملة کما فی جامع المقاصد </w:t>
      </w:r>
      <w:r>
        <w:rPr>
          <w:rStyle w:val="FootnoteReference"/>
        </w:rPr>
        <w:footnoteReference w:id="1460"/>
      </w:r>
      <w:r>
        <w:rPr>
          <w:rFonts w:ascii="IRNazanin" w:hAnsi="IRNazanin" w:eastAsia="IRNazanin" w:cs="IRNazanin"/>
          <w:lang w:bidi="fa-IR"/>
          <w:color w:val="111111"/>
          <w:sz w:val="28"/>
          <w:szCs w:val="28"/>
          <w:rtl/>
        </w:rPr>
        <w:t xml:space="preserve">،و فی التذکرة:أنّه إجماع </w:t>
      </w:r>
      <w:r>
        <w:rPr>
          <w:rStyle w:val="FootnoteReference"/>
        </w:rPr>
        <w:footnoteReference w:id="1461"/>
      </w:r>
      <w:r>
        <w:rPr>
          <w:rFonts w:ascii="IRNazanin" w:hAnsi="IRNazanin" w:eastAsia="IRNazanin" w:cs="IRNazanin"/>
          <w:lang w:bidi="fa-IR"/>
          <w:color w:val="111111"/>
          <w:sz w:val="28"/>
          <w:szCs w:val="28"/>
          <w:rtl/>
        </w:rPr>
        <w:t xml:space="preserve">.و فی المبسوط:الإجماع علی عدم جواز بیع السمک فی الماء و لا الطیر فی الهواء </w:t>
      </w:r>
      <w:r>
        <w:rPr>
          <w:rStyle w:val="FootnoteReference"/>
        </w:rPr>
        <w:footnoteReference w:id="1462"/>
      </w:r>
      <w:r>
        <w:rPr>
          <w:rFonts w:ascii="IRNazanin" w:hAnsi="IRNazanin" w:eastAsia="IRNazanin" w:cs="IRNazanin"/>
          <w:lang w:bidi="fa-IR"/>
          <w:color w:val="111111"/>
          <w:sz w:val="28"/>
          <w:szCs w:val="28"/>
          <w:rtl/>
        </w:rPr>
        <w:t xml:space="preserve">.و عن الغنیة:أنّه إنّما اعتبرنا فی المعقود علیه أن یکون مقدوراً علیه تحفّظاً ممّا لا یمکن فیه ذلک،کالسمک فی الماء و الطیر فی الهواء،فإنّ ما هذه حاله لا یجوز بیعه بلا خلاف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فی التذکرة علی ذلک بأنّه:«نهی النبیّ صلّی اللّٰه علیه و آله عن بیع الغرر» </w:t>
      </w:r>
      <w:r>
        <w:rPr>
          <w:rStyle w:val="FootnoteReference"/>
        </w:rPr>
        <w:footnoteReference w:id="14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4" w:name="pg14419_167079"/>
    <w:bookmarkEnd w:id="224"/>
    <w:p>
      <w:pPr>
        <w:pStyle w:val="BookText"/>
      </w:pPr>
      <w:r>
        <w:rPr>
          <w:rFonts w:ascii="Amiri" w:hAnsi="Amiri" w:eastAsia="Amiri" w:cs="Amiri"/>
          <w:lang w:bidi="ar-SA"/>
          <w:color w:val="111111"/>
          <w:sz w:val="28"/>
          <w:szCs w:val="28"/>
          <w:rtl/>
        </w:rPr>
        <w:t xml:space="preserve">و هذا غررٌ </w:t>
      </w:r>
      <w:r>
        <w:rPr>
          <w:rStyle w:val="FootnoteReference"/>
        </w:rPr>
        <w:footnoteReference w:id="1465"/>
      </w:r>
      <w:r>
        <w:rPr>
          <w:rFonts w:ascii="IRNazanin" w:hAnsi="IRNazanin" w:eastAsia="IRNazanin" w:cs="IRNazanin"/>
          <w:lang w:bidi="fa-IR"/>
          <w:color w:val="111111"/>
          <w:sz w:val="28"/>
          <w:szCs w:val="28"/>
          <w:rtl/>
        </w:rPr>
        <w:t xml:space="preserve">،و النهی هنا یوجب الفساد إجماعاً،علی الظاهر المصرّح به فی موضعٍ من الإیضاح </w:t>
      </w:r>
      <w:r>
        <w:rPr>
          <w:rStyle w:val="FootnoteReference"/>
        </w:rPr>
        <w:footnoteReference w:id="1466"/>
      </w:r>
      <w:r>
        <w:rPr>
          <w:rFonts w:ascii="IRNazanin" w:hAnsi="IRNazanin" w:eastAsia="IRNazanin" w:cs="IRNazanin"/>
          <w:lang w:bidi="fa-IR"/>
          <w:color w:val="111111"/>
          <w:sz w:val="28"/>
          <w:szCs w:val="28"/>
          <w:rtl/>
        </w:rPr>
        <w:t xml:space="preserve">،و اشتهار الخبر بین الخاصّة و العامة یجبر إرساله.</w:t>
      </w:r>
    </w:p>
    <w:p>
      <w:pPr>
        <w:pStyle w:val="BookText"/>
      </w:pPr>
      <w:r>
        <w:rPr>
          <w:rFonts w:ascii="IRNazanin" w:hAnsi="IRNazanin" w:eastAsia="IRNazanin" w:cs="IRNazanin"/>
          <w:lang w:bidi="fa-IR"/>
          <w:color w:val="111111"/>
          <w:sz w:val="28"/>
          <w:szCs w:val="28"/>
          <w:rtl/>
        </w:rPr>
        <w:t xml:space="preserve">أمّا کون ما نحن فیه غرراً فهو الظاهر من کلمات کثیرٍ من الفقهاء </w:t>
      </w:r>
      <w:r>
        <w:rPr>
          <w:rStyle w:val="FootnoteReference"/>
        </w:rPr>
        <w:footnoteReference w:id="1467"/>
      </w:r>
      <w:r>
        <w:rPr>
          <w:rFonts w:ascii="Amiri" w:hAnsi="Amiri" w:eastAsia="Amiri" w:cs="Amiri"/>
          <w:lang w:bidi="ar-SA"/>
          <w:color w:val="111111"/>
          <w:sz w:val="28"/>
          <w:szCs w:val="28"/>
          <w:rtl/>
        </w:rPr>
        <w:t xml:space="preserve">و أهل اللغة </w:t>
      </w:r>
      <w:r>
        <w:rPr>
          <w:rStyle w:val="FootnoteReference"/>
        </w:rPr>
        <w:footnoteReference w:id="1468"/>
      </w:r>
      <w:r>
        <w:rPr>
          <w:rFonts w:ascii="IRNazanin" w:hAnsi="IRNazanin" w:eastAsia="IRNazanin" w:cs="IRNazanin"/>
          <w:lang w:bidi="fa-IR"/>
          <w:color w:val="111111"/>
          <w:sz w:val="28"/>
          <w:szCs w:val="28"/>
          <w:rtl/>
        </w:rPr>
        <w:t xml:space="preserve">،حیث مثّلوا للغرر ببیع السمک فی الماء و الطیر فی الهواء؛مع أنّ معنی الغرر علی ما ذکره أکثر أهل اللغة صادقٌ علیه،و المرویّ عن أمیر المؤمنین علیه السلام:«أنّه عملُ ما لا یؤمن معه من الضرر»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6"/>
      </w:pPr>
      <w:bookmarkStart w:id="1034" w:name="_Toc474"/>
      <w:r>
        <w:t>[معنی الغرر لغة]</w:t>
      </w:r>
      <w:bookmarkEnd w:id="1034"/>
    </w:p>
    <w:p>
      <w:pPr>
        <w:pStyle w:val="BookText"/>
      </w:pPr>
      <w:r>
        <w:rPr>
          <w:rFonts w:ascii="IRNazanin" w:hAnsi="IRNazanin" w:eastAsia="IRNazanin" w:cs="IRNazanin"/>
          <w:lang w:bidi="fa-IR"/>
          <w:color w:val="111111"/>
          <w:sz w:val="28"/>
          <w:szCs w:val="28"/>
          <w:rtl/>
        </w:rPr>
        <w:t xml:space="preserve">و فی الصحاح:الغرّة:الغفلة،و الغارّ:الغافل،و أغرّه،أی:أتاه علی غِرّة منه،و اغترّ بالشیء،أی:خدع به </w:t>
      </w:r>
      <w:r>
        <w:rPr>
          <w:rStyle w:val="FootnoteReference"/>
        </w:rPr>
        <w:footnoteReference w:id="1470"/>
      </w:r>
      <w:r>
        <w:rPr>
          <w:rFonts w:ascii="IRNazanin" w:hAnsi="IRNazanin" w:eastAsia="IRNazanin" w:cs="IRNazanin"/>
          <w:lang w:bidi="fa-IR"/>
          <w:color w:val="111111"/>
          <w:sz w:val="28"/>
          <w:szCs w:val="28"/>
          <w:rtl/>
        </w:rPr>
        <w:t xml:space="preserve">،و الغرر:الخطر،و نهی رسول اللّٰه صلّی اللّٰه علیه و آله عن بیع الغرر؛و هو مثل بیع السمک فی الماء</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الطیر فی الهواء إلی أن قال:و التغریر:حمل النفس علی الغرر </w:t>
      </w:r>
      <w:r>
        <w:rPr>
          <w:rStyle w:val="FootnoteReference"/>
        </w:rPr>
        <w:footnoteReference w:id="1471"/>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عن القاموس ما ملخّصه:غرّه غرّاً و غروراً و غِرّةً بالکسر-، فهو مغرورٌ و غریرٌ کأمیر </w:t>
      </w:r>
      <w:r>
        <w:rPr>
          <w:rStyle w:val="FootnoteReference"/>
        </w:rPr>
        <w:footnoteReference w:id="1472"/>
      </w:r>
      <w:r>
        <w:rPr>
          <w:rFonts w:ascii="IRNazanin" w:hAnsi="IRNazanin" w:eastAsia="IRNazanin" w:cs="IRNazanin"/>
          <w:lang w:bidi="fa-IR"/>
          <w:color w:val="111111"/>
          <w:sz w:val="28"/>
          <w:szCs w:val="28"/>
          <w:rtl/>
        </w:rPr>
        <w:t xml:space="preserve">-:خدعه و أطمعه فی الباطل </w:t>
      </w:r>
      <w:r>
        <w:rPr>
          <w:rStyle w:val="FootnoteReference"/>
        </w:rPr>
        <w:footnoteReference w:id="1473"/>
      </w:r>
      <w:r>
        <w:rPr>
          <w:rFonts w:ascii="IRNazanin" w:hAnsi="IRNazanin" w:eastAsia="IRNazanin" w:cs="IRNazanin"/>
          <w:lang w:bidi="fa-IR"/>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غرّر بنفسه تغریراً و تغرّةً،أی:عرّضها للهلکة،و الإسم الغَرَر محرّکه إلی أن قال:و الغارّ:الغافل،و اغترّ:غفل،و الإسم الغِرَّة بالکسر </w:t>
      </w:r>
      <w:r>
        <w:rPr>
          <w:rStyle w:val="FootnoteReference"/>
        </w:rPr>
        <w:footnoteReference w:id="147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النهایة بعد تفسیر الغِرَّة بالکسر بالغفلة:أنّه نهی عن بیع الغَرَر،و هو ما کان له ظاهرٌ یغرّ المشتری،و باطنٌ مجهول.و قال الأزهری:بیع الغرر ما کان علی غیر عهدةٍ و لا ثقةٍ،و یدخل فیه البیوع التی لا یحیط بکنهها المتبایعان من کلّ مجهول،و قد تکرّر فی الحدیث،و منه حدیث مطرِّف:«إنّ لی نفساً واحدة،و إنّی لأکره أن اغرّر بها»،أی أحملها علی غیر ثقةٍ،و به سمّی الشیطان غروراً؛لأنّه یحمل الإنسان علی محابّه،و وراء ذلک ما یسوؤه </w:t>
      </w:r>
      <w:r>
        <w:rPr>
          <w:rStyle w:val="FootnoteReference"/>
        </w:rPr>
        <w:footnoteReference w:id="147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حکی أیضاً عن الأساس </w:t>
      </w:r>
      <w:r>
        <w:rPr>
          <w:rStyle w:val="FootnoteReference"/>
        </w:rPr>
        <w:footnoteReference w:id="1476"/>
      </w:r>
      <w:r>
        <w:rPr>
          <w:rFonts w:ascii="IRNazanin" w:hAnsi="IRNazanin" w:eastAsia="IRNazanin" w:cs="IRNazanin"/>
          <w:lang w:bidi="fa-IR"/>
          <w:color w:val="111111"/>
          <w:sz w:val="28"/>
          <w:szCs w:val="28"/>
          <w:rtl/>
        </w:rPr>
        <w:t xml:space="preserve">و المصباح </w:t>
      </w:r>
      <w:r>
        <w:rPr>
          <w:rStyle w:val="FootnoteReference"/>
        </w:rPr>
        <w:footnoteReference w:id="1477"/>
      </w:r>
      <w:r>
        <w:rPr>
          <w:rFonts w:ascii="IRNazanin" w:hAnsi="IRNazanin" w:eastAsia="IRNazanin" w:cs="IRNazanin"/>
          <w:lang w:bidi="fa-IR"/>
          <w:color w:val="111111"/>
          <w:sz w:val="28"/>
          <w:szCs w:val="28"/>
          <w:rtl/>
        </w:rPr>
        <w:t xml:space="preserve">و المغرب </w:t>
      </w:r>
      <w:r>
        <w:rPr>
          <w:rStyle w:val="FootnoteReference"/>
        </w:rPr>
        <w:footnoteReference w:id="1478"/>
      </w:r>
      <w:r>
        <w:rPr>
          <w:rFonts w:ascii="IRNazanin" w:hAnsi="IRNazanin" w:eastAsia="IRNazanin" w:cs="IRNazanin"/>
          <w:lang w:bidi="fa-IR"/>
          <w:color w:val="111111"/>
          <w:sz w:val="28"/>
          <w:szCs w:val="28"/>
          <w:rtl/>
        </w:rPr>
        <w:t xml:space="preserve">و المجمل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المجمع </w:t>
      </w:r>
      <w:r>
        <w:rPr>
          <w:rStyle w:val="FootnoteReference"/>
        </w:rPr>
        <w:footnoteReference w:id="1480"/>
      </w:r>
      <w:r>
        <w:rPr>
          <w:rFonts w:ascii="IRNazanin" w:hAnsi="IRNazanin" w:eastAsia="IRNazanin" w:cs="IRNazanin"/>
          <w:lang w:bidi="fa-IR"/>
          <w:color w:val="111111"/>
          <w:sz w:val="28"/>
          <w:szCs w:val="28"/>
          <w:rtl/>
        </w:rPr>
        <w:t xml:space="preserve">تفسیر الغرر بالخطر،ممثّلاً له فی الثلاثة الأخیرة ببیع السمک فی الماء و الطیر فی الهواء.</w:t>
      </w:r>
    </w:p>
    <w:p>
      <w:pPr>
        <w:pStyle w:val="BookText"/>
      </w:pPr>
      <w:r>
        <w:rPr>
          <w:rFonts w:ascii="IRNazanin" w:hAnsi="IRNazanin" w:eastAsia="IRNazanin" w:cs="IRNazanin"/>
          <w:lang w:bidi="fa-IR"/>
          <w:color w:val="111111"/>
          <w:sz w:val="28"/>
          <w:szCs w:val="28"/>
          <w:rtl/>
        </w:rPr>
        <w:t xml:space="preserve">و فی التذکرة:أنّ أهل اللغة فسّروا بیع الغَرَر بهذین </w:t>
      </w:r>
      <w:r>
        <w:rPr>
          <w:rStyle w:val="FootnoteReference"/>
        </w:rPr>
        <w:footnoteReference w:id="1481"/>
      </w:r>
      <w:r>
        <w:rPr>
          <w:rFonts w:ascii="IRNazanin" w:hAnsi="IRNazanin" w:eastAsia="IRNazanin" w:cs="IRNazanin"/>
          <w:lang w:bidi="fa-IR"/>
          <w:color w:val="111111"/>
          <w:sz w:val="28"/>
          <w:szCs w:val="28"/>
          <w:rtl/>
        </w:rPr>
        <w:t xml:space="preserve">،و مراده من التفسیر التوضیح بالمثال،و لیس فی المحکیّ عن النهایة منافاةٌ لهذا التفسیر،کما یظهر بالتأمّل.</w:t>
      </w:r>
    </w:p>
    <w:p>
      <w:pPr>
        <w:pStyle w:val="BookText"/>
      </w:pPr>
      <w:r>
        <w:rPr>
          <w:rFonts w:ascii="IRNazanin" w:hAnsi="IRNazanin" w:eastAsia="IRNazanin" w:cs="IRNazanin"/>
          <w:lang w:bidi="fa-IR"/>
          <w:color w:val="111111"/>
          <w:sz w:val="28"/>
          <w:szCs w:val="28"/>
          <w:rtl/>
        </w:rPr>
        <w:t xml:space="preserve">و بالجملة،فالکلّ متّفقون علی أخذ«الجهالة»فی معنی الغَرَر،سواء تعلّق الجهل بأصل وجوده،أم بحصوله فی ید من انتقل إلیه،أم بصفاته کمّاً و کیفاً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یقال </w:t>
      </w:r>
      <w:r>
        <w:rPr>
          <w:rStyle w:val="FootnoteReference"/>
        </w:rPr>
        <w:footnoteReference w:id="1483"/>
      </w:r>
      <w:r>
        <w:rPr>
          <w:rFonts w:ascii="IRNazanin" w:hAnsi="IRNazanin" w:eastAsia="IRNazanin" w:cs="IRNazanin"/>
          <w:lang w:bidi="fa-IR"/>
          <w:color w:val="111111"/>
          <w:sz w:val="28"/>
          <w:szCs w:val="28"/>
          <w:rtl/>
        </w:rPr>
        <w:t xml:space="preserve">:إنّ المنساق من الغَرَر المنهیّ عنه:الخطر،من حیث الجهل بصفات المبیع و مقداره،لا مطلق الخطر الشامل لتسلیمه و عدمه؛ ضرورة حصوله فی بیع کلِّ غائب،خصوصاً إذا کان فی بحرٍ و نحوه،بل هو أوضح شیءٍ فی بیع الثمار و الزرع و نحوهما.</w:t>
      </w:r>
    </w:p>
    <w:p>
      <w:pPr>
        <w:pStyle w:val="BookText"/>
      </w:pPr>
      <w:r>
        <w:rPr>
          <w:rFonts w:ascii="IRNazanin" w:hAnsi="IRNazanin" w:eastAsia="IRNazanin" w:cs="IRNazanin"/>
          <w:lang w:bidi="fa-IR"/>
          <w:color w:val="111111"/>
          <w:sz w:val="28"/>
          <w:szCs w:val="28"/>
          <w:rtl/>
        </w:rPr>
        <w:t xml:space="preserve">و الحاصل:أنّ من الواضح عدم لزوم المخاطرة فی مبیعٍ مجهول الحال بالنسبة إلی التسلّم و عدمه،خصوصاً بعد جبره بالخیار لو تعذّر.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فیه:أنّ الخطر من حیث حصول المبیع فی ید المشتری أعظم</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5" w:name="pg14419_167082"/>
    <w:bookmarkEnd w:id="225"/>
    <w:p>
      <w:pPr>
        <w:pStyle w:val="BookText"/>
      </w:pPr>
      <w:r>
        <w:rPr>
          <w:rFonts w:ascii="IRNazanin" w:hAnsi="IRNazanin" w:eastAsia="IRNazanin" w:cs="IRNazanin"/>
          <w:lang w:bidi="fa-IR"/>
          <w:color w:val="111111"/>
          <w:sz w:val="28"/>
          <w:szCs w:val="28"/>
          <w:rtl/>
        </w:rPr>
        <w:t xml:space="preserve">من الجهل بصفاته مع العلم بحصوله،فلا وجه لتقیید کلام أهل اللغة خصوصاً بعد تمثیلهم بالمثالین المذکورین.و احتمال إرادتهم ذکر المثالین لجهالة صفات المبیع لا الجهل بحصوله فی یده،یدفعه ملاحظة اشتهار التمثیل بهما فی کلمات الفقهاء للعجز عن التسلیم لا للجهالة بالصفات.</w:t>
      </w:r>
    </w:p>
    <w:p>
      <w:pPr>
        <w:pStyle w:val="Heading6"/>
      </w:pPr>
      <w:bookmarkStart w:id="1035" w:name="_Toc475"/>
      <w:r>
        <w:t>[الاستدلال الفریقین بالنبوی المذکور علی شرطیة القدرة]</w:t>
      </w:r>
      <w:bookmarkEnd w:id="1035"/>
    </w:p>
    <w:p>
      <w:pPr>
        <w:pStyle w:val="Heading6"/>
      </w:pPr>
      <w:bookmarkStart w:id="1036" w:name="_Toc476"/>
      <w:r>
        <w:t>اشارة</w:t>
      </w:r>
      <w:bookmarkEnd w:id="1036"/>
    </w:p>
    <w:p>
      <w:pPr>
        <w:pStyle w:val="BookText"/>
      </w:pPr>
      <w:r>
        <w:rPr>
          <w:rFonts w:ascii="IRNazanin" w:hAnsi="IRNazanin" w:eastAsia="IRNazanin" w:cs="IRNazanin"/>
          <w:lang w:bidi="fa-IR"/>
          <w:color w:val="111111"/>
          <w:sz w:val="28"/>
          <w:szCs w:val="28"/>
          <w:rtl/>
        </w:rPr>
        <w:t xml:space="preserve">هذا،مضافاً إلی استدلال الفریقین من العامة و الخاصّة بالنبویّ المذکور علی اعتبار القدرة علی التسلیم،کما یظهر من الانتصار،حیث قال فیما حکی عنه:و ممّا انفردت به الإمامیّة القول بجواز شراء العبد الآبق مع الضمیمة،و لا یشتری وحده إلّا إذا کان بحیث یقدر علیه المشتری </w:t>
      </w:r>
      <w:r>
        <w:rPr>
          <w:rStyle w:val="FootnoteReference"/>
        </w:rPr>
        <w:footnoteReference w:id="1484"/>
      </w:r>
      <w:r>
        <w:rPr>
          <w:rFonts w:ascii="IRNazanin" w:hAnsi="IRNazanin" w:eastAsia="IRNazanin" w:cs="IRNazanin"/>
          <w:lang w:bidi="fa-IR"/>
          <w:color w:val="111111"/>
          <w:sz w:val="28"/>
          <w:szCs w:val="28"/>
          <w:rtl/>
        </w:rPr>
        <w:t xml:space="preserve">،و خالف باقی الفقهاء فی ذلک و ذهبوا إلی أنّه لا یجوز بیع الآبق علی کلّ حال إلی أن قال:و یعوِّل مخالفونا فی منع بیعه علی أنّه بیع غَرَرٍ،و أنّ نبیّنا صلّی اللّٰه علیه و آله نهی عن بیع الغَرَر إلی أن قال:</w:t>
      </w:r>
    </w:p>
    <w:p>
      <w:pPr>
        <w:pStyle w:val="BookText"/>
      </w:pPr>
      <w:r>
        <w:rPr>
          <w:rFonts w:ascii="IRNazanin" w:hAnsi="IRNazanin" w:eastAsia="IRNazanin" w:cs="IRNazanin"/>
          <w:lang w:bidi="fa-IR"/>
          <w:color w:val="111111"/>
          <w:sz w:val="28"/>
          <w:szCs w:val="28"/>
          <w:rtl/>
        </w:rPr>
        <w:t xml:space="preserve">و هذا لیس بصحیح؛لأنّ هذا البیع یخرجه عن أن یکون غرراً؛انضمام </w:t>
      </w:r>
      <w:r>
        <w:rPr>
          <w:rStyle w:val="FootnoteReference"/>
        </w:rPr>
        <w:footnoteReference w:id="1485"/>
      </w:r>
      <w:r>
        <w:rPr>
          <w:rFonts w:ascii="IRNazanin" w:hAnsi="IRNazanin" w:eastAsia="IRNazanin" w:cs="IRNazanin"/>
          <w:lang w:bidi="fa-IR"/>
          <w:color w:val="111111"/>
          <w:sz w:val="28"/>
          <w:szCs w:val="28"/>
          <w:rtl/>
        </w:rPr>
        <w:t xml:space="preserve">غیره إلیه </w:t>
      </w:r>
      <w:r>
        <w:rPr>
          <w:rStyle w:val="FootnoteReference"/>
        </w:rPr>
        <w:footnoteReference w:id="148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صریحٌ فی استدلال جمیع العامّة بالنبویّ علی اشتراط القدرة علی التسلیم.و الظاهر اتّفاق أصحابنا أیضاً علی الاستدلال به له </w:t>
      </w:r>
      <w:r>
        <w:rPr>
          <w:rStyle w:val="FootnoteReference"/>
        </w:rPr>
        <w:footnoteReference w:id="1487"/>
      </w:r>
      <w:r>
        <w:rPr>
          <w:rFonts w:ascii="IRNazanin" w:hAnsi="IRNazanin" w:eastAsia="IRNazanin" w:cs="IRNazanin"/>
          <w:lang w:bidi="fa-IR"/>
          <w:color w:val="111111"/>
          <w:sz w:val="28"/>
          <w:szCs w:val="28"/>
          <w:rtl/>
        </w:rPr>
        <w:t xml:space="preserve">،کما یظهر للمتتبّع،و سیجیء فی عبارة الشهید التصریح به.</w:t>
      </w:r>
    </w:p>
    <w:p>
      <w:pPr>
        <w:pStyle w:val="BookText"/>
      </w:pPr>
      <w:r>
        <w:rPr>
          <w:rFonts w:ascii="IRNazanin" w:hAnsi="IRNazanin" w:eastAsia="IRNazanin" w:cs="IRNazanin"/>
          <w:lang w:bidi="fa-IR"/>
          <w:color w:val="111111"/>
          <w:sz w:val="28"/>
          <w:szCs w:val="28"/>
          <w:rtl/>
        </w:rPr>
        <w:t xml:space="preserve">و کیف کان،فالدعوی المذکورة ممّا لا یساعدها اللغة و لا العرف</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6" w:name="pg14419_167083"/>
    <w:bookmarkEnd w:id="226"/>
    <w:p>
      <w:pPr>
        <w:pStyle w:val="BookText"/>
      </w:pPr>
      <w:r>
        <w:rPr>
          <w:rFonts w:ascii="IRNazanin" w:hAnsi="IRNazanin" w:eastAsia="IRNazanin" w:cs="IRNazanin"/>
          <w:lang w:bidi="fa-IR"/>
          <w:color w:val="111111"/>
          <w:sz w:val="28"/>
          <w:szCs w:val="28"/>
          <w:rtl/>
        </w:rPr>
        <w:t xml:space="preserve">و لا کلمات أهل الشرع.</w:t>
      </w:r>
    </w:p>
    <w:p>
      <w:pPr>
        <w:pStyle w:val="Heading6"/>
      </w:pPr>
      <w:bookmarkStart w:id="1037" w:name="_Toc477"/>
      <w:r>
        <w:t>[کلام الشهید فی القواعد فی تفسیر الغرر]</w:t>
      </w:r>
      <w:bookmarkEnd w:id="1037"/>
    </w:p>
    <w:p>
      <w:pPr>
        <w:pStyle w:val="BookText"/>
      </w:pPr>
      <w:r>
        <w:rPr>
          <w:rFonts w:ascii="IRNazanin" w:hAnsi="IRNazanin" w:eastAsia="IRNazanin" w:cs="IRNazanin"/>
          <w:lang w:bidi="fa-IR"/>
          <w:color w:val="111111"/>
          <w:sz w:val="28"/>
          <w:szCs w:val="28"/>
          <w:rtl/>
        </w:rPr>
        <w:t xml:space="preserve">و ما أبعد ما بینه و بین ما عن قواعد الشهید قدّس سرّه،حیث قال:</w:t>
      </w:r>
    </w:p>
    <w:p>
      <w:pPr>
        <w:pStyle w:val="BookText"/>
      </w:pPr>
      <w:r>
        <w:rPr>
          <w:rFonts w:ascii="Amiri" w:hAnsi="Amiri" w:eastAsia="Amiri" w:cs="Amiri"/>
          <w:lang w:bidi="ar-SA"/>
          <w:color w:val="111111"/>
          <w:sz w:val="28"/>
          <w:szCs w:val="28"/>
          <w:rtl/>
        </w:rPr>
        <w:t xml:space="preserve">الغرر[لغةً </w:t>
      </w:r>
      <w:r>
        <w:rPr>
          <w:rStyle w:val="FootnoteReference"/>
        </w:rPr>
        <w:footnoteReference w:id="1488"/>
      </w:r>
      <w:r>
        <w:rPr>
          <w:rFonts w:ascii="Amiri" w:hAnsi="Amiri" w:eastAsia="Amiri" w:cs="Amiri"/>
          <w:lang w:bidi="ar-SA"/>
          <w:color w:val="111111"/>
          <w:sz w:val="28"/>
          <w:szCs w:val="28"/>
          <w:rtl/>
        </w:rPr>
        <w:t xml:space="preserve">]ما کان له ظاهرٌ محبوبٌ و باطنٌ مکروه،قاله بعضهم، و منه قوله تعالی مَتٰاعُ الْغُرُورِ </w:t>
      </w:r>
      <w:r>
        <w:rPr>
          <w:rStyle w:val="FootnoteReference"/>
        </w:rPr>
        <w:footnoteReference w:id="1489"/>
      </w:r>
      <w:r>
        <w:rPr>
          <w:rFonts w:ascii="IRNazanin" w:hAnsi="IRNazanin" w:eastAsia="IRNazanin" w:cs="IRNazanin"/>
          <w:lang w:bidi="fa-IR"/>
          <w:color w:val="111111"/>
          <w:sz w:val="28"/>
          <w:szCs w:val="28"/>
          <w:rtl/>
        </w:rPr>
        <w:t xml:space="preserve">،و شرعاً هو جهل الحصول.و أمّا المجهول المعلوم الحصول </w:t>
      </w:r>
      <w:r>
        <w:rPr>
          <w:rStyle w:val="FootnoteReference"/>
        </w:rPr>
        <w:footnoteReference w:id="1490"/>
      </w:r>
      <w:r>
        <w:rPr>
          <w:rFonts w:ascii="IRNazanin" w:hAnsi="IRNazanin" w:eastAsia="IRNazanin" w:cs="IRNazanin"/>
          <w:lang w:bidi="fa-IR"/>
          <w:color w:val="111111"/>
          <w:sz w:val="28"/>
          <w:szCs w:val="28"/>
          <w:rtl/>
        </w:rPr>
        <w:t xml:space="preserve">و مجهول الصفة فلیس غرراً.و بینهما عمومٌ و خصوصٌ من وجه،لوجود الغَرَر بدون الجهل فی العبد الآبق إذا کان معلوم الصفة من قبلُ أو وُصِف </w:t>
      </w:r>
      <w:r>
        <w:rPr>
          <w:rStyle w:val="FootnoteReference"/>
        </w:rPr>
        <w:footnoteReference w:id="1491"/>
      </w:r>
      <w:r>
        <w:rPr>
          <w:rFonts w:ascii="IRNazanin" w:hAnsi="IRNazanin" w:eastAsia="IRNazanin" w:cs="IRNazanin"/>
          <w:lang w:bidi="fa-IR"/>
          <w:color w:val="111111"/>
          <w:sz w:val="28"/>
          <w:szCs w:val="28"/>
          <w:rtl/>
        </w:rPr>
        <w:t xml:space="preserve">الآن،و وجود الجهل بدون الغَرَر فی المکیل و الموزون و المعدود إذا لم یعتبر.و قد یتوغّل فی الجهالة،کحجرٍ لا یُدری أ ذهبٌ،أم فضّةٌ،أم نحاسٌ،أم صَخرٌ،و یوجدان معاً فی العبد الآبق المجهول الصفة.و یتعلّق الغَرَر و الجهل تارةً بالوجود کالعبد الآبق المجهول الوجود </w:t>
      </w:r>
      <w:r>
        <w:rPr>
          <w:rStyle w:val="FootnoteReference"/>
        </w:rPr>
        <w:footnoteReference w:id="1492"/>
      </w:r>
      <w:r>
        <w:rPr>
          <w:rFonts w:ascii="IRNazanin" w:hAnsi="IRNazanin" w:eastAsia="IRNazanin" w:cs="IRNazanin"/>
          <w:lang w:bidi="fa-IR"/>
          <w:color w:val="111111"/>
          <w:sz w:val="28"/>
          <w:szCs w:val="28"/>
          <w:rtl/>
        </w:rPr>
        <w:t xml:space="preserve">،و تارةً بالحصول کالعبد الآبق المعلوم الوجود، و بالجنس کحَبٍّ لا یُدری ما هو،و سلعةٍ من سلعٍ مختلفة،و بالنوع کعبدٍ من عبیدٍ،و بالقَدَر ککیلٍ لا یعرف قَدَرُه و البیع إلی مبلغ السهم، و بالعین کثوبٍ من ثوبین مختلفین،و بالبقاء کبیع الثمرة قبل بدوّ الصلاح</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7" w:name="pg14419_167084"/>
    <w:bookmarkEnd w:id="227"/>
    <w:p>
      <w:pPr>
        <w:pStyle w:val="BookText"/>
      </w:pPr>
      <w:r>
        <w:rPr>
          <w:rFonts w:ascii="IRNazanin" w:hAnsi="IRNazanin" w:eastAsia="IRNazanin" w:cs="IRNazanin"/>
          <w:lang w:bidi="fa-IR"/>
          <w:color w:val="111111"/>
          <w:sz w:val="28"/>
          <w:szCs w:val="28"/>
          <w:rtl/>
        </w:rPr>
        <w:t xml:space="preserve">عند بعض الأصحاب.و لو اشترط أن یبدو الصلاح لا محالة کان غرراً عند الکلّ،کما لو شرط صیرورة الزرع سنبلاً.و الغرر قد یکون بما له مدخل ظاهر فی العوضین و هو ممتنع إجماعاً.و قد یکون بما یتسامح به عادة لقلّته،کأُسّ الجدار و قطن الجبّة،و هو معفوّ عنه إجماعاً،و نحوه اشتراط الحمل.و قد یکون </w:t>
      </w:r>
      <w:r>
        <w:rPr>
          <w:rStyle w:val="FootnoteReference"/>
        </w:rPr>
        <w:footnoteReference w:id="1493"/>
      </w:r>
      <w:r>
        <w:rPr>
          <w:rFonts w:ascii="IRNazanin" w:hAnsi="IRNazanin" w:eastAsia="IRNazanin" w:cs="IRNazanin"/>
          <w:lang w:bidi="fa-IR"/>
          <w:color w:val="111111"/>
          <w:sz w:val="28"/>
          <w:szCs w:val="28"/>
          <w:rtl/>
        </w:rPr>
        <w:t xml:space="preserve">بینهما،و هو محلّ الخلاف،کالجزاف فی مال الإجارة و المضاربة،و الثمرة قبل بدوّ الصلاح،و الآبق بغیر ضمیمة </w:t>
      </w:r>
      <w:r>
        <w:rPr>
          <w:rStyle w:val="FootnoteReference"/>
        </w:rPr>
        <w:footnoteReference w:id="1494"/>
      </w:r>
      <w:r>
        <w:rPr>
          <w:rFonts w:ascii="IRNazanin" w:hAnsi="IRNazanin" w:eastAsia="IRNazanin" w:cs="IRNazanin"/>
          <w:lang w:bidi="fa-IR"/>
          <w:color w:val="111111"/>
          <w:sz w:val="28"/>
          <w:szCs w:val="28"/>
          <w:rtl/>
        </w:rPr>
        <w:t xml:space="preserve">، انتهی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6"/>
      </w:pPr>
      <w:bookmarkStart w:id="1038" w:name="_Toc478"/>
      <w:r>
        <w:t>[کلام الشهید فی شرح الإرشاد فی تفسیر الغرر]</w:t>
      </w:r>
      <w:bookmarkEnd w:id="1038"/>
    </w:p>
    <w:p>
      <w:pPr>
        <w:pStyle w:val="BookText"/>
      </w:pPr>
      <w:r>
        <w:rPr>
          <w:rFonts w:ascii="IRNazanin" w:hAnsi="IRNazanin" w:eastAsia="IRNazanin" w:cs="IRNazanin"/>
          <w:lang w:bidi="fa-IR"/>
          <w:color w:val="111111"/>
          <w:sz w:val="28"/>
          <w:szCs w:val="28"/>
          <w:rtl/>
        </w:rPr>
        <w:t xml:space="preserve">و فی بعض کلامه تأمّل،ککلامه الآخر فی شرح الإرشاد،حیث ذکر فی مسألة تعیّن الأثمان بالتعیین </w:t>
      </w:r>
      <w:r>
        <w:rPr>
          <w:rStyle w:val="FootnoteReference"/>
        </w:rPr>
        <w:footnoteReference w:id="1496"/>
      </w:r>
      <w:r>
        <w:rPr>
          <w:rFonts w:ascii="IRNazanin" w:hAnsi="IRNazanin" w:eastAsia="IRNazanin" w:cs="IRNazanin"/>
          <w:lang w:bidi="fa-IR"/>
          <w:color w:val="111111"/>
          <w:sz w:val="28"/>
          <w:szCs w:val="28"/>
          <w:rtl/>
        </w:rPr>
        <w:t xml:space="preserve">عندنا قالوا یعنی المخالفین من العامّة-:تعیینها </w:t>
      </w:r>
      <w:r>
        <w:rPr>
          <w:rStyle w:val="FootnoteReference"/>
        </w:rPr>
        <w:footnoteReference w:id="1497"/>
      </w:r>
      <w:r>
        <w:rPr>
          <w:rFonts w:ascii="IRNazanin" w:hAnsi="IRNazanin" w:eastAsia="IRNazanin" w:cs="IRNazanin"/>
          <w:lang w:bidi="fa-IR"/>
          <w:color w:val="111111"/>
          <w:sz w:val="28"/>
          <w:szCs w:val="28"/>
          <w:rtl/>
        </w:rPr>
        <w:t xml:space="preserve">غرر،فیکون منهیّاً عنه.أمّا الصغری،فلجواز عدمها أو ظهورها مستحقّة فینفسخ البیع.و أمّا الکبری،فظاهرة إلی أن قال:قلنا:نمنع الصغری؛لأنّ الغرر إجمال </w:t>
      </w:r>
      <w:r>
        <w:rPr>
          <w:rStyle w:val="FootnoteReference"/>
        </w:rPr>
        <w:footnoteReference w:id="1498"/>
      </w:r>
      <w:r>
        <w:rPr>
          <w:rFonts w:ascii="IRNazanin" w:hAnsi="IRNazanin" w:eastAsia="IRNazanin" w:cs="IRNazanin"/>
          <w:lang w:bidi="fa-IR"/>
          <w:color w:val="111111"/>
          <w:sz w:val="28"/>
          <w:szCs w:val="28"/>
          <w:rtl/>
        </w:rPr>
        <w:t xml:space="preserve">مجتنب عنه فی العرف بحیث لو ترکه وُبّخ علیه،و ما ذکروه </w:t>
      </w:r>
      <w:r>
        <w:rPr>
          <w:rStyle w:val="FootnoteReference"/>
        </w:rPr>
        <w:footnoteReference w:id="1499"/>
      </w:r>
      <w:r>
        <w:rPr>
          <w:rFonts w:ascii="Amiri" w:hAnsi="Amiri" w:eastAsia="Amiri" w:cs="Amiri"/>
          <w:lang w:bidi="ar-SA"/>
          <w:color w:val="111111"/>
          <w:sz w:val="28"/>
          <w:szCs w:val="28"/>
          <w:rtl/>
        </w:rPr>
        <w:t xml:space="preserve">لا یخطر ببالٍ فضلاً عن اللّوم</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8" w:name="pg14419_167085"/>
    <w:bookmarkEnd w:id="228"/>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1500"/>
      </w:r>
      <w:r>
        <w:rPr>
          <w:rFonts w:ascii="IRNazanin" w:hAnsi="IRNazanin" w:eastAsia="IRNazanin" w:cs="IRNazanin"/>
          <w:lang w:bidi="fa-IR"/>
          <w:color w:val="111111"/>
          <w:sz w:val="28"/>
          <w:szCs w:val="28"/>
          <w:rtl/>
        </w:rPr>
        <w:t xml:space="preserve">،انتهی.</w:t>
      </w:r>
    </w:p>
    <w:p>
      <w:pPr>
        <w:pStyle w:val="Heading6"/>
      </w:pPr>
      <w:bookmarkStart w:id="1039" w:name="_Toc479"/>
      <w:r>
        <w:t>[المناقشة فیما أفاده الشهید فی شرح الإرشاد]</w:t>
      </w:r>
      <w:bookmarkEnd w:id="10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فإنّ مقتضاه:أنّه لو اشتُری الآبق أو الضالّ المرجوّ الحصول بثمنٍ قلیل،لم یکن غرراً؛لأنّ العقلاء یقدمون علی الضرر القلیل رجاءً للنفع الکثیر.و کذا لو اشتری المجهول المردّد بین ذهبٍ و نحاسٍ بقیمة النحاس؛ بناءً علی المعروف من تحقّق الغرر بالجهل بالصفة.و کذا شراء مجهول المقدار بثمن المتیقّن منه؛فإنّ ذلک کلّه مرغوب فیه عند العقلاء،بل یوبّخون من عدل عنه اعتذاراً بکونه خطراً.</w:t>
      </w:r>
    </w:p>
    <w:p>
      <w:pPr>
        <w:pStyle w:val="BookText"/>
      </w:pPr>
      <w:r>
        <w:rPr>
          <w:rFonts w:ascii="IRNazanin" w:hAnsi="IRNazanin" w:eastAsia="IRNazanin" w:cs="IRNazanin"/>
          <w:lang w:bidi="fa-IR"/>
          <w:color w:val="111111"/>
          <w:sz w:val="28"/>
          <w:szCs w:val="28"/>
          <w:rtl/>
        </w:rPr>
        <w:t xml:space="preserve">فالأولی:أنّ هذا النهی من الشارع لسدّ باب المخاطرة المفضیة إلی التنازع فی المعاملات،و لیس منوطاً بالنهی من العقلاء لیخصّ مورده بالسفهاء أو المتسفّهة.</w:t>
      </w:r>
    </w:p>
    <w:p>
      <w:pPr>
        <w:pStyle w:val="BookText"/>
      </w:pPr>
      <w:r>
        <w:rPr>
          <w:rFonts w:ascii="IRNazanin" w:hAnsi="IRNazanin" w:eastAsia="IRNazanin" w:cs="IRNazanin"/>
          <w:lang w:bidi="fa-IR"/>
          <w:color w:val="111111"/>
          <w:sz w:val="28"/>
          <w:szCs w:val="28"/>
          <w:rtl/>
        </w:rPr>
        <w:t xml:space="preserve">ثمّ إنّه قد حکی عن الصدوق فی معانی الأخبار:تعلیل فساد بعض المعاملات المتعارفة فی الجاهلیة کبیع المنابذة و الملامسة و بیع الحصاة بکونها غرراً </w:t>
      </w:r>
      <w:r>
        <w:rPr>
          <w:rStyle w:val="FootnoteReference"/>
        </w:rPr>
        <w:footnoteReference w:id="1501"/>
      </w:r>
      <w:r>
        <w:rPr>
          <w:rFonts w:ascii="IRNazanin" w:hAnsi="IRNazanin" w:eastAsia="IRNazanin" w:cs="IRNazanin"/>
          <w:lang w:bidi="fa-IR"/>
          <w:color w:val="111111"/>
          <w:sz w:val="28"/>
          <w:szCs w:val="28"/>
          <w:rtl/>
        </w:rPr>
        <w:t xml:space="preserve">،مع أنّه لا جهالة فی بعضها کبیع المنابذة؛بناءً علی ما فسّره به </w:t>
      </w:r>
      <w:r>
        <w:rPr>
          <w:rStyle w:val="FootnoteReference"/>
        </w:rPr>
        <w:footnoteReference w:id="1502"/>
      </w:r>
      <w:r>
        <w:rPr>
          <w:rFonts w:ascii="IRNazanin" w:hAnsi="IRNazanin" w:eastAsia="IRNazanin" w:cs="IRNazanin"/>
          <w:lang w:bidi="fa-IR"/>
          <w:color w:val="111111"/>
          <w:sz w:val="28"/>
          <w:szCs w:val="28"/>
          <w:rtl/>
        </w:rPr>
        <w:t xml:space="preserve">من أنّه قول أحدهما لصاحبه:أنبذ إلیّ الثوب أو أنبذه إلیک فقد وجب البیع،و بیع الحصاة بأن یقول:إذا نبذت الحصاة فقد وجب البیع.و لعلّه کان علی وجهٍ خاصٍّ یکون فیه خطر </w:t>
      </w:r>
      <w:r>
        <w:rPr>
          <w:rStyle w:val="FootnoteReference"/>
        </w:rPr>
        <w:footnoteReference w:id="1503"/>
      </w:r>
      <w:r>
        <w:rPr>
          <w:rFonts w:ascii="Amiri" w:hAnsi="Amiri" w:eastAsia="Amiri" w:cs="Amiri"/>
          <w:lang w:bidi="ar-SA"/>
          <w:color w:val="111111"/>
          <w:sz w:val="28"/>
          <w:szCs w:val="28"/>
          <w:rtl/>
        </w:rPr>
        <w:t xml:space="preserve">،و اللّٰه العالم.</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9" w:name="pg14419_167086"/>
    <w:bookmarkEnd w:id="229"/>
    <w:p>
      <w:pPr>
        <w:pStyle w:val="Heading6"/>
      </w:pPr>
      <w:bookmarkStart w:id="1040" w:name="_Toc480"/>
      <w:r>
        <w:t>[التمسک بالنبوی المذکور أخفی من المدعی]</w:t>
      </w:r>
      <w:bookmarkEnd w:id="1040"/>
    </w:p>
    <w:p>
      <w:pPr>
        <w:pStyle w:val="BookText"/>
      </w:pPr>
      <w:r>
        <w:rPr>
          <w:rFonts w:ascii="IRNazanin" w:hAnsi="IRNazanin" w:eastAsia="IRNazanin" w:cs="IRNazanin"/>
          <w:lang w:bidi="fa-IR"/>
          <w:color w:val="111111"/>
          <w:sz w:val="28"/>
          <w:szCs w:val="28"/>
          <w:rtl/>
        </w:rPr>
        <w:t xml:space="preserve">و کیف کان،فلا إشکال فی صحّة التمسّک لاعتبار القدرة علی التسلیم بالنبویّ المذکور،إلّا أنّه أخصّ من المدّعی؛لأنّ ما یمتنع تسلیمه عادة کالغریق فی بحرٍ یمتنع خروجه منه عادةً و نحوه لیس فی بیعه خطر؛لأنّ الخطر إنّما یطلق فی مقامٍ یحتمل السلامة و لو ضعیفاً، لکنّ هذا الفرد یکفی فی الاستدلال علی بطلانه بلزوم </w:t>
      </w:r>
      <w:r>
        <w:rPr>
          <w:rStyle w:val="FootnoteReference"/>
        </w:rPr>
        <w:footnoteReference w:id="1504"/>
      </w:r>
      <w:r>
        <w:rPr>
          <w:rFonts w:ascii="IRNazanin" w:hAnsi="IRNazanin" w:eastAsia="IRNazanin" w:cs="IRNazanin"/>
          <w:lang w:bidi="fa-IR"/>
          <w:color w:val="111111"/>
          <w:sz w:val="28"/>
          <w:szCs w:val="28"/>
          <w:rtl/>
        </w:rPr>
        <w:t xml:space="preserve">السفاهة و کون أکل الثمن فی مقابله أکلاً للمال بالباطل،بل لا یعدّ مالاً عرفاً و إن کان مِلکاً،فیصحّ عتقه،و یکون لمالکه لو فرض التمکّن منه،إلّا أنّه لا ینافی سلب صفة التموّل عنه عرفاً؛و لذا یجب علی غاصبه ردّ تمام قیمته إلی المالک،فیملکه مع بقاء العین علی ملکه علی ما هو ظاهر المشهور.</w:t>
      </w:r>
    </w:p>
    <w:p>
      <w:pPr>
        <w:pStyle w:val="Heading6"/>
      </w:pPr>
      <w:bookmarkStart w:id="1041" w:name="_Toc481"/>
      <w:r>
        <w:t>ثمّ إنّه ربما یستدلّ علی هذا الشرط بوجوه أُخر</w:t>
      </w:r>
      <w:bookmarkEnd w:id="1041"/>
    </w:p>
    <w:p>
      <w:pPr>
        <w:pStyle w:val="Heading6"/>
      </w:pPr>
      <w:bookmarkStart w:id="1042" w:name="_Toc482"/>
      <w:r>
        <w:t>منها : ما اشتهر عن النبی صلّی اللّٰه علیه و آله من قوله : «لا تبع ما لیس عندک»</w:t>
      </w:r>
      <w:bookmarkEnd w:id="1042"/>
    </w:p>
    <w:p>
      <w:pPr>
        <w:pStyle w:val="BookText"/>
      </w:pPr>
      <w:r>
        <w:rPr>
          <w:rStyle w:val="FootnoteReference"/>
        </w:rPr>
        <w:footnoteReference w:id="1505"/>
      </w:r>
      <w:r>
        <w:rPr>
          <w:rFonts w:ascii="IRNazanin" w:hAnsi="IRNazanin" w:eastAsia="IRNazanin" w:cs="IRNazanin"/>
          <w:lang w:bidi="fa-IR"/>
          <w:color w:val="111111"/>
          <w:sz w:val="28"/>
          <w:szCs w:val="28"/>
          <w:rtl/>
        </w:rPr>
        <w:t xml:space="preserve">
بناءً علی أنّ«کونه عنده»لا یراد به الحضور؛لجواز بیع الغائب و السلف إجماعاً،فهی کنایة،لا </w:t>
      </w:r>
      <w:r>
        <w:rPr>
          <w:rStyle w:val="FootnoteReference"/>
        </w:rPr>
        <w:footnoteReference w:id="1506"/>
      </w:r>
      <w:r>
        <w:rPr>
          <w:rFonts w:ascii="IRNazanin" w:hAnsi="IRNazanin" w:eastAsia="IRNazanin" w:cs="IRNazanin"/>
          <w:lang w:bidi="fa-IR"/>
          <w:color w:val="111111"/>
          <w:sz w:val="28"/>
          <w:szCs w:val="28"/>
          <w:rtl/>
        </w:rPr>
        <w:t xml:space="preserve">عن مجرّد الملک؛لأنّ المناسب حینئذٍ ذکر لفظة«اللام»،و لا عن مجرّد السلطنة علیه و القدرة علی تسلیمه؛لمنافاته لتمسّک العلماء من الخاصّة و العامّة[به </w:t>
      </w:r>
      <w:r>
        <w:rPr>
          <w:rStyle w:val="FootnoteReference"/>
        </w:rPr>
        <w:footnoteReference w:id="1507"/>
      </w:r>
      <w:r>
        <w:rPr>
          <w:rFonts w:ascii="IRNazanin" w:hAnsi="IRNazanin" w:eastAsia="IRNazanin" w:cs="IRNazanin"/>
          <w:lang w:bidi="fa-IR"/>
          <w:color w:val="111111"/>
          <w:sz w:val="28"/>
          <w:szCs w:val="28"/>
          <w:rtl/>
        </w:rPr>
        <w:t xml:space="preserve">]علی عدم جواز بیع العین الشخصیة المملوکة للغیر ثمّ شرائها من مالکها،خصوصاً إذا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وکیلاً عنه فی بیعه و لو من نفسه؛فإنّ السلطنة و القدرة علی التسلیم حاصلة هنا،مع أنّه مورد الروایة عند الفقهاء.</w:t>
      </w:r>
    </w:p>
    <w:p>
      <w:pPr>
        <w:pStyle w:val="BookText"/>
      </w:pPr>
      <w:r>
        <w:rPr>
          <w:rFonts w:ascii="IRNazanin" w:hAnsi="IRNazanin" w:eastAsia="IRNazanin" w:cs="IRNazanin"/>
          <w:lang w:bidi="fa-IR"/>
          <w:color w:val="111111"/>
          <w:sz w:val="28"/>
          <w:szCs w:val="28"/>
          <w:rtl/>
        </w:rPr>
        <w:t xml:space="preserve">فتعیّن أن یکون کنایة عن السلطنة التامّة الفعلیّة التی تتوقّف علی الملک مع کونه تحت الید حتّی کأنه عنده و إن کان غائباً.</w:t>
      </w:r>
    </w:p>
    <w:p>
      <w:pPr>
        <w:pStyle w:val="BookText"/>
      </w:pPr>
      <w:r>
        <w:rPr>
          <w:rFonts w:ascii="IRNazanin" w:hAnsi="IRNazanin" w:eastAsia="IRNazanin" w:cs="IRNazanin"/>
          <w:lang w:bidi="fa-IR"/>
          <w:color w:val="111111"/>
          <w:sz w:val="28"/>
          <w:szCs w:val="28"/>
          <w:rtl/>
        </w:rPr>
        <w:t xml:space="preserve">و علی أیّ حال،فلا بدّ من إخراج بیع الفضولی عنه بأدلّته،أو بحمله علی النهی المقتضی لفساده بمعنی عدم وقوعه لبائعه لو أراد ذلک.</w:t>
      </w:r>
    </w:p>
    <w:p>
      <w:pPr>
        <w:pStyle w:val="BookText"/>
      </w:pPr>
      <w:r>
        <w:rPr>
          <w:rFonts w:ascii="IRNazanin" w:hAnsi="IRNazanin" w:eastAsia="IRNazanin" w:cs="IRNazanin"/>
          <w:lang w:bidi="fa-IR"/>
          <w:color w:val="111111"/>
          <w:sz w:val="28"/>
          <w:szCs w:val="28"/>
          <w:rtl/>
        </w:rPr>
        <w:t xml:space="preserve">و کیف کان،فتوجیه الاستدلال بالخبر علی ما نحن فیه ممکن.</w:t>
      </w:r>
    </w:p>
    <w:p>
      <w:pPr>
        <w:pStyle w:val="BookText"/>
      </w:pPr>
      <w:r>
        <w:rPr>
          <w:rFonts w:ascii="IRNazanin" w:hAnsi="IRNazanin" w:eastAsia="IRNazanin" w:cs="IRNazanin"/>
          <w:lang w:bidi="fa-IR"/>
          <w:color w:val="111111"/>
          <w:sz w:val="28"/>
          <w:szCs w:val="28"/>
          <w:rtl/>
        </w:rPr>
        <w:t xml:space="preserve">و أمّا الإیراد علیه بدعوی:أنّ المراد به الإشارة إلی ما هو المتعارف فی تلک الأزمنة،من بیع الشیء الغیر المملوک ثمّ تحصیله بشرائه و نحوه و دفعه إلی المشتری،فمدفوع بعدم الشاهد علی اختصاصه بهذا المورد،و لیس فی الأخبار المتضمّنة لنقل هذا الخبر ما یشهد باختصاصه بهذا المورد.</w:t>
      </w:r>
    </w:p>
    <w:p>
      <w:pPr>
        <w:pStyle w:val="BookText"/>
      </w:pPr>
      <w:r>
        <w:rPr>
          <w:rFonts w:ascii="IRNazanin" w:hAnsi="IRNazanin" w:eastAsia="IRNazanin" w:cs="IRNazanin"/>
          <w:lang w:bidi="fa-IR"/>
          <w:color w:val="111111"/>
          <w:sz w:val="28"/>
          <w:szCs w:val="28"/>
          <w:rtl/>
        </w:rPr>
        <w:t xml:space="preserve">نعم،یمکن أن یقال:إنّ غایة ما یدلّ علیه هذا النبویّ بل النبوی الأوّل أیضاً-:فساد البیع،بمعنی عدم کونه علّة تامّة لترتّب الأثر المقصود،فلا ینافی وقوعه مراعی بانتفاء صفة الغرر و تحقّق کونه عنده.</w:t>
      </w:r>
    </w:p>
    <w:p>
      <w:pPr>
        <w:pStyle w:val="BookText"/>
      </w:pPr>
      <w:r>
        <w:rPr>
          <w:rFonts w:ascii="IRNazanin" w:hAnsi="IRNazanin" w:eastAsia="IRNazanin" w:cs="IRNazanin"/>
          <w:lang w:bidi="fa-IR"/>
          <w:color w:val="111111"/>
          <w:sz w:val="28"/>
          <w:szCs w:val="28"/>
          <w:rtl/>
        </w:rPr>
        <w:t xml:space="preserve">و لو أبیت إلّا عن ظهور النبویّین فی الفساد بمعنی لغویّة العقد رأساً المنافیة لوقوعه مراعی،دار الأمر بین ارتکاب خلاف هذا الظاهر، و بین إخراج بیع الرهن،و بیع ما یملکه بعد البیع و بیع العبد الجانی عمداً و بیع المحجور لرقٍّ أو سفهٍ أو فلس،فإنّ البائع فی هذه الموارد عاجز شرعاً عن التسلیم،و لا رجحان لهذه التخصیصات،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فحینئذٍ لا مانع عن التزام وقوع بیع کلّ ما یعجز عن تسلیمه مع رجاء التمکّن منه مراعی</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0" w:name="pg14419_167088"/>
    <w:bookmarkEnd w:id="230"/>
    <w:p>
      <w:pPr>
        <w:pStyle w:val="BookText"/>
      </w:pPr>
      <w:r>
        <w:rPr>
          <w:rFonts w:ascii="IRNazanin" w:hAnsi="IRNazanin" w:eastAsia="IRNazanin" w:cs="IRNazanin"/>
          <w:lang w:bidi="fa-IR"/>
          <w:color w:val="111111"/>
          <w:sz w:val="28"/>
          <w:szCs w:val="28"/>
          <w:rtl/>
        </w:rPr>
        <w:t xml:space="preserve">بالتمکّن منه فی زمانٍ لا یفوت الانتفاع المعتدّ به.</w:t>
      </w:r>
    </w:p>
    <w:p>
      <w:pPr>
        <w:pStyle w:val="BookText"/>
      </w:pPr>
      <w:r>
        <w:rPr>
          <w:rFonts w:ascii="IRNazanin" w:hAnsi="IRNazanin" w:eastAsia="IRNazanin" w:cs="IRNazanin"/>
          <w:lang w:bidi="fa-IR"/>
          <w:color w:val="111111"/>
          <w:sz w:val="28"/>
          <w:szCs w:val="28"/>
          <w:rtl/>
        </w:rPr>
        <w:t xml:space="preserve">و قد صرّح الشهید فی اللمعة بجواز بیع الضالّ و المجحود من غیر إباقٍ مراعیً بإمکان التسلیم </w:t>
      </w:r>
      <w:r>
        <w:rPr>
          <w:rStyle w:val="FootnoteReference"/>
        </w:rPr>
        <w:footnoteReference w:id="1508"/>
      </w:r>
      <w:r>
        <w:rPr>
          <w:rFonts w:ascii="IRNazanin" w:hAnsi="IRNazanin" w:eastAsia="IRNazanin" w:cs="IRNazanin"/>
          <w:lang w:bidi="fa-IR"/>
          <w:color w:val="111111"/>
          <w:sz w:val="28"/>
          <w:szCs w:val="28"/>
          <w:rtl/>
        </w:rPr>
        <w:t xml:space="preserve">،و احتمله فی التذکرة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الإنصاف:أنّ الظاهر من حال الفقهاء اتّفاقهم علی فساد بیع الغرر بمعنی عدم تأثیره رأساً،کما عرفت من الإیضاح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6"/>
      </w:pPr>
      <w:bookmarkStart w:id="1043" w:name="_Toc483"/>
      <w:r>
        <w:t>و منها : أنّ لازم العقد وجوب تسلیم کلٍّ من المتبایعین العوضین إلی صاحبه</w:t>
      </w:r>
      <w:bookmarkEnd w:id="1043"/>
    </w:p>
    <w:p>
      <w:pPr>
        <w:pStyle w:val="BookText"/>
      </w:pPr>
      <w:r>
        <w:rPr>
          <w:rFonts w:ascii="IRNazanin" w:hAnsi="IRNazanin" w:eastAsia="IRNazanin" w:cs="IRNazanin"/>
          <w:lang w:bidi="fa-IR"/>
          <w:color w:val="111111"/>
          <w:sz w:val="28"/>
          <w:szCs w:val="28"/>
          <w:rtl/>
        </w:rPr>
        <w:t xml:space="preserve">فیجب أن یکون مقدوراً؛لاستحالة التکلیف بالممتنع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إن أُرید أنّ لازم العقد وجوب التسلیم وجوباً مطلقاً،منعنا الملازمة،و إن أُرید مطلق وجوبه،فلا ینافی کونه مشروطاً بالتمکّن،کما لو تجدّد العجز بعد العقد.</w:t>
      </w:r>
    </w:p>
    <w:p>
      <w:pPr>
        <w:pStyle w:val="BookText"/>
      </w:pPr>
      <w:r>
        <w:rPr>
          <w:rFonts w:ascii="IRNazanin" w:hAnsi="IRNazanin" w:eastAsia="IRNazanin" w:cs="IRNazanin"/>
          <w:lang w:bidi="fa-IR"/>
          <w:color w:val="111111"/>
          <w:sz w:val="28"/>
          <w:szCs w:val="28"/>
          <w:rtl/>
        </w:rPr>
        <w:t xml:space="preserve">و قد یعترض بأصالة عدم تقیّد الوجوب،ثمّ یدفع بمعارضته بأصالة عدم تقیّد البیع بهذا الشرط.و فی الاعتراض و المعارضة نظر واضح،فافهم.</w:t>
      </w:r>
    </w:p>
    <w:p>
      <w:pPr>
        <w:pStyle w:val="Heading6"/>
      </w:pPr>
      <w:bookmarkStart w:id="1044" w:name="_Toc484"/>
      <w:r>
        <w:t>و منها : أنّ الغرض من البیع انتفاع کلٍّ منهما بما یصیر إلیه</w:t>
      </w:r>
      <w:bookmarkEnd w:id="1044"/>
    </w:p>
    <w:p>
      <w:pPr>
        <w:pStyle w:val="BookText"/>
      </w:pPr>
      <w:r>
        <w:rPr>
          <w:rFonts w:ascii="Amiri" w:hAnsi="Amiri" w:eastAsia="Amiri" w:cs="Amiri"/>
          <w:lang w:bidi="ar-SA"/>
          <w:color w:val="111111"/>
          <w:sz w:val="28"/>
          <w:szCs w:val="28"/>
          <w:rtl/>
        </w:rPr>
        <w:t xml:space="preserve">و لا یتمّ إلّا بالتسلیم.</w:t>
      </w:r>
    </w:p>
    <w:p>
      <w:pPr>
        <w:pStyle w:val="BookText"/>
      </w:pPr>
      <w:r>
        <w:rPr>
          <w:rFonts w:ascii="IRNazanin" w:hAnsi="IRNazanin" w:eastAsia="IRNazanin" w:cs="IRNazanin"/>
          <w:lang w:bidi="fa-IR"/>
          <w:color w:val="111111"/>
          <w:sz w:val="28"/>
          <w:szCs w:val="28"/>
          <w:rtl/>
        </w:rPr>
        <w:t xml:space="preserve">و یضعّفه:منع توقّف مطلق الانتفاع علی التسلیم،بل منع عدم کون الغرض منه إلّا الانتفاع بعد التسلیم لا الانتفاع المطلق.</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1" w:name="pg14419_167089"/>
    <w:bookmarkEnd w:id="231"/>
    <w:p>
      <w:pPr>
        <w:pStyle w:val="Heading6"/>
      </w:pPr>
      <w:bookmarkStart w:id="1045" w:name="_Toc485"/>
      <w:r>
        <w:t>و منها : أنّ بذل الثمن علی غیر المقدور سفهٌ</w:t>
      </w:r>
      <w:bookmarkEnd w:id="1045"/>
    </w:p>
    <w:p>
      <w:pPr>
        <w:pStyle w:val="BookText"/>
      </w:pPr>
      <w:r>
        <w:rPr>
          <w:rFonts w:ascii="IRNazanin" w:hAnsi="IRNazanin" w:eastAsia="IRNazanin" w:cs="IRNazanin"/>
          <w:lang w:bidi="fa-IR"/>
          <w:color w:val="111111"/>
          <w:sz w:val="28"/>
          <w:szCs w:val="28"/>
          <w:rtl/>
        </w:rPr>
        <w:t xml:space="preserve">فیکون ممنوعاً و أکله أکلاً بالباطل.</w:t>
      </w:r>
    </w:p>
    <w:p>
      <w:pPr>
        <w:pStyle w:val="BookText"/>
      </w:pPr>
      <w:r>
        <w:rPr>
          <w:rFonts w:ascii="IRNazanin" w:hAnsi="IRNazanin" w:eastAsia="IRNazanin" w:cs="IRNazanin"/>
          <w:lang w:bidi="fa-IR"/>
          <w:color w:val="111111"/>
          <w:sz w:val="28"/>
          <w:szCs w:val="28"/>
          <w:rtl/>
        </w:rPr>
        <w:t xml:space="preserve">و فیه:أنّ بذل المال القلیل فی مقابل المال الکثیر المحتمل الحصول لیس سفهاً،بل ترکه اعتذاراً بعدم العلم بحصول العوض </w:t>
      </w:r>
      <w:r>
        <w:rPr>
          <w:rStyle w:val="FootnoteReference"/>
        </w:rPr>
        <w:footnoteReference w:id="1512"/>
      </w:r>
      <w:r>
        <w:rPr>
          <w:rFonts w:ascii="Amiri" w:hAnsi="Amiri" w:eastAsia="Amiri" w:cs="Amiri"/>
          <w:lang w:bidi="ar-SA"/>
          <w:color w:val="111111"/>
          <w:sz w:val="28"/>
          <w:szCs w:val="28"/>
          <w:rtl/>
        </w:rPr>
        <w:t xml:space="preserve">سفهٌ،فافهم.</w:t>
      </w:r>
    </w:p>
    <w:p>
      <w:pPr>
        <w:pStyle w:val="Heading6"/>
      </w:pPr>
      <w:bookmarkStart w:id="1046" w:name="_Toc486"/>
      <w:r>
        <w:t>[هل القدرة شرط أو العجز مانع]</w:t>
      </w:r>
      <w:bookmarkEnd w:id="1046"/>
    </w:p>
    <w:p>
      <w:pPr>
        <w:pStyle w:val="Heading6"/>
      </w:pPr>
      <w:bookmarkStart w:id="1047" w:name="_Toc487"/>
      <w:r>
        <w:t>اشارة</w:t>
      </w:r>
      <w:bookmarkEnd w:id="1047"/>
    </w:p>
    <w:p>
      <w:pPr>
        <w:pStyle w:val="BookText"/>
      </w:pPr>
      <w:r>
        <w:rPr>
          <w:rFonts w:ascii="IRNazanin" w:hAnsi="IRNazanin" w:eastAsia="IRNazanin" w:cs="IRNazanin"/>
          <w:lang w:bidi="fa-IR"/>
          <w:color w:val="111111"/>
          <w:sz w:val="28"/>
          <w:szCs w:val="28"/>
          <w:rtl/>
        </w:rPr>
        <w:t xml:space="preserve">ثمّ إنّ ظاهر معاقد الإجماعات کما عرفت کون القدرة شرطاً، کما هو کذلک فی التکالیف،و قد أُکّد الشرطیّة فی عبارة الغنیة المتقدّمة </w:t>
      </w:r>
      <w:r>
        <w:rPr>
          <w:rStyle w:val="FootnoteReference"/>
        </w:rPr>
        <w:footnoteReference w:id="1513"/>
      </w:r>
      <w:r>
        <w:rPr>
          <w:rFonts w:ascii="IRNazanin" w:hAnsi="IRNazanin" w:eastAsia="IRNazanin" w:cs="IRNazanin"/>
          <w:lang w:bidi="fa-IR"/>
          <w:color w:val="111111"/>
          <w:sz w:val="28"/>
          <w:szCs w:val="28"/>
          <w:rtl/>
        </w:rPr>
        <w:t xml:space="preserve">، حیث حکم بعدم جواز بیع ما لا یمکن فیه التسلیم،فینتفی المشروط عند انتفاء الشرط.و مع ذلک کلّه</w:t>
      </w:r>
    </w:p>
    <w:p>
      <w:pPr>
        <w:pStyle w:val="Heading6"/>
      </w:pPr>
      <w:bookmarkStart w:id="1048" w:name="_Toc488"/>
      <w:r>
        <w:t>[المناقشة فیما استظهره صاحب الجواهر]</w:t>
      </w:r>
      <w:bookmarkEnd w:id="1048"/>
    </w:p>
    <w:p>
      <w:pPr>
        <w:pStyle w:val="BookText"/>
      </w:pPr>
      <w:r>
        <w:rPr>
          <w:rFonts w:ascii="IRNazanin" w:hAnsi="IRNazanin" w:eastAsia="IRNazanin" w:cs="IRNazanin"/>
          <w:lang w:bidi="fa-IR"/>
          <w:color w:val="111111"/>
          <w:sz w:val="28"/>
          <w:szCs w:val="28"/>
          <w:rtl/>
        </w:rPr>
        <w:t xml:space="preserve">فقد استظهر بعضٌ </w:t>
      </w:r>
      <w:r>
        <w:rPr>
          <w:rStyle w:val="FootnoteReference"/>
        </w:rPr>
        <w:footnoteReference w:id="1514"/>
      </w:r>
      <w:r>
        <w:rPr>
          <w:rFonts w:ascii="IRNazanin" w:hAnsi="IRNazanin" w:eastAsia="IRNazanin" w:cs="IRNazanin"/>
          <w:lang w:bidi="fa-IR"/>
          <w:color w:val="111111"/>
          <w:sz w:val="28"/>
          <w:szCs w:val="28"/>
          <w:rtl/>
        </w:rPr>
        <w:t xml:space="preserve">من تلک العبارة:</w:t>
      </w:r>
    </w:p>
    <w:p>
      <w:pPr>
        <w:pStyle w:val="BookText"/>
      </w:pPr>
      <w:r>
        <w:rPr>
          <w:rFonts w:ascii="IRNazanin" w:hAnsi="IRNazanin" w:eastAsia="IRNazanin" w:cs="IRNazanin"/>
          <w:lang w:bidi="fa-IR"/>
          <w:color w:val="111111"/>
          <w:sz w:val="28"/>
          <w:szCs w:val="28"/>
          <w:rtl/>
        </w:rPr>
        <w:t xml:space="preserve">أنّ العجز مانعٌ،لا أنّ القدرة شرطٌ.قال:و یظهر الثمرة فی موضع الشکّ،ثمّ ذکر اختلاف الأصحاب فی مسألة الضالّ و الضالّة،و جعله دلیلاً علی أنّ القدر المتّفق علیه ما إذا تحقّق العجز.</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 مع </w:t>
      </w:r>
      <w:r>
        <w:rPr>
          <w:rStyle w:val="FootnoteReference"/>
        </w:rPr>
        <w:footnoteReference w:id="1515"/>
      </w:r>
      <w:r>
        <w:rPr>
          <w:rFonts w:ascii="IRNazanin" w:hAnsi="IRNazanin" w:eastAsia="IRNazanin" w:cs="IRNazanin"/>
          <w:lang w:bidi="fa-IR"/>
          <w:color w:val="111111"/>
          <w:sz w:val="28"/>
          <w:szCs w:val="28"/>
          <w:rtl/>
        </w:rPr>
        <w:t xml:space="preserve">ما عرفت من أنّ صریح معاقد الإجماع،خصوصاً عبارة الغنیة المتأکّدة بالتصریح بالانتفاء عند الانتفاء،هی شرطیّة القدرة-:أنّ العجز أمرٌ عدمیّ؛لأنّه عدم القدرة عمّن من شأنه صنفاً أو نوعاً أو جنساً أن یقدر،فکیف یکون مانعاً؟مع أنّ المانع هو الأمر الوجودی الذی یلزم من وجوده العدم؟ثمّ لو سلّم صحّة إطلاق «المانع»علیه لا ثمرة فیه،لا فی صورة الشکّ الموضوعی أو الحکمی،</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2" w:name="pg14419_167090"/>
    <w:bookmarkEnd w:id="232"/>
    <w:p>
      <w:pPr>
        <w:pStyle w:val="BookText"/>
      </w:pPr>
      <w:r>
        <w:rPr>
          <w:rFonts w:ascii="IRNazanin" w:hAnsi="IRNazanin" w:eastAsia="IRNazanin" w:cs="IRNazanin"/>
          <w:lang w:bidi="fa-IR"/>
          <w:color w:val="111111"/>
          <w:sz w:val="28"/>
          <w:szCs w:val="28"/>
          <w:rtl/>
        </w:rPr>
        <w:t xml:space="preserve">و لا فی غیرهما؛فإنّا إذا شککنا فی تحقّق القدرة و العجز مع سبق القدرة فالأصل بقاؤها،أو لا معه فالأصل عدمها أعنی العجز سواء جعل القدرة شرطاً أو العجز مانعاً،و إذا شککنا فی أنّ الخارج عن عمومات الصحّة هو العجز المستمرّ أو العجز فی الجملة أو شککنا فی أنّ المراد بالعجز ما یعمّ التعسّر کما حکی </w:t>
      </w:r>
      <w:r>
        <w:rPr>
          <w:rStyle w:val="FootnoteReference"/>
        </w:rPr>
        <w:footnoteReference w:id="1516"/>
      </w:r>
      <w:r>
        <w:rPr>
          <w:rFonts w:ascii="IRNazanin" w:hAnsi="IRNazanin" w:eastAsia="IRNazanin" w:cs="IRNazanin"/>
          <w:lang w:bidi="fa-IR"/>
          <w:color w:val="111111"/>
          <w:sz w:val="28"/>
          <w:szCs w:val="28"/>
          <w:rtl/>
        </w:rPr>
        <w:t xml:space="preserve">أم خصوص التعذّر،فاللازم التمسّک بعمومات الصحّة من غیر فرقٍ بین تسمیة القدرة شرطاً أو العجز مانعاً.</w:t>
      </w:r>
    </w:p>
    <w:p>
      <w:pPr>
        <w:pStyle w:val="BookText"/>
      </w:pPr>
      <w:r>
        <w:rPr>
          <w:rFonts w:ascii="IRNazanin" w:hAnsi="IRNazanin" w:eastAsia="IRNazanin" w:cs="IRNazanin"/>
          <w:lang w:bidi="fa-IR"/>
          <w:color w:val="111111"/>
          <w:sz w:val="28"/>
          <w:szCs w:val="28"/>
          <w:rtl/>
        </w:rPr>
        <w:t xml:space="preserve">و الحاصل:أنّ التردّد بین شرطیّة الشیء و مانعیّة مقابله إنّما یصحّ و یثمر فی الضدّین مثل الفسق و العدالة،لا فیما نحن فیه و شبهه کالعلم و الجهل.و أمّا اختلاف الأصحاب فی مسألة الضالّ و الضالّة فلیس لشکّ المالک فی القدرة و العجز،و مبنیّاً علی کون القدرة شرطاً أو العجز مانعاً کما یظهر من أدلّتهم علی الصحّة و الفساد بل لما سیجیء عند التعرّض لحکمها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6"/>
      </w:pPr>
      <w:bookmarkStart w:id="1049" w:name="_Toc489"/>
      <w:r>
        <w:t>[العبرة بالقدرة فی زمان الاستحقاق]</w:t>
      </w:r>
      <w:bookmarkEnd w:id="1049"/>
    </w:p>
    <w:p>
      <w:pPr>
        <w:pStyle w:val="BookText"/>
      </w:pPr>
      <w:r>
        <w:rPr>
          <w:rFonts w:ascii="IRNazanin" w:hAnsi="IRNazanin" w:eastAsia="IRNazanin" w:cs="IRNazanin"/>
          <w:lang w:bidi="fa-IR"/>
          <w:color w:val="111111"/>
          <w:sz w:val="28"/>
          <w:szCs w:val="28"/>
          <w:rtl/>
        </w:rPr>
        <w:t xml:space="preserve">ثمّ إنّ العبرة فی الشرط المذکور إنّما هو فی زمان استحقاق التسلیم،فلا ینفع وجودها حال العقد إذا علم بعدمها حال استحقاق التسلیم؛کما لا یقدح عدمها قبل الاستحقاق و لو حین العقد.و یتفرّع علی ذلک:عدم اعتبارها أصلاً إذا کانت العین فی ید المشتری،و فیما لم </w:t>
      </w:r>
      <w:r>
        <w:rPr>
          <w:rStyle w:val="FootnoteReference"/>
        </w:rPr>
        <w:footnoteReference w:id="1518"/>
      </w:r>
      <w:r>
        <w:rPr>
          <w:rFonts w:ascii="IRNazanin" w:hAnsi="IRNazanin" w:eastAsia="IRNazanin" w:cs="IRNazanin"/>
          <w:lang w:bidi="fa-IR"/>
          <w:color w:val="111111"/>
          <w:sz w:val="28"/>
          <w:szCs w:val="28"/>
          <w:rtl/>
        </w:rPr>
        <w:t xml:space="preserve">یعتبر التسلیم فیه رأساً،کما إذا اشتری من ینعتق علیه،فإنّه ینعتق</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بمجرّد الشراء و لا سبیل لأحدٍ علیه.و فیما إذا لم یستحقّ التسلیم بمجرّد العقد،إمّا لاشتراط تأخیره مدّة،و إمّا لتزلزل العقد کما إذا اشتری فضولاً؛فإنّه لا یستحقّ التسلیم إلّا بعد إجازة المالک،فلا یعتبر القدرة علی التسلیم قبلها.لکن یشکل علی الکشف،من حیث إنّه لازمٌ من طرف الأصیل،فیتحقّق الغَرَر بالنسبة إلیه إذا انتقل إلیه ما لا </w:t>
      </w:r>
      <w:r>
        <w:rPr>
          <w:rStyle w:val="FootnoteReference"/>
        </w:rPr>
        <w:footnoteReference w:id="1519"/>
      </w:r>
      <w:r>
        <w:rPr>
          <w:rFonts w:ascii="IRNazanin" w:hAnsi="IRNazanin" w:eastAsia="IRNazanin" w:cs="IRNazanin"/>
          <w:lang w:bidi="fa-IR"/>
          <w:color w:val="111111"/>
          <w:sz w:val="28"/>
          <w:szCs w:val="28"/>
          <w:rtl/>
        </w:rPr>
        <w:t xml:space="preserve">یقدر علی تحصیله.نعم،هو حسنٌ فی الفضولی من الطرفین.</w:t>
      </w:r>
    </w:p>
    <w:p>
      <w:pPr>
        <w:pStyle w:val="BookText"/>
      </w:pPr>
      <w:r>
        <w:rPr>
          <w:rFonts w:ascii="IRNazanin" w:hAnsi="IRNazanin" w:eastAsia="IRNazanin" w:cs="IRNazanin"/>
          <w:lang w:bidi="fa-IR"/>
          <w:color w:val="111111"/>
          <w:sz w:val="28"/>
          <w:szCs w:val="28"/>
          <w:rtl/>
        </w:rPr>
        <w:t xml:space="preserve">و مثله بیع الرهن قبل إجازة المرتهن أو فکّه.بل و کذا لو لم یقدر علی تسلیم ثمن السلَم؛لأنّ تأثیر العقد قبل التسلیم فی المجلس موقوف علی تحقّقه فلا یلزم غررٌ.و لو تعذّر التسلیم بعد العقد رجع إلی تعذّر الشرط،و من المعلوم:أنّ تعذّر الشرط المتأخّر حال العقد غیر قادح، بل لا یقدح العلم بتعذّره فیما بعده فی تأثیر العقد إذا اتّفق حصوله،فإنّ الشروط المتأخّرة لا یجب إحرازها حال العقد و لا العلم بتحقّقها فیما بعد.</w:t>
      </w:r>
    </w:p>
    <w:p>
      <w:pPr>
        <w:pStyle w:val="BookText"/>
      </w:pPr>
      <w:r>
        <w:rPr>
          <w:rFonts w:ascii="IRNazanin" w:hAnsi="IRNazanin" w:eastAsia="IRNazanin" w:cs="IRNazanin"/>
          <w:lang w:bidi="fa-IR"/>
          <w:color w:val="111111"/>
          <w:sz w:val="28"/>
          <w:szCs w:val="28"/>
          <w:rtl/>
        </w:rPr>
        <w:t xml:space="preserve">و الحاصل:أنّ تعذّر التسلیم مانعٌ فی بیعٍ یکون التسلیم من أحکامه،لا من شروط تأثیره.و السرّ فیه:أنّ التسلیم فیه جزء الناقل،فلا یلزم غررٌ من تعلّقه بغیر المقدور.</w:t>
      </w:r>
    </w:p>
    <w:p>
      <w:pPr>
        <w:pStyle w:val="BookText"/>
      </w:pPr>
      <w:r>
        <w:rPr>
          <w:rFonts w:ascii="IRNazanin" w:hAnsi="IRNazanin" w:eastAsia="IRNazanin" w:cs="IRNazanin"/>
          <w:lang w:bidi="fa-IR"/>
          <w:color w:val="111111"/>
          <w:sz w:val="28"/>
          <w:szCs w:val="28"/>
          <w:rtl/>
        </w:rPr>
        <w:t xml:space="preserve">و بعبارة اخری:الاعتبار بالقدرة علی التسلیم بعد تمام الناقل </w:t>
      </w:r>
      <w:r>
        <w:rPr>
          <w:rStyle w:val="FootnoteReference"/>
        </w:rPr>
        <w:footnoteReference w:id="1520"/>
      </w:r>
      <w:r>
        <w:rPr>
          <w:rFonts w:ascii="IRNazanin" w:hAnsi="IRNazanin" w:eastAsia="IRNazanin" w:cs="IRNazanin"/>
          <w:lang w:bidi="fa-IR"/>
          <w:color w:val="111111"/>
          <w:sz w:val="28"/>
          <w:szCs w:val="28"/>
          <w:rtl/>
        </w:rPr>
        <w:t xml:space="preserve">، و لهذا لا یقدح کونه عاجزاً قبل القبول إذا علم بتجدّد القدرة بعده، و المفروض أنّ المبیع بعد تحقّق الجزء الأخیر من الناقل و هو القبض-</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فی ید المشتری؛فالقبض مثل الإجازة بناءً علی النقل،و أولی منها بناءً علی الکشف.</w:t>
      </w:r>
    </w:p>
    <w:p>
      <w:pPr>
        <w:pStyle w:val="BookText"/>
      </w:pPr>
      <w:r>
        <w:rPr>
          <w:rFonts w:ascii="IRNazanin" w:hAnsi="IRNazanin" w:eastAsia="IRNazanin" w:cs="IRNazanin"/>
          <w:lang w:bidi="fa-IR"/>
          <w:color w:val="111111"/>
          <w:sz w:val="28"/>
          <w:szCs w:val="28"/>
          <w:rtl/>
        </w:rPr>
        <w:t xml:space="preserve">و کذلک الکلام فی عقد الرهن،فإنّ اشتراط القدرة علی التسلیم فیه بناءً علی اشتراط القبض إنّما هو من حیث اشتراط القبض،فلا یجب </w:t>
      </w:r>
      <w:r>
        <w:rPr>
          <w:rStyle w:val="FootnoteReference"/>
        </w:rPr>
        <w:footnoteReference w:id="1521"/>
      </w:r>
      <w:r>
        <w:rPr>
          <w:rFonts w:ascii="IRNazanin" w:hAnsi="IRNazanin" w:eastAsia="IRNazanin" w:cs="IRNazanin"/>
          <w:lang w:bidi="fa-IR"/>
          <w:color w:val="111111"/>
          <w:sz w:val="28"/>
          <w:szCs w:val="28"/>
          <w:rtl/>
        </w:rPr>
        <w:t xml:space="preserve">إحرازه حین الرهن و لا العلم بتحقّقه بعده،فلو رهن ما یتعذّر تسلیمه ثمّ اتّفق حصوله فی ید المرتهن أثّر العقد أثره،و سیجیء الکلام فی باب الرهن.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اللهمّ إلّا أن یقال:إنّ المنفیّ فی النبویّ </w:t>
      </w:r>
      <w:r>
        <w:rPr>
          <w:rStyle w:val="FootnoteReference"/>
        </w:rPr>
        <w:footnoteReference w:id="1522"/>
      </w:r>
      <w:r>
        <w:rPr>
          <w:rFonts w:ascii="IRNazanin" w:hAnsi="IRNazanin" w:eastAsia="IRNazanin" w:cs="IRNazanin"/>
          <w:lang w:bidi="fa-IR"/>
          <w:color w:val="111111"/>
          <w:sz w:val="28"/>
          <w:szCs w:val="28"/>
          <w:rtl/>
        </w:rPr>
        <w:t xml:space="preserve">هو کلّ معاملة تکون بحسب العرف غرراً،فالبیع المشروط فیه القبض کالصرْف و السلَم إذا وقع علی عوضٍ مجهولٍ قبل القبض أو غیر مقدورٍ،غررٌ عرفاً؛لأنّ اشتراط القبض فی نقل العوضین شرعیٌّ لا عرفیّ،فیصدق الغرر و الخطر عرفاً و إن لم یتحقّق شرعاً؛إذ قبل التسلیم لا انتقال و بعده لا خطر، لکن النهی و الفساد یتبعان بیع الغرر عرفاً.</w:t>
      </w:r>
    </w:p>
    <w:p>
      <w:pPr>
        <w:pStyle w:val="BookText"/>
      </w:pPr>
      <w:r>
        <w:rPr>
          <w:rFonts w:ascii="IRNazanin" w:hAnsi="IRNazanin" w:eastAsia="IRNazanin" w:cs="IRNazanin"/>
          <w:lang w:bidi="fa-IR"/>
          <w:color w:val="111111"/>
          <w:sz w:val="28"/>
          <w:szCs w:val="28"/>
          <w:rtl/>
        </w:rPr>
        <w:t xml:space="preserve">و من هنا یمکن الحکم بفساد بیع غیر المالک إذا باع لنفسه لا عن المالک ما لا یقدر علی تسلیمه.اللهمّ إلّا أن یمنع الغرر العرفیّ بعد الاطّلاع علی کون أثر </w:t>
      </w:r>
      <w:r>
        <w:rPr>
          <w:rStyle w:val="FootnoteReference"/>
        </w:rPr>
        <w:footnoteReference w:id="1523"/>
      </w:r>
      <w:r>
        <w:rPr>
          <w:rFonts w:ascii="IRNazanin" w:hAnsi="IRNazanin" w:eastAsia="IRNazanin" w:cs="IRNazanin"/>
          <w:lang w:bidi="fa-IR"/>
          <w:color w:val="111111"/>
          <w:sz w:val="28"/>
          <w:szCs w:val="28"/>
          <w:rtl/>
        </w:rPr>
        <w:t xml:space="preserve">المعاملة شرعاً علی وجه لا یلزم منه خطر، فإنّ العرف إذا اطّلعوا علی انعتاق القریب بمجرّد شرائه لم یحکموا بالخطر أصلاً،و هکذا..فالمناط صدق الغرر عرفاً بعد ملاحظة الآثار الشرعیّة للمعاملة،فتأمّل.</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3" w:name="pg14419_167093"/>
    <w:bookmarkEnd w:id="233"/>
    <w:p>
      <w:pPr>
        <w:pStyle w:val="BookText"/>
      </w:pPr>
      <w:r>
        <w:rPr>
          <w:rFonts w:ascii="IRNazanin" w:hAnsi="IRNazanin" w:eastAsia="IRNazanin" w:cs="IRNazanin"/>
          <w:lang w:bidi="fa-IR"/>
          <w:color w:val="111111"/>
          <w:sz w:val="28"/>
          <w:szCs w:val="28"/>
          <w:rtl/>
        </w:rPr>
        <w:t xml:space="preserve">ثمّ إنّ الخلاف فی أصل المسألة لم یظهر إلّا من الفاضل القطیفی المعاصر للمحقّق الثانی،حیث حکی عنه أنّه قال فی إیضاح النافع:</w:t>
      </w:r>
    </w:p>
    <w:p>
      <w:pPr>
        <w:pStyle w:val="BookText"/>
      </w:pPr>
      <w:r>
        <w:rPr>
          <w:rFonts w:ascii="IRNazanin" w:hAnsi="IRNazanin" w:eastAsia="IRNazanin" w:cs="IRNazanin"/>
          <w:lang w:bidi="fa-IR"/>
          <w:color w:val="111111"/>
          <w:sz w:val="28"/>
          <w:szCs w:val="28"/>
          <w:rtl/>
        </w:rPr>
        <w:t xml:space="preserve">إنّ القدرة علی التسلیم من مصالح المشتری فقط،لا أنّها شرطٌ فی أصل صحّة البیع،فلو قدر علی التسلّم صحّ البیع و إن لم یکن البائع قادراً علیه،بل لو رضی بالابتیاع مع علمه بعدم تمکّن البائع من </w:t>
      </w:r>
      <w:r>
        <w:rPr>
          <w:rStyle w:val="FootnoteReference"/>
        </w:rPr>
        <w:footnoteReference w:id="1524"/>
      </w:r>
      <w:r>
        <w:rPr>
          <w:rFonts w:ascii="IRNazanin" w:hAnsi="IRNazanin" w:eastAsia="IRNazanin" w:cs="IRNazanin"/>
          <w:lang w:bidi="fa-IR"/>
          <w:color w:val="111111"/>
          <w:sz w:val="28"/>
          <w:szCs w:val="28"/>
          <w:rtl/>
        </w:rPr>
        <w:t xml:space="preserve">التسلیم جاز و ینتقل إلیه،و لا یرجع علی البائع؛لعدم القدرة إذا کان البیع علی ذلک مع العلم،فیصحّ بیع المغصوب و نحوه.نعم،إذا لم یکن المبیع من شأنه أن یُقبض عرفاً لم یصحّ المعاوضة علیه بالبیع؛لأنّه فی معنی أکل مالٍ بالباطل،و ربما احتمل إمکان المصالحة علیه.و من هنا یعلم:أنّ قوله یعنی المحقّق فی النافع-:«لو باع الآبقَ منفرداً لم یصحّ»،إنّما هو مع عدم رضا المشتری،أو مع عدم علمه،أو کونه بحیث لا یتمکّن منه عرفاً،و لو أراد غیر ذلک فهو غیر مسلّم </w:t>
      </w:r>
      <w:r>
        <w:rPr>
          <w:rStyle w:val="FootnoteReference"/>
        </w:rPr>
        <w:footnoteReference w:id="152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فیه:ما عرفت من الإجماع،و لزوم الغرر الغیر المندفع بعلم المشتری؛لأنّ الشارع نهی عن الإقدام علیه،إلّا أن یجعل الغرر هنا بمعنی الخدیعة،فیبطل فی موضع تحقّقه،و هو عند جهل المشتری.و فیه ما فیه.</w:t>
      </w:r>
    </w:p>
    <w:p>
      <w:pPr>
        <w:pStyle w:val="Heading6"/>
      </w:pPr>
      <w:bookmarkStart w:id="1050" w:name="_Toc490"/>
      <w:r>
        <w:t>[القدرة علی التسلیم شرط بالتبع و المقصد الأصلی هو التسلم]</w:t>
      </w:r>
      <w:bookmarkEnd w:id="1050"/>
    </w:p>
    <w:p>
      <w:pPr>
        <w:pStyle w:val="BookText"/>
      </w:pPr>
      <w:r>
        <w:rPr>
          <w:rFonts w:ascii="IRNazanin" w:hAnsi="IRNazanin" w:eastAsia="IRNazanin" w:cs="IRNazanin"/>
          <w:lang w:bidi="fa-IR"/>
          <w:color w:val="111111"/>
          <w:sz w:val="28"/>
          <w:szCs w:val="28"/>
          <w:rtl/>
        </w:rPr>
        <w:t xml:space="preserve">ثمّ إنّ الظاهر کما اعترف به بعض الأساطین </w:t>
      </w:r>
      <w:r>
        <w:rPr>
          <w:rStyle w:val="FootnoteReference"/>
        </w:rPr>
        <w:footnoteReference w:id="1526"/>
      </w:r>
      <w:r>
        <w:rPr>
          <w:rFonts w:ascii="IRNazanin" w:hAnsi="IRNazanin" w:eastAsia="IRNazanin" w:cs="IRNazanin"/>
          <w:lang w:bidi="fa-IR"/>
          <w:color w:val="111111"/>
          <w:sz w:val="28"/>
          <w:szCs w:val="28"/>
          <w:rtl/>
        </w:rPr>
        <w:t xml:space="preserve">-:أنّ القدرة علی التسلیم لیست مقصودة بالاشتراط إلّا بالتبع،و إنّما المقصد الأصلی هو</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التسلّم،و من هنا لو کان المشتری قادراً دون البائع کفی فی الصحّة،کما عن الإسکافی </w:t>
      </w:r>
      <w:r>
        <w:rPr>
          <w:rStyle w:val="FootnoteReference"/>
        </w:rPr>
        <w:footnoteReference w:id="1527"/>
      </w:r>
      <w:r>
        <w:rPr>
          <w:rFonts w:ascii="Amiri" w:hAnsi="Amiri" w:eastAsia="Amiri" w:cs="Amiri"/>
          <w:lang w:bidi="ar-SA"/>
          <w:color w:val="111111"/>
          <w:sz w:val="28"/>
          <w:szCs w:val="28"/>
          <w:rtl/>
        </w:rPr>
        <w:t xml:space="preserve">و العلّامة </w:t>
      </w:r>
      <w:r>
        <w:rPr>
          <w:rStyle w:val="FootnoteReference"/>
        </w:rPr>
        <w:footnoteReference w:id="1528"/>
      </w:r>
      <w:r>
        <w:rPr>
          <w:rFonts w:ascii="IRNazanin" w:hAnsi="IRNazanin" w:eastAsia="IRNazanin" w:cs="IRNazanin"/>
          <w:lang w:bidi="fa-IR"/>
          <w:color w:val="111111"/>
          <w:sz w:val="28"/>
          <w:szCs w:val="28"/>
          <w:rtl/>
        </w:rPr>
        <w:t xml:space="preserve">و کاشف الرموز </w:t>
      </w:r>
      <w:r>
        <w:rPr>
          <w:rStyle w:val="FootnoteReference"/>
        </w:rPr>
        <w:footnoteReference w:id="1529"/>
      </w:r>
      <w:r>
        <w:rPr>
          <w:rFonts w:ascii="IRNazanin" w:hAnsi="IRNazanin" w:eastAsia="IRNazanin" w:cs="IRNazanin"/>
          <w:lang w:bidi="fa-IR"/>
          <w:color w:val="111111"/>
          <w:sz w:val="28"/>
          <w:szCs w:val="28"/>
          <w:rtl/>
        </w:rPr>
        <w:t xml:space="preserve">و الشهیدین </w:t>
      </w:r>
      <w:r>
        <w:rPr>
          <w:rStyle w:val="FootnoteReference"/>
        </w:rPr>
        <w:footnoteReference w:id="1530"/>
      </w:r>
      <w:r>
        <w:rPr>
          <w:rFonts w:ascii="IRNazanin" w:hAnsi="IRNazanin" w:eastAsia="IRNazanin" w:cs="IRNazanin"/>
          <w:lang w:bidi="fa-IR"/>
          <w:color w:val="111111"/>
          <w:sz w:val="28"/>
          <w:szCs w:val="28"/>
          <w:rtl/>
        </w:rPr>
        <w:t xml:space="preserve">و المحقّق الثانی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ظاهر الانتصار:أنّ صحّة بیع الآبق علی من یقدر علی تسلّمه ممّا انفردت به الإمامیّة </w:t>
      </w:r>
      <w:r>
        <w:rPr>
          <w:rStyle w:val="FootnoteReference"/>
        </w:rPr>
        <w:footnoteReference w:id="1532"/>
      </w:r>
      <w:r>
        <w:rPr>
          <w:rFonts w:ascii="IRNazanin" w:hAnsi="IRNazanin" w:eastAsia="IRNazanin" w:cs="IRNazanin"/>
          <w:lang w:bidi="fa-IR"/>
          <w:color w:val="111111"/>
          <w:sz w:val="28"/>
          <w:szCs w:val="28"/>
          <w:rtl/>
        </w:rPr>
        <w:t xml:space="preserve">،و هو المتّجه؛لأنّ ظاهر معاقد الإجماع بضمیمة التتبّع فی کلماتهم و فی استدلالهم </w:t>
      </w:r>
      <w:r>
        <w:rPr>
          <w:rStyle w:val="FootnoteReference"/>
        </w:rPr>
        <w:footnoteReference w:id="1533"/>
      </w:r>
      <w:r>
        <w:rPr>
          <w:rFonts w:ascii="IRNazanin" w:hAnsi="IRNazanin" w:eastAsia="IRNazanin" w:cs="IRNazanin"/>
          <w:lang w:bidi="fa-IR"/>
          <w:color w:val="111111"/>
          <w:sz w:val="28"/>
          <w:szCs w:val="28"/>
          <w:rtl/>
        </w:rPr>
        <w:t xml:space="preserve">بالغرر و غیره مختصّ بغیر ذلک.</w:t>
      </w:r>
    </w:p>
    <w:p>
      <w:pPr>
        <w:pStyle w:val="BookText"/>
      </w:pPr>
      <w:r>
        <w:rPr>
          <w:rFonts w:ascii="Amiri" w:hAnsi="Amiri" w:eastAsia="Amiri" w:cs="Amiri"/>
          <w:lang w:bidi="ar-SA"/>
          <w:color w:val="111111"/>
          <w:sz w:val="28"/>
          <w:szCs w:val="28"/>
          <w:rtl/>
        </w:rPr>
        <w:t xml:space="preserve">و منه یعلم أیضاً:أنّه </w:t>
      </w:r>
      <w:r>
        <w:rPr>
          <w:rStyle w:val="FootnoteReference"/>
        </w:rPr>
        <w:footnoteReference w:id="1534"/>
      </w:r>
      <w:r>
        <w:rPr>
          <w:rFonts w:ascii="IRNazanin" w:hAnsi="IRNazanin" w:eastAsia="IRNazanin" w:cs="IRNazanin"/>
          <w:lang w:bidi="fa-IR"/>
          <w:color w:val="111111"/>
          <w:sz w:val="28"/>
          <w:szCs w:val="28"/>
          <w:rtl/>
        </w:rPr>
        <w:t xml:space="preserve">لو لم یقدر أحدهما علی التحصیل،لکن یوثق بحصوله فی ید أحدهما عند استحقاق المشتری للتسلیم،کما لو اعتاد الطائر العود صحّ </w:t>
      </w:r>
      <w:r>
        <w:rPr>
          <w:rStyle w:val="FootnoteReference"/>
        </w:rPr>
        <w:footnoteReference w:id="1535"/>
      </w:r>
      <w:r>
        <w:rPr>
          <w:rFonts w:ascii="IRNazanin" w:hAnsi="IRNazanin" w:eastAsia="IRNazanin" w:cs="IRNazanin"/>
          <w:lang w:bidi="fa-IR"/>
          <w:color w:val="111111"/>
          <w:sz w:val="28"/>
          <w:szCs w:val="28"/>
          <w:rtl/>
        </w:rPr>
        <w:t xml:space="preserve">وفاقاً للفاضلین </w:t>
      </w:r>
      <w:r>
        <w:rPr>
          <w:rStyle w:val="FootnoteReference"/>
        </w:rPr>
        <w:footnoteReference w:id="1536"/>
      </w:r>
      <w:r>
        <w:rPr>
          <w:rFonts w:ascii="IRNazanin" w:hAnsi="IRNazanin" w:eastAsia="IRNazanin" w:cs="IRNazanin"/>
          <w:lang w:bidi="fa-IR"/>
          <w:color w:val="111111"/>
          <w:sz w:val="28"/>
          <w:szCs w:val="28"/>
          <w:rtl/>
        </w:rPr>
        <w:t xml:space="preserve">و الشهیدین </w:t>
      </w:r>
      <w:r>
        <w:rPr>
          <w:rStyle w:val="FootnoteReference"/>
        </w:rPr>
        <w:footnoteReference w:id="1537"/>
      </w:r>
      <w:r>
        <w:rPr>
          <w:rFonts w:ascii="Amiri" w:hAnsi="Amiri" w:eastAsia="Amiri" w:cs="Amiri"/>
          <w:lang w:bidi="ar-SA"/>
          <w:color w:val="111111"/>
          <w:sz w:val="28"/>
          <w:szCs w:val="28"/>
          <w:rtl/>
        </w:rPr>
        <w:t xml:space="preserve">و المحقّق</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1538"/>
      </w:r>
      <w:r>
        <w:rPr>
          <w:rFonts w:ascii="IRNazanin" w:hAnsi="IRNazanin" w:eastAsia="IRNazanin" w:cs="IRNazanin"/>
          <w:lang w:bidi="fa-IR"/>
          <w:color w:val="111111"/>
          <w:sz w:val="28"/>
          <w:szCs w:val="28"/>
          <w:rtl/>
        </w:rPr>
        <w:t xml:space="preserve">و غیرهم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نعم،عن نهایة الإحکام:احتمال العدم،بسبب انتفاء القدرة فی الحال علی التسلیم،و أنّ عود الطائر غیر موثوقٍ به،إذ لیس له عقلٌ باعث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العادة باعثةٌ کالعقل،مع أنّ الکلام علی تقدیر الوثوق.</w:t>
      </w:r>
    </w:p>
    <w:p>
      <w:pPr>
        <w:pStyle w:val="BookText"/>
      </w:pPr>
      <w:r>
        <w:rPr>
          <w:rFonts w:ascii="IRNazanin" w:hAnsi="IRNazanin" w:eastAsia="IRNazanin" w:cs="IRNazanin"/>
          <w:lang w:bidi="fa-IR"/>
          <w:color w:val="111111"/>
          <w:sz w:val="28"/>
          <w:szCs w:val="28"/>
          <w:rtl/>
        </w:rPr>
        <w:t xml:space="preserve">و لو لم یقدرا </w:t>
      </w:r>
      <w:r>
        <w:rPr>
          <w:rStyle w:val="FootnoteReference"/>
        </w:rPr>
        <w:footnoteReference w:id="1541"/>
      </w:r>
      <w:r>
        <w:rPr>
          <w:rFonts w:ascii="IRNazanin" w:hAnsi="IRNazanin" w:eastAsia="IRNazanin" w:cs="IRNazanin"/>
          <w:lang w:bidi="fa-IR"/>
          <w:color w:val="111111"/>
          <w:sz w:val="28"/>
          <w:szCs w:val="28"/>
          <w:rtl/>
        </w:rPr>
        <w:t xml:space="preserve">علی التحصیل و تعذّر علیهما إلّا بعد مدّةٍ مقدّرةٍ عادةً و کانت ممّا لا یتسامح فیه کسنةٍ أو أزید،ففی بطلان البیع؛لظاهر الإجماعات المحکیّة </w:t>
      </w:r>
      <w:r>
        <w:rPr>
          <w:rStyle w:val="FootnoteReference"/>
        </w:rPr>
        <w:footnoteReference w:id="1542"/>
      </w:r>
      <w:r>
        <w:rPr>
          <w:rFonts w:ascii="IRNazanin" w:hAnsi="IRNazanin" w:eastAsia="IRNazanin" w:cs="IRNazanin"/>
          <w:lang w:bidi="fa-IR"/>
          <w:color w:val="111111"/>
          <w:sz w:val="28"/>
          <w:szCs w:val="28"/>
          <w:rtl/>
        </w:rPr>
        <w:t xml:space="preserve">،و لثبوت الغرر،أو صحّته؛لأنّ ظاهر معقد الإجماع التعذّر رأساً؛و لذا حکم مدّعیه بالصحّة هنا،و الغرر منفیّ مع العلم بوجوب الصبر علیه إلی انقضاء مدّة،کما إذا اشترط تأخیر التسلیم مدّة،وجهان،بل قولان،تردّد فیهما فی الشرائع،ثمّ قوّی الصحّة </w:t>
      </w:r>
      <w:r>
        <w:rPr>
          <w:rStyle w:val="FootnoteReference"/>
        </w:rPr>
        <w:footnoteReference w:id="1543"/>
      </w:r>
      <w:r>
        <w:rPr>
          <w:rFonts w:ascii="IRNazanin" w:hAnsi="IRNazanin" w:eastAsia="IRNazanin" w:cs="IRNazanin"/>
          <w:lang w:bidi="fa-IR"/>
          <w:color w:val="111111"/>
          <w:sz w:val="28"/>
          <w:szCs w:val="28"/>
          <w:rtl/>
        </w:rPr>
        <w:t xml:space="preserve">،و تبعه فی محکیّ التحریر </w:t>
      </w:r>
      <w:r>
        <w:rPr>
          <w:rStyle w:val="FootnoteReference"/>
        </w:rPr>
        <w:footnoteReference w:id="1544"/>
      </w:r>
      <w:r>
        <w:rPr>
          <w:rFonts w:ascii="IRNazanin" w:hAnsi="IRNazanin" w:eastAsia="IRNazanin" w:cs="IRNazanin"/>
          <w:lang w:bidi="fa-IR"/>
          <w:color w:val="111111"/>
          <w:sz w:val="28"/>
          <w:szCs w:val="28"/>
          <w:rtl/>
        </w:rPr>
        <w:t xml:space="preserve">و المسالک </w:t>
      </w:r>
      <w:r>
        <w:rPr>
          <w:rStyle w:val="FootnoteReference"/>
        </w:rPr>
        <w:footnoteReference w:id="1545"/>
      </w:r>
      <w:r>
        <w:rPr>
          <w:rFonts w:ascii="IRNazanin" w:hAnsi="IRNazanin" w:eastAsia="IRNazanin" w:cs="IRNazanin"/>
          <w:lang w:bidi="fa-IR"/>
          <w:color w:val="111111"/>
          <w:sz w:val="28"/>
          <w:szCs w:val="28"/>
          <w:rtl/>
        </w:rPr>
        <w:t xml:space="preserve">و الکفایة </w:t>
      </w:r>
      <w:r>
        <w:rPr>
          <w:rStyle w:val="FootnoteReference"/>
        </w:rPr>
        <w:footnoteReference w:id="1546"/>
      </w:r>
      <w:r>
        <w:rPr>
          <w:rFonts w:ascii="IRNazanin" w:hAnsi="IRNazanin" w:eastAsia="IRNazanin" w:cs="IRNazanin"/>
          <w:lang w:bidi="fa-IR"/>
          <w:color w:val="111111"/>
          <w:sz w:val="28"/>
          <w:szCs w:val="28"/>
          <w:rtl/>
        </w:rPr>
        <w:t xml:space="preserve">و غیرها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4" w:name="pg14419_167096"/>
    <w:bookmarkEnd w:id="234"/>
    <w:p>
      <w:pPr>
        <w:pStyle w:val="BookText"/>
      </w:pPr>
      <w:r>
        <w:rPr>
          <w:rFonts w:ascii="IRNazanin" w:hAnsi="IRNazanin" w:eastAsia="IRNazanin" w:cs="IRNazanin"/>
          <w:lang w:bidi="fa-IR"/>
          <w:color w:val="111111"/>
          <w:sz w:val="28"/>
          <w:szCs w:val="28"/>
          <w:rtl/>
        </w:rPr>
        <w:t xml:space="preserve">نعم،للمشتری الخیار مع جهله بفوات منفعة الملک علیه مدّةً.</w:t>
      </w:r>
    </w:p>
    <w:p>
      <w:pPr>
        <w:pStyle w:val="BookText"/>
      </w:pPr>
      <w:r>
        <w:rPr>
          <w:rFonts w:ascii="Amiri" w:hAnsi="Amiri" w:eastAsia="Amiri" w:cs="Amiri"/>
          <w:lang w:bidi="ar-SA"/>
          <w:color w:val="111111"/>
          <w:sz w:val="28"/>
          <w:szCs w:val="28"/>
          <w:rtl/>
        </w:rPr>
        <w:t xml:space="preserve">و لو کان مدّة التعذّر غیر مضبوطة عادةً کالعبد المُنْفَذ إلی [ال]-هند لحاجةٍ </w:t>
      </w:r>
      <w:r>
        <w:rPr>
          <w:rStyle w:val="FootnoteReference"/>
        </w:rPr>
        <w:footnoteReference w:id="1548"/>
      </w:r>
      <w:r>
        <w:rPr>
          <w:rFonts w:ascii="IRNazanin" w:hAnsi="IRNazanin" w:eastAsia="IRNazanin" w:cs="IRNazanin"/>
          <w:lang w:bidi="fa-IR"/>
          <w:color w:val="111111"/>
          <w:sz w:val="28"/>
          <w:szCs w:val="28"/>
          <w:rtl/>
        </w:rPr>
        <w:t xml:space="preserve">لا یعلم زمان قضائها ففی الصحّة إشکالٌ:من حکمهم بعدم جواز بیع مسکن المطلّقة المعتدّة بالأقراء؛لجهالة وقت تسلیم العین.و قد تقدّم بعض الکلام فیه فی بیع الواقف للوقف المنقطع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6"/>
      </w:pPr>
      <w:bookmarkStart w:id="1051" w:name="_Toc491"/>
      <w:r>
        <w:t>ثمّ إنّ الشرط هی القدرة المعلومة للمتبایعین؛</w:t>
      </w:r>
      <w:bookmarkEnd w:id="10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لأنّ الغرر لا یندفع بمجرّد القدرة الواقعیّة.</w:t>
      </w:r>
    </w:p>
    <w:p>
      <w:pPr>
        <w:pStyle w:val="BookText"/>
      </w:pPr>
      <w:r>
        <w:rPr>
          <w:rFonts w:ascii="IRNazanin" w:hAnsi="IRNazanin" w:eastAsia="IRNazanin" w:cs="IRNazanin"/>
          <w:lang w:bidi="fa-IR"/>
          <w:color w:val="111111"/>
          <w:sz w:val="28"/>
          <w:szCs w:val="28"/>
          <w:rtl/>
        </w:rPr>
        <w:t xml:space="preserve">و لو باع ما یعتقد التمکّن </w:t>
      </w:r>
      <w:r>
        <w:rPr>
          <w:rStyle w:val="FootnoteReference"/>
        </w:rPr>
        <w:footnoteReference w:id="1550"/>
      </w:r>
      <w:r>
        <w:rPr>
          <w:rFonts w:ascii="IRNazanin" w:hAnsi="IRNazanin" w:eastAsia="IRNazanin" w:cs="IRNazanin"/>
          <w:lang w:bidi="fa-IR"/>
          <w:color w:val="111111"/>
          <w:sz w:val="28"/>
          <w:szCs w:val="28"/>
          <w:rtl/>
        </w:rPr>
        <w:t xml:space="preserve">فتبیّن عجزه فی زمان البیع و تجدّدها بعد ذلک،صحّ،و لو لم یتجدّد بطل.و المعتبر هو الوثوق،فلا یکفی مطلق الظنّ و لا یعتبر الیقین.</w:t>
      </w:r>
    </w:p>
    <w:p>
      <w:pPr>
        <w:pStyle w:val="Heading6"/>
      </w:pPr>
      <w:bookmarkStart w:id="1052" w:name="_Toc492"/>
      <w:r>
        <w:t>[هل العبرة بقدرة الموکل أو الوکیل]</w:t>
      </w:r>
      <w:bookmarkEnd w:id="1052"/>
    </w:p>
    <w:p>
      <w:pPr>
        <w:pStyle w:val="BookText"/>
      </w:pPr>
      <w:r>
        <w:rPr>
          <w:rFonts w:ascii="IRNazanin" w:hAnsi="IRNazanin" w:eastAsia="IRNazanin" w:cs="IRNazanin"/>
          <w:lang w:bidi="fa-IR"/>
          <w:color w:val="111111"/>
          <w:sz w:val="28"/>
          <w:szCs w:val="28"/>
          <w:rtl/>
        </w:rPr>
        <w:t xml:space="preserve">ثمّ لا إشکال فی اعتبار قدرة العاقد إذا کان مالکاً،لا ما إذا کان وکیلاً فی مجرّد العقد؛فإنّه لا عبرة بقدرته کما لا عبرة بعلمه.</w:t>
      </w:r>
    </w:p>
    <w:p>
      <w:pPr>
        <w:pStyle w:val="BookText"/>
      </w:pPr>
      <w:r>
        <w:rPr>
          <w:rFonts w:ascii="IRNazanin" w:hAnsi="IRNazanin" w:eastAsia="IRNazanin" w:cs="IRNazanin"/>
          <w:lang w:bidi="fa-IR"/>
          <w:color w:val="111111"/>
          <w:sz w:val="28"/>
          <w:szCs w:val="28"/>
          <w:rtl/>
        </w:rPr>
        <w:t xml:space="preserve">و أمّا لو کان وکیلاً فی البیع و لوازمه بحیث یعدّ الموکّل أجنبیّا عن هذه المعاملة.فلا إشکال فی کفایة قدرته.و هل یکفی قدرة الموکّل؟ الظاهر نعم،مع علم المشتری بذلک إذا علم بعجز العاقد،فإن اعتقد قدرته لم یشترط علمه بذلک.</w:t>
      </w:r>
    </w:p>
    <w:p>
      <w:pPr>
        <w:pStyle w:val="BookText"/>
      </w:pPr>
      <w:r>
        <w:rPr>
          <w:rFonts w:ascii="Amiri" w:hAnsi="Amiri" w:eastAsia="Amiri" w:cs="Amiri"/>
          <w:lang w:bidi="ar-SA"/>
          <w:color w:val="111111"/>
          <w:sz w:val="28"/>
          <w:szCs w:val="28"/>
          <w:rtl/>
        </w:rPr>
        <w:t xml:space="preserve">و ربّما قیّد </w:t>
      </w:r>
      <w:r>
        <w:rPr>
          <w:rStyle w:val="FootnoteReference"/>
        </w:rPr>
        <w:footnoteReference w:id="1551"/>
      </w:r>
      <w:r>
        <w:rPr>
          <w:rFonts w:ascii="IRNazanin" w:hAnsi="IRNazanin" w:eastAsia="IRNazanin" w:cs="IRNazanin"/>
          <w:lang w:bidi="fa-IR"/>
          <w:color w:val="111111"/>
          <w:sz w:val="28"/>
          <w:szCs w:val="28"/>
          <w:rtl/>
        </w:rPr>
        <w:t xml:space="preserve">الحکم بالکفایة بما إذا رضی المشتری بتسلیم الموکّل </w:t>
      </w:r>
      <w:r>
        <w:rPr>
          <w:rStyle w:val="FootnoteReference"/>
        </w:rPr>
        <w:footnoteReference w:id="1552"/>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رضی المالک </w:t>
      </w:r>
      <w:r>
        <w:rPr>
          <w:rStyle w:val="FootnoteReference"/>
        </w:rPr>
        <w:footnoteReference w:id="1553"/>
      </w:r>
      <w:r>
        <w:rPr>
          <w:rFonts w:ascii="IRNazanin" w:hAnsi="IRNazanin" w:eastAsia="IRNazanin" w:cs="IRNazanin"/>
          <w:lang w:bidi="fa-IR"/>
          <w:color w:val="111111"/>
          <w:sz w:val="28"/>
          <w:szCs w:val="28"/>
          <w:rtl/>
        </w:rPr>
        <w:t xml:space="preserve">برجوع المشتری علیه،و فرّع علی ذلک رجحان الحکم بالبطلان فی الفضولی؛لأنّ التسلیم المعتبر من العاقد غیر ممکنٍ قبل الإجازة،و قدرة المالک إنّما تؤثّر لو بنی العقد علیها و حصل التراضی بها حال البیع؛لأنّ بیع المأذون لا یکفی فیه قدرة الآذن مطلقاً،بل مع الشرط المذکور و هو غیر متحقّقٍ فی الفضولی.و البناء علی القدرة الواقعیّة باطل؛إذ الشرط هی القدرة المعلومة دون الواقعیّة إلی أن قال:و الحاصل:أنّ القدرة قبل الإجازة لم توجد،و بعدها إن وجدت لم تنفع.</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لا یقال:إنّه قد یحصل الوثوق للفضولی بإرضاء المالک و أنّه لا یخرج عن رأیه،فیتحقّق له بذلک القدرة علی التسلیم حال العقد؛لأنّ هذا الفرض یُخرج الفضولی عن کونه فضولیّاً؛لمصاحبة الإذن للبیع، غایة الأمر حصوله بالفحوی و شاهد الحال،و هما من أنواع الإذن،فلا یکون فضولیّاً و لا یتوقّف صحّته علی الإجازة،و لو سلّمنا بقاءه علی الصفة فمعلومٌ أنّ القائلین بصحّة الفضولی لا یقصرون الحکم علی هذا الفرض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ذکره من مبنی مسألة الفضولی،ثمّ فی تفریع الفضولی،ثمّ فی الاعتراض الذی ذکره،ثمّ فی الجواب عنه أوّلاً و ثانیاً،تأمّلٌ،بل نظرٌ، فتدبّر.</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5" w:name="pg14419_167098"/>
    <w:bookmarkEnd w:id="235"/>
    <w:p>
      <w:pPr>
        <w:pStyle w:val="Heading6"/>
      </w:pPr>
      <w:bookmarkStart w:id="1053" w:name="_Toc493"/>
      <w:r>
        <w:t>مسألة : لا یجوز بیع الآبق منفرداً</w:t>
      </w:r>
      <w:bookmarkEnd w:id="1053"/>
    </w:p>
    <w:p>
      <w:pPr>
        <w:pStyle w:val="BookText"/>
      </w:pPr>
      <w:r>
        <w:rPr>
          <w:rFonts w:ascii="IRNazanin" w:hAnsi="IRNazanin" w:eastAsia="IRNazanin" w:cs="IRNazanin"/>
          <w:lang w:bidi="fa-IR"/>
          <w:color w:val="111111"/>
          <w:sz w:val="28"/>
          <w:szCs w:val="28"/>
          <w:rtl/>
        </w:rPr>
        <w:t xml:space="preserve">علی المشهور بین علمائنا کما فی التذکرة </w:t>
      </w:r>
      <w:r>
        <w:rPr>
          <w:rStyle w:val="FootnoteReference"/>
        </w:rPr>
        <w:footnoteReference w:id="1555"/>
      </w:r>
      <w:r>
        <w:rPr>
          <w:rFonts w:ascii="IRNazanin" w:hAnsi="IRNazanin" w:eastAsia="IRNazanin" w:cs="IRNazanin"/>
          <w:lang w:bidi="fa-IR"/>
          <w:color w:val="111111"/>
          <w:sz w:val="28"/>
          <w:szCs w:val="28"/>
          <w:rtl/>
        </w:rPr>
        <w:t xml:space="preserve">،بل إجماعاً کما عن الخلاف </w:t>
      </w:r>
      <w:r>
        <w:rPr>
          <w:rStyle w:val="FootnoteReference"/>
        </w:rPr>
        <w:footnoteReference w:id="1556"/>
      </w:r>
      <w:r>
        <w:rPr>
          <w:rFonts w:ascii="IRNazanin" w:hAnsi="IRNazanin" w:eastAsia="IRNazanin" w:cs="IRNazanin"/>
          <w:lang w:bidi="fa-IR"/>
          <w:color w:val="111111"/>
          <w:sz w:val="28"/>
          <w:szCs w:val="28"/>
          <w:rtl/>
        </w:rPr>
        <w:t xml:space="preserve">و الغنیة </w:t>
      </w:r>
      <w:r>
        <w:rPr>
          <w:rStyle w:val="FootnoteReference"/>
        </w:rPr>
        <w:footnoteReference w:id="1557"/>
      </w:r>
      <w:r>
        <w:rPr>
          <w:rFonts w:ascii="IRNazanin" w:hAnsi="IRNazanin" w:eastAsia="IRNazanin" w:cs="IRNazanin"/>
          <w:lang w:bidi="fa-IR"/>
          <w:color w:val="111111"/>
          <w:sz w:val="28"/>
          <w:szCs w:val="28"/>
          <w:rtl/>
        </w:rPr>
        <w:t xml:space="preserve">و الریاض </w:t>
      </w:r>
      <w:r>
        <w:rPr>
          <w:rStyle w:val="FootnoteReference"/>
        </w:rPr>
        <w:footnoteReference w:id="1558"/>
      </w:r>
      <w:r>
        <w:rPr>
          <w:rFonts w:ascii="IRNazanin" w:hAnsi="IRNazanin" w:eastAsia="IRNazanin" w:cs="IRNazanin"/>
          <w:lang w:bidi="fa-IR"/>
          <w:color w:val="111111"/>
          <w:sz w:val="28"/>
          <w:szCs w:val="28"/>
          <w:rtl/>
        </w:rPr>
        <w:t xml:space="preserve">،و بلا خلافٍ کما عن کشف الرموز </w:t>
      </w:r>
      <w:r>
        <w:rPr>
          <w:rStyle w:val="FootnoteReference"/>
        </w:rPr>
        <w:footnoteReference w:id="1559"/>
      </w:r>
      <w:r>
        <w:rPr>
          <w:rFonts w:ascii="IRNazanin" w:hAnsi="IRNazanin" w:eastAsia="IRNazanin" w:cs="IRNazanin"/>
          <w:lang w:bidi="fa-IR"/>
          <w:color w:val="111111"/>
          <w:sz w:val="28"/>
          <w:szCs w:val="28"/>
          <w:rtl/>
        </w:rPr>
        <w:t xml:space="preserve">لأنّه مع الیأس عن الظفر بمنزلة </w:t>
      </w:r>
      <w:r>
        <w:rPr>
          <w:rStyle w:val="FootnoteReference"/>
        </w:rPr>
        <w:footnoteReference w:id="1560"/>
      </w:r>
      <w:r>
        <w:rPr>
          <w:rFonts w:ascii="Amiri" w:hAnsi="Amiri" w:eastAsia="Amiri" w:cs="Amiri"/>
          <w:lang w:bidi="ar-SA"/>
          <w:color w:val="111111"/>
          <w:sz w:val="28"/>
          <w:szCs w:val="28"/>
          <w:rtl/>
        </w:rPr>
        <w:t xml:space="preserve">التالف،و مع احتماله بیع غررٍ منفیٌّ إجماعاً نصّاً </w:t>
      </w:r>
      <w:r>
        <w:rPr>
          <w:rStyle w:val="FootnoteReference"/>
        </w:rPr>
        <w:footnoteReference w:id="1561"/>
      </w:r>
      <w:r>
        <w:rPr>
          <w:rFonts w:ascii="IRNazanin" w:hAnsi="IRNazanin" w:eastAsia="IRNazanin" w:cs="IRNazanin"/>
          <w:lang w:bidi="fa-IR"/>
          <w:color w:val="111111"/>
          <w:sz w:val="28"/>
          <w:szCs w:val="28"/>
          <w:rtl/>
        </w:rPr>
        <w:t xml:space="preserve">و فتوی.</w:t>
      </w:r>
    </w:p>
    <w:p>
      <w:pPr>
        <w:pStyle w:val="BookText"/>
      </w:pPr>
      <w:r>
        <w:rPr>
          <w:rFonts w:ascii="IRNazanin" w:hAnsi="IRNazanin" w:eastAsia="IRNazanin" w:cs="IRNazanin"/>
          <w:lang w:bidi="fa-IR"/>
          <w:color w:val="111111"/>
          <w:sz w:val="28"/>
          <w:szCs w:val="28"/>
          <w:rtl/>
        </w:rPr>
        <w:t xml:space="preserve">خلافاً لما حکاه فی التذکرة عن بعض علمائنا </w:t>
      </w:r>
      <w:r>
        <w:rPr>
          <w:rStyle w:val="FootnoteReference"/>
        </w:rPr>
        <w:footnoteReference w:id="1562"/>
      </w:r>
      <w:r>
        <w:rPr>
          <w:rFonts w:ascii="IRNazanin" w:hAnsi="IRNazanin" w:eastAsia="IRNazanin" w:cs="IRNazanin"/>
          <w:lang w:bidi="fa-IR"/>
          <w:color w:val="111111"/>
          <w:sz w:val="28"/>
          <w:szCs w:val="28"/>
          <w:rtl/>
        </w:rPr>
        <w:t xml:space="preserve">،و لعلّه الإسکافی؛ حیث إنّ المحکیّ عنه:أنّه لا یجوز أن یشتری الآبق وحده،إلّا إذا کان بحیث یقدر علیه المشتری أو یضمنه البائع </w:t>
      </w:r>
      <w:r>
        <w:rPr>
          <w:rStyle w:val="FootnoteReference"/>
        </w:rPr>
        <w:footnoteReference w:id="156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 عن الفاضل القطیفی فی إیضاح النافع:منع اشتراط القدرة علی التسلیم.و قد عرفت ضعفه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یمکن أن یقال بالصحّة فی خصوص الآبق؛لحصول الانتفاع به بالعتق،خصوصاً مع تقیید الإسکافی بصورة ضمان البائع،فإنّه یندفع به الغرر عرفاً،لکن سیأتی ما فیه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فالعمدة الانتفاع بعتقه،و له وجهٌ لولا النصّ الآتی </w:t>
      </w:r>
      <w:r>
        <w:rPr>
          <w:rStyle w:val="FootnoteReference"/>
        </w:rPr>
        <w:footnoteReference w:id="1566"/>
      </w:r>
      <w:r>
        <w:rPr>
          <w:rFonts w:ascii="IRNazanin" w:hAnsi="IRNazanin" w:eastAsia="IRNazanin" w:cs="IRNazanin"/>
          <w:lang w:bidi="fa-IR"/>
          <w:color w:val="111111"/>
          <w:sz w:val="28"/>
          <w:szCs w:val="28"/>
          <w:rtl/>
        </w:rPr>
        <w:t xml:space="preserve">و الإجماعات المتقدّمة،مع أنّ قابلیّة المبیع لبعض الانتفاعات لا تخرجه عن الغرر.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کما لا یجوز جعله مثمناً،لا یجوز جعله منفرداً ثمناً؛لاشتراکهما فی الأدلّة.</w:t>
      </w:r>
    </w:p>
    <w:p>
      <w:pPr>
        <w:pStyle w:val="BookText"/>
      </w:pPr>
      <w:r>
        <w:rPr>
          <w:rFonts w:ascii="IRNazanin" w:hAnsi="IRNazanin" w:eastAsia="IRNazanin" w:cs="IRNazanin"/>
          <w:lang w:bidi="fa-IR"/>
          <w:color w:val="111111"/>
          <w:sz w:val="28"/>
          <w:szCs w:val="28"/>
          <w:rtl/>
        </w:rPr>
        <w:t xml:space="preserve">و قد تردّد فی اللمعة فی جعله ثمناً بعد الجزم بمنع جعله مثمناً،و إن قرّب أخیراً المنع منفرداً </w:t>
      </w:r>
      <w:r>
        <w:rPr>
          <w:rStyle w:val="FootnoteReference"/>
        </w:rPr>
        <w:footnoteReference w:id="1567"/>
      </w:r>
      <w:r>
        <w:rPr>
          <w:rFonts w:ascii="IRNazanin" w:hAnsi="IRNazanin" w:eastAsia="IRNazanin" w:cs="IRNazanin"/>
          <w:lang w:bidi="fa-IR"/>
          <w:color w:val="111111"/>
          <w:sz w:val="28"/>
          <w:szCs w:val="28"/>
          <w:rtl/>
        </w:rPr>
        <w:t xml:space="preserve">.و لعلّ الوجه:الاستناد فی المنع عن جعله مثمناً إلی النصّ و الإجماع الممکن دعوی اختصاصهما بالمثمن،دون نفی الغرر،الممکن منعه بجواز الانتفاع به فی العتق.و یؤیّده:حکمه بجواز بیع الضالّ و المجحود،مع خفاء الفرق بینهما و بین الآبق فی عدم القدرة علی التسلیم.</w:t>
      </w:r>
    </w:p>
    <w:p>
      <w:pPr>
        <w:pStyle w:val="BookText"/>
      </w:pPr>
      <w:r>
        <w:rPr>
          <w:rFonts w:ascii="IRNazanin" w:hAnsi="IRNazanin" w:eastAsia="IRNazanin" w:cs="IRNazanin"/>
          <w:lang w:bidi="fa-IR"/>
          <w:color w:val="111111"/>
          <w:sz w:val="28"/>
          <w:szCs w:val="28"/>
          <w:rtl/>
        </w:rPr>
        <w:t xml:space="preserve">و نظیر ذلک ما فی التذکرة،حیث ادّعی أوّلاً الإجماع علی اشتراط القدرة علی التسلیم لیخرج البیع عن کونه بیع غرر،ثمّ قال:و المشهور</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علمائنا المنع من بیع الآبق منفرداً إلی أن قال:و قال بعض علمائنا بالجواز،و حکاه عن بعض العامّة أیضاً </w:t>
      </w:r>
      <w:r>
        <w:rPr>
          <w:rStyle w:val="FootnoteReference"/>
        </w:rPr>
        <w:footnoteReference w:id="1568"/>
      </w:r>
      <w:r>
        <w:rPr>
          <w:rFonts w:ascii="IRNazanin" w:hAnsi="IRNazanin" w:eastAsia="IRNazanin" w:cs="IRNazanin"/>
          <w:lang w:bidi="fa-IR"/>
          <w:color w:val="111111"/>
          <w:sz w:val="28"/>
          <w:szCs w:val="28"/>
          <w:rtl/>
        </w:rPr>
        <w:t xml:space="preserve">.ثمّ ذکر الضالّ و لم یحتمل فیه إلّا جواز البیع منفرداً و </w:t>
      </w:r>
      <w:r>
        <w:rPr>
          <w:rStyle w:val="FootnoteReference"/>
        </w:rPr>
        <w:footnoteReference w:id="1569"/>
      </w:r>
      <w:r>
        <w:rPr>
          <w:rFonts w:ascii="IRNazanin" w:hAnsi="IRNazanin" w:eastAsia="IRNazanin" w:cs="IRNazanin"/>
          <w:lang w:bidi="fa-IR"/>
          <w:color w:val="111111"/>
          <w:sz w:val="28"/>
          <w:szCs w:val="28"/>
          <w:rtl/>
        </w:rPr>
        <w:t xml:space="preserve">اشتراط </w:t>
      </w:r>
      <w:r>
        <w:rPr>
          <w:rStyle w:val="FootnoteReference"/>
        </w:rPr>
        <w:footnoteReference w:id="1570"/>
      </w:r>
      <w:r>
        <w:rPr>
          <w:rFonts w:ascii="IRNazanin" w:hAnsi="IRNazanin" w:eastAsia="IRNazanin" w:cs="IRNazanin"/>
          <w:lang w:bidi="fa-IR"/>
          <w:color w:val="111111"/>
          <w:sz w:val="28"/>
          <w:szCs w:val="28"/>
          <w:rtl/>
        </w:rPr>
        <w:t xml:space="preserve">الضمیمة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التنافی بین هذه الفقرات الثلاث ظاهر،و التوجیه یحتاج إلی تأمّل.</w:t>
      </w:r>
    </w:p>
    <w:p>
      <w:pPr>
        <w:pStyle w:val="BookText"/>
      </w:pPr>
      <w:r>
        <w:rPr>
          <w:rFonts w:ascii="IRNazanin" w:hAnsi="IRNazanin" w:eastAsia="IRNazanin" w:cs="IRNazanin"/>
          <w:lang w:bidi="fa-IR"/>
          <w:color w:val="111111"/>
          <w:sz w:val="28"/>
          <w:szCs w:val="28"/>
          <w:rtl/>
        </w:rPr>
        <w:t xml:space="preserve">و کیف کان،فهل یلحق بالبیع الصلح عمّا یتعذّر تسلیمه،فیعتبر فیه القدرة علی التسلیم؟وجهان،بل قولان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عمومات الصلح و ما </w:t>
      </w:r>
      <w:r>
        <w:rPr>
          <w:rStyle w:val="FootnoteReference"/>
        </w:rPr>
        <w:footnoteReference w:id="1573"/>
      </w:r>
      <w:r>
        <w:rPr>
          <w:rFonts w:ascii="IRNazanin" w:hAnsi="IRNazanin" w:eastAsia="IRNazanin" w:cs="IRNazanin"/>
          <w:lang w:bidi="fa-IR"/>
          <w:color w:val="111111"/>
          <w:sz w:val="28"/>
          <w:szCs w:val="28"/>
          <w:rtl/>
        </w:rPr>
        <w:t xml:space="preserve">علم من التوسّع فیه </w:t>
      </w:r>
      <w:r>
        <w:rPr>
          <w:rStyle w:val="FootnoteReference"/>
        </w:rPr>
        <w:footnoteReference w:id="1574"/>
      </w:r>
      <w:r>
        <w:rPr>
          <w:rFonts w:ascii="IRNazanin" w:hAnsi="IRNazanin" w:eastAsia="IRNazanin" w:cs="IRNazanin"/>
          <w:lang w:bidi="fa-IR"/>
          <w:color w:val="111111"/>
          <w:sz w:val="28"/>
          <w:szCs w:val="28"/>
          <w:rtl/>
        </w:rPr>
        <w:t xml:space="preserve">،کجهالة </w:t>
      </w:r>
      <w:r>
        <w:rPr>
          <w:rStyle w:val="FootnoteReference"/>
        </w:rPr>
        <w:footnoteReference w:id="1575"/>
      </w:r>
      <w:r>
        <w:rPr>
          <w:rFonts w:ascii="IRNazanin" w:hAnsi="IRNazanin" w:eastAsia="IRNazanin" w:cs="IRNazanin"/>
          <w:lang w:bidi="fa-IR"/>
          <w:color w:val="111111"/>
          <w:sz w:val="28"/>
          <w:szCs w:val="28"/>
          <w:rtl/>
        </w:rPr>
        <w:t xml:space="preserve">المصالح عنه إذا تعذّر أو تعسّر معرفته بل مطلقاً-،و اختصاص الغرر المنفیّ بالبیع.</w:t>
      </w:r>
    </w:p>
    <w:p>
      <w:pPr>
        <w:pStyle w:val="BookText"/>
      </w:pPr>
      <w:r>
        <w:rPr>
          <w:rFonts w:ascii="IRNazanin" w:hAnsi="IRNazanin" w:eastAsia="IRNazanin" w:cs="IRNazanin"/>
          <w:lang w:bidi="fa-IR"/>
          <w:color w:val="111111"/>
          <w:sz w:val="28"/>
          <w:szCs w:val="28"/>
          <w:rtl/>
        </w:rPr>
        <w:t xml:space="preserve">و من أنّ الدائر علی ألسنة الأصحاب نفی الغرر من غیر اختصاص بالبیع،حتّی أنّهم یستدلّون به فی غیر المعاوضات کالوکالة </w:t>
      </w:r>
      <w:r>
        <w:rPr>
          <w:rStyle w:val="FootnoteReference"/>
        </w:rPr>
        <w:footnoteReference w:id="15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المعاوضات کالإجارة و المزارعة و المساقاة و الجعالة </w:t>
      </w:r>
      <w:r>
        <w:rPr>
          <w:rStyle w:val="FootnoteReference"/>
        </w:rPr>
        <w:footnoteReference w:id="1577"/>
      </w:r>
      <w:r>
        <w:rPr>
          <w:rFonts w:ascii="IRNazanin" w:hAnsi="IRNazanin" w:eastAsia="IRNazanin" w:cs="IRNazanin"/>
          <w:lang w:bidi="fa-IR"/>
          <w:color w:val="111111"/>
          <w:sz w:val="28"/>
          <w:szCs w:val="28"/>
          <w:rtl/>
        </w:rPr>
        <w:t xml:space="preserve">،بل قد یرسل فی کلماتهم عن النبیّ صلّی اللّٰه علیه و آله و سلم:أنّه نهی عن الغرر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رجّح بعض الأساطین </w:t>
      </w:r>
      <w:r>
        <w:rPr>
          <w:rStyle w:val="FootnoteReference"/>
        </w:rPr>
        <w:footnoteReference w:id="1579"/>
      </w:r>
      <w:r>
        <w:rPr>
          <w:rFonts w:ascii="IRNazanin" w:hAnsi="IRNazanin" w:eastAsia="IRNazanin" w:cs="IRNazanin"/>
          <w:lang w:bidi="fa-IR"/>
          <w:color w:val="111111"/>
          <w:sz w:val="28"/>
          <w:szCs w:val="28"/>
          <w:rtl/>
        </w:rPr>
        <w:t xml:space="preserve">جریان الاشتراط فیما لم یبن علی المسامحة من الصلح.و ظاهر المسالک فی مسألة رهن ما لا یقدر علی تسلیمه علی القول بعدم اشتراط القبض فی الرهن جواز الصلح علیه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الضالّ و المجحود و المغصوب و نحوها ممّا لا یقدر علی تسلیمه،فالأقوی فیها عدم الجواز،وفاقاً لجماعة </w:t>
      </w:r>
      <w:r>
        <w:rPr>
          <w:rStyle w:val="FootnoteReference"/>
        </w:rPr>
        <w:footnoteReference w:id="1581"/>
      </w:r>
      <w:r>
        <w:rPr>
          <w:rFonts w:ascii="IRNazanin" w:hAnsi="IRNazanin" w:eastAsia="IRNazanin" w:cs="IRNazanin"/>
          <w:lang w:bidi="fa-IR"/>
          <w:color w:val="111111"/>
          <w:sz w:val="28"/>
          <w:szCs w:val="28"/>
          <w:rtl/>
        </w:rPr>
        <w:t xml:space="preserve">للغرر المنفی المعتضد بالإجماع المدّعی علی اشتراط القدرة علی التسلیم،إلّا أن یوهن بتردّد مدّعیه کالعلّامة فی التذکرة فی صحّة بیع الضالّ منفرداً </w:t>
      </w:r>
      <w:r>
        <w:rPr>
          <w:rStyle w:val="FootnoteReference"/>
        </w:rPr>
        <w:footnoteReference w:id="1582"/>
      </w:r>
      <w:r>
        <w:rPr>
          <w:rFonts w:ascii="Amiri" w:hAnsi="Amiri" w:eastAsia="Amiri" w:cs="Amiri"/>
          <w:lang w:bidi="ar-SA"/>
          <w:color w:val="111111"/>
          <w:sz w:val="28"/>
          <w:szCs w:val="28"/>
          <w:rtl/>
        </w:rPr>
        <w:t xml:space="preserve">،و یُمنَع </w:t>
      </w:r>
      <w:r>
        <w:rPr>
          <w:rStyle w:val="FootnoteReference"/>
        </w:rPr>
        <w:footnoteReference w:id="1583"/>
      </w:r>
      <w:r>
        <w:rPr>
          <w:rFonts w:ascii="IRNazanin" w:hAnsi="IRNazanin" w:eastAsia="IRNazanin" w:cs="IRNazanin"/>
          <w:lang w:bidi="fa-IR"/>
          <w:color w:val="111111"/>
          <w:sz w:val="28"/>
          <w:szCs w:val="28"/>
          <w:rtl/>
        </w:rPr>
        <w:t xml:space="preserve">الغرر خصوصاً فیما یراد عتقه بکون المبیع قبل القبض مضموناً علی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البائع.و أمّا فوات منفعته مدّةً رجاء الظفر به فهو ضرر قد أقدم علیه، و جهالته غیر مضرّة مع إمکان العلم بتلک المدّة کضالّة یعلم أنّها لو لم توجد بعد ثلاثة أیام فلن </w:t>
      </w:r>
      <w:r>
        <w:rPr>
          <w:rStyle w:val="FootnoteReference"/>
        </w:rPr>
        <w:footnoteReference w:id="1584"/>
      </w:r>
      <w:r>
        <w:rPr>
          <w:rFonts w:ascii="IRNazanin" w:hAnsi="IRNazanin" w:eastAsia="IRNazanin" w:cs="IRNazanin"/>
          <w:lang w:bidi="fa-IR"/>
          <w:color w:val="111111"/>
          <w:sz w:val="28"/>
          <w:szCs w:val="28"/>
          <w:rtl/>
        </w:rPr>
        <w:t xml:space="preserve">توجد بعد ذلک.و کذا فی المغصوب و المنهوب.</w:t>
      </w:r>
    </w:p>
    <w:p>
      <w:pPr>
        <w:pStyle w:val="BookText"/>
      </w:pPr>
      <w:r>
        <w:rPr>
          <w:rFonts w:ascii="IRNazanin" w:hAnsi="IRNazanin" w:eastAsia="IRNazanin" w:cs="IRNazanin"/>
          <w:lang w:bidi="fa-IR"/>
          <w:color w:val="111111"/>
          <w:sz w:val="28"/>
          <w:szCs w:val="28"/>
          <w:rtl/>
        </w:rPr>
        <w:t xml:space="preserve">و الحاصل:أنّه لا غرر عرفاً بعد فرض کون الیأس عنه فی حکم التلف المقتضی لانفساخ البیع من أصله،و فرض عدم تسلّط البائع علی مطالبته بالثمن،لعدم تسلیم المثمن؛فإنّه لا خطر حینئذٍ فی البیع، خصوصاً مع العلم بمدّة الرجاء التی یفوت الانتفاع بالمبیع فیها.</w:t>
      </w:r>
    </w:p>
    <w:p>
      <w:pPr>
        <w:pStyle w:val="BookText"/>
      </w:pPr>
      <w:r>
        <w:rPr>
          <w:rFonts w:ascii="IRNazanin" w:hAnsi="IRNazanin" w:eastAsia="IRNazanin" w:cs="IRNazanin"/>
          <w:lang w:bidi="fa-IR"/>
          <w:color w:val="111111"/>
          <w:sz w:val="28"/>
          <w:szCs w:val="28"/>
          <w:rtl/>
        </w:rPr>
        <w:t xml:space="preserve">هذا،و لکن یدفع جمیع ما ذکر:أنّ المنفیّ فی حدیث الغرر کما تقدّم </w:t>
      </w:r>
      <w:r>
        <w:rPr>
          <w:rStyle w:val="FootnoteReference"/>
        </w:rPr>
        <w:footnoteReference w:id="1585"/>
      </w:r>
      <w:r>
        <w:rPr>
          <w:rFonts w:ascii="IRNazanin" w:hAnsi="IRNazanin" w:eastAsia="IRNazanin" w:cs="IRNazanin"/>
          <w:lang w:bidi="fa-IR"/>
          <w:color w:val="111111"/>
          <w:sz w:val="28"/>
          <w:szCs w:val="28"/>
          <w:rtl/>
        </w:rPr>
        <w:t xml:space="preserve">هو ما کان غرراً فی نفسه عرفاً مع قطع النظر عن الأحکام الشرعیّة الثابتة للبیع؛و لذا قوّینا فیما سلف </w:t>
      </w:r>
      <w:r>
        <w:rPr>
          <w:rStyle w:val="FootnoteReference"/>
        </w:rPr>
        <w:footnoteReference w:id="1586"/>
      </w:r>
      <w:r>
        <w:rPr>
          <w:rFonts w:ascii="IRNazanin" w:hAnsi="IRNazanin" w:eastAsia="IRNazanin" w:cs="IRNazanin"/>
          <w:lang w:bidi="fa-IR"/>
          <w:color w:val="111111"/>
          <w:sz w:val="28"/>
          <w:szCs w:val="28"/>
          <w:rtl/>
        </w:rPr>
        <w:t xml:space="preserve">جریان نفی الغرر فی البیع المشروط تأثیره شرعاً بالتسلیم.و من المعلوم أنّ بیع الضالّ و شبهه لیس محکوماً علیه فی العرف بکونه فی ضمان البائع،بل یحکمون بعد ملاحظة إقدام المشتری علی شرائه بکون تلفه منه،فالانفساخ بالتلف حکمٌ شرعیٌّ عارضٌ للبیع الصحیح الذی لیس فی نفسه غرراً عرفاً.</w:t>
      </w:r>
    </w:p>
    <w:p>
      <w:pPr>
        <w:pStyle w:val="BookText"/>
      </w:pPr>
      <w:r>
        <w:rPr>
          <w:rFonts w:ascii="IRNazanin" w:hAnsi="IRNazanin" w:eastAsia="IRNazanin" w:cs="IRNazanin"/>
          <w:lang w:bidi="fa-IR"/>
          <w:color w:val="111111"/>
          <w:sz w:val="28"/>
          <w:szCs w:val="28"/>
          <w:rtl/>
        </w:rPr>
        <w:t xml:space="preserve">و ممّا ذکر یظهر:أنّه لا یجدی فی رفع </w:t>
      </w:r>
      <w:r>
        <w:rPr>
          <w:rStyle w:val="FootnoteReference"/>
        </w:rPr>
        <w:footnoteReference w:id="1587"/>
      </w:r>
      <w:r>
        <w:rPr>
          <w:rFonts w:ascii="IRNazanin" w:hAnsi="IRNazanin" w:eastAsia="IRNazanin" w:cs="IRNazanin"/>
          <w:lang w:bidi="fa-IR"/>
          <w:color w:val="111111"/>
          <w:sz w:val="28"/>
          <w:szCs w:val="28"/>
          <w:rtl/>
        </w:rPr>
        <w:t xml:space="preserve">الغرر الحکم بصحّة البیع مراعی بالتسلیم،فإن تسلّم قبل مدّة لا یفوت الانتفاع المعتدّ به،و إلّا تخیّر بین الفسخ و الإمضاء کما استقربه فی اللمعة </w:t>
      </w:r>
      <w:r>
        <w:rPr>
          <w:rStyle w:val="FootnoteReference"/>
        </w:rPr>
        <w:footnoteReference w:id="1588"/>
      </w:r>
      <w:r>
        <w:rPr>
          <w:rFonts w:ascii="IRNazanin" w:hAnsi="IRNazanin" w:eastAsia="IRNazanin" w:cs="IRNazanin"/>
          <w:lang w:bidi="fa-IR"/>
          <w:color w:val="111111"/>
          <w:sz w:val="28"/>
          <w:szCs w:val="28"/>
          <w:rtl/>
        </w:rPr>
        <w:t xml:space="preserve">فإنّ ثبوت الخیار</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 شرعیٌّ عارضٌ للبیع الصحیح الذی فرض </w:t>
      </w:r>
      <w:r>
        <w:rPr>
          <w:rStyle w:val="FootnoteReference"/>
        </w:rPr>
        <w:footnoteReference w:id="1589"/>
      </w:r>
      <w:r>
        <w:rPr>
          <w:rFonts w:ascii="IRNazanin" w:hAnsi="IRNazanin" w:eastAsia="IRNazanin" w:cs="IRNazanin"/>
          <w:lang w:bidi="fa-IR"/>
          <w:color w:val="111111"/>
          <w:sz w:val="28"/>
          <w:szCs w:val="28"/>
          <w:rtl/>
        </w:rPr>
        <w:t xml:space="preserve">فیه العجز عن تسلّم </w:t>
      </w:r>
      <w:r>
        <w:rPr>
          <w:rStyle w:val="FootnoteReference"/>
        </w:rPr>
        <w:footnoteReference w:id="1590"/>
      </w:r>
      <w:r>
        <w:rPr>
          <w:rFonts w:ascii="IRNazanin" w:hAnsi="IRNazanin" w:eastAsia="IRNazanin" w:cs="IRNazanin"/>
          <w:lang w:bidi="fa-IR"/>
          <w:color w:val="111111"/>
          <w:sz w:val="28"/>
          <w:szCs w:val="28"/>
          <w:rtl/>
        </w:rPr>
        <w:t xml:space="preserve">المبیع،فلا یندفع به الغرر الثابت عرفاً فی البیع المبطل له.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لکن قد مرّت </w:t>
      </w:r>
      <w:r>
        <w:rPr>
          <w:rStyle w:val="FootnoteReference"/>
        </w:rPr>
        <w:footnoteReference w:id="1591"/>
      </w:r>
      <w:r>
        <w:rPr>
          <w:rFonts w:ascii="IRNazanin" w:hAnsi="IRNazanin" w:eastAsia="IRNazanin" w:cs="IRNazanin"/>
          <w:lang w:bidi="fa-IR"/>
          <w:color w:val="111111"/>
          <w:sz w:val="28"/>
          <w:szCs w:val="28"/>
          <w:rtl/>
        </w:rPr>
        <w:t xml:space="preserve">المناقشة فی ذلک بمنع إطلاق العرف </w:t>
      </w:r>
      <w:r>
        <w:rPr>
          <w:rStyle w:val="FootnoteReference"/>
        </w:rPr>
        <w:footnoteReference w:id="1592"/>
      </w:r>
      <w:r>
        <w:rPr>
          <w:rFonts w:ascii="IRNazanin" w:hAnsi="IRNazanin" w:eastAsia="IRNazanin" w:cs="IRNazanin"/>
          <w:lang w:bidi="fa-IR"/>
          <w:color w:val="111111"/>
          <w:sz w:val="28"/>
          <w:szCs w:val="28"/>
          <w:rtl/>
        </w:rPr>
        <w:t xml:space="preserve">الغرر علی مثل هذا بعد اطّلاعهم علی الحکم الشرعی اللاحق للمبیع </w:t>
      </w:r>
      <w:r>
        <w:rPr>
          <w:rStyle w:val="FootnoteReference"/>
        </w:rPr>
        <w:footnoteReference w:id="1593"/>
      </w:r>
      <w:r>
        <w:rPr>
          <w:rFonts w:ascii="IRNazanin" w:hAnsi="IRNazanin" w:eastAsia="IRNazanin" w:cs="IRNazanin"/>
          <w:lang w:bidi="fa-IR"/>
          <w:color w:val="111111"/>
          <w:sz w:val="28"/>
          <w:szCs w:val="28"/>
          <w:rtl/>
        </w:rPr>
        <w:t xml:space="preserve">من ضمانه قبل التسلیم </w:t>
      </w:r>
      <w:r>
        <w:rPr>
          <w:rStyle w:val="FootnoteReference"/>
        </w:rPr>
        <w:footnoteReference w:id="1594"/>
      </w:r>
      <w:r>
        <w:rPr>
          <w:rFonts w:ascii="IRNazanin" w:hAnsi="IRNazanin" w:eastAsia="IRNazanin" w:cs="IRNazanin"/>
          <w:lang w:bidi="fa-IR"/>
          <w:color w:val="111111"/>
          <w:sz w:val="28"/>
          <w:szCs w:val="28"/>
          <w:rtl/>
        </w:rPr>
        <w:t xml:space="preserve">و من عدم التسلّط علی مطالبة الثمن،فافهم.</w:t>
      </w:r>
    </w:p>
    <w:p>
      <w:pPr>
        <w:pStyle w:val="BookText"/>
      </w:pPr>
      <w:r>
        <w:rPr>
          <w:rFonts w:ascii="IRNazanin" w:hAnsi="IRNazanin" w:eastAsia="IRNazanin" w:cs="IRNazanin"/>
          <w:lang w:bidi="fa-IR"/>
          <w:color w:val="111111"/>
          <w:sz w:val="28"/>
          <w:szCs w:val="28"/>
          <w:rtl/>
        </w:rPr>
        <w:t xml:space="preserve">و لو فرض أخذ المتبایعین لهذا الخیار فی متن العقد فباعه علی أن یکون له الخیار إذا لم یحصل المبیع فی یده إلی ثلاثة أیام،أمکن جوازه؛لعدم الغرر حینئذٍ عرفاً،و لذا لا یُعدّ بیع العین الغیر المرئیّة الموصوفة بالصفات المعیّنة من بیع الغرر؛لأنّ ذکر الوصف بمنزلة اشتراطه فیه الموجب للتسلّط علی الردّ.</w:t>
      </w:r>
    </w:p>
    <w:p>
      <w:pPr>
        <w:pStyle w:val="BookText"/>
      </w:pPr>
      <w:r>
        <w:rPr>
          <w:rFonts w:ascii="IRNazanin" w:hAnsi="IRNazanin" w:eastAsia="IRNazanin" w:cs="IRNazanin"/>
          <w:lang w:bidi="fa-IR"/>
          <w:color w:val="111111"/>
          <w:sz w:val="28"/>
          <w:szCs w:val="28"/>
          <w:rtl/>
        </w:rPr>
        <w:t xml:space="preserve">و لعلّه لهذا اختار فی محکیّ المختلف تبعاً للإسکافی جواز بیع الآبق إذا ضمنه البائع </w:t>
      </w:r>
      <w:r>
        <w:rPr>
          <w:rStyle w:val="FootnoteReference"/>
        </w:rPr>
        <w:footnoteReference w:id="1595"/>
      </w:r>
      <w:r>
        <w:rPr>
          <w:rFonts w:ascii="IRNazanin" w:hAnsi="IRNazanin" w:eastAsia="IRNazanin" w:cs="IRNazanin"/>
          <w:lang w:bidi="fa-IR"/>
          <w:color w:val="111111"/>
          <w:sz w:val="28"/>
          <w:szCs w:val="28"/>
          <w:rtl/>
        </w:rPr>
        <w:t xml:space="preserve">.فإنّ الظاهر منه اشتراط ضمانه.</w:t>
      </w:r>
    </w:p>
    <w:p>
      <w:pPr>
        <w:pStyle w:val="BookText"/>
      </w:pPr>
      <w:r>
        <w:rPr>
          <w:rFonts w:ascii="IRNazanin" w:hAnsi="IRNazanin" w:eastAsia="IRNazanin" w:cs="IRNazanin"/>
          <w:lang w:bidi="fa-IR"/>
          <w:color w:val="111111"/>
          <w:sz w:val="28"/>
          <w:szCs w:val="28"/>
          <w:rtl/>
        </w:rPr>
        <w:t xml:space="preserve">و عن حاشیة الشهید ظهور المیل إلیه </w:t>
      </w:r>
      <w:r>
        <w:rPr>
          <w:rStyle w:val="FootnoteReference"/>
        </w:rPr>
        <w:footnoteReference w:id="1596"/>
      </w:r>
      <w:r>
        <w:rPr>
          <w:rFonts w:ascii="IRNazanin" w:hAnsi="IRNazanin" w:eastAsia="IRNazanin" w:cs="IRNazanin"/>
          <w:lang w:bidi="fa-IR"/>
          <w:color w:val="111111"/>
          <w:sz w:val="28"/>
          <w:szCs w:val="28"/>
          <w:rtl/>
        </w:rPr>
        <w:t xml:space="preserve">.و إن کان قد یرد علی هذا عدم اندفاع الغرر باشتراط الضمان،فتأمّل.</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6" w:name="pg14419_167104"/>
    <w:bookmarkEnd w:id="236"/>
    <w:p>
      <w:pPr>
        <w:pStyle w:val="Heading6"/>
      </w:pPr>
      <w:bookmarkStart w:id="1054" w:name="_Toc494"/>
      <w:r>
        <w:t>مسألة : یجوز بیع الآبق مع الضمیمة فی الجملة</w:t>
      </w:r>
      <w:bookmarkEnd w:id="1054"/>
    </w:p>
    <w:p>
      <w:pPr>
        <w:pStyle w:val="BookText"/>
      </w:pPr>
      <w:r>
        <w:rPr>
          <w:rFonts w:ascii="IRNazanin" w:hAnsi="IRNazanin" w:eastAsia="IRNazanin" w:cs="IRNazanin"/>
          <w:lang w:bidi="fa-IR"/>
          <w:color w:val="111111"/>
          <w:sz w:val="28"/>
          <w:szCs w:val="28"/>
          <w:rtl/>
        </w:rPr>
        <w:t xml:space="preserve">کما عن الانتصار </w:t>
      </w:r>
      <w:r>
        <w:rPr>
          <w:rStyle w:val="FootnoteReference"/>
        </w:rPr>
        <w:footnoteReference w:id="1597"/>
      </w:r>
      <w:r>
        <w:rPr>
          <w:rFonts w:ascii="IRNazanin" w:hAnsi="IRNazanin" w:eastAsia="IRNazanin" w:cs="IRNazanin"/>
          <w:lang w:bidi="fa-IR"/>
          <w:color w:val="111111"/>
          <w:sz w:val="28"/>
          <w:szCs w:val="28"/>
          <w:rtl/>
        </w:rPr>
        <w:t xml:space="preserve">و کشف الرموز </w:t>
      </w:r>
      <w:r>
        <w:rPr>
          <w:rStyle w:val="FootnoteReference"/>
        </w:rPr>
        <w:footnoteReference w:id="1598"/>
      </w:r>
      <w:r>
        <w:rPr>
          <w:rFonts w:ascii="IRNazanin" w:hAnsi="IRNazanin" w:eastAsia="IRNazanin" w:cs="IRNazanin"/>
          <w:lang w:bidi="fa-IR"/>
          <w:color w:val="111111"/>
          <w:sz w:val="28"/>
          <w:szCs w:val="28"/>
          <w:rtl/>
        </w:rPr>
        <w:t xml:space="preserve">و التنقیح </w:t>
      </w:r>
      <w:r>
        <w:rPr>
          <w:rStyle w:val="FootnoteReference"/>
        </w:rPr>
        <w:footnoteReference w:id="1599"/>
      </w:r>
      <w:r>
        <w:rPr>
          <w:rFonts w:ascii="IRNazanin" w:hAnsi="IRNazanin" w:eastAsia="IRNazanin" w:cs="IRNazanin"/>
          <w:lang w:bidi="fa-IR"/>
          <w:color w:val="111111"/>
          <w:sz w:val="28"/>
          <w:szCs w:val="28"/>
          <w:rtl/>
        </w:rPr>
        <w:t xml:space="preserve">،بل بلا خلاف کما عن الخلاف </w:t>
      </w:r>
      <w:r>
        <w:rPr>
          <w:rStyle w:val="FootnoteReference"/>
        </w:rPr>
        <w:footnoteReference w:id="1600"/>
      </w:r>
      <w:r>
        <w:rPr>
          <w:rFonts w:ascii="IRNazanin" w:hAnsi="IRNazanin" w:eastAsia="IRNazanin" w:cs="IRNazanin"/>
          <w:lang w:bidi="fa-IR"/>
          <w:color w:val="111111"/>
          <w:sz w:val="28"/>
          <w:szCs w:val="28"/>
          <w:rtl/>
        </w:rPr>
        <w:t xml:space="preserve">حاکیاً فیه کما عن الانتصار إطباق العامّة علی خلافه.</w:t>
      </w:r>
    </w:p>
    <w:p>
      <w:pPr>
        <w:pStyle w:val="BookText"/>
      </w:pPr>
      <w:r>
        <w:rPr>
          <w:rFonts w:ascii="IRNazanin" w:hAnsi="IRNazanin" w:eastAsia="IRNazanin" w:cs="IRNazanin"/>
          <w:lang w:bidi="fa-IR"/>
          <w:color w:val="111111"/>
          <w:sz w:val="28"/>
          <w:szCs w:val="28"/>
          <w:rtl/>
        </w:rPr>
        <w:t xml:space="preserve">و ظاهر الانتصار خروج البیع بالضمیمة عن کونه غرراً،حیث حکی احتجاج العامّة ب«الغرر»،فأنکره علیهم مع الضمیمة.و فیه إشکال.</w:t>
      </w:r>
    </w:p>
    <w:p>
      <w:pPr>
        <w:pStyle w:val="BookText"/>
      </w:pPr>
      <w:r>
        <w:rPr>
          <w:rFonts w:ascii="IRNazanin" w:hAnsi="IRNazanin" w:eastAsia="IRNazanin" w:cs="IRNazanin"/>
          <w:lang w:bidi="fa-IR"/>
          <w:color w:val="111111"/>
          <w:sz w:val="28"/>
          <w:szCs w:val="28"/>
          <w:rtl/>
        </w:rPr>
        <w:t xml:space="preserve">و الأولی لنا التمسّک قبل الإجماعات المحکیّة،المعتضدة بمخالفة من جُعل الرشد فی مخالفته بصحیحة رفاعة النخّاس:«قال:قلت لأبی الحسن علیه السلام:أ یصلح لی أن أشتری من القوم الجاریة الآبقة و أعطیهم</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الثمن و أطلبها أنا؟قال:لا یصلح شراؤها إلّا أن تشتری منهم[معها شیئاً </w:t>
      </w:r>
      <w:r>
        <w:rPr>
          <w:rStyle w:val="FootnoteReference"/>
        </w:rPr>
        <w:footnoteReference w:id="1601"/>
      </w:r>
      <w:r>
        <w:rPr>
          <w:rFonts w:ascii="IRNazanin" w:hAnsi="IRNazanin" w:eastAsia="IRNazanin" w:cs="IRNazanin"/>
          <w:lang w:bidi="fa-IR"/>
          <w:color w:val="111111"/>
          <w:sz w:val="28"/>
          <w:szCs w:val="28"/>
          <w:rtl/>
        </w:rPr>
        <w:t xml:space="preserve">]ثوباً أو متاعاً،فتقول لهم:أشتری منکم جاریتکم فلانة و هذا المتاع بکذا و کذا درهماً،فإنّ ذلک جائز»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سماعة عن أبی عبد اللّٰه علیه السلام:«فی الرجل قد یشتری العبد و هو آبقٌ عن أهله؟قال:لا یصلح إلّا أن یشتری معه شیئاً [آخر </w:t>
      </w:r>
      <w:r>
        <w:rPr>
          <w:rStyle w:val="FootnoteReference"/>
        </w:rPr>
        <w:footnoteReference w:id="1603"/>
      </w:r>
      <w:r>
        <w:rPr>
          <w:rFonts w:ascii="IRNazanin" w:hAnsi="IRNazanin" w:eastAsia="IRNazanin" w:cs="IRNazanin"/>
          <w:lang w:bidi="fa-IR"/>
          <w:color w:val="111111"/>
          <w:sz w:val="28"/>
          <w:szCs w:val="28"/>
          <w:rtl/>
        </w:rPr>
        <w:t xml:space="preserve">]،فیقول:"أشتری منک هذا الشیء و عبدک بکذا و کذا </w:t>
      </w:r>
      <w:r>
        <w:rPr>
          <w:rStyle w:val="FootnoteReference"/>
        </w:rPr>
        <w:footnoteReference w:id="1604"/>
      </w:r>
      <w:r>
        <w:rPr>
          <w:rFonts w:ascii="IRNazanin" w:hAnsi="IRNazanin" w:eastAsia="IRNazanin" w:cs="IRNazanin"/>
          <w:lang w:bidi="fa-IR"/>
          <w:color w:val="111111"/>
          <w:sz w:val="28"/>
          <w:szCs w:val="28"/>
          <w:rtl/>
        </w:rPr>
        <w:t xml:space="preserve">"،فإن لم یقدر علی العبد کان الذی نقده فیما اشتری معه»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السؤال فی الأُولی و الجواب فی الثانیة:الاختصاص بصورة رجاء الوجدان،و هو الظاهر أیضاً من معاقد الإجماعات المنقولة، فالمأیوس عادةً من الظفر به الملحق بالتالف لا یجوز جعله جزءاً من المبیع؛لأنّ بذل جزءٍ من الثمن فی مقابله لو لم یکن سفهاً أو أکلاً للمال بالباطل لجاز جعله ثمناً </w:t>
      </w:r>
      <w:r>
        <w:rPr>
          <w:rStyle w:val="FootnoteReference"/>
        </w:rPr>
        <w:footnoteReference w:id="1606"/>
      </w:r>
      <w:r>
        <w:rPr>
          <w:rFonts w:ascii="IRNazanin" w:hAnsi="IRNazanin" w:eastAsia="IRNazanin" w:cs="IRNazanin"/>
          <w:lang w:bidi="fa-IR"/>
          <w:color w:val="111111"/>
          <w:sz w:val="28"/>
          <w:szCs w:val="28"/>
          <w:rtl/>
        </w:rPr>
        <w:t xml:space="preserve">یباع به مستقلا،فالمانع عن استقلاله بالبیع مانع عن جعله جزء مبیع </w:t>
      </w:r>
      <w:r>
        <w:rPr>
          <w:rStyle w:val="FootnoteReference"/>
        </w:rPr>
        <w:footnoteReference w:id="1607"/>
      </w:r>
      <w:r>
        <w:rPr>
          <w:rFonts w:ascii="IRNazanin" w:hAnsi="IRNazanin" w:eastAsia="IRNazanin" w:cs="IRNazanin"/>
          <w:lang w:bidi="fa-IR"/>
          <w:color w:val="111111"/>
          <w:sz w:val="28"/>
          <w:szCs w:val="28"/>
          <w:rtl/>
        </w:rPr>
        <w:t xml:space="preserve">،للنهی عن الغرر،السلیم عن</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نعم،یصحّ تملّکه علی وجه التبعیّة للمبیع باشتراطٍ و نحوه.</w:t>
      </w:r>
    </w:p>
    <w:p>
      <w:pPr>
        <w:pStyle w:val="BookText"/>
      </w:pPr>
      <w:r>
        <w:rPr>
          <w:rFonts w:ascii="IRNazanin" w:hAnsi="IRNazanin" w:eastAsia="IRNazanin" w:cs="IRNazanin"/>
          <w:lang w:bidi="fa-IR"/>
          <w:color w:val="111111"/>
          <w:sz w:val="28"/>
          <w:szCs w:val="28"/>
          <w:rtl/>
        </w:rPr>
        <w:t xml:space="preserve">و أیضاً الظاهر اعتبار کون الضمیمة ممّا یصحّ بیعها،و أمّا صحّة بیعها منفردة فلا یظهر </w:t>
      </w:r>
      <w:r>
        <w:rPr>
          <w:rStyle w:val="FootnoteReference"/>
        </w:rPr>
        <w:footnoteReference w:id="1609"/>
      </w:r>
      <w:r>
        <w:rPr>
          <w:rFonts w:ascii="IRNazanin" w:hAnsi="IRNazanin" w:eastAsia="IRNazanin" w:cs="IRNazanin"/>
          <w:lang w:bidi="fa-IR"/>
          <w:color w:val="111111"/>
          <w:sz w:val="28"/>
          <w:szCs w:val="28"/>
          <w:rtl/>
        </w:rPr>
        <w:t xml:space="preserve">من الروایة </w:t>
      </w:r>
      <w:r>
        <w:rPr>
          <w:rStyle w:val="FootnoteReference"/>
        </w:rPr>
        <w:footnoteReference w:id="1610"/>
      </w:r>
      <w:r>
        <w:rPr>
          <w:rFonts w:ascii="IRNazanin" w:hAnsi="IRNazanin" w:eastAsia="IRNazanin" w:cs="IRNazanin"/>
          <w:lang w:bidi="fa-IR"/>
          <w:color w:val="111111"/>
          <w:sz w:val="28"/>
          <w:szCs w:val="28"/>
          <w:rtl/>
        </w:rPr>
        <w:t xml:space="preserve">،فلو أضاف إلی الضمیمة مَن تعذّر تسلیمه کفی </w:t>
      </w:r>
      <w:r>
        <w:rPr>
          <w:rStyle w:val="FootnoteReference"/>
        </w:rPr>
        <w:footnoteReference w:id="1611"/>
      </w:r>
      <w:r>
        <w:rPr>
          <w:rFonts w:ascii="IRNazanin" w:hAnsi="IRNazanin" w:eastAsia="IRNazanin" w:cs="IRNazanin"/>
          <w:lang w:bidi="fa-IR"/>
          <w:color w:val="111111"/>
          <w:sz w:val="28"/>
          <w:szCs w:val="28"/>
          <w:rtl/>
        </w:rPr>
        <w:t xml:space="preserve">،و لا </w:t>
      </w:r>
      <w:r>
        <w:rPr>
          <w:rStyle w:val="FootnoteReference"/>
        </w:rPr>
        <w:footnoteReference w:id="1612"/>
      </w:r>
      <w:r>
        <w:rPr>
          <w:rFonts w:ascii="IRNazanin" w:hAnsi="IRNazanin" w:eastAsia="IRNazanin" w:cs="IRNazanin"/>
          <w:lang w:bidi="fa-IR"/>
          <w:color w:val="111111"/>
          <w:sz w:val="28"/>
          <w:szCs w:val="28"/>
          <w:rtl/>
        </w:rPr>
        <w:t xml:space="preserve">یکفی ضمّ المنفعة إلّا إذا فهمنا من قوله:</w:t>
      </w:r>
    </w:p>
    <w:p>
      <w:pPr>
        <w:pStyle w:val="BookText"/>
      </w:pPr>
      <w:r>
        <w:rPr>
          <w:rFonts w:ascii="IRNazanin" w:hAnsi="IRNazanin" w:eastAsia="IRNazanin" w:cs="IRNazanin"/>
          <w:lang w:bidi="fa-IR"/>
          <w:color w:val="111111"/>
          <w:sz w:val="28"/>
          <w:szCs w:val="28"/>
          <w:rtl/>
        </w:rPr>
        <w:t xml:space="preserve">«فإن لم یقدر..إلی آخر الروایة»تعلیل الحکم بوجود ما یمکن مقابلته بالثمن،فیکون ذکر اشتراط الضمیمة معه من باب المثال أو کنایة عن نقل مالٍ أو حقٍّ إلیه مع الآبق؛لئلّا یخلو الثمن عن المقابل؛فتأمّل.</w:t>
      </w:r>
    </w:p>
    <w:p>
      <w:pPr>
        <w:pStyle w:val="BookText"/>
      </w:pPr>
      <w:r>
        <w:rPr>
          <w:rFonts w:ascii="IRNazanin" w:hAnsi="IRNazanin" w:eastAsia="IRNazanin" w:cs="IRNazanin"/>
          <w:lang w:bidi="fa-IR"/>
          <w:color w:val="111111"/>
          <w:sz w:val="28"/>
          <w:szCs w:val="28"/>
          <w:rtl/>
        </w:rPr>
        <w:t xml:space="preserve">ثمّ إنّه لا إشکال فی انتقال الآبق إلی المشتری،إلّا أنّه لو بقی علی إباقه و صار فی حکم التالف لم یرجع علی البائع بشیء و إن اقتضی</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قاعدة«التلف قبل القبض»استرداد ما قابلة من الثمن،فلیس معنی الروایة:أنّه لو لم یقدر علی الآبق وقعت المعاوضة علی الضمیمة و الثمن </w:t>
      </w:r>
      <w:r>
        <w:rPr>
          <w:rStyle w:val="FootnoteReference"/>
        </w:rPr>
        <w:footnoteReference w:id="1613"/>
      </w:r>
      <w:r>
        <w:rPr>
          <w:rFonts w:ascii="IRNazanin" w:hAnsi="IRNazanin" w:eastAsia="IRNazanin" w:cs="IRNazanin"/>
          <w:lang w:bidi="fa-IR"/>
          <w:color w:val="111111"/>
          <w:sz w:val="28"/>
          <w:szCs w:val="28"/>
          <w:rtl/>
        </w:rPr>
        <w:t xml:space="preserve">،لیکون </w:t>
      </w:r>
      <w:r>
        <w:rPr>
          <w:rStyle w:val="FootnoteReference"/>
        </w:rPr>
        <w:footnoteReference w:id="1614"/>
      </w:r>
      <w:r>
        <w:rPr>
          <w:rFonts w:ascii="IRNazanin" w:hAnsi="IRNazanin" w:eastAsia="IRNazanin" w:cs="IRNazanin"/>
          <w:lang w:bidi="fa-IR"/>
          <w:color w:val="111111"/>
          <w:sz w:val="28"/>
          <w:szCs w:val="28"/>
          <w:rtl/>
        </w:rPr>
        <w:t xml:space="preserve">المعاوضة علی المجموع مراعاةً بحصول </w:t>
      </w:r>
      <w:r>
        <w:rPr>
          <w:rStyle w:val="FootnoteReference"/>
        </w:rPr>
        <w:footnoteReference w:id="1615"/>
      </w:r>
      <w:r>
        <w:rPr>
          <w:rFonts w:ascii="IRNazanin" w:hAnsi="IRNazanin" w:eastAsia="IRNazanin" w:cs="IRNazanin"/>
          <w:lang w:bidi="fa-IR"/>
          <w:color w:val="111111"/>
          <w:sz w:val="28"/>
          <w:szCs w:val="28"/>
          <w:rtl/>
        </w:rPr>
        <w:t xml:space="preserve">الآبق فی یده، کما یوهمه ظاهر المحکی عن کاشف الرموز:من أنّ الآبق ما دام آبقاً لیس مبیعاً فی الحقیقة،و لا جزءَ مبیع </w:t>
      </w:r>
      <w:r>
        <w:rPr>
          <w:rStyle w:val="FootnoteReference"/>
        </w:rPr>
        <w:footnoteReference w:id="1616"/>
      </w:r>
      <w:r>
        <w:rPr>
          <w:rFonts w:ascii="IRNazanin" w:hAnsi="IRNazanin" w:eastAsia="IRNazanin" w:cs="IRNazanin"/>
          <w:lang w:bidi="fa-IR"/>
          <w:color w:val="111111"/>
          <w:sz w:val="28"/>
          <w:szCs w:val="28"/>
          <w:rtl/>
        </w:rPr>
        <w:t xml:space="preserve">،مع أنّه ذکر بعد ذلک ما یدلّ علی إرادة ما ذکرنا </w:t>
      </w:r>
      <w:r>
        <w:rPr>
          <w:rStyle w:val="FootnoteReference"/>
        </w:rPr>
        <w:footnoteReference w:id="1617"/>
      </w:r>
      <w:r>
        <w:rPr>
          <w:rFonts w:ascii="IRNazanin" w:hAnsi="IRNazanin" w:eastAsia="IRNazanin" w:cs="IRNazanin"/>
          <w:lang w:bidi="fa-IR"/>
          <w:color w:val="111111"/>
          <w:sz w:val="28"/>
          <w:szCs w:val="28"/>
          <w:rtl/>
        </w:rPr>
        <w:t xml:space="preserve">،بل معناها:أنّه لا یرجع المشتری بتعذّر الآبق الذی هو فی حکم التلف الموجب للرجوع بما یقابله التالف بما یقابله </w:t>
      </w:r>
      <w:r>
        <w:rPr>
          <w:rStyle w:val="FootnoteReference"/>
        </w:rPr>
        <w:footnoteReference w:id="1618"/>
      </w:r>
      <w:r>
        <w:rPr>
          <w:rFonts w:ascii="IRNazanin" w:hAnsi="IRNazanin" w:eastAsia="IRNazanin" w:cs="IRNazanin"/>
          <w:lang w:bidi="fa-IR"/>
          <w:color w:val="111111"/>
          <w:sz w:val="28"/>
          <w:szCs w:val="28"/>
          <w:rtl/>
        </w:rPr>
        <w:t xml:space="preserve">من الثمن.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لو تلف قبل الیأس،ففی ذهابه علی المشتری إشکال.</w:t>
      </w:r>
    </w:p>
    <w:p>
      <w:pPr>
        <w:pStyle w:val="BookText"/>
      </w:pPr>
      <w:r>
        <w:rPr>
          <w:rFonts w:ascii="IRNazanin" w:hAnsi="IRNazanin" w:eastAsia="IRNazanin" w:cs="IRNazanin"/>
          <w:lang w:bidi="fa-IR"/>
          <w:color w:val="111111"/>
          <w:sz w:val="28"/>
          <w:szCs w:val="28"/>
          <w:rtl/>
        </w:rPr>
        <w:t xml:space="preserve">و لو تلفت الضمیمة قبل القبض:</w:t>
      </w:r>
    </w:p>
    <w:p>
      <w:pPr>
        <w:pStyle w:val="BookText"/>
      </w:pPr>
      <w:r>
        <w:rPr>
          <w:rFonts w:ascii="IRNazanin" w:hAnsi="IRNazanin" w:eastAsia="IRNazanin" w:cs="IRNazanin"/>
          <w:lang w:bidi="fa-IR"/>
          <w:color w:val="111111"/>
          <w:sz w:val="28"/>
          <w:szCs w:val="28"/>
          <w:rtl/>
        </w:rPr>
        <w:t xml:space="preserve">فإن کان بعد حصول الآبق فی الید،فالظاهر الرجوع بما قابلة الضمیمة،لا مجموع الثمن؛لأنّ الآبق لا یوزّع علیه الثمن ما دام آبقاً،</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بعد الحصول فی الید.و کذا لو کان بعد إتلاف المشتری له مع العجز عن التسلیم،کما لو أرسل إلیه طعاماً مسموماً؛لأنّه بمنزلة القبض.</w:t>
      </w:r>
    </w:p>
    <w:p>
      <w:pPr>
        <w:pStyle w:val="BookText"/>
      </w:pPr>
      <w:r>
        <w:rPr>
          <w:rFonts w:ascii="IRNazanin" w:hAnsi="IRNazanin" w:eastAsia="IRNazanin" w:cs="IRNazanin"/>
          <w:lang w:bidi="fa-IR"/>
          <w:color w:val="111111"/>
          <w:sz w:val="28"/>
          <w:szCs w:val="28"/>
          <w:rtl/>
        </w:rPr>
        <w:t xml:space="preserve">و إن کان قبله،ففی انفساخ البیع فی الآبق تبعاً للضمیمة،أو بقائه بما قابلة من الثمن،وجهان:</w:t>
      </w:r>
    </w:p>
    <w:p>
      <w:pPr>
        <w:pStyle w:val="BookText"/>
      </w:pPr>
      <w:r>
        <w:rPr>
          <w:rFonts w:ascii="IRNazanin" w:hAnsi="IRNazanin" w:eastAsia="IRNazanin" w:cs="IRNazanin"/>
          <w:lang w:bidi="fa-IR"/>
          <w:color w:val="111111"/>
          <w:sz w:val="28"/>
          <w:szCs w:val="28"/>
          <w:rtl/>
        </w:rPr>
        <w:t xml:space="preserve">من أنّ العقد علی الضمیمة إذا صار کأن لم یکن تبعه العقد علی الآبق؛لأنّه کان سبباً فی صحّته.</w:t>
      </w:r>
    </w:p>
    <w:p>
      <w:pPr>
        <w:pStyle w:val="BookText"/>
      </w:pPr>
      <w:r>
        <w:rPr>
          <w:rFonts w:ascii="IRNazanin" w:hAnsi="IRNazanin" w:eastAsia="IRNazanin" w:cs="IRNazanin"/>
          <w:lang w:bidi="fa-IR"/>
          <w:color w:val="111111"/>
          <w:sz w:val="28"/>
          <w:szCs w:val="28"/>
          <w:rtl/>
        </w:rPr>
        <w:t xml:space="preserve">و من أنّه کان تابعاً له فی الحدوث،فإذا </w:t>
      </w:r>
      <w:r>
        <w:rPr>
          <w:rStyle w:val="FootnoteReference"/>
        </w:rPr>
        <w:footnoteReference w:id="1619"/>
      </w:r>
      <w:r>
        <w:rPr>
          <w:rFonts w:ascii="IRNazanin" w:hAnsi="IRNazanin" w:eastAsia="IRNazanin" w:cs="IRNazanin"/>
          <w:lang w:bidi="fa-IR"/>
          <w:color w:val="111111"/>
          <w:sz w:val="28"/>
          <w:szCs w:val="28"/>
          <w:rtl/>
        </w:rPr>
        <w:t xml:space="preserve">تحقّق تملّک المشتری له، فاللازم من جعل الضمیمة کأن لم یعقد علیها رأساً،هو انحلال المقابلة الحاصلة بینه و بین ما یخصّه من الثمن،لا الحکم الآخر الذی کان یتبعه فی الابتداء.</w:t>
      </w:r>
    </w:p>
    <w:p>
      <w:pPr>
        <w:pStyle w:val="BookText"/>
      </w:pPr>
      <w:r>
        <w:rPr>
          <w:rFonts w:ascii="IRNazanin" w:hAnsi="IRNazanin" w:eastAsia="IRNazanin" w:cs="IRNazanin"/>
          <w:lang w:bidi="fa-IR"/>
          <w:color w:val="111111"/>
          <w:sz w:val="28"/>
          <w:szCs w:val="28"/>
          <w:rtl/>
        </w:rPr>
        <w:t xml:space="preserve">لکن ظاهر النصّ </w:t>
      </w:r>
      <w:r>
        <w:rPr>
          <w:rStyle w:val="FootnoteReference"/>
        </w:rPr>
        <w:footnoteReference w:id="1620"/>
      </w:r>
      <w:r>
        <w:rPr>
          <w:rFonts w:ascii="IRNazanin" w:hAnsi="IRNazanin" w:eastAsia="IRNazanin" w:cs="IRNazanin"/>
          <w:lang w:bidi="fa-IR"/>
          <w:color w:val="111111"/>
          <w:sz w:val="28"/>
          <w:szCs w:val="28"/>
          <w:rtl/>
        </w:rPr>
        <w:t xml:space="preserve">أنّه لا یقابل الآبق بجزءٍ من الثمن أصلاً،و لا یوضع له شیءٌ منه أبداً علی تقدیر عدم الظفر به.</w:t>
      </w:r>
    </w:p>
    <w:p>
      <w:pPr>
        <w:pStyle w:val="BookText"/>
      </w:pPr>
      <w:r>
        <w:rPr>
          <w:rFonts w:ascii="IRNazanin" w:hAnsi="IRNazanin" w:eastAsia="IRNazanin" w:cs="IRNazanin"/>
          <w:lang w:bidi="fa-IR"/>
          <w:color w:val="111111"/>
          <w:sz w:val="28"/>
          <w:szCs w:val="28"/>
          <w:rtl/>
        </w:rPr>
        <w:t xml:space="preserve">و من هنا ظهر حکم ما لو فرض فسخ العقد من جهة الضمیمة فقط،لاشتراط خیارٍ یخصّ بها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عقد علی الضمیمة فضولاً و لم یجز مالکها انفسخ العقد بالنسبة إلی المجموع.</w:t>
      </w:r>
    </w:p>
    <w:p>
      <w:pPr>
        <w:pStyle w:val="BookText"/>
      </w:pPr>
      <w:r>
        <w:rPr>
          <w:rFonts w:ascii="IRNazanin" w:hAnsi="IRNazanin" w:eastAsia="IRNazanin" w:cs="IRNazanin"/>
          <w:lang w:bidi="fa-IR"/>
          <w:color w:val="111111"/>
          <w:sz w:val="28"/>
          <w:szCs w:val="28"/>
          <w:rtl/>
        </w:rPr>
        <w:t xml:space="preserve">ثمّ لو وجد المشتری فی الآبق عیباً سابقاً،إمّا بعد القدرة علیه أو قبلها،کان له الرجوع بأرشه،کذا قیل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7" w:name="pg14419_167109"/>
    <w:bookmarkEnd w:id="237"/>
    <w:p>
      <w:pPr>
        <w:pStyle w:val="Heading6"/>
      </w:pPr>
      <w:bookmarkStart w:id="1055" w:name="_Toc495"/>
      <w:r>
        <w:t>مسألة [من شروط العوضین:العلم بقدر الثمن]</w:t>
      </w:r>
      <w:bookmarkEnd w:id="1055"/>
    </w:p>
    <w:p>
      <w:pPr>
        <w:pStyle w:val="BookText"/>
      </w:pPr>
      <w:r>
        <w:rPr>
          <w:rFonts w:ascii="IRNazanin" w:hAnsi="IRNazanin" w:eastAsia="IRNazanin" w:cs="IRNazanin"/>
          <w:lang w:bidi="fa-IR"/>
          <w:color w:val="111111"/>
          <w:sz w:val="28"/>
          <w:szCs w:val="28"/>
          <w:rtl/>
        </w:rPr>
        <w:t xml:space="preserve">مسألة [من شروط العوضین:العلم بقدر الثمن]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المعروف أنّه یشترط العلم بالثمن قدراً،فلو باع بحکم أحدهما بطل إجماعاً،کما عن المختلف و التذکرة </w:t>
      </w:r>
      <w:r>
        <w:rPr>
          <w:rStyle w:val="FootnoteReference"/>
        </w:rPr>
        <w:footnoteReference w:id="1624"/>
      </w:r>
      <w:r>
        <w:rPr>
          <w:rFonts w:ascii="IRNazanin" w:hAnsi="IRNazanin" w:eastAsia="IRNazanin" w:cs="IRNazanin"/>
          <w:lang w:bidi="fa-IR"/>
          <w:color w:val="111111"/>
          <w:sz w:val="28"/>
          <w:szCs w:val="28"/>
          <w:rtl/>
        </w:rPr>
        <w:t xml:space="preserve">،و اتفاقاً،کما عن الروضة و حاشیة الفقیه للسلطان </w:t>
      </w:r>
      <w:r>
        <w:rPr>
          <w:rStyle w:val="FootnoteReference"/>
        </w:rPr>
        <w:footnoteReference w:id="1625"/>
      </w:r>
      <w:r>
        <w:rPr>
          <w:rFonts w:ascii="IRNazanin" w:hAnsi="IRNazanin" w:eastAsia="IRNazanin" w:cs="IRNazanin"/>
          <w:lang w:bidi="fa-IR"/>
          <w:color w:val="111111"/>
          <w:sz w:val="28"/>
          <w:szCs w:val="28"/>
          <w:rtl/>
        </w:rPr>
        <w:t xml:space="preserve">.و فی السرائر فی مسألة البیع بحکم المشتری إبطاله بأنَّ کلّ مبیع لم یُذکر فیه الثمن فإنّه باطل،بلا خلاف بین المسلمین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 ذلک:حدیث«نفی الغرر» </w:t>
      </w:r>
      <w:r>
        <w:rPr>
          <w:rStyle w:val="FootnoteReference"/>
        </w:rPr>
        <w:footnoteReference w:id="1627"/>
      </w:r>
      <w:r>
        <w:rPr>
          <w:rFonts w:ascii="IRNazanin" w:hAnsi="IRNazanin" w:eastAsia="IRNazanin" w:cs="IRNazanin"/>
          <w:lang w:bidi="fa-IR"/>
          <w:color w:val="111111"/>
          <w:sz w:val="28"/>
          <w:szCs w:val="28"/>
          <w:rtl/>
        </w:rPr>
        <w:t xml:space="preserve">المشهور بین المسلمین.</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یؤیّده:التعلیل فی روایة حمّاد بن میسر،عن جعفر،عن أبیه علیه السلام:أنّه کره أن یُشتری الثوب بدینار غیر درهم؛لأنّه لا یُدری کم الدینار من الدرهم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صحیحة رفاعة النخّاس ما ظاهره المنافاة،قال:«سألت أبا عبد اللّٰه علیه السلام فقلت له:ساومت رجلاً بجاریة له فباعنیها بحکمی، فقبضتها منه[علی ذلک </w:t>
      </w:r>
      <w:r>
        <w:rPr>
          <w:rStyle w:val="FootnoteReference"/>
        </w:rPr>
        <w:footnoteReference w:id="1629"/>
      </w:r>
      <w:r>
        <w:rPr>
          <w:rFonts w:ascii="IRNazanin" w:hAnsi="IRNazanin" w:eastAsia="IRNazanin" w:cs="IRNazanin"/>
          <w:lang w:bidi="fa-IR"/>
          <w:color w:val="111111"/>
          <w:sz w:val="28"/>
          <w:szCs w:val="28"/>
          <w:rtl/>
        </w:rPr>
        <w:t xml:space="preserve">]ثمّ بعثت إلیه بألف درهم فقلت له:هذه ألف درهم </w:t>
      </w:r>
      <w:r>
        <w:rPr>
          <w:rStyle w:val="FootnoteReference"/>
        </w:rPr>
        <w:footnoteReference w:id="1630"/>
      </w:r>
      <w:r>
        <w:rPr>
          <w:rFonts w:ascii="IRNazanin" w:hAnsi="IRNazanin" w:eastAsia="IRNazanin" w:cs="IRNazanin"/>
          <w:lang w:bidi="fa-IR"/>
          <w:color w:val="111111"/>
          <w:sz w:val="28"/>
          <w:szCs w:val="28"/>
          <w:rtl/>
        </w:rPr>
        <w:t xml:space="preserve">حکمی علیک </w:t>
      </w:r>
      <w:r>
        <w:rPr>
          <w:rStyle w:val="FootnoteReference"/>
        </w:rPr>
        <w:footnoteReference w:id="1631"/>
      </w:r>
      <w:r>
        <w:rPr>
          <w:rFonts w:ascii="IRNazanin" w:hAnsi="IRNazanin" w:eastAsia="IRNazanin" w:cs="IRNazanin"/>
          <w:lang w:bidi="fa-IR"/>
          <w:color w:val="111111"/>
          <w:sz w:val="28"/>
          <w:szCs w:val="28"/>
          <w:rtl/>
        </w:rPr>
        <w:t xml:space="preserve">فأبی أن یقبلها </w:t>
      </w:r>
      <w:r>
        <w:rPr>
          <w:rStyle w:val="FootnoteReference"/>
        </w:rPr>
        <w:footnoteReference w:id="1632"/>
      </w:r>
      <w:r>
        <w:rPr>
          <w:rFonts w:ascii="IRNazanin" w:hAnsi="IRNazanin" w:eastAsia="IRNazanin" w:cs="IRNazanin"/>
          <w:lang w:bidi="fa-IR"/>
          <w:color w:val="111111"/>
          <w:sz w:val="28"/>
          <w:szCs w:val="28"/>
          <w:rtl/>
        </w:rPr>
        <w:t xml:space="preserve">منّی و قد کنت مسستها قبل أن أبعث إلیه بألف درهم؟فقال:أری أن تقوّم الجاریة بقیمة عادلة،فإن کان قیمتها أکثر ممّا بعثت </w:t>
      </w:r>
      <w:r>
        <w:rPr>
          <w:rStyle w:val="FootnoteReference"/>
        </w:rPr>
        <w:footnoteReference w:id="1633"/>
      </w:r>
      <w:r>
        <w:rPr>
          <w:rFonts w:ascii="IRNazanin" w:hAnsi="IRNazanin" w:eastAsia="IRNazanin" w:cs="IRNazanin"/>
          <w:lang w:bidi="fa-IR"/>
          <w:color w:val="111111"/>
          <w:sz w:val="28"/>
          <w:szCs w:val="28"/>
          <w:rtl/>
        </w:rPr>
        <w:t xml:space="preserve">إلیه کان علیک أن تردّ ما نقص من القیمة،و إن کان قیمتها أقلّ ممّا بعثت إلیه فهو له.قال:</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1634"/>
      </w:r>
      <w:r>
        <w:rPr>
          <w:rFonts w:ascii="IRNazanin" w:hAnsi="IRNazanin" w:eastAsia="IRNazanin" w:cs="IRNazanin"/>
          <w:lang w:bidi="fa-IR"/>
          <w:color w:val="111111"/>
          <w:sz w:val="28"/>
          <w:szCs w:val="28"/>
          <w:rtl/>
        </w:rPr>
        <w:t xml:space="preserve">:أ رأیت إن أصبت بها عیباً بعد أن مسستها؟قال:لیس علیک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تردّها علیه،و لک أن تأخذ قیمة ما بین الصحّة و العیب»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التأویل فیها متعیّن[لمنافاة ظاهرها لصحّة البیع و فساده، فلا یتوهّم جواز التمسّک بها لصحّة هذا البیع؛إذ لو کان صحیحاً لم یکن معنی لوجوب قیمة مثلها بعد تحقّق البیع بثمن خاصّ.نعم هی محتاجةٌ إلی أزید من هذا التأویل؛بناءً علی القول بالفساد </w:t>
      </w:r>
      <w:r>
        <w:rPr>
          <w:rStyle w:val="FootnoteReference"/>
        </w:rPr>
        <w:footnoteReference w:id="1637"/>
      </w:r>
      <w:r>
        <w:rPr>
          <w:rFonts w:ascii="IRNazanin" w:hAnsi="IRNazanin" w:eastAsia="IRNazanin" w:cs="IRNazanin"/>
          <w:lang w:bidi="fa-IR"/>
          <w:color w:val="111111"/>
          <w:sz w:val="28"/>
          <w:szCs w:val="28"/>
          <w:rtl/>
        </w:rPr>
        <w:t xml:space="preserve">]بأن یراد من قوله:«باعنیها بحکمی»قطع المساومة علی أن اقوّمها علی نفسی بقیمتها العادلة </w:t>
      </w:r>
      <w:r>
        <w:rPr>
          <w:rStyle w:val="FootnoteReference"/>
        </w:rPr>
        <w:footnoteReference w:id="1638"/>
      </w:r>
      <w:r>
        <w:rPr>
          <w:rFonts w:ascii="IRNazanin" w:hAnsi="IRNazanin" w:eastAsia="IRNazanin" w:cs="IRNazanin"/>
          <w:lang w:bidi="fa-IR"/>
          <w:color w:val="111111"/>
          <w:sz w:val="28"/>
          <w:szCs w:val="28"/>
          <w:rtl/>
        </w:rPr>
        <w:t xml:space="preserve">فی نظری حیث إنّ رفاعة کان نخّاساً یبیع و یشتری الرقیق فقوّمها رفاعة علی نفسه بألف درهم إمّا معاطاةً،و إمّا مع إنشاء الإیجاب وکالةً و القبول أصالةً،فلمّا مسّها و بعث الدراهم لم یقبلها المالک،لظهور غبنٍ له فی البیع،و أنّ رفاعة مخطئ فی القیمة،أو لثبوت خیار الحیوان للبائع علی القول به.</w:t>
      </w:r>
    </w:p>
    <w:p>
      <w:pPr>
        <w:pStyle w:val="BookText"/>
      </w:pPr>
      <w:r>
        <w:rPr>
          <w:rFonts w:ascii="IRNazanin" w:hAnsi="IRNazanin" w:eastAsia="IRNazanin" w:cs="IRNazanin"/>
          <w:lang w:bidi="fa-IR"/>
          <w:color w:val="111111"/>
          <w:sz w:val="28"/>
          <w:szCs w:val="28"/>
          <w:rtl/>
        </w:rPr>
        <w:t xml:space="preserve">و قوله:«إن کان قیمتها أکثر فعلیک أن تردّ ما نقص»إمّا أن یراد به لزوم ذلک علیه من باب إرضاء المالک إذا أراد إمساک الجاریة؛ حیث إنّ المالک لا حاجة له فی الجاریة فیسقط خیاره ببذل التفاوت، و إمّا أن یحمل علی حصول الحَبَل بعد المسّ،فصارت أُمّ ولد تعیّن </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قیمتها إذا فسخ البائع.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قد یحمل علی صورة تلف الجاریة،و ینافیه قوله فیما بعد:</w:t>
      </w:r>
    </w:p>
    <w:p>
      <w:pPr>
        <w:pStyle w:val="BookText"/>
      </w:pPr>
      <w:r>
        <w:rPr>
          <w:rFonts w:ascii="IRNazanin" w:hAnsi="IRNazanin" w:eastAsia="IRNazanin" w:cs="IRNazanin"/>
          <w:lang w:bidi="fa-IR"/>
          <w:color w:val="111111"/>
          <w:sz w:val="28"/>
          <w:szCs w:val="28"/>
          <w:rtl/>
        </w:rPr>
        <w:t xml:space="preserve">«فلیس علیک أن تردّها..إلخ».</w:t>
      </w:r>
    </w:p>
    <w:p>
      <w:pPr>
        <w:pStyle w:val="BookText"/>
      </w:pPr>
      <w:r>
        <w:rPr>
          <w:rFonts w:ascii="IRNazanin" w:hAnsi="IRNazanin" w:eastAsia="IRNazanin" w:cs="IRNazanin"/>
          <w:lang w:bidi="fa-IR"/>
          <w:color w:val="111111"/>
          <w:sz w:val="28"/>
          <w:szCs w:val="28"/>
          <w:rtl/>
        </w:rPr>
        <w:t xml:space="preserve">و کیف کان،فالحکم بصحّة البیع بحکم المشتری،و انصراف الثمن إلی القیمة السوقیّة،لهذه الروایة کما حکی عن ظاهر الحدائق </w:t>
      </w:r>
      <w:r>
        <w:rPr>
          <w:rStyle w:val="FootnoteReference"/>
        </w:rPr>
        <w:footnoteReference w:id="1640"/>
      </w:r>
      <w:r>
        <w:rPr>
          <w:rFonts w:ascii="IRNazanin" w:hAnsi="IRNazanin" w:eastAsia="IRNazanin" w:cs="IRNazanin"/>
          <w:lang w:bidi="fa-IR"/>
          <w:color w:val="111111"/>
          <w:sz w:val="28"/>
          <w:szCs w:val="28"/>
          <w:rtl/>
        </w:rPr>
        <w:t xml:space="preserve">ضعیف.</w:t>
      </w:r>
    </w:p>
    <w:p>
      <w:pPr>
        <w:pStyle w:val="BookText"/>
      </w:pPr>
      <w:r>
        <w:rPr>
          <w:rFonts w:ascii="IRNazanin" w:hAnsi="IRNazanin" w:eastAsia="IRNazanin" w:cs="IRNazanin"/>
          <w:lang w:bidi="fa-IR"/>
          <w:color w:val="111111"/>
          <w:sz w:val="28"/>
          <w:szCs w:val="28"/>
          <w:rtl/>
        </w:rPr>
        <w:t xml:space="preserve">و أضعف منه ما عن الإسکافی:من تجویز قول البائع:«بعتک بسعر ما بعت»،و یکون للمشتری الخیار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یردّه:أنّ البیع فی نفسه إذا کان غرراً فهو باطل فلا یجبره الخیار.و أمّا بیع خیار الرؤیة فذکر الأوصاف فیه بمنزلة اشتراطها المانع عن حصول الغرر،کما تقدّم عند حکایة قول الإسکافی فی مسألة القدرة علی التسلیم.</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8" w:name="pg14419_167113"/>
    <w:bookmarkEnd w:id="238"/>
    <w:p>
      <w:pPr>
        <w:pStyle w:val="Heading6"/>
      </w:pPr>
      <w:bookmarkStart w:id="1056" w:name="_Toc496"/>
      <w:r>
        <w:t>مسألة [من شروط العوضین:العلم بقدر المثمن]</w:t>
      </w:r>
      <w:bookmarkEnd w:id="1056"/>
    </w:p>
    <w:p>
      <w:pPr>
        <w:pStyle w:val="Heading6"/>
      </w:pPr>
      <w:bookmarkStart w:id="1057" w:name="_Toc497"/>
      <w:r>
        <w:t>اشارة</w:t>
      </w:r>
      <w:bookmarkEnd w:id="1057"/>
    </w:p>
    <w:p>
      <w:pPr>
        <w:pStyle w:val="BookText"/>
      </w:pPr>
      <w:r>
        <w:rPr>
          <w:rStyle w:val="FootnoteReference"/>
        </w:rPr>
        <w:footnoteReference w:id="1642"/>
      </w:r>
      <w:r>
        <w:rPr>
          <w:rFonts w:ascii="IRNazanin" w:hAnsi="IRNazanin" w:eastAsia="IRNazanin" w:cs="IRNazanin"/>
          <w:lang w:bidi="fa-IR"/>
          <w:color w:val="111111"/>
          <w:sz w:val="28"/>
          <w:szCs w:val="28"/>
          <w:rtl/>
        </w:rPr>
        <w:t xml:space="preserve">
العلم بقدر المثمن کالثمن شرطٌ،بإجماع علمائنا،کما عن التذکرة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الغنیة:العقد علی المجهول باطل،بلا خلاف </w:t>
      </w:r>
      <w:r>
        <w:rPr>
          <w:rStyle w:val="FootnoteReference"/>
        </w:rPr>
        <w:footnoteReference w:id="1644"/>
      </w:r>
      <w:r>
        <w:rPr>
          <w:rFonts w:ascii="IRNazanin" w:hAnsi="IRNazanin" w:eastAsia="IRNazanin" w:cs="IRNazanin"/>
          <w:lang w:bidi="fa-IR"/>
          <w:color w:val="111111"/>
          <w:sz w:val="28"/>
          <w:szCs w:val="28"/>
          <w:rtl/>
        </w:rPr>
        <w:t xml:space="preserve">.و عن الخلاف:</w:t>
      </w:r>
    </w:p>
    <w:p>
      <w:pPr>
        <w:pStyle w:val="BookText"/>
      </w:pPr>
      <w:r>
        <w:rPr>
          <w:rFonts w:ascii="IRNazanin" w:hAnsi="IRNazanin" w:eastAsia="IRNazanin" w:cs="IRNazanin"/>
          <w:lang w:bidi="fa-IR"/>
          <w:color w:val="111111"/>
          <w:sz w:val="28"/>
          <w:szCs w:val="28"/>
          <w:rtl/>
        </w:rPr>
        <w:t xml:space="preserve">ما یباع کیلاً فلا یصحّ بیعه جزافاً و إن شوهد،إجماعاً </w:t>
      </w:r>
      <w:r>
        <w:rPr>
          <w:rStyle w:val="FootnoteReference"/>
        </w:rPr>
        <w:footnoteReference w:id="1645"/>
      </w:r>
      <w:r>
        <w:rPr>
          <w:rFonts w:ascii="IRNazanin" w:hAnsi="IRNazanin" w:eastAsia="IRNazanin" w:cs="IRNazanin"/>
          <w:lang w:bidi="fa-IR"/>
          <w:color w:val="111111"/>
          <w:sz w:val="28"/>
          <w:szCs w:val="28"/>
          <w:rtl/>
        </w:rPr>
        <w:t xml:space="preserve">.و فی السرائر:</w:t>
      </w:r>
    </w:p>
    <w:p>
      <w:pPr>
        <w:pStyle w:val="BookText"/>
      </w:pPr>
      <w:r>
        <w:rPr>
          <w:rFonts w:ascii="IRNazanin" w:hAnsi="IRNazanin" w:eastAsia="IRNazanin" w:cs="IRNazanin"/>
          <w:lang w:bidi="fa-IR"/>
          <w:color w:val="111111"/>
          <w:sz w:val="28"/>
          <w:szCs w:val="28"/>
          <w:rtl/>
        </w:rPr>
        <w:t xml:space="preserve">ما یباع وزناً فلا یباع کیلاً،بلا خلاف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 ذلک ما تقدّم من النبویّ المشهور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6"/>
      </w:pPr>
      <w:bookmarkStart w:id="1058" w:name="_Toc498"/>
      <w:r>
        <w:t>و فی خصوص الکیل و الوزن خصوص الأخبار المعتبرة:</w:t>
      </w:r>
      <w:bookmarkEnd w:id="1058"/>
    </w:p>
    <w:p>
      <w:pPr>
        <w:pStyle w:val="Heading6"/>
      </w:pPr>
      <w:bookmarkStart w:id="1059" w:name="_Toc499"/>
      <w:r>
        <w:t>منها : صحیحة الحلبی</w:t>
      </w:r>
      <w:bookmarkEnd w:id="1059"/>
    </w:p>
    <w:p>
      <w:pPr>
        <w:pStyle w:val="BookText"/>
      </w:pPr>
      <w:r>
        <w:rPr>
          <w:rFonts w:ascii="IRNazanin" w:hAnsi="IRNazanin" w:eastAsia="IRNazanin" w:cs="IRNazanin"/>
          <w:lang w:bidi="fa-IR"/>
          <w:color w:val="111111"/>
          <w:sz w:val="28"/>
          <w:szCs w:val="28"/>
          <w:rtl/>
        </w:rPr>
        <w:t xml:space="preserve">[عن أبی عبد اللّٰه علیه السلام </w:t>
      </w:r>
      <w:r>
        <w:rPr>
          <w:rStyle w:val="FootnoteReference"/>
        </w:rPr>
        <w:footnoteReference w:id="1648"/>
      </w:r>
      <w:r>
        <w:rPr>
          <w:rFonts w:ascii="Amiri" w:hAnsi="Amiri" w:eastAsia="Amiri" w:cs="Amiri"/>
          <w:lang w:bidi="ar-SA"/>
          <w:color w:val="111111"/>
          <w:sz w:val="28"/>
          <w:szCs w:val="28"/>
          <w:rtl/>
        </w:rPr>
        <w:t xml:space="preserve">]:«فی رجلٍ اشتری من رجلٍ طعاماً عِدلاً بکیلٍ معلوم،و أنّ صاحبه قال للمشتری:</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9" w:name="pg14419_167114"/>
    <w:bookmarkEnd w:id="239"/>
    <w:p>
      <w:pPr>
        <w:pStyle w:val="BookText"/>
      </w:pPr>
      <w:r>
        <w:rPr>
          <w:rFonts w:ascii="IRNazanin" w:hAnsi="IRNazanin" w:eastAsia="IRNazanin" w:cs="IRNazanin"/>
          <w:lang w:bidi="fa-IR"/>
          <w:color w:val="111111"/>
          <w:sz w:val="28"/>
          <w:szCs w:val="28"/>
          <w:rtl/>
        </w:rPr>
        <w:t xml:space="preserve">ابتع منّی هذا العِدل الآخر بغیر کیل؛فإنّ فیه مثل ما فی الآخر الذی ابتعت؟قال:لا یصلح إلّا بکیل.قال:و ما کان من طعامٍ سمّیت فیه کیلاً،فإنّه لا یصلح مجازفةً،هذا ممّا یکره من بیع الطعام»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الفقیه:«فلا یصحّ بیعه مجازفة»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6"/>
      </w:pPr>
      <w:bookmarkStart w:id="1060" w:name="_Toc500"/>
      <w:r>
        <w:t>[الإیراد علی الصحیحة و الجواب عنه]</w:t>
      </w:r>
      <w:bookmarkEnd w:id="1060"/>
    </w:p>
    <w:p>
      <w:pPr>
        <w:pStyle w:val="BookText"/>
      </w:pPr>
      <w:r>
        <w:rPr>
          <w:rFonts w:ascii="IRNazanin" w:hAnsi="IRNazanin" w:eastAsia="IRNazanin" w:cs="IRNazanin"/>
          <w:lang w:bidi="fa-IR"/>
          <w:color w:val="111111"/>
          <w:sz w:val="28"/>
          <w:szCs w:val="28"/>
          <w:rtl/>
        </w:rPr>
        <w:t xml:space="preserve">و الإیراد </w:t>
      </w:r>
      <w:r>
        <w:rPr>
          <w:rStyle w:val="FootnoteReference"/>
        </w:rPr>
        <w:footnoteReference w:id="1651"/>
      </w:r>
      <w:r>
        <w:rPr>
          <w:rFonts w:ascii="IRNazanin" w:hAnsi="IRNazanin" w:eastAsia="IRNazanin" w:cs="IRNazanin"/>
          <w:lang w:bidi="fa-IR"/>
          <w:color w:val="111111"/>
          <w:sz w:val="28"/>
          <w:szCs w:val="28"/>
          <w:rtl/>
        </w:rPr>
        <w:t xml:space="preserve">علی دلالة الصحیحة بالإجمال،أو باشتمالها علی خلاف المشهور من عدم تصدیق البائع،غیر وجیه؛لأنّ الظاهر من قوله:</w:t>
      </w:r>
    </w:p>
    <w:p>
      <w:pPr>
        <w:pStyle w:val="BookText"/>
      </w:pPr>
      <w:r>
        <w:rPr>
          <w:rFonts w:ascii="IRNazanin" w:hAnsi="IRNazanin" w:eastAsia="IRNazanin" w:cs="IRNazanin"/>
          <w:lang w:bidi="fa-IR"/>
          <w:color w:val="111111"/>
          <w:sz w:val="28"/>
          <w:szCs w:val="28"/>
          <w:rtl/>
        </w:rPr>
        <w:t xml:space="preserve">«سمّیت فیه کیلاً»،أنّه یذکر فیه الکیل،فهی کنایةٌ عن کونه مکیلاً فی العادة،اللهمّ إلّا أن یقال </w:t>
      </w:r>
      <w:r>
        <w:rPr>
          <w:rStyle w:val="FootnoteReference"/>
        </w:rPr>
        <w:footnoteReference w:id="1652"/>
      </w:r>
      <w:r>
        <w:rPr>
          <w:rFonts w:ascii="IRNazanin" w:hAnsi="IRNazanin" w:eastAsia="IRNazanin" w:cs="IRNazanin"/>
          <w:lang w:bidi="fa-IR"/>
          <w:color w:val="111111"/>
          <w:sz w:val="28"/>
          <w:szCs w:val="28"/>
          <w:rtl/>
        </w:rPr>
        <w:t xml:space="preserve">:إنّ توصیف الطعام بکونه کذلک الظاهر فی التنویع،مع أنّه لیس من الطعام ما لا یکال و لا یوزن إلّا </w:t>
      </w:r>
      <w:r>
        <w:rPr>
          <w:rStyle w:val="FootnoteReference"/>
        </w:rPr>
        <w:footnoteReference w:id="1653"/>
      </w:r>
      <w:r>
        <w:rPr>
          <w:rFonts w:ascii="Amiri" w:hAnsi="Amiri" w:eastAsia="Amiri" w:cs="Amiri"/>
          <w:lang w:bidi="ar-SA"/>
          <w:color w:val="111111"/>
          <w:sz w:val="28"/>
          <w:szCs w:val="28"/>
          <w:rtl/>
        </w:rPr>
        <w:t xml:space="preserve">مثل الزرع قائماً یبعّد </w:t>
      </w:r>
      <w:r>
        <w:rPr>
          <w:rStyle w:val="FootnoteReference"/>
        </w:rPr>
        <w:footnoteReference w:id="1654"/>
      </w:r>
      <w:r>
        <w:rPr>
          <w:rFonts w:ascii="IRNazanin" w:hAnsi="IRNazanin" w:eastAsia="IRNazanin" w:cs="IRNazanin"/>
          <w:lang w:bidi="fa-IR"/>
          <w:color w:val="111111"/>
          <w:sz w:val="28"/>
          <w:szCs w:val="28"/>
          <w:rtl/>
        </w:rPr>
        <w:t xml:space="preserve">إرادة هذا المعنی،فتأمّل.</w:t>
      </w:r>
    </w:p>
    <w:p>
      <w:pPr>
        <w:pStyle w:val="BookText"/>
      </w:pPr>
      <w:r>
        <w:rPr>
          <w:rFonts w:ascii="IRNazanin" w:hAnsi="IRNazanin" w:eastAsia="IRNazanin" w:cs="IRNazanin"/>
          <w:lang w:bidi="fa-IR"/>
          <w:color w:val="111111"/>
          <w:sz w:val="28"/>
          <w:szCs w:val="28"/>
          <w:rtl/>
        </w:rPr>
        <w:t xml:space="preserve">و أمّا الحکم بعدم تصدیق البائع فمحمولٌ علی شرائه سواءً زاد أو نقص،خصوصاً إذا لم یطمئنّ بتصدیقه،لا شرائه علی أنّه القدر المعیّن الذی أخبر به البائع؛فإنّ هذا لا یصدق علیه الجزاف.</w:t>
      </w:r>
    </w:p>
    <w:p>
      <w:pPr>
        <w:pStyle w:val="BookText"/>
      </w:pPr>
      <w:r>
        <w:rPr>
          <w:rFonts w:ascii="IRNazanin" w:hAnsi="IRNazanin" w:eastAsia="IRNazanin" w:cs="IRNazanin"/>
          <w:lang w:bidi="fa-IR"/>
          <w:color w:val="111111"/>
          <w:sz w:val="28"/>
          <w:szCs w:val="28"/>
          <w:rtl/>
        </w:rPr>
        <w:t xml:space="preserve">قال فی التذکرة:لو أخبره البائع بکیله ثمّ باعه بذلک الکیل،صحّ عندنا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0" w:name="pg14419_167115"/>
    <w:bookmarkEnd w:id="240"/>
    <w:p>
      <w:pPr>
        <w:pStyle w:val="BookText"/>
      </w:pPr>
      <w:r>
        <w:rPr>
          <w:rFonts w:ascii="IRNazanin" w:hAnsi="IRNazanin" w:eastAsia="IRNazanin" w:cs="IRNazanin"/>
          <w:lang w:bidi="fa-IR"/>
          <w:color w:val="111111"/>
          <w:sz w:val="28"/>
          <w:szCs w:val="28"/>
          <w:rtl/>
        </w:rPr>
        <w:t xml:space="preserve">و قال فی التحریر:لو أعلمه بالکیل،فباعه بثمنٍ،سواءً زاد أو نقص،لم یجز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نسبة الکراهة إلی هذا البیع،فلیس فیه ظهورٌ فی المعنی المصطلح یعارض ظهور«لا یصلح»و«لا یصحّ»فی الفساد.</w:t>
      </w:r>
    </w:p>
    <w:p>
      <w:pPr>
        <w:pStyle w:val="Heading6"/>
      </w:pPr>
      <w:bookmarkStart w:id="1061" w:name="_Toc501"/>
      <w:r>
        <w:t>[روایة سماعة]</w:t>
      </w:r>
      <w:bookmarkEnd w:id="1061"/>
    </w:p>
    <w:p>
      <w:pPr>
        <w:pStyle w:val="BookText"/>
      </w:pPr>
      <w:r>
        <w:rPr>
          <w:rFonts w:ascii="IRNazanin" w:hAnsi="IRNazanin" w:eastAsia="IRNazanin" w:cs="IRNazanin"/>
          <w:lang w:bidi="fa-IR"/>
          <w:color w:val="111111"/>
          <w:sz w:val="28"/>
          <w:szCs w:val="28"/>
          <w:rtl/>
        </w:rPr>
        <w:t xml:space="preserve">و فی الصحیح عن ابن محبوب،عن زرعة،عن سماعة،قال:</w:t>
      </w:r>
    </w:p>
    <w:p>
      <w:pPr>
        <w:pStyle w:val="BookText"/>
      </w:pPr>
      <w:r>
        <w:rPr>
          <w:rFonts w:ascii="IRNazanin" w:hAnsi="IRNazanin" w:eastAsia="IRNazanin" w:cs="IRNazanin"/>
          <w:lang w:bidi="fa-IR"/>
          <w:color w:val="111111"/>
          <w:sz w:val="28"/>
          <w:szCs w:val="28"/>
          <w:rtl/>
        </w:rPr>
        <w:t xml:space="preserve">«سألته عن شراء الطعام و ما یکال و </w:t>
      </w:r>
      <w:r>
        <w:rPr>
          <w:rStyle w:val="FootnoteReference"/>
        </w:rPr>
        <w:footnoteReference w:id="1657"/>
      </w:r>
      <w:r>
        <w:rPr>
          <w:rFonts w:ascii="IRNazanin" w:hAnsi="IRNazanin" w:eastAsia="IRNazanin" w:cs="IRNazanin"/>
          <w:lang w:bidi="fa-IR"/>
          <w:color w:val="111111"/>
          <w:sz w:val="28"/>
          <w:szCs w:val="28"/>
          <w:rtl/>
        </w:rPr>
        <w:t xml:space="preserve">یوزن، </w:t>
      </w:r>
      <w:r>
        <w:rPr>
          <w:rStyle w:val="FootnoteReference"/>
        </w:rPr>
        <w:footnoteReference w:id="1658"/>
      </w:r>
      <w:r>
        <w:rPr>
          <w:rFonts w:ascii="IRNazanin" w:hAnsi="IRNazanin" w:eastAsia="IRNazanin" w:cs="IRNazanin"/>
          <w:lang w:bidi="fa-IR"/>
          <w:color w:val="111111"/>
          <w:sz w:val="28"/>
          <w:szCs w:val="28"/>
          <w:rtl/>
        </w:rPr>
        <w:t xml:space="preserve">بغیر کیلٍ و لا وزن؟ فقال:أمّا أن تأتی رجلاً فی طعامٍ قد کیل أو </w:t>
      </w:r>
      <w:r>
        <w:rPr>
          <w:rStyle w:val="FootnoteReference"/>
        </w:rPr>
        <w:footnoteReference w:id="1659"/>
      </w:r>
      <w:r>
        <w:rPr>
          <w:rFonts w:ascii="IRNazanin" w:hAnsi="IRNazanin" w:eastAsia="IRNazanin" w:cs="IRNazanin"/>
          <w:lang w:bidi="fa-IR"/>
          <w:color w:val="111111"/>
          <w:sz w:val="28"/>
          <w:szCs w:val="28"/>
          <w:rtl/>
        </w:rPr>
        <w:t xml:space="preserve">وزن تشتری منه مرابحةً،فلا بأس إن اشتریته منه و لم تکله و لم تزنه،إذا أخذه المشتری الأوّل بکیلٍ أو وزنٍ و قلت له عند البیع:إنّی أُربحک کذا و کذا..»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دلالتها أوضح من الاُولی.</w:t>
      </w:r>
    </w:p>
    <w:p>
      <w:pPr>
        <w:pStyle w:val="Heading6"/>
      </w:pPr>
      <w:bookmarkStart w:id="1062" w:name="_Toc502"/>
      <w:r>
        <w:t>و روایة أبان</w:t>
      </w:r>
      <w:bookmarkEnd w:id="1062"/>
    </w:p>
    <w:p>
      <w:pPr>
        <w:pStyle w:val="BookText"/>
      </w:pPr>
      <w:r>
        <w:rPr>
          <w:rFonts w:ascii="IRNazanin" w:hAnsi="IRNazanin" w:eastAsia="IRNazanin" w:cs="IRNazanin"/>
          <w:lang w:bidi="fa-IR"/>
          <w:color w:val="111111"/>
          <w:sz w:val="28"/>
          <w:szCs w:val="28"/>
          <w:rtl/>
        </w:rPr>
        <w:t xml:space="preserve">عن محمّد بن حمران،قال:«قلت لأبی عبد اللّٰه علیه السلام:</w:t>
      </w:r>
    </w:p>
    <w:p>
      <w:pPr>
        <w:pStyle w:val="BookText"/>
      </w:pPr>
      <w:r>
        <w:rPr>
          <w:rFonts w:ascii="IRNazanin" w:hAnsi="IRNazanin" w:eastAsia="IRNazanin" w:cs="IRNazanin"/>
          <w:lang w:bidi="fa-IR"/>
          <w:color w:val="111111"/>
          <w:sz w:val="28"/>
          <w:szCs w:val="28"/>
          <w:rtl/>
        </w:rPr>
        <w:t xml:space="preserve">اشترینا طعاماً،فزعم صاحبه أنّه کاله،فصدّقناه و أخذناه بکیله؟قال:</w:t>
      </w:r>
    </w:p>
    <w:p>
      <w:pPr>
        <w:pStyle w:val="BookText"/>
      </w:pPr>
      <w:r>
        <w:rPr>
          <w:rFonts w:ascii="IRNazanin" w:hAnsi="IRNazanin" w:eastAsia="IRNazanin" w:cs="IRNazanin"/>
          <w:lang w:bidi="fa-IR"/>
          <w:color w:val="111111"/>
          <w:sz w:val="28"/>
          <w:szCs w:val="28"/>
          <w:rtl/>
        </w:rPr>
        <w:t xml:space="preserve">لا بأس.قلت:أ یجوز أن أبیعه کما اشتریته بغیر کیل؟قال:أمّا أنت فلا تبعه حتّی تکیله» </w:t>
      </w:r>
      <w:r>
        <w:rPr>
          <w:rStyle w:val="FootnoteReference"/>
        </w:rPr>
        <w:footnoteReference w:id="1661"/>
      </w:r>
      <w:r>
        <w:rPr>
          <w:rFonts w:ascii="IRNazanin" w:hAnsi="IRNazanin" w:eastAsia="IRNazanin" w:cs="IRNazanin"/>
          <w:lang w:bidi="fa-IR"/>
          <w:color w:val="111111"/>
          <w:sz w:val="28"/>
          <w:szCs w:val="28"/>
          <w:rtl/>
        </w:rPr>
        <w:t xml:space="preserve">،دلّت علی عدم جواز البیع بغیر کیل،إلّا إذا أخبره البائع فصدّقه.</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1" w:name="pg14419_167116"/>
    <w:bookmarkEnd w:id="241"/>
    <w:p>
      <w:pPr>
        <w:pStyle w:val="Heading6"/>
      </w:pPr>
      <w:bookmarkStart w:id="1063" w:name="_Toc503"/>
      <w:r>
        <w:t>[روایة أبی العطارد]</w:t>
      </w:r>
      <w:bookmarkEnd w:id="1063"/>
    </w:p>
    <w:p>
      <w:pPr>
        <w:pStyle w:val="BookText"/>
      </w:pPr>
      <w:r>
        <w:rPr>
          <w:rFonts w:ascii="IRNazanin" w:hAnsi="IRNazanin" w:eastAsia="IRNazanin" w:cs="IRNazanin"/>
          <w:lang w:bidi="fa-IR"/>
          <w:color w:val="111111"/>
          <w:sz w:val="28"/>
          <w:szCs w:val="28"/>
          <w:rtl/>
        </w:rPr>
        <w:t xml:space="preserve">و فحوی مفهوم </w:t>
      </w:r>
      <w:r>
        <w:rPr>
          <w:rStyle w:val="FootnoteReference"/>
        </w:rPr>
        <w:footnoteReference w:id="1662"/>
      </w:r>
      <w:r>
        <w:rPr>
          <w:rFonts w:ascii="IRNazanin" w:hAnsi="IRNazanin" w:eastAsia="IRNazanin" w:cs="IRNazanin"/>
          <w:lang w:bidi="fa-IR"/>
          <w:color w:val="111111"/>
          <w:sz w:val="28"/>
          <w:szCs w:val="28"/>
          <w:rtl/>
        </w:rPr>
        <w:t xml:space="preserve">روایة أبی العطارد،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فیها:«قلت:فاُخرج الکرّ و الکرّین،فیقول الرجل:أعطنیه بکیلک،فقال:إذا ائتمنک فلا بأس به»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6"/>
      </w:pPr>
      <w:bookmarkStart w:id="1064" w:name="_Toc504"/>
      <w:r>
        <w:t>و مرسلة ابن بکیر</w:t>
      </w:r>
      <w:bookmarkEnd w:id="1064"/>
    </w:p>
    <w:p>
      <w:pPr>
        <w:pStyle w:val="BookText"/>
      </w:pPr>
      <w:r>
        <w:rPr>
          <w:rFonts w:ascii="IRNazanin" w:hAnsi="IRNazanin" w:eastAsia="IRNazanin" w:cs="IRNazanin"/>
          <w:lang w:bidi="fa-IR"/>
          <w:color w:val="111111"/>
          <w:sz w:val="28"/>
          <w:szCs w:val="28"/>
          <w:rtl/>
        </w:rPr>
        <w:t xml:space="preserve">عن رجل:«سأل </w:t>
      </w:r>
      <w:r>
        <w:rPr>
          <w:rStyle w:val="FootnoteReference"/>
        </w:rPr>
        <w:footnoteReference w:id="1664"/>
      </w:r>
      <w:r>
        <w:rPr>
          <w:rFonts w:ascii="IRNazanin" w:hAnsi="IRNazanin" w:eastAsia="IRNazanin" w:cs="IRNazanin"/>
          <w:lang w:bidi="fa-IR"/>
          <w:color w:val="111111"/>
          <w:sz w:val="28"/>
          <w:szCs w:val="28"/>
          <w:rtl/>
        </w:rPr>
        <w:t xml:space="preserve">أبا عبد اللّٰه علیه السلام عن الرجل یشتری الجصّ،فیکیل بعضه و یأخذ البقیّة بغیر کیل،فقال:إمّا أن یأخذ کلّه بتصدیقه،و إمّا أن یکیله کلّه»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المنع من التبعیض المستفاد منه إرشادیّ محمول علی أنّه إن صدّقه فلا حاجة إلی کلفة کیل البعض،و إلّا فلا یجزئ کیل البعض.</w:t>
      </w:r>
    </w:p>
    <w:p>
      <w:pPr>
        <w:pStyle w:val="BookText"/>
      </w:pPr>
      <w:r>
        <w:rPr>
          <w:rFonts w:ascii="IRNazanin" w:hAnsi="IRNazanin" w:eastAsia="IRNazanin" w:cs="IRNazanin"/>
          <w:lang w:bidi="fa-IR"/>
          <w:color w:val="111111"/>
          <w:sz w:val="28"/>
          <w:szCs w:val="28"/>
          <w:rtl/>
        </w:rPr>
        <w:t xml:space="preserve">و یحتمل الروایة الحمل علی استیفاء المبیع بعد الاشتراء.</w:t>
      </w:r>
    </w:p>
    <w:p>
      <w:pPr>
        <w:pStyle w:val="BookText"/>
      </w:pPr>
      <w:r>
        <w:rPr>
          <w:rFonts w:ascii="IRNazanin" w:hAnsi="IRNazanin" w:eastAsia="IRNazanin" w:cs="IRNazanin"/>
          <w:lang w:bidi="fa-IR"/>
          <w:color w:val="111111"/>
          <w:sz w:val="28"/>
          <w:szCs w:val="28"/>
          <w:rtl/>
        </w:rPr>
        <w:t xml:space="preserve">و کیف کان،ففی مجموع ما ذکر من الأخبار،و ما لم یذکر ممّا فیه إیماء إلی المطلب من حیث ظهوره فی کون الحکم مفروغاً عنه عند السائل،و تقریر الإمام علیه السلام،کما فی روایة«کیل ما لا یستطاع عدّه» </w:t>
      </w:r>
      <w:r>
        <w:rPr>
          <w:rStyle w:val="FootnoteReference"/>
        </w:rPr>
        <w:footnoteReference w:id="1666"/>
      </w:r>
      <w:r>
        <w:rPr>
          <w:rFonts w:ascii="IRNazanin" w:hAnsi="IRNazanin" w:eastAsia="IRNazanin" w:cs="IRNazanin"/>
          <w:lang w:bidi="fa-IR"/>
          <w:color w:val="111111"/>
          <w:sz w:val="28"/>
          <w:szCs w:val="28"/>
          <w:rtl/>
        </w:rPr>
        <w:t xml:space="preserve">و غیرها مع ما ذکر من الشهرة المحقّقة و الاتفاقات المنقولة </w:t>
      </w:r>
      <w:r>
        <w:rPr>
          <w:rStyle w:val="FootnoteReference"/>
        </w:rPr>
        <w:footnoteReference w:id="1667"/>
      </w:r>
      <w:r>
        <w:rPr>
          <w:rFonts w:ascii="IRNazanin" w:hAnsi="IRNazanin" w:eastAsia="IRNazanin" w:cs="IRNazanin"/>
          <w:lang w:bidi="fa-IR"/>
          <w:color w:val="111111"/>
          <w:sz w:val="28"/>
          <w:szCs w:val="28"/>
          <w:rtl/>
        </w:rPr>
        <w:t xml:space="preserve">کفایة فی المسألة.</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42" w:name="pg14419_167117"/>
    <w:bookmarkEnd w:id="242"/>
    <w:p>
      <w:pPr>
        <w:pStyle w:val="Heading6"/>
      </w:pPr>
      <w:bookmarkStart w:id="1065" w:name="_Toc505"/>
      <w:r>
        <w:t>[هل الحکم منوط بالغرر الشخصی أم لا]</w:t>
      </w:r>
      <w:bookmarkEnd w:id="1065"/>
    </w:p>
    <w:p>
      <w:pPr>
        <w:pStyle w:val="BookText"/>
      </w:pPr>
      <w:r>
        <w:rPr>
          <w:rFonts w:ascii="IRNazanin" w:hAnsi="IRNazanin" w:eastAsia="IRNazanin" w:cs="IRNazanin"/>
          <w:lang w:bidi="fa-IR"/>
          <w:color w:val="111111"/>
          <w:sz w:val="28"/>
          <w:szCs w:val="28"/>
          <w:rtl/>
        </w:rPr>
        <w:t xml:space="preserve">ثمّ إنّ ظاهر إطلاق جمیع ما ذکر أنّ الحکم لیس منوطاً بالغرر الشخصی و إن کان حکمته سدّ باب المسامحة المفضیة إلی الوقوع فی الغرر.کما أنّ حکمة الحکم باعتبار بعض الشروط فی بعض المعاملات رفع المنازعة المتوقّعة عند إهمال ذلک الشرط.</w:t>
      </w:r>
    </w:p>
    <w:p>
      <w:pPr>
        <w:pStyle w:val="BookText"/>
      </w:pPr>
      <w:r>
        <w:rPr>
          <w:rFonts w:ascii="IRNazanin" w:hAnsi="IRNazanin" w:eastAsia="IRNazanin" w:cs="IRNazanin"/>
          <w:lang w:bidi="fa-IR"/>
          <w:color w:val="111111"/>
          <w:sz w:val="28"/>
          <w:szCs w:val="28"/>
          <w:rtl/>
        </w:rPr>
        <w:t xml:space="preserve">فحینئذٍ فیعتبر التقدیر بالکیل و الوزن و إن لم یکن فی شخص المقام غرر،کما لو باع مقداراً من الطعام بما یقابله فی المیزان من جنسه أو غیره المساوی </w:t>
      </w:r>
      <w:r>
        <w:rPr>
          <w:rStyle w:val="FootnoteReference"/>
        </w:rPr>
        <w:footnoteReference w:id="1668"/>
      </w:r>
      <w:r>
        <w:rPr>
          <w:rFonts w:ascii="IRNazanin" w:hAnsi="IRNazanin" w:eastAsia="IRNazanin" w:cs="IRNazanin"/>
          <w:lang w:bidi="fa-IR"/>
          <w:color w:val="111111"/>
          <w:sz w:val="28"/>
          <w:szCs w:val="28"/>
          <w:rtl/>
        </w:rPr>
        <w:t xml:space="preserve">له فی القیمة؛فإنّه لا یتصوّر هنا غرر أصلاً مع الجهل بمقدار کلٍّ من العوضین؛لأنّه </w:t>
      </w:r>
      <w:r>
        <w:rPr>
          <w:rStyle w:val="FootnoteReference"/>
        </w:rPr>
        <w:footnoteReference w:id="1669"/>
      </w:r>
      <w:r>
        <w:rPr>
          <w:rFonts w:ascii="IRNazanin" w:hAnsi="IRNazanin" w:eastAsia="IRNazanin" w:cs="IRNazanin"/>
          <w:lang w:bidi="fa-IR"/>
          <w:color w:val="111111"/>
          <w:sz w:val="28"/>
          <w:szCs w:val="28"/>
          <w:rtl/>
        </w:rPr>
        <w:t xml:space="preserve">مساوٍ للآخر فی المقدار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غیر بعید حمل الإطلاقات سیّما الأخبار علی المورد الغالب،و هو ما کان رفع </w:t>
      </w:r>
      <w:r>
        <w:rPr>
          <w:rStyle w:val="FootnoteReference"/>
        </w:rPr>
        <w:footnoteReference w:id="1671"/>
      </w:r>
      <w:r>
        <w:rPr>
          <w:rFonts w:ascii="IRNazanin" w:hAnsi="IRNazanin" w:eastAsia="IRNazanin" w:cs="IRNazanin"/>
          <w:lang w:bidi="fa-IR"/>
          <w:color w:val="111111"/>
          <w:sz w:val="28"/>
          <w:szCs w:val="28"/>
          <w:rtl/>
        </w:rPr>
        <w:t xml:space="preserve">الغرر من حیث مقدار العوضین موقوفاً علی التقدیر،فلو فرض اندفاع الغرر بغیر التقدیر کفی،کما فی الفرض المزبور،و کما إذا کان للمتبایعین حدس قویّ بالمقدار نادر التخلّف عن الواقع،و کما إذا کان المبیع قلیلاً لم یتعارف وضع </w:t>
      </w:r>
      <w:r>
        <w:rPr>
          <w:rStyle w:val="FootnoteReference"/>
        </w:rPr>
        <w:footnoteReference w:id="1672"/>
      </w:r>
      <w:r>
        <w:rPr>
          <w:rFonts w:ascii="IRNazanin" w:hAnsi="IRNazanin" w:eastAsia="IRNazanin" w:cs="IRNazanin"/>
          <w:lang w:bidi="fa-IR"/>
          <w:color w:val="111111"/>
          <w:sz w:val="28"/>
          <w:szCs w:val="28"/>
          <w:rtl/>
        </w:rPr>
        <w:t xml:space="preserve">المیزان لمثله،کما لو دفع فلساً و أراد به دهناً لحاجة؛فإنّ المیزان لم یوضع لمثله،فیجوز بما تراضیا علیه من التخمین.</w:t>
      </w:r>
    </w:p>
    <w:p>
      <w:pPr>
        <w:pStyle w:val="BookText"/>
      </w:pPr>
      <w:r>
        <w:rPr>
          <w:rFonts w:ascii="IRNazanin" w:hAnsi="IRNazanin" w:eastAsia="IRNazanin" w:cs="IRNazanin"/>
          <w:lang w:bidi="fa-IR"/>
          <w:color w:val="111111"/>
          <w:sz w:val="28"/>
          <w:szCs w:val="28"/>
          <w:rtl/>
        </w:rPr>
        <w:t xml:space="preserve">و لا منافاة بین کون الشیء من جنس المکیل و الموزون،و عدم</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الکیل و الوزن فیه،لقلّته کالحبّتین و الثلاثة من الحنطة،أو لکثرته کزبرة الحدید،کما نبّه علیه فی القواعد </w:t>
      </w:r>
      <w:r>
        <w:rPr>
          <w:rStyle w:val="FootnoteReference"/>
        </w:rPr>
        <w:footnoteReference w:id="1673"/>
      </w:r>
      <w:r>
        <w:rPr>
          <w:rFonts w:ascii="IRNazanin" w:hAnsi="IRNazanin" w:eastAsia="IRNazanin" w:cs="IRNazanin"/>
          <w:lang w:bidi="fa-IR"/>
          <w:color w:val="111111"/>
          <w:sz w:val="28"/>
          <w:szCs w:val="28"/>
          <w:rtl/>
        </w:rPr>
        <w:t xml:space="preserve">و شرحها </w:t>
      </w:r>
      <w:r>
        <w:rPr>
          <w:rStyle w:val="FootnoteReference"/>
        </w:rPr>
        <w:footnoteReference w:id="1674"/>
      </w:r>
      <w:r>
        <w:rPr>
          <w:rFonts w:ascii="IRNazanin" w:hAnsi="IRNazanin" w:eastAsia="IRNazanin" w:cs="IRNazanin"/>
          <w:lang w:bidi="fa-IR"/>
          <w:color w:val="111111"/>
          <w:sz w:val="28"/>
          <w:szCs w:val="28"/>
          <w:rtl/>
        </w:rPr>
        <w:t xml:space="preserve">و حاشیتها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یتّجه عدم اعتبار العلم بوزن الفلوس المسکوکة؛فإنّها و إن کانت من الموزون و لذا صرّح فی التذکرة بوقوع الربا فیها </w:t>
      </w:r>
      <w:r>
        <w:rPr>
          <w:rStyle w:val="FootnoteReference"/>
        </w:rPr>
        <w:footnoteReference w:id="1676"/>
      </w:r>
      <w:r>
        <w:rPr>
          <w:rFonts w:ascii="IRNazanin" w:hAnsi="IRNazanin" w:eastAsia="IRNazanin" w:cs="IRNazanin"/>
          <w:lang w:bidi="fa-IR"/>
          <w:color w:val="111111"/>
          <w:sz w:val="28"/>
          <w:szCs w:val="28"/>
          <w:rtl/>
        </w:rPr>
        <w:t xml:space="preserve">إلّا أنّها عند وقوعها ثمناً حکمها کالمعدود فی أنّ معرفة مقدار مالیّتها لا تتوقّف علی وزنها،فهی کالقلیل و الکثیر من الموزون الذی لا یدخله الوزن </w:t>
      </w:r>
      <w:r>
        <w:rPr>
          <w:rStyle w:val="FootnoteReference"/>
        </w:rPr>
        <w:footnoteReference w:id="1677"/>
      </w:r>
      <w:r>
        <w:rPr>
          <w:rFonts w:ascii="IRNazanin" w:hAnsi="IRNazanin" w:eastAsia="IRNazanin" w:cs="IRNazanin"/>
          <w:lang w:bidi="fa-IR"/>
          <w:color w:val="111111"/>
          <w:sz w:val="28"/>
          <w:szCs w:val="28"/>
          <w:rtl/>
        </w:rPr>
        <w:t xml:space="preserve">.و کذا شبه الفلوس من المسکوکات المرکّبة من النحاس و الفضّة کأکثر نقود بغداد فی هذا الزمان.و کذا الدرهم و الدینار الخالصان </w:t>
      </w:r>
      <w:r>
        <w:rPr>
          <w:rStyle w:val="FootnoteReference"/>
        </w:rPr>
        <w:footnoteReference w:id="1678"/>
      </w:r>
      <w:r>
        <w:rPr>
          <w:rFonts w:ascii="Amiri" w:hAnsi="Amiri" w:eastAsia="Amiri" w:cs="Amiri"/>
          <w:lang w:bidi="ar-SA"/>
          <w:color w:val="111111"/>
          <w:sz w:val="28"/>
          <w:szCs w:val="28"/>
          <w:rtl/>
        </w:rPr>
        <w:t xml:space="preserve">فإنّها </w:t>
      </w:r>
      <w:r>
        <w:rPr>
          <w:rStyle w:val="FootnoteReference"/>
        </w:rPr>
        <w:footnoteReference w:id="1679"/>
      </w:r>
      <w:r>
        <w:rPr>
          <w:rFonts w:ascii="IRNazanin" w:hAnsi="IRNazanin" w:eastAsia="IRNazanin" w:cs="IRNazanin"/>
          <w:lang w:bidi="fa-IR"/>
          <w:color w:val="111111"/>
          <w:sz w:val="28"/>
          <w:szCs w:val="28"/>
          <w:rtl/>
        </w:rPr>
        <w:t xml:space="preserve">و إن کانت من الموزون و یدخل فیها الربا إجماعاً،إلّا أنّ ذلک</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ینافی جواز </w:t>
      </w:r>
      <w:r>
        <w:rPr>
          <w:rStyle w:val="FootnoteReference"/>
        </w:rPr>
        <w:footnoteReference w:id="1680"/>
      </w:r>
      <w:r>
        <w:rPr>
          <w:rFonts w:ascii="IRNazanin" w:hAnsi="IRNazanin" w:eastAsia="IRNazanin" w:cs="IRNazanin"/>
          <w:lang w:bidi="fa-IR"/>
          <w:color w:val="111111"/>
          <w:sz w:val="28"/>
          <w:szCs w:val="28"/>
          <w:rtl/>
        </w:rPr>
        <w:t xml:space="preserve">جعلها عوضاً من دون معرفة بوزنها؛لعدم غرر فی ذلک أصلاً.و یؤیّد ذلک جریان سیرة الناس علی المعاملة بها من دون معرفة الأغلب </w:t>
      </w:r>
      <w:r>
        <w:rPr>
          <w:rStyle w:val="FootnoteReference"/>
        </w:rPr>
        <w:footnoteReference w:id="1681"/>
      </w:r>
      <w:r>
        <w:rPr>
          <w:rFonts w:ascii="IRNazanin" w:hAnsi="IRNazanin" w:eastAsia="IRNazanin" w:cs="IRNazanin"/>
          <w:lang w:bidi="fa-IR"/>
          <w:color w:val="111111"/>
          <w:sz w:val="28"/>
          <w:szCs w:val="28"/>
          <w:rtl/>
        </w:rPr>
        <w:t xml:space="preserve">بوزنها.</w:t>
      </w:r>
    </w:p>
    <w:p>
      <w:pPr>
        <w:pStyle w:val="BookText"/>
      </w:pPr>
      <w:r>
        <w:rPr>
          <w:rFonts w:ascii="IRNazanin" w:hAnsi="IRNazanin" w:eastAsia="IRNazanin" w:cs="IRNazanin"/>
          <w:lang w:bidi="fa-IR"/>
          <w:color w:val="111111"/>
          <w:sz w:val="28"/>
          <w:szCs w:val="28"/>
          <w:rtl/>
        </w:rPr>
        <w:t xml:space="preserve">نعم،یعتبرون فیها عدم نقصها عن وزنها المقرّر فی وضعها من حیث تفاوت قیمتها بذلک،فالنقص فیها عندهم بمنزلة العیب؛و من هنا لا یجوز إعطاء الناقص منها؛لکونه غشّاً و خیانة.</w:t>
      </w:r>
    </w:p>
    <w:p>
      <w:pPr>
        <w:pStyle w:val="BookText"/>
      </w:pPr>
      <w:r>
        <w:rPr>
          <w:rFonts w:ascii="IRNazanin" w:hAnsi="IRNazanin" w:eastAsia="IRNazanin" w:cs="IRNazanin"/>
          <w:lang w:bidi="fa-IR"/>
          <w:color w:val="111111"/>
          <w:sz w:val="28"/>
          <w:szCs w:val="28"/>
          <w:rtl/>
        </w:rPr>
        <w:t xml:space="preserve">و بهذا یمتاز الدرهم و الدینار عن الفلوس السود و شبهها حیث إنّ نقصان الوزن لا یؤثّر فی قیمتها،فلا بأس بإعطاء ما یعلم نقصه.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إلی ما ذکرنا من الفرق أُشیر فی صحیحة ابن عبد الرحمن </w:t>
      </w:r>
      <w:r>
        <w:rPr>
          <w:rStyle w:val="FootnoteReference"/>
        </w:rPr>
        <w:footnoteReference w:id="1682"/>
      </w:r>
      <w:r>
        <w:rPr>
          <w:rFonts w:ascii="IRNazanin" w:hAnsi="IRNazanin" w:eastAsia="IRNazanin" w:cs="IRNazanin"/>
          <w:lang w:bidi="fa-IR"/>
          <w:color w:val="111111"/>
          <w:sz w:val="28"/>
          <w:szCs w:val="28"/>
          <w:rtl/>
        </w:rPr>
        <w:t xml:space="preserve">، قال:«قلت لأبی عبد اللّٰه علیه السلام:أشتری الشیء بالدراهم فاُعطی الناقص الحبّة و الحبّتین؟قال:لا،حتّی تبیّنه.ثمّ قال:إلّا أن تکون نحو </w:t>
      </w:r>
      <w:r>
        <w:rPr>
          <w:rStyle w:val="FootnoteReference"/>
        </w:rPr>
        <w:footnoteReference w:id="1683"/>
      </w:r>
      <w:r>
        <w:rPr>
          <w:rFonts w:ascii="IRNazanin" w:hAnsi="IRNazanin" w:eastAsia="IRNazanin" w:cs="IRNazanin"/>
          <w:lang w:bidi="fa-IR"/>
          <w:color w:val="111111"/>
          <w:sz w:val="28"/>
          <w:szCs w:val="28"/>
          <w:rtl/>
        </w:rPr>
        <w:t xml:space="preserve">هذه الدراهم الأوضاحیّة </w:t>
      </w:r>
      <w:r>
        <w:rPr>
          <w:rStyle w:val="FootnoteReference"/>
        </w:rPr>
        <w:footnoteReference w:id="1684"/>
      </w:r>
      <w:r>
        <w:rPr>
          <w:rFonts w:ascii="IRNazanin" w:hAnsi="IRNazanin" w:eastAsia="IRNazanin" w:cs="IRNazanin"/>
          <w:lang w:bidi="fa-IR"/>
          <w:color w:val="111111"/>
          <w:sz w:val="28"/>
          <w:szCs w:val="28"/>
          <w:rtl/>
        </w:rPr>
        <w:t xml:space="preserve">التی تکون عندنا عدداً»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3" w:name="pg14419_167120"/>
    <w:bookmarkEnd w:id="243"/>
    <w:p>
      <w:pPr>
        <w:pStyle w:val="BookText"/>
      </w:pPr>
      <w:r>
        <w:rPr>
          <w:rFonts w:ascii="IRNazanin" w:hAnsi="IRNazanin" w:eastAsia="IRNazanin" w:cs="IRNazanin"/>
          <w:lang w:bidi="fa-IR"/>
          <w:color w:val="111111"/>
          <w:sz w:val="28"/>
          <w:szCs w:val="28"/>
          <w:rtl/>
        </w:rPr>
        <w:t xml:space="preserve">و بالجملة،فإناطة الحکم بوجوب معرفة وزن المبیع وکیله مدار الغرر الشخصی قریب فی الغایة،إلّا أنّ الظاهر کونه مخالفاً لکلمات الأصحاب فی موارد کثیرة.</w:t>
      </w:r>
    </w:p>
    <w:p>
      <w:pPr>
        <w:pStyle w:val="Heading6"/>
      </w:pPr>
      <w:bookmarkStart w:id="1066" w:name="_Toc506"/>
      <w:r>
        <w:t>[وجوب معرفة العدد فی المعدود و الدلیل علیه]</w:t>
      </w:r>
      <w:bookmarkEnd w:id="1066"/>
    </w:p>
    <w:p>
      <w:pPr>
        <w:pStyle w:val="BookText"/>
      </w:pPr>
      <w:r>
        <w:rPr>
          <w:rFonts w:ascii="IRNazanin" w:hAnsi="IRNazanin" w:eastAsia="IRNazanin" w:cs="IRNazanin"/>
          <w:lang w:bidi="fa-IR"/>
          <w:color w:val="111111"/>
          <w:sz w:val="28"/>
          <w:szCs w:val="28"/>
          <w:rtl/>
        </w:rPr>
        <w:t xml:space="preserve">ثمّ إنّ الحکم فی المعدود و وجوب معرفة العدد فیه،حکم المکیل و الموزون،بلا خلاف ظاهر.</w:t>
      </w:r>
    </w:p>
    <w:p>
      <w:pPr>
        <w:pStyle w:val="BookText"/>
      </w:pPr>
      <w:r>
        <w:rPr>
          <w:rFonts w:ascii="IRNazanin" w:hAnsi="IRNazanin" w:eastAsia="IRNazanin" w:cs="IRNazanin"/>
          <w:lang w:bidi="fa-IR"/>
          <w:color w:val="111111"/>
          <w:sz w:val="28"/>
          <w:szCs w:val="28"/>
          <w:rtl/>
        </w:rPr>
        <w:t xml:space="preserve">و یشیر إلیه،بل یدلّ علیه:تقریر الإمام علیه السلام فی الروایة الآتیة </w:t>
      </w:r>
      <w:r>
        <w:rPr>
          <w:rStyle w:val="FootnoteReference"/>
        </w:rPr>
        <w:footnoteReference w:id="1686"/>
      </w:r>
      <w:r>
        <w:rPr>
          <w:rFonts w:ascii="IRNazanin" w:hAnsi="IRNazanin" w:eastAsia="IRNazanin" w:cs="IRNazanin"/>
          <w:lang w:bidi="fa-IR"/>
          <w:color w:val="111111"/>
          <w:sz w:val="28"/>
          <w:szCs w:val="28"/>
          <w:rtl/>
        </w:rPr>
        <w:t xml:space="preserve">المصرّحة بتجویز </w:t>
      </w:r>
      <w:r>
        <w:rPr>
          <w:rStyle w:val="FootnoteReference"/>
        </w:rPr>
        <w:footnoteReference w:id="1687"/>
      </w:r>
      <w:r>
        <w:rPr>
          <w:rFonts w:ascii="IRNazanin" w:hAnsi="IRNazanin" w:eastAsia="IRNazanin" w:cs="IRNazanin"/>
          <w:lang w:bidi="fa-IR"/>
          <w:color w:val="111111"/>
          <w:sz w:val="28"/>
          <w:szCs w:val="28"/>
          <w:rtl/>
        </w:rPr>
        <w:t xml:space="preserve">الکیل فی المعدود المتعذّر عدّه.</w:t>
      </w:r>
    </w:p>
    <w:p>
      <w:pPr>
        <w:pStyle w:val="BookText"/>
      </w:pPr>
      <w:r>
        <w:rPr>
          <w:rFonts w:ascii="IRNazanin" w:hAnsi="IRNazanin" w:eastAsia="IRNazanin" w:cs="IRNazanin"/>
          <w:lang w:bidi="fa-IR"/>
          <w:color w:val="111111"/>
          <w:sz w:val="28"/>
          <w:szCs w:val="28"/>
          <w:rtl/>
        </w:rPr>
        <w:t xml:space="preserve">و یظهر من المحکی عن المحقّق الأردبیلی المناقشة فی ذلک،بل المیل إلی منعه و جواز بیع المعدود مشاهدة </w:t>
      </w:r>
      <w:r>
        <w:rPr>
          <w:rStyle w:val="FootnoteReference"/>
        </w:rPr>
        <w:footnoteReference w:id="1688"/>
      </w:r>
      <w:r>
        <w:rPr>
          <w:rFonts w:ascii="IRNazanin" w:hAnsi="IRNazanin" w:eastAsia="IRNazanin" w:cs="IRNazanin"/>
          <w:lang w:bidi="fa-IR"/>
          <w:color w:val="111111"/>
          <w:sz w:val="28"/>
          <w:szCs w:val="28"/>
          <w:rtl/>
        </w:rPr>
        <w:t xml:space="preserve">،و یردّه روایة الجوز الآتیة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بالمعدودات:ما یعرف مقدار مالیّتها بأعدادها،کالجوز و البیض،بخلاف مثل الشاة و الفرس و الثوب.</w:t>
      </w:r>
    </w:p>
    <w:p>
      <w:pPr>
        <w:pStyle w:val="BookText"/>
      </w:pPr>
      <w:r>
        <w:rPr>
          <w:rFonts w:ascii="IRNazanin" w:hAnsi="IRNazanin" w:eastAsia="IRNazanin" w:cs="IRNazanin"/>
          <w:lang w:bidi="fa-IR"/>
          <w:color w:val="111111"/>
          <w:sz w:val="28"/>
          <w:szCs w:val="28"/>
          <w:rtl/>
        </w:rPr>
        <w:t xml:space="preserve">و عدّ العلّامة البطیخ و الباذنجان فی المعدودات،حیث قال فی شروط السلم من القواعد:و لا یکفی </w:t>
      </w:r>
      <w:r>
        <w:rPr>
          <w:rStyle w:val="FootnoteReference"/>
        </w:rPr>
        <w:footnoteReference w:id="1690"/>
      </w:r>
      <w:r>
        <w:rPr>
          <w:rFonts w:ascii="IRNazanin" w:hAnsi="IRNazanin" w:eastAsia="IRNazanin" w:cs="IRNazanin"/>
          <w:lang w:bidi="fa-IR"/>
          <w:color w:val="111111"/>
          <w:sz w:val="28"/>
          <w:szCs w:val="28"/>
          <w:rtl/>
        </w:rPr>
        <w:t xml:space="preserve">العدّ فی المعدودات،بل لا بدّ من الوزن فی البطّیخ و الباذنجان و الرمّان،و إنّما اکتفی بعدّها فی البیع</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للمعاینة،انتهی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فی التذکرة بعدم الربا فی البطّیخ و الرمّان إذا کان رطباً؛لعدم الوزن،و ثبوته مع الجفاف </w:t>
      </w:r>
      <w:r>
        <w:rPr>
          <w:rStyle w:val="FootnoteReference"/>
        </w:rPr>
        <w:footnoteReference w:id="1692"/>
      </w:r>
      <w:r>
        <w:rPr>
          <w:rFonts w:ascii="IRNazanin" w:hAnsi="IRNazanin" w:eastAsia="IRNazanin" w:cs="IRNazanin"/>
          <w:lang w:bidi="fa-IR"/>
          <w:color w:val="111111"/>
          <w:sz w:val="28"/>
          <w:szCs w:val="28"/>
          <w:rtl/>
        </w:rPr>
        <w:t xml:space="preserve">،بل یظهر منه کون القثّاء و الخوخ و المشمش أیضاً غیر موزونة.</w:t>
      </w:r>
    </w:p>
    <w:p>
      <w:pPr>
        <w:pStyle w:val="BookText"/>
      </w:pPr>
      <w:r>
        <w:rPr>
          <w:rFonts w:ascii="IRNazanin" w:hAnsi="IRNazanin" w:eastAsia="IRNazanin" w:cs="IRNazanin"/>
          <w:lang w:bidi="fa-IR"/>
          <w:color w:val="111111"/>
          <w:sz w:val="28"/>
          <w:szCs w:val="28"/>
          <w:rtl/>
        </w:rPr>
        <w:t xml:space="preserve">و کلّ ذلک محلّ تأمّل؛لحصول الغرر أحیاناً بعدم الوزن.فالظاهر أنّ تقدیر المال عرفاً فی المذکورات بالوزن لا بالعدد،کما فی الجوز و البیض.</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4" w:name="pg14419_167122"/>
    <w:bookmarkEnd w:id="244"/>
    <w:p>
      <w:pPr>
        <w:pStyle w:val="Heading6"/>
      </w:pPr>
      <w:bookmarkStart w:id="1067" w:name="_Toc507"/>
      <w:r>
        <w:t>مسألة [التقدیر بغیر ما یتعارف التقدیر به]</w:t>
      </w:r>
      <w:bookmarkEnd w:id="1067"/>
    </w:p>
    <w:p>
      <w:pPr>
        <w:pStyle w:val="Heading6"/>
      </w:pPr>
      <w:bookmarkStart w:id="1068" w:name="_Toc508"/>
      <w:r>
        <w:t>اشارة</w:t>
      </w:r>
      <w:bookmarkEnd w:id="1068"/>
    </w:p>
    <w:p>
      <w:pPr>
        <w:pStyle w:val="BookText"/>
      </w:pPr>
      <w:r>
        <w:rPr>
          <w:rFonts w:ascii="IRNazanin" w:hAnsi="IRNazanin" w:eastAsia="IRNazanin" w:cs="IRNazanin"/>
          <w:lang w:bidi="fa-IR"/>
          <w:color w:val="111111"/>
          <w:sz w:val="28"/>
          <w:szCs w:val="28"/>
          <w:rtl/>
        </w:rPr>
        <w:t xml:space="preserve">لو قلنا بأنّ المناط فی اعتبار تقدیر المبیع فی المکیل و الموزون و المعدود بما یتعارف التقدیر به هو حصول الغرر الشخصی،فلا إشکال فی جواز تقدیر کلٍّ منها بغیر ما یتعارف تقدیره به إذا انتفی الغرر بذلک،بل فی کفایة المشاهدة فیها من غیر تقدیر أصلاً.</w:t>
      </w:r>
    </w:p>
    <w:p>
      <w:pPr>
        <w:pStyle w:val="BookText"/>
      </w:pPr>
      <w:r>
        <w:rPr>
          <w:rFonts w:ascii="Amiri" w:hAnsi="Amiri" w:eastAsia="Amiri" w:cs="Amiri"/>
          <w:lang w:bidi="ar-SA"/>
          <w:color w:val="111111"/>
          <w:sz w:val="28"/>
          <w:szCs w:val="28"/>
          <w:rtl/>
        </w:rPr>
        <w:t xml:space="preserve">لکن تقدّم </w:t>
      </w:r>
      <w:r>
        <w:rPr>
          <w:rStyle w:val="FootnoteReference"/>
        </w:rPr>
        <w:footnoteReference w:id="1693"/>
      </w:r>
      <w:r>
        <w:rPr>
          <w:rFonts w:ascii="IRNazanin" w:hAnsi="IRNazanin" w:eastAsia="IRNazanin" w:cs="IRNazanin"/>
          <w:lang w:bidi="fa-IR"/>
          <w:color w:val="111111"/>
          <w:sz w:val="28"/>
          <w:szCs w:val="28"/>
          <w:rtl/>
        </w:rPr>
        <w:t xml:space="preserve">:أنّ ظاهر الأخبار الواردة فی هذا الباب اعتبار التقدیر من غیر ملاحظة الغرر الشخصی؛لحکمة سدّ باب الغرر المؤدّی إلی التنازع،المقصود رفعه من اعتبار بعض الخصوصیّات فی أکثر المعاملات زیادة علی التراضی الفعلی حال المعاملة.</w:t>
      </w:r>
    </w:p>
    <w:p>
      <w:pPr>
        <w:pStyle w:val="BookText"/>
      </w:pPr>
      <w:r>
        <w:rPr>
          <w:rFonts w:ascii="IRNazanin" w:hAnsi="IRNazanin" w:eastAsia="IRNazanin" w:cs="IRNazanin"/>
          <w:lang w:bidi="fa-IR"/>
          <w:color w:val="111111"/>
          <w:sz w:val="28"/>
          <w:szCs w:val="28"/>
          <w:rtl/>
        </w:rPr>
        <w:t xml:space="preserve">و حینئذٍ فیقع الکلام و الإشکال فی تقدیر بعض المقدّرات بغیر ما تعارف فیه،فنقول:</w:t>
      </w:r>
    </w:p>
    <w:p>
      <w:pPr>
        <w:pStyle w:val="Heading6"/>
      </w:pPr>
      <w:bookmarkStart w:id="1069" w:name="_Toc509"/>
      <w:r>
        <w:t>[هل یجوز بیع المکیل وزنا و بالعکس]</w:t>
      </w:r>
      <w:bookmarkEnd w:id="1069"/>
    </w:p>
    <w:p>
      <w:pPr>
        <w:pStyle w:val="Heading6"/>
      </w:pPr>
      <w:bookmarkStart w:id="1070" w:name="_Toc510"/>
      <w:r>
        <w:t>اشارة</w:t>
      </w:r>
      <w:bookmarkEnd w:id="1070"/>
    </w:p>
    <w:p>
      <w:pPr>
        <w:pStyle w:val="BookText"/>
      </w:pPr>
      <w:r>
        <w:rPr>
          <w:rFonts w:ascii="IRNazanin" w:hAnsi="IRNazanin" w:eastAsia="IRNazanin" w:cs="IRNazanin"/>
          <w:lang w:bidi="fa-IR"/>
          <w:color w:val="111111"/>
          <w:sz w:val="28"/>
          <w:szCs w:val="28"/>
          <w:rtl/>
        </w:rPr>
        <w:t xml:space="preserve">اختلفوا فی جواز بیع المکیل وزناً و بالعکس و عدمه </w:t>
      </w:r>
      <w:r>
        <w:rPr>
          <w:rStyle w:val="FootnoteReference"/>
        </w:rPr>
        <w:footnoteReference w:id="1694"/>
      </w:r>
      <w:r>
        <w:rPr>
          <w:rFonts w:ascii="IRNazanin" w:hAnsi="IRNazanin" w:eastAsia="IRNazanin" w:cs="IRNazanin"/>
          <w:lang w:bidi="fa-IR"/>
          <w:color w:val="111111"/>
          <w:sz w:val="28"/>
          <w:szCs w:val="28"/>
          <w:rtl/>
        </w:rPr>
        <w:t xml:space="preserve">علی أقوال،</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5" w:name="pg14419_167123"/>
    <w:bookmarkEnd w:id="245"/>
    <w:p>
      <w:pPr>
        <w:pStyle w:val="BookText"/>
      </w:pPr>
      <w:r>
        <w:rPr>
          <w:rFonts w:ascii="IRNazanin" w:hAnsi="IRNazanin" w:eastAsia="IRNazanin" w:cs="IRNazanin"/>
          <w:lang w:bidi="fa-IR"/>
          <w:color w:val="111111"/>
          <w:sz w:val="28"/>
          <w:szCs w:val="28"/>
          <w:rtl/>
        </w:rPr>
        <w:t xml:space="preserve">ثالثها:جواز المکیل </w:t>
      </w:r>
      <w:r>
        <w:rPr>
          <w:rStyle w:val="FootnoteReference"/>
        </w:rPr>
        <w:footnoteReference w:id="1695"/>
      </w:r>
      <w:r>
        <w:rPr>
          <w:rFonts w:ascii="Amiri" w:hAnsi="Amiri" w:eastAsia="Amiri" w:cs="Amiri"/>
          <w:lang w:bidi="ar-SA"/>
          <w:color w:val="111111"/>
          <w:sz w:val="28"/>
          <w:szCs w:val="28"/>
          <w:rtl/>
        </w:rPr>
        <w:t xml:space="preserve">وزناً </w:t>
      </w:r>
      <w:r>
        <w:rPr>
          <w:rStyle w:val="FootnoteReference"/>
        </w:rPr>
        <w:footnoteReference w:id="1696"/>
      </w:r>
      <w:r>
        <w:rPr>
          <w:rFonts w:ascii="IRNazanin" w:hAnsi="IRNazanin" w:eastAsia="IRNazanin" w:cs="IRNazanin"/>
          <w:lang w:bidi="fa-IR"/>
          <w:color w:val="111111"/>
          <w:sz w:val="28"/>
          <w:szCs w:val="28"/>
          <w:rtl/>
        </w:rPr>
        <w:t xml:space="preserve">،دون العکس؛لأنّ الوزن أصل الکیل و أضبط،و إنّما عدل إلیه فی المکیلات تسهیلاً.</w:t>
      </w:r>
    </w:p>
    <w:p>
      <w:pPr>
        <w:pStyle w:val="BookText"/>
      </w:pPr>
      <w:r>
        <w:rPr>
          <w:rFonts w:ascii="IRNazanin" w:hAnsi="IRNazanin" w:eastAsia="IRNazanin" w:cs="IRNazanin"/>
          <w:lang w:bidi="fa-IR"/>
          <w:color w:val="111111"/>
          <w:sz w:val="28"/>
          <w:szCs w:val="28"/>
          <w:rtl/>
        </w:rPr>
        <w:t xml:space="preserve">فالمحکیّ عن الدروس فی السلَم جوازه مطلقاً،حیث قال:و لو أسلم فی المکیل وزناً و بالعکس فالوجه الصحّة؛لروایة وهب عن الصادق علیه السلام </w:t>
      </w:r>
      <w:r>
        <w:rPr>
          <w:rStyle w:val="FootnoteReference"/>
        </w:rPr>
        <w:footnoteReference w:id="1697"/>
      </w:r>
      <w:r>
        <w:rPr>
          <w:rFonts w:ascii="IRNazanin" w:hAnsi="IRNazanin" w:eastAsia="IRNazanin" w:cs="IRNazanin"/>
          <w:lang w:bidi="fa-IR"/>
          <w:color w:val="111111"/>
          <w:sz w:val="28"/>
          <w:szCs w:val="28"/>
          <w:rtl/>
        </w:rPr>
        <w:t xml:space="preserve">،و کأنّه أشار بها إلی روایة وهب،عن جعفر،عن أبیه،عن علیٍّ صلوات اللّٰه علیهم،قال:«لا بأس بسَلَف </w:t>
      </w:r>
      <w:r>
        <w:rPr>
          <w:rStyle w:val="FootnoteReference"/>
        </w:rPr>
        <w:footnoteReference w:id="1698"/>
      </w:r>
      <w:r>
        <w:rPr>
          <w:rFonts w:ascii="IRNazanin" w:hAnsi="IRNazanin" w:eastAsia="IRNazanin" w:cs="IRNazanin"/>
          <w:lang w:bidi="fa-IR"/>
          <w:color w:val="111111"/>
          <w:sz w:val="28"/>
          <w:szCs w:val="28"/>
          <w:rtl/>
        </w:rPr>
        <w:t xml:space="preserve">ما یوزن فیما یکال،و ما یکال فیما یوزن»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قصور الروایة سنداً ب«وهب»،و دلالةً بأنّ الظاهر منها جواز إسلاف الموزون فی المکیل و بالعکس،لا جواز تقدیر المسْلَم فیه المکیل بالوزن و بالعکس،و یعضده ذکر الشیخ للروایة فی باب إسلاف الزیت فی السمن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Heading6"/>
      </w:pPr>
      <w:bookmarkStart w:id="1071" w:name="_Toc511"/>
      <w:r>
        <w:t>[الکلام فی مقامین]</w:t>
      </w:r>
      <w:bookmarkEnd w:id="1071"/>
    </w:p>
    <w:p>
      <w:pPr>
        <w:pStyle w:val="Heading6"/>
      </w:pPr>
      <w:bookmarkStart w:id="1072" w:name="_Toc512"/>
      <w:r>
        <w:t>اشارة</w:t>
      </w:r>
      <w:bookmarkEnd w:id="10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فالذی ینبغی أن یقال:إنّ الکلام تارةً فی کفایة کلٍّ من التقدیرین فی المقدّر بالآخر من حیث جعله دلیلاً علی التقدیر المعتبر فیه،بأن یستکشف من الکیل وزن الموزون و بالعکس.و تارة فی کفایته فیه أصلاً من غیر ملاحظة تقدیره المتعارف.</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6" w:name="pg14419_167124"/>
    <w:bookmarkEnd w:id="246"/>
    <w:p>
      <w:pPr>
        <w:pStyle w:val="Heading6"/>
      </w:pPr>
      <w:bookmarkStart w:id="1073" w:name="_Toc513"/>
      <w:r>
        <w:t>أمّا الأوّل : [التقدیر بغیر ما تعارف تقدیره به من حیث جعله طریقا إلی ما تعارف فیه]</w:t>
      </w:r>
      <w:bookmarkEnd w:id="1073"/>
    </w:p>
    <w:p>
      <w:pPr>
        <w:pStyle w:val="BookText"/>
      </w:pPr>
      <w:r>
        <w:rPr>
          <w:rFonts w:ascii="IRNazanin" w:hAnsi="IRNazanin" w:eastAsia="IRNazanin" w:cs="IRNazanin"/>
          <w:lang w:bidi="fa-IR"/>
          <w:color w:val="111111"/>
          <w:sz w:val="28"/>
          <w:szCs w:val="28"/>
          <w:rtl/>
        </w:rPr>
        <w:t xml:space="preserve">فقد یکون التفاوت المحتمل ممّا یتسامح فیه عادة،و قد یکون ممّا لا یتسامح فیه:</w:t>
      </w:r>
    </w:p>
    <w:p>
      <w:pPr>
        <w:pStyle w:val="BookText"/>
      </w:pPr>
      <w:r>
        <w:rPr>
          <w:rFonts w:ascii="IRNazanin" w:hAnsi="IRNazanin" w:eastAsia="IRNazanin" w:cs="IRNazanin"/>
          <w:lang w:bidi="fa-IR"/>
          <w:color w:val="111111"/>
          <w:sz w:val="28"/>
          <w:szCs w:val="28"/>
          <w:rtl/>
        </w:rPr>
        <w:t xml:space="preserve">أمّا الأوّل،فالظاهر جوازه،خصوصاً مع تعسّر تقدیره بما یتعارف فیه؛لأنّ ذلک غیر خارج فی الحقیقة عن تقدیره ممّا </w:t>
      </w:r>
      <w:r>
        <w:rPr>
          <w:rStyle w:val="FootnoteReference"/>
        </w:rPr>
        <w:footnoteReference w:id="1701"/>
      </w:r>
      <w:r>
        <w:rPr>
          <w:rFonts w:ascii="IRNazanin" w:hAnsi="IRNazanin" w:eastAsia="IRNazanin" w:cs="IRNazanin"/>
          <w:lang w:bidi="fa-IR"/>
          <w:color w:val="111111"/>
          <w:sz w:val="28"/>
          <w:szCs w:val="28"/>
          <w:rtl/>
        </w:rPr>
        <w:t xml:space="preserve">یتعارف فیه، غایة ما فی الباب أن یجعل التقدیر الآخر طریقاً إلیه.</w:t>
      </w:r>
    </w:p>
    <w:p>
      <w:pPr>
        <w:pStyle w:val="BookText"/>
      </w:pPr>
      <w:r>
        <w:rPr>
          <w:rFonts w:ascii="IRNazanin" w:hAnsi="IRNazanin" w:eastAsia="IRNazanin" w:cs="IRNazanin"/>
          <w:lang w:bidi="fa-IR"/>
          <w:color w:val="111111"/>
          <w:sz w:val="28"/>
          <w:szCs w:val="28"/>
          <w:rtl/>
        </w:rPr>
        <w:t xml:space="preserve">و یؤیّده روایة عبد الملک بن عمرو،قال:«قلت لأبی عبد اللّٰه علیه السلام:</w:t>
      </w:r>
    </w:p>
    <w:p>
      <w:pPr>
        <w:pStyle w:val="BookText"/>
      </w:pPr>
      <w:r>
        <w:rPr>
          <w:rFonts w:ascii="IRNazanin" w:hAnsi="IRNazanin" w:eastAsia="IRNazanin" w:cs="IRNazanin"/>
          <w:lang w:bidi="fa-IR"/>
          <w:color w:val="111111"/>
          <w:sz w:val="28"/>
          <w:szCs w:val="28"/>
          <w:rtl/>
        </w:rPr>
        <w:t xml:space="preserve">أشتری مائة راویة من زیت،فأعترض </w:t>
      </w:r>
      <w:r>
        <w:rPr>
          <w:rStyle w:val="FootnoteReference"/>
        </w:rPr>
        <w:footnoteReference w:id="1702"/>
      </w:r>
      <w:r>
        <w:rPr>
          <w:rFonts w:ascii="IRNazanin" w:hAnsi="IRNazanin" w:eastAsia="IRNazanin" w:cs="IRNazanin"/>
          <w:lang w:bidi="fa-IR"/>
          <w:color w:val="111111"/>
          <w:sz w:val="28"/>
          <w:szCs w:val="28"/>
          <w:rtl/>
        </w:rPr>
        <w:t xml:space="preserve">راویة أو اثنتین فأزنهما </w:t>
      </w:r>
      <w:r>
        <w:rPr>
          <w:rStyle w:val="FootnoteReference"/>
        </w:rPr>
        <w:footnoteReference w:id="1703"/>
      </w:r>
      <w:r>
        <w:rPr>
          <w:rFonts w:ascii="IRNazanin" w:hAnsi="IRNazanin" w:eastAsia="IRNazanin" w:cs="IRNazanin"/>
          <w:lang w:bidi="fa-IR"/>
          <w:color w:val="111111"/>
          <w:sz w:val="28"/>
          <w:szCs w:val="28"/>
          <w:rtl/>
        </w:rPr>
        <w:t xml:space="preserve">،ثمّ آخذ سائره علی قدر ذلک.قال:لا بأس»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بها فی التذکرة علی جواز بیع الموزون عند تعذّر وزنه بوزن واحد من المتعدّد و نسبة الباقی إلیه،و أردفه بقوله:و لأنه یحصل المطلوب و هو العلم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استدلاله الثانی یدلّ علی عدم اختصاص الحکم بصورة التعذّر، و التقیید بالتعذّر لعلّه استنبطه من الغالب فی مورد السؤال،و هو تعذّر</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7" w:name="pg14419_167125"/>
    <w:bookmarkEnd w:id="247"/>
    <w:p>
      <w:pPr>
        <w:pStyle w:val="BookText"/>
      </w:pPr>
      <w:r>
        <w:rPr>
          <w:rFonts w:ascii="IRNazanin" w:hAnsi="IRNazanin" w:eastAsia="IRNazanin" w:cs="IRNazanin"/>
          <w:lang w:bidi="fa-IR"/>
          <w:color w:val="111111"/>
          <w:sz w:val="28"/>
          <w:szCs w:val="28"/>
          <w:rtl/>
        </w:rPr>
        <w:t xml:space="preserve">وزن مائة راویة من الزیت؛و لا یخفی أنّ هذه العلّة </w:t>
      </w:r>
      <w:r>
        <w:rPr>
          <w:rStyle w:val="FootnoteReference"/>
        </w:rPr>
        <w:footnoteReference w:id="1706"/>
      </w:r>
      <w:r>
        <w:rPr>
          <w:rFonts w:ascii="IRNazanin" w:hAnsi="IRNazanin" w:eastAsia="IRNazanin" w:cs="IRNazanin"/>
          <w:lang w:bidi="fa-IR"/>
          <w:color w:val="111111"/>
          <w:sz w:val="28"/>
          <w:szCs w:val="28"/>
          <w:rtl/>
        </w:rPr>
        <w:t xml:space="preserve">لو سلّمت علی وجهٍ یقدح فی عموم ترک الاستفصال إنّما یجب الاقتصار علی موردها لو کان الحکم مخالفاً لعمومات وجوب التقدیر،و قد عرفت أنّ هذا فی الحقیقة تقدیرٌ و لیس بجزاف.</w:t>
      </w:r>
    </w:p>
    <w:p>
      <w:pPr>
        <w:pStyle w:val="BookText"/>
      </w:pPr>
      <w:r>
        <w:rPr>
          <w:rFonts w:ascii="IRNazanin" w:hAnsi="IRNazanin" w:eastAsia="IRNazanin" w:cs="IRNazanin"/>
          <w:lang w:bidi="fa-IR"/>
          <w:color w:val="111111"/>
          <w:sz w:val="28"/>
          <w:szCs w:val="28"/>
          <w:rtl/>
        </w:rPr>
        <w:t xml:space="preserve">نعم،ربما ینافی ذلک التقریر المستفاد من الصحیحة الآتیة فی بیع الجوز،کما سیجیء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لو کان </w:t>
      </w:r>
      <w:r>
        <w:rPr>
          <w:rStyle w:val="FootnoteReference"/>
        </w:rPr>
        <w:footnoteReference w:id="1708"/>
      </w:r>
      <w:r>
        <w:rPr>
          <w:rFonts w:ascii="IRNazanin" w:hAnsi="IRNazanin" w:eastAsia="IRNazanin" w:cs="IRNazanin"/>
          <w:lang w:bidi="fa-IR"/>
          <w:color w:val="111111"/>
          <w:sz w:val="28"/>
          <w:szCs w:val="28"/>
          <w:rtl/>
        </w:rPr>
        <w:t xml:space="preserve">التفاوت ممّا لا یتسامح فیه،فالظاهر أیضاً الجواز مع البناء علی ذلک المقدار </w:t>
      </w:r>
      <w:r>
        <w:rPr>
          <w:rStyle w:val="FootnoteReference"/>
        </w:rPr>
        <w:footnoteReference w:id="1709"/>
      </w:r>
      <w:r>
        <w:rPr>
          <w:rFonts w:ascii="IRNazanin" w:hAnsi="IRNazanin" w:eastAsia="IRNazanin" w:cs="IRNazanin"/>
          <w:lang w:bidi="fa-IR"/>
          <w:color w:val="111111"/>
          <w:sz w:val="28"/>
          <w:szCs w:val="28"/>
          <w:rtl/>
        </w:rPr>
        <w:t xml:space="preserve">المستکشف من التقدیر إذا کان ذلک التقدیر أمارةً علی ذلک المقدار،لأنّ ذلک أیضاً خارجٌ عن الجزاف، فیکون نظیر إخبار البائع بالکیل.و یتخیّر المشتری لو نقص.</w:t>
      </w:r>
    </w:p>
    <w:p>
      <w:pPr>
        <w:pStyle w:val="BookText"/>
      </w:pPr>
      <w:r>
        <w:rPr>
          <w:rFonts w:ascii="IRNazanin" w:hAnsi="IRNazanin" w:eastAsia="IRNazanin" w:cs="IRNazanin"/>
          <w:lang w:bidi="fa-IR"/>
          <w:color w:val="111111"/>
          <w:sz w:val="28"/>
          <w:szCs w:val="28"/>
          <w:rtl/>
        </w:rPr>
        <w:t xml:space="preserve">و ما تقدّم من صحیحة الحلبی فی أوّل الباب من المنع عن شراء أحد العِدلین بکیل أحدهما قد عرفت توجیهه هناک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مع جعل التقدیر الغیر المتعارف أمارةً علی المتعارف.</w:t>
      </w:r>
    </w:p>
    <w:p>
      <w:pPr>
        <w:pStyle w:val="Heading6"/>
      </w:pPr>
      <w:bookmarkStart w:id="1074" w:name="_Toc514"/>
      <w:r>
        <w:t>[التقدیر بغیر ما تعارف تقدیره به مستقلا]</w:t>
      </w:r>
      <w:bookmarkEnd w:id="1074"/>
    </w:p>
    <w:p>
      <w:pPr>
        <w:pStyle w:val="BookText"/>
      </w:pPr>
      <w:r>
        <w:rPr>
          <w:rFonts w:ascii="IRNazanin" w:hAnsi="IRNazanin" w:eastAsia="IRNazanin" w:cs="IRNazanin"/>
          <w:lang w:bidi="fa-IR"/>
          <w:color w:val="111111"/>
          <w:sz w:val="28"/>
          <w:szCs w:val="28"/>
          <w:rtl/>
        </w:rPr>
        <w:t xml:space="preserve">و أمّا کفایة أحد التقدیرین عن الآخر أصالةً من غیر ملاحظة التقدیر المتعارف </w:t>
      </w:r>
      <w:r>
        <w:rPr>
          <w:rStyle w:val="FootnoteReference"/>
        </w:rPr>
        <w:footnoteReference w:id="1711"/>
      </w:r>
      <w:r>
        <w:rPr>
          <w:rFonts w:ascii="IRNazanin" w:hAnsi="IRNazanin" w:eastAsia="IRNazanin" w:cs="IRNazanin"/>
          <w:lang w:bidi="fa-IR"/>
          <w:color w:val="111111"/>
          <w:sz w:val="28"/>
          <w:szCs w:val="28"/>
          <w:rtl/>
        </w:rPr>
        <w:t xml:space="preserve">،فالظاهر جواز بیع المکیل </w:t>
      </w:r>
      <w:r>
        <w:rPr>
          <w:rStyle w:val="FootnoteReference"/>
        </w:rPr>
        <w:footnoteReference w:id="1712"/>
      </w:r>
      <w:r>
        <w:rPr>
          <w:rFonts w:ascii="IRNazanin" w:hAnsi="IRNazanin" w:eastAsia="IRNazanin" w:cs="IRNazanin"/>
          <w:lang w:bidi="fa-IR"/>
          <w:color w:val="111111"/>
          <w:sz w:val="28"/>
          <w:szCs w:val="28"/>
          <w:rtl/>
        </w:rPr>
        <w:t xml:space="preserve">وزناً علی المشهور،کما</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الریاض </w:t>
      </w:r>
      <w:r>
        <w:rPr>
          <w:rStyle w:val="FootnoteReference"/>
        </w:rPr>
        <w:footnoteReference w:id="1713"/>
      </w:r>
      <w:r>
        <w:rPr>
          <w:rFonts w:ascii="IRNazanin" w:hAnsi="IRNazanin" w:eastAsia="IRNazanin" w:cs="IRNazanin"/>
          <w:lang w:bidi="fa-IR"/>
          <w:color w:val="111111"/>
          <w:sz w:val="28"/>
          <w:szCs w:val="28"/>
          <w:rtl/>
        </w:rPr>
        <w:t xml:space="preserve">لأنّ ذلک لیس من بیع المکیل مجازفةً،المنهیّ عنه فی الأخبار </w:t>
      </w:r>
      <w:r>
        <w:rPr>
          <w:rStyle w:val="FootnoteReference"/>
        </w:rPr>
        <w:footnoteReference w:id="1714"/>
      </w:r>
      <w:r>
        <w:rPr>
          <w:rFonts w:ascii="IRNazanin" w:hAnsi="IRNazanin" w:eastAsia="IRNazanin" w:cs="IRNazanin"/>
          <w:lang w:bidi="fa-IR"/>
          <w:color w:val="111111"/>
          <w:sz w:val="28"/>
          <w:szCs w:val="28"/>
          <w:rtl/>
        </w:rPr>
        <w:t xml:space="preserve">و معقد الإجماعات؛لأنّ الوزن أضبط من الکیل،و مقدار مالیّة المکیلات معلومٌ به أصالةً من دون إرجاعٍ إلی الکیل.</w:t>
      </w:r>
    </w:p>
    <w:p>
      <w:pPr>
        <w:pStyle w:val="BookText"/>
      </w:pPr>
      <w:r>
        <w:rPr>
          <w:rFonts w:ascii="IRNazanin" w:hAnsi="IRNazanin" w:eastAsia="IRNazanin" w:cs="IRNazanin"/>
          <w:lang w:bidi="fa-IR"/>
          <w:color w:val="111111"/>
          <w:sz w:val="28"/>
          <w:szCs w:val="28"/>
          <w:rtl/>
        </w:rPr>
        <w:t xml:space="preserve">و المحکی المؤیّد بالتتبّع-:أنّ الوزن أصلٌ للکیل،و أنّ العدول إلی الکیل من باب الرخصة؛و هذا معلوم لمن تتبّع موارد تعارف الکیل فی الموزونات.</w:t>
      </w:r>
    </w:p>
    <w:p>
      <w:pPr>
        <w:pStyle w:val="BookText"/>
      </w:pPr>
      <w:r>
        <w:rPr>
          <w:rFonts w:ascii="IRNazanin" w:hAnsi="IRNazanin" w:eastAsia="IRNazanin" w:cs="IRNazanin"/>
          <w:lang w:bidi="fa-IR"/>
          <w:color w:val="111111"/>
          <w:sz w:val="28"/>
          <w:szCs w:val="28"/>
          <w:rtl/>
        </w:rPr>
        <w:t xml:space="preserve">و یشهد لأصالة الوزن:أنّ المکاییل المتعارفة فی الأماکن المتفرّقة علی اختلافها فی المقدار لیس لها مأخذ إلّا الوزن؛إذ لیس هنا کیلٌ واحدٌ یقاس المکاییل علیه.</w:t>
      </w:r>
    </w:p>
    <w:p>
      <w:pPr>
        <w:pStyle w:val="BookText"/>
      </w:pPr>
      <w:r>
        <w:rPr>
          <w:rFonts w:ascii="IRNazanin" w:hAnsi="IRNazanin" w:eastAsia="IRNazanin" w:cs="IRNazanin"/>
          <w:lang w:bidi="fa-IR"/>
          <w:color w:val="111111"/>
          <w:sz w:val="28"/>
          <w:szCs w:val="28"/>
          <w:rtl/>
        </w:rPr>
        <w:t xml:space="preserve">و أمّا کفایة الکیل فی الموزون </w:t>
      </w:r>
      <w:r>
        <w:rPr>
          <w:rStyle w:val="FootnoteReference"/>
        </w:rPr>
        <w:footnoteReference w:id="1715"/>
      </w:r>
      <w:r>
        <w:rPr>
          <w:rFonts w:ascii="IRNazanin" w:hAnsi="IRNazanin" w:eastAsia="IRNazanin" w:cs="IRNazanin"/>
          <w:lang w:bidi="fa-IR"/>
          <w:color w:val="111111"/>
          <w:sz w:val="28"/>
          <w:szCs w:val="28"/>
          <w:rtl/>
        </w:rPr>
        <w:t xml:space="preserve">من دون ملاحظة کشفه عن الوزن،ففیه إشکالٌ،بل لا یبعد عدم الجواز،و قد عرفت عن السرائر:</w:t>
      </w:r>
    </w:p>
    <w:p>
      <w:pPr>
        <w:pStyle w:val="BookText"/>
      </w:pPr>
      <w:r>
        <w:rPr>
          <w:rFonts w:ascii="IRNazanin" w:hAnsi="IRNazanin" w:eastAsia="IRNazanin" w:cs="IRNazanin"/>
          <w:lang w:bidi="fa-IR"/>
          <w:color w:val="111111"/>
          <w:sz w:val="28"/>
          <w:szCs w:val="28"/>
          <w:rtl/>
        </w:rPr>
        <w:t xml:space="preserve">أنّ ما یباع وزناً لا یباع کیلاً بلا خلاف </w:t>
      </w:r>
      <w:r>
        <w:rPr>
          <w:rStyle w:val="FootnoteReference"/>
        </w:rPr>
        <w:footnoteReference w:id="1716"/>
      </w:r>
      <w:r>
        <w:rPr>
          <w:rFonts w:ascii="IRNazanin" w:hAnsi="IRNazanin" w:eastAsia="IRNazanin" w:cs="IRNazanin"/>
          <w:lang w:bidi="fa-IR"/>
          <w:color w:val="111111"/>
          <w:sz w:val="28"/>
          <w:szCs w:val="28"/>
          <w:rtl/>
        </w:rPr>
        <w:t xml:space="preserve">،فإنّ هذه مجازفةٌ صرفة؛ إذ لیس الکیل فیما لم یتعارف فیه،وعاءً منضبطاً </w:t>
      </w:r>
      <w:r>
        <w:rPr>
          <w:rStyle w:val="FootnoteReference"/>
        </w:rPr>
        <w:footnoteReference w:id="1717"/>
      </w:r>
      <w:r>
        <w:rPr>
          <w:rFonts w:ascii="IRNazanin" w:hAnsi="IRNazanin" w:eastAsia="IRNazanin" w:cs="IRNazanin"/>
          <w:lang w:bidi="fa-IR"/>
          <w:color w:val="111111"/>
          <w:sz w:val="28"/>
          <w:szCs w:val="28"/>
          <w:rtl/>
        </w:rPr>
        <w:t xml:space="preserve">،فهو بعینه ما منعوه من التقدیر بقصعةٍ حاضرةٍ أو ملء الید </w:t>
      </w:r>
      <w:r>
        <w:rPr>
          <w:rStyle w:val="FootnoteReference"/>
        </w:rPr>
        <w:footnoteReference w:id="1718"/>
      </w:r>
      <w:r>
        <w:rPr>
          <w:rFonts w:ascii="IRNazanin" w:hAnsi="IRNazanin" w:eastAsia="IRNazanin" w:cs="IRNazanin"/>
          <w:lang w:bidi="fa-IR"/>
          <w:color w:val="111111"/>
          <w:sz w:val="28"/>
          <w:szCs w:val="28"/>
          <w:rtl/>
        </w:rPr>
        <w:t xml:space="preserve">فإنّ الکیل من حیث هو لا</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فی الموزونات معرفة زائدة علی ما یحصل بالمشاهدة،فالقول بالجواز فیما نحن فیه مرجعه إلی کفایة المشاهدة.</w:t>
      </w:r>
    </w:p>
    <w:p>
      <w:pPr>
        <w:pStyle w:val="BookText"/>
      </w:pPr>
      <w:r>
        <w:rPr>
          <w:rFonts w:ascii="IRNazanin" w:hAnsi="IRNazanin" w:eastAsia="IRNazanin" w:cs="IRNazanin"/>
          <w:lang w:bidi="fa-IR"/>
          <w:color w:val="111111"/>
          <w:sz w:val="28"/>
          <w:szCs w:val="28"/>
          <w:rtl/>
        </w:rPr>
        <w:t xml:space="preserve">ثمّ إنّه قد علم ممّا ذکرنا:أنّه لو وقعت معاملة الموزون بعنوان معلوم عند أحد المتبایعین دون الآخر کالحقّة و الرطل و الوَزْنة باصطلاح أهل العراق،الذی لا یعرفه غیرهم،خصوصاً الأعاجم غیر جائز؛لأنّ مجرّد ذکر أحد هذه العنوانات علیه و جعله فی المیزان، و وضع صخرة مجهولة المقدار معلومة الاسم فی مقابله،لا یوجب للجاهل معرفة زائدة علی ما یحصل بالمشاهدة.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هذا کلّه فی المکیل و الموزون.</w:t>
      </w:r>
    </w:p>
    <w:p>
      <w:pPr>
        <w:pStyle w:val="BookText"/>
      </w:pPr>
      <w:r>
        <w:rPr>
          <w:rFonts w:ascii="IRNazanin" w:hAnsi="IRNazanin" w:eastAsia="IRNazanin" w:cs="IRNazanin"/>
          <w:lang w:bidi="fa-IR"/>
          <w:color w:val="111111"/>
          <w:sz w:val="28"/>
          <w:szCs w:val="28"/>
          <w:rtl/>
        </w:rPr>
        <w:t xml:space="preserve">و أمّا المعدود:فإن کان الکیل أو الوزن طریقاً إلیه،فالکلام فیه کما عرفت فی أخویه.و ربما ینافیه التقریر المستفاد من صحیحة الحلبی عن أبی عبد اللّٰه علیه السلام:«أنّه سئل عن الجوز لا نستطیع أن نعدّه؛ فیکال بمکیال </w:t>
      </w:r>
      <w:r>
        <w:rPr>
          <w:rStyle w:val="FootnoteReference"/>
        </w:rPr>
        <w:footnoteReference w:id="1719"/>
      </w:r>
      <w:r>
        <w:rPr>
          <w:rFonts w:ascii="IRNazanin" w:hAnsi="IRNazanin" w:eastAsia="IRNazanin" w:cs="IRNazanin"/>
          <w:lang w:bidi="fa-IR"/>
          <w:color w:val="111111"/>
          <w:sz w:val="28"/>
          <w:szCs w:val="28"/>
          <w:rtl/>
        </w:rPr>
        <w:t xml:space="preserve">ثمّ یعدّ ما فیه،ثمّ یکال ما بقی علی حساب ذلک العدد؟قال:لا بأس به»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 السؤال اعتقاد السائل عدم جواز ذلک فی غیر حال الضرورة،و لم یردعه الإمام علیه السلام بالتنبیه علی أنّ ذلک غیر مختصّ بصورة الاضطرار.</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8" w:name="pg14419_167128"/>
    <w:bookmarkEnd w:id="248"/>
    <w:p>
      <w:pPr>
        <w:pStyle w:val="BookText"/>
      </w:pPr>
      <w:r>
        <w:rPr>
          <w:rFonts w:ascii="IRNazanin" w:hAnsi="IRNazanin" w:eastAsia="IRNazanin" w:cs="IRNazanin"/>
          <w:lang w:bidi="fa-IR"/>
          <w:color w:val="111111"/>
          <w:sz w:val="28"/>
          <w:szCs w:val="28"/>
          <w:rtl/>
        </w:rPr>
        <w:t xml:space="preserve">لکن التقریر غیر واضح،فلا تنهض الروایة لتخصیص العمومات؛ و لذا قوّی فی الروضة الجواز مطلقاً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کفایة الکیل فیه أصالةً:فهو مشکلٌ؛لأنّه لا یخرج عن المجازفة،و الکیل لا یزید علی المشاهدة.</w:t>
      </w:r>
    </w:p>
    <w:p>
      <w:pPr>
        <w:pStyle w:val="BookText"/>
      </w:pPr>
      <w:r>
        <w:rPr>
          <w:rFonts w:ascii="IRNazanin" w:hAnsi="IRNazanin" w:eastAsia="IRNazanin" w:cs="IRNazanin"/>
          <w:lang w:bidi="fa-IR"/>
          <w:color w:val="111111"/>
          <w:sz w:val="28"/>
          <w:szCs w:val="28"/>
          <w:rtl/>
        </w:rPr>
        <w:t xml:space="preserve">و أمّا الوزن:فالظاهر کفایته،بل ظاهر قولهم فی السلَم:«إنّه لا یکفی العدّ فی المعدودات و إن جاز بیعها معجّلاً بالعدّ،بل لا بدّ من الوزن» </w:t>
      </w:r>
      <w:r>
        <w:rPr>
          <w:rStyle w:val="FootnoteReference"/>
        </w:rPr>
        <w:footnoteReference w:id="1722"/>
      </w:r>
      <w:r>
        <w:rPr>
          <w:rFonts w:ascii="Amiri" w:hAnsi="Amiri" w:eastAsia="Amiri" w:cs="Amiri"/>
          <w:lang w:bidi="ar-SA"/>
          <w:color w:val="111111"/>
          <w:sz w:val="28"/>
          <w:szCs w:val="28"/>
          <w:rtl/>
        </w:rPr>
        <w:t xml:space="preserve">:أنّه لا خلاف فی أنّه أضبط،و أنّه یغنی عن العدّ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فقولهم فی شروط العوضین </w:t>
      </w:r>
      <w:r>
        <w:rPr>
          <w:rStyle w:val="FootnoteReference"/>
        </w:rPr>
        <w:footnoteReference w:id="1724"/>
      </w:r>
      <w:r>
        <w:rPr>
          <w:rFonts w:ascii="Amiri" w:hAnsi="Amiri" w:eastAsia="Amiri" w:cs="Amiri"/>
          <w:lang w:bidi="ar-SA"/>
          <w:color w:val="111111"/>
          <w:sz w:val="28"/>
          <w:szCs w:val="28"/>
          <w:rtl/>
        </w:rPr>
        <w:t xml:space="preserve">:«إنّه لا بدّ من العدّ فی المعدودات» </w:t>
      </w:r>
      <w:r>
        <w:rPr>
          <w:rStyle w:val="FootnoteReference"/>
        </w:rPr>
        <w:footnoteReference w:id="1725"/>
      </w:r>
      <w:r>
        <w:rPr>
          <w:rFonts w:ascii="IRNazanin" w:hAnsi="IRNazanin" w:eastAsia="IRNazanin" w:cs="IRNazanin"/>
          <w:lang w:bidi="fa-IR"/>
          <w:color w:val="111111"/>
          <w:sz w:val="28"/>
          <w:szCs w:val="28"/>
          <w:rtl/>
        </w:rPr>
        <w:t xml:space="preserve">محمولٌ علی أقلّ مراتب التقدیر.لکنّه ربما ینافی ذلک تعقیب بعضهم ذلک بقولهم:«و یکفی الوزن عن العدّ» </w:t>
      </w:r>
      <w:r>
        <w:rPr>
          <w:rStyle w:val="FootnoteReference"/>
        </w:rPr>
        <w:footnoteReference w:id="1726"/>
      </w:r>
      <w:r>
        <w:rPr>
          <w:rFonts w:ascii="IRNazanin" w:hAnsi="IRNazanin" w:eastAsia="IRNazanin" w:cs="IRNazanin"/>
          <w:lang w:bidi="fa-IR"/>
          <w:color w:val="111111"/>
          <w:sz w:val="28"/>
          <w:szCs w:val="28"/>
          <w:rtl/>
        </w:rPr>
        <w:t xml:space="preserve">فإنّه یوهم کونه الأصل فی الضبط،إلّا أن یریدوا هنا الأصالة و الفرعیّة بحسب الضبط المتعارف،لا بحسب الحقیقة،فافهم.</w:t>
      </w:r>
    </w:p>
    <w:p>
      <w:pPr>
        <w:pStyle w:val="Heading6"/>
      </w:pPr>
      <w:bookmarkStart w:id="1075" w:name="_Toc515"/>
      <w:r>
        <w:t>بقی الکلام فی تعیین المناط فی کون الشیء مکیلاً أو موزوناً</w:t>
      </w:r>
      <w:bookmarkEnd w:id="1075"/>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قیل </w:t>
      </w:r>
      <w:r>
        <w:rPr>
          <w:rStyle w:val="FootnoteReference"/>
        </w:rPr>
        <w:footnoteReference w:id="1727"/>
      </w:r>
      <w:r>
        <w:rPr>
          <w:rFonts w:ascii="IRNazanin" w:hAnsi="IRNazanin" w:eastAsia="IRNazanin" w:cs="IRNazanin"/>
          <w:lang w:bidi="fa-IR"/>
          <w:color w:val="111111"/>
          <w:sz w:val="28"/>
          <w:szCs w:val="28"/>
          <w:rtl/>
        </w:rPr>
        <w:t xml:space="preserve">:إنّ الموجود فی کلام الأصحاب اعتبار الکیل و الوزن فیما بیع بهما فی زمن الشارع،و حکم الباقی فی البلدان ما هو المتعارف فیها،فما کان مکیلاً أو موزوناً فی بلد یباع کذا،و إلّا فلا </w:t>
      </w:r>
      <w:r>
        <w:rPr>
          <w:rStyle w:val="FootnoteReference"/>
        </w:rPr>
        <w:footnoteReference w:id="1728"/>
      </w:r>
      <w:r>
        <w:rPr>
          <w:rFonts w:ascii="IRNazanin" w:hAnsi="IRNazanin" w:eastAsia="IRNazanin" w:cs="IRNazanin"/>
          <w:lang w:bidi="fa-IR"/>
          <w:color w:val="111111"/>
          <w:sz w:val="28"/>
          <w:szCs w:val="28"/>
          <w:rtl/>
        </w:rPr>
        <w:t xml:space="preserve">.و عن ظاهر مجمع البرهان و صریح الحدائق نسبته إلی الأصحاب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منع ذلک بعض المعاصرین،قائلاً:إنّ دعوی الإجماع علی کون المدار هنا علی زمانه صلّی اللّٰه علیه و آله و سلم علی الوجه المذکور،غریبة! فإنّی لم أجد ذلک فی کلام أحد من الأساطین،فضلاً عن أن یکون إجماعاً.نعم،قد ذکروا ذلک بالنسبة إلی حکم الربا،لا أنّه کذلک بالنظر إلی الجهالة و الغرر الذی من المعلوم عدم المدخلیّة لزمانه صلّی اللّٰه علیه و آله و سلم فی رفع شیءٍ من ذلک و إثباته </w:t>
      </w:r>
      <w:r>
        <w:rPr>
          <w:rStyle w:val="FootnoteReference"/>
        </w:rPr>
        <w:footnoteReference w:id="173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أقول:ما ذکره دام ظلّه-:من عدم تعرّض جلّ الفقهاء لذلک هنا یعنی فی شروط العوضین و أنّ ما ذکروه فی باب الربا،حقٌّ،إلّا أنّ المدار وجوداً و عدماً فی الربا علی اشتراط الکیل و الوزن فی صحة بیع جنس ذلک الشیء،و أکثر الفقهاء لم یذکروا تحدید هذا الشرط و المعیار فیه هنا یعنی فی شروط العوضین إلّا أنّ الأکثر ذکروا فی باب الربا ما هو المعیار هنا و فی ذلک الباب.</w:t>
      </w:r>
    </w:p>
    <w:p>
      <w:pPr>
        <w:pStyle w:val="BookText"/>
      </w:pPr>
      <w:r>
        <w:rPr>
          <w:rFonts w:ascii="IRNazanin" w:hAnsi="IRNazanin" w:eastAsia="IRNazanin" w:cs="IRNazanin"/>
          <w:lang w:bidi="fa-IR"/>
          <w:color w:val="111111"/>
          <w:sz w:val="28"/>
          <w:szCs w:val="28"/>
          <w:rtl/>
        </w:rPr>
        <w:t xml:space="preserve">و أمّا اختصاص هذا المعیار بمسألة الربا و عدم جریانه فی شروط</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العوضین کما ذکره فهو خلاف الواقع:</w:t>
      </w:r>
    </w:p>
    <w:p>
      <w:pPr>
        <w:pStyle w:val="BookText"/>
      </w:pPr>
      <w:r>
        <w:rPr>
          <w:rFonts w:ascii="IRNazanin" w:hAnsi="IRNazanin" w:eastAsia="IRNazanin" w:cs="IRNazanin"/>
          <w:lang w:bidi="fa-IR"/>
          <w:color w:val="111111"/>
          <w:sz w:val="28"/>
          <w:szCs w:val="28"/>
          <w:rtl/>
        </w:rPr>
        <w:t xml:space="preserve">أمّا أوّلاً،فلشهادة تتبّع کلمات الأصحاب بخلافه.قال فی المبسوط فی باب الربا:إذا کانت عادة الحجاز علی عهده صلّی اللّٰه علیه و آله و سلم فی شیءٍ الکیل،لم یجز إلّا کیلاً فی سائر البلاد،و ما کانت فیه وزناً لم یجز إلّا وزناً فی سائر البلاد،و المکیال مکیال أهل المدینة،و المیزان میزان أهل مکّة </w:t>
      </w:r>
      <w:r>
        <w:rPr>
          <w:rStyle w:val="FootnoteReference"/>
        </w:rPr>
        <w:footnoteReference w:id="1731"/>
      </w:r>
      <w:r>
        <w:rPr>
          <w:rFonts w:ascii="IRNazanin" w:hAnsi="IRNazanin" w:eastAsia="IRNazanin" w:cs="IRNazanin"/>
          <w:lang w:bidi="fa-IR"/>
          <w:color w:val="111111"/>
          <w:sz w:val="28"/>
          <w:szCs w:val="28"/>
          <w:rtl/>
        </w:rPr>
        <w:t xml:space="preserve">،هذا کلّه بلا خلاف.فإن کان ممّا لا یعرف عادته </w:t>
      </w:r>
      <w:r>
        <w:rPr>
          <w:rStyle w:val="FootnoteReference"/>
        </w:rPr>
        <w:footnoteReference w:id="1732"/>
      </w:r>
      <w:r>
        <w:rPr>
          <w:rFonts w:ascii="IRNazanin" w:hAnsi="IRNazanin" w:eastAsia="IRNazanin" w:cs="IRNazanin"/>
          <w:lang w:bidi="fa-IR"/>
          <w:color w:val="111111"/>
          <w:sz w:val="28"/>
          <w:szCs w:val="28"/>
          <w:rtl/>
        </w:rPr>
        <w:t xml:space="preserve">فی عهده صلّی اللّٰه علیه و آله حمل علی عادة البلد الذی فیه ذلک الشیء،فما عرف بالکیل لا یباع إلّا کیلاً،و ما عرف فیه الوزن لا یباع إلّا وزناً </w:t>
      </w:r>
      <w:r>
        <w:rPr>
          <w:rStyle w:val="FootnoteReference"/>
        </w:rPr>
        <w:footnoteReference w:id="1733"/>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لا یخفی عموم ما ذکره من التحدید لمطلق البیع،لا لخصوص مبایعة المتماثلین.و نحوه کلام العلّامة فی التذکرة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ثانیاً،فلأنّ ما یقطع به بعد التتبّع فی کلماتهم هنا،و فی باب الربا أنّ الموضوع فی کلتا المسألتین شیء واحد أعنی المکیل و الموزون قد حمل علیه حکمان:أحدهما عدم صحّة بیعه جزافاً، و الآخر عدم صحّة بیع بعضه ببعض متفاضلاً،و یزیده وضوحاً ملاحظة أخبار المسألتین المعنونة بما یکال أو یوزن،فإذا ذکروا ضابطة لتحدید</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فهی مرعیّة فی کلتا المسألتین.</w:t>
      </w:r>
    </w:p>
    <w:p>
      <w:pPr>
        <w:pStyle w:val="BookText"/>
      </w:pPr>
      <w:r>
        <w:rPr>
          <w:rFonts w:ascii="IRNazanin" w:hAnsi="IRNazanin" w:eastAsia="IRNazanin" w:cs="IRNazanin"/>
          <w:lang w:bidi="fa-IR"/>
          <w:color w:val="111111"/>
          <w:sz w:val="28"/>
          <w:szCs w:val="28"/>
          <w:rtl/>
        </w:rPr>
        <w:t xml:space="preserve">و أمّا ثالثاً،فلأنه یظهر من جماعة تصریحاً أو ظهوراً-:أنّ من شرط الربا کون الکیل و الوزن شرطاً فی صحّة بیعه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فی الشرائع بعد ذکر اشتراط اعتبار الکیل و الوزن فی الربا تفریعاً علی ذلک-:إنّه لا ربا فی الماء؛إذ لا یشترط فی بیعه الکیل أو الوزن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الدروس:و لا یجری الربا فی الماء[و إن وزن أو کیل </w:t>
      </w:r>
      <w:r>
        <w:rPr>
          <w:rStyle w:val="FootnoteReference"/>
        </w:rPr>
        <w:footnoteReference w:id="1737"/>
      </w:r>
      <w:r>
        <w:rPr>
          <w:rFonts w:ascii="IRNazanin" w:hAnsi="IRNazanin" w:eastAsia="IRNazanin" w:cs="IRNazanin"/>
          <w:lang w:bidi="fa-IR"/>
          <w:color w:val="111111"/>
          <w:sz w:val="28"/>
          <w:szCs w:val="28"/>
          <w:rtl/>
        </w:rPr>
        <w:t xml:space="preserve">]؛لعدم اشتراطهما فی صحّة بیعه نقداً ثمّ قال:و کذا الحجارة و التراب و الحطب،و لا عبرة ببیع الحطب وزناً فی بعض البلدان؛لأنّ الوزن غیر شرط فی صحّته </w:t>
      </w:r>
      <w:r>
        <w:rPr>
          <w:rStyle w:val="FootnoteReference"/>
        </w:rPr>
        <w:footnoteReference w:id="173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المضمون سهل الإصابة لمن لاحظ کلماتهم،فلاحظ المسالک هنا </w:t>
      </w:r>
      <w:r>
        <w:rPr>
          <w:rStyle w:val="FootnoteReference"/>
        </w:rPr>
        <w:footnoteReference w:id="1739"/>
      </w:r>
      <w:r>
        <w:rPr>
          <w:rFonts w:ascii="IRNazanin" w:hAnsi="IRNazanin" w:eastAsia="IRNazanin" w:cs="IRNazanin"/>
          <w:lang w:bidi="fa-IR"/>
          <w:color w:val="111111"/>
          <w:sz w:val="28"/>
          <w:szCs w:val="28"/>
          <w:rtl/>
        </w:rPr>
        <w:t xml:space="preserve">،و شرح القواعد و حاشیتها للمحقّق الثانی </w:t>
      </w:r>
      <w:r>
        <w:rPr>
          <w:rStyle w:val="FootnoteReference"/>
        </w:rPr>
        <w:footnoteReference w:id="1740"/>
      </w:r>
      <w:r>
        <w:rPr>
          <w:rFonts w:ascii="IRNazanin" w:hAnsi="IRNazanin" w:eastAsia="IRNazanin" w:cs="IRNazanin"/>
          <w:lang w:bidi="fa-IR"/>
          <w:color w:val="111111"/>
          <w:sz w:val="28"/>
          <w:szCs w:val="28"/>
          <w:rtl/>
        </w:rPr>
        <w:t xml:space="preserve">و الشهید </w:t>
      </w:r>
      <w:r>
        <w:rPr>
          <w:rStyle w:val="FootnoteReference"/>
        </w:rPr>
        <w:footnoteReference w:id="1741"/>
      </w:r>
      <w:r>
        <w:rPr>
          <w:rFonts w:ascii="IRNazanin" w:hAnsi="IRNazanin" w:eastAsia="IRNazanin" w:cs="IRNazanin"/>
          <w:lang w:bidi="fa-IR"/>
          <w:color w:val="111111"/>
          <w:sz w:val="28"/>
          <w:szCs w:val="28"/>
          <w:rtl/>
        </w:rPr>
        <w:t xml:space="preserve">عند قول</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العلّامة:«و المراد بالمکیل و الموزون هنا جنسه و إن لم یدخلاه لقلّته کالحبّة و الحبّتین من الحنطة،أو لکثرته کالزبرة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 </w:t>
      </w:r>
      <w:r>
        <w:rPr>
          <w:rStyle w:val="FootnoteReference"/>
        </w:rPr>
        <w:footnoteReference w:id="1743"/>
      </w:r>
      <w:r>
        <w:rPr>
          <w:rFonts w:ascii="IRNazanin" w:hAnsi="IRNazanin" w:eastAsia="IRNazanin" w:cs="IRNazanin"/>
          <w:lang w:bidi="fa-IR"/>
          <w:color w:val="111111"/>
          <w:sz w:val="28"/>
          <w:szCs w:val="28"/>
          <w:rtl/>
        </w:rPr>
        <w:t xml:space="preserve">،و لازم ذلک یعنی اشتراط دخول الربا فی جنسٍ باشتراط الکیل و الوزن فی صحّة بیعه-:</w:t>
      </w:r>
    </w:p>
    <w:p>
      <w:pPr>
        <w:pStyle w:val="BookText"/>
      </w:pPr>
      <w:r>
        <w:rPr>
          <w:rFonts w:ascii="IRNazanin" w:hAnsi="IRNazanin" w:eastAsia="IRNazanin" w:cs="IRNazanin"/>
          <w:lang w:bidi="fa-IR"/>
          <w:color w:val="111111"/>
          <w:sz w:val="28"/>
          <w:szCs w:val="28"/>
          <w:rtl/>
        </w:rPr>
        <w:t xml:space="preserve">أنّه إذا ثبت الربا فی زماننا فی جنسٍ؛لثبوت کونه مکیلاً أو موزوناً علی عهد رسول اللّٰه صلّی اللّٰه علیه و آله و سلم،لزم أن لا یجوز بیعه جزافاً،و إلّا لم یصدق ما ذکروه:من اشتراط الربا باشتراط التقدیر فی صحّة بیعه.</w:t>
      </w:r>
    </w:p>
    <w:p>
      <w:pPr>
        <w:pStyle w:val="BookText"/>
      </w:pPr>
      <w:r>
        <w:rPr>
          <w:rFonts w:ascii="IRNazanin" w:hAnsi="IRNazanin" w:eastAsia="IRNazanin" w:cs="IRNazanin"/>
          <w:lang w:bidi="fa-IR"/>
          <w:color w:val="111111"/>
          <w:sz w:val="28"/>
          <w:szCs w:val="28"/>
          <w:rtl/>
        </w:rPr>
        <w:t xml:space="preserve">و بالجملة،فتلازم الحکمین أعنی دخول الربا فی جنسٍ،و اشتراط بیعه بالکیل أو الوزن ممّا لا یخفی علی المتتبّع فی کتب الأصحاب.</w:t>
      </w:r>
    </w:p>
    <w:p>
      <w:pPr>
        <w:pStyle w:val="BookText"/>
      </w:pPr>
      <w:r>
        <w:rPr>
          <w:rFonts w:ascii="IRNazanin" w:hAnsi="IRNazanin" w:eastAsia="IRNazanin" w:cs="IRNazanin"/>
          <w:lang w:bidi="fa-IR"/>
          <w:color w:val="111111"/>
          <w:sz w:val="28"/>
          <w:szCs w:val="28"/>
          <w:rtl/>
        </w:rPr>
        <w:t xml:space="preserve">و حینئذٍ فنقول:کلّ ما ثبت کونه مکیلاً أو موزوناً فی عصره صلّی اللّٰه علیه و آله و سلم فهو ربویٌّ فی زماننا و لا یجوز بیعه جزافاً،فلو فرض تعارف بیعه جزافاً عندنا کان باطلاً و إن لم یلزم غررٌ؛للإجماع،و لما عرفت:من أنّ اعتبار الکیل و الوزن لحکمة سدّ باب نوع الغرر لا شخصه </w:t>
      </w:r>
      <w:r>
        <w:rPr>
          <w:rStyle w:val="FootnoteReference"/>
        </w:rPr>
        <w:footnoteReference w:id="1744"/>
      </w:r>
      <w:r>
        <w:rPr>
          <w:rFonts w:ascii="IRNazanin" w:hAnsi="IRNazanin" w:eastAsia="IRNazanin" w:cs="IRNazanin"/>
          <w:lang w:bidi="fa-IR"/>
          <w:color w:val="111111"/>
          <w:sz w:val="28"/>
          <w:szCs w:val="28"/>
          <w:rtl/>
        </w:rPr>
        <w:t xml:space="preserve">،فهو حکمٌ لحکمةٍ غیر مطّردة،نظیر النهی عن بیع الثمار قبل الظهور لرفع التنازع،و اعتبار الانضباط فی المسلَم فیه؛لأنّ فی ترکه مظنّة التنازع و التغابن،و نحو ذلک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کما عرفت من غیر واحد </w:t>
      </w:r>
      <w:r>
        <w:rPr>
          <w:rStyle w:val="FootnoteReference"/>
        </w:rPr>
        <w:footnoteReference w:id="1746"/>
      </w:r>
      <w:r>
        <w:rPr>
          <w:rFonts w:ascii="Amiri" w:hAnsi="Amiri" w:eastAsia="Amiri" w:cs="Amiri"/>
          <w:lang w:bidi="ar-SA"/>
          <w:color w:val="111111"/>
          <w:sz w:val="28"/>
          <w:szCs w:val="28"/>
          <w:rtl/>
        </w:rPr>
        <w:t xml:space="preserve">أنّ المسألة اتّفاقیة.</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علم أنّه کان یباع جزافاً فی زمانه صلّی اللّٰه علیه و آله و سلم،فالظاهر جواز بیعه کذلک عندنا مع عدم الغرر قطعاً،و الظاهر أنّه إجماعیٌّ،کما یشهد به دعوی بعضهم الإجماع علی أنّ مثل هذا لیس بربویٍّ </w:t>
      </w:r>
      <w:r>
        <w:rPr>
          <w:rStyle w:val="FootnoteReference"/>
        </w:rPr>
        <w:footnoteReference w:id="1747"/>
      </w:r>
      <w:r>
        <w:rPr>
          <w:rFonts w:ascii="IRNazanin" w:hAnsi="IRNazanin" w:eastAsia="IRNazanin" w:cs="IRNazanin"/>
          <w:lang w:bidi="fa-IR"/>
          <w:color w:val="111111"/>
          <w:sz w:val="28"/>
          <w:szCs w:val="28"/>
          <w:rtl/>
        </w:rPr>
        <w:t xml:space="preserve">، و الشهرة محقّقة علی ذلک.</w:t>
      </w:r>
    </w:p>
    <w:p>
      <w:pPr>
        <w:pStyle w:val="BookText"/>
      </w:pPr>
      <w:r>
        <w:rPr>
          <w:rFonts w:ascii="IRNazanin" w:hAnsi="IRNazanin" w:eastAsia="IRNazanin" w:cs="IRNazanin"/>
          <w:lang w:bidi="fa-IR"/>
          <w:color w:val="111111"/>
          <w:sz w:val="28"/>
          <w:szCs w:val="28"/>
          <w:rtl/>
        </w:rPr>
        <w:t xml:space="preserve">نعم،ینافی ذلک بعض ما تقدّم من إطلاق النهی عن بیع المکیل و الموزون جزافاً،الظاهر فیما تعارف کیله فی زمان الإمام علیه السلام أو فی عرف السائل أو فی عرف المتبایعین أو أحدهما،و إن لم یتعارف فی غیره.و کذلک قوله علیه السلام:«ما کان من طعامٍ سمّیت فیه کیلاً فلا یصلح مجازفةً» </w:t>
      </w:r>
      <w:r>
        <w:rPr>
          <w:rStyle w:val="FootnoteReference"/>
        </w:rPr>
        <w:footnoteReference w:id="1748"/>
      </w:r>
      <w:r>
        <w:rPr>
          <w:rFonts w:ascii="IRNazanin" w:hAnsi="IRNazanin" w:eastAsia="IRNazanin" w:cs="IRNazanin"/>
          <w:lang w:bidi="fa-IR"/>
          <w:color w:val="111111"/>
          <w:sz w:val="28"/>
          <w:szCs w:val="28"/>
          <w:rtl/>
        </w:rPr>
        <w:t xml:space="preserve">الظاهر فی وضع المکیال علیه عند المخاطب و فی عرفه و إن لم یکن کذلک فی عرف الشارع.</w:t>
      </w:r>
    </w:p>
    <w:p>
      <w:pPr>
        <w:pStyle w:val="BookText"/>
      </w:pPr>
      <w:r>
        <w:rPr>
          <w:rFonts w:ascii="Amiri" w:hAnsi="Amiri" w:eastAsia="Amiri" w:cs="Amiri"/>
          <w:lang w:bidi="ar-SA"/>
          <w:color w:val="111111"/>
          <w:sz w:val="28"/>
          <w:szCs w:val="28"/>
          <w:rtl/>
        </w:rPr>
        <w:t xml:space="preserve">اللهمّ إلّا أن یقال:إنّه لم یعلم أنّ </w:t>
      </w:r>
      <w:r>
        <w:rPr>
          <w:rStyle w:val="FootnoteReference"/>
        </w:rPr>
        <w:footnoteReference w:id="1749"/>
      </w:r>
      <w:r>
        <w:rPr>
          <w:rFonts w:ascii="IRNazanin" w:hAnsi="IRNazanin" w:eastAsia="IRNazanin" w:cs="IRNazanin"/>
          <w:lang w:bidi="fa-IR"/>
          <w:color w:val="111111"/>
          <w:sz w:val="28"/>
          <w:szCs w:val="28"/>
          <w:rtl/>
        </w:rPr>
        <w:t xml:space="preserve">ما تعارف کیله أو وزنه فی عرف الأئمة و أصحابهم،کان غیر مقدّرٍ فی زمان الشارع حتّی یتحقّق المنافاة.و الأصل فی ذلک:أنّ مفهوم المکیل و الموزون فی الأخبار لا یراد بهما«کلّ ما فرض صیرورته کذلک»حتّی یعمّ ما علم کونه غیر مقدّر فی زمن الشارع،بل المراد بهما المصداق الفعلی المعنون بهما فی زمان المتکلّم،و هذه الأفراد لا یعلم عدم کونها مکیلةً و لا موزونةً فی زمن النبیّ صلّی اللّٰه علیه و آله و سلم.</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یرد علی ذلک مع کونه مخالفاً للظاهر المستفاد من عنوان «ما یکال و یوزن»:أنّه لا دلیل حینئذٍ علی اعتبار الکیل فیما شکّ فی کونه مقدّراً فی ذلک الزمان،مع تعارف التقدیر فیه فی الزمان الآخر؛ إذ لا یکفی فی الحکم حینئذٍ دخوله فی مفهوم المکیل و الموزون،بل لا بدّ من کونه أحد المصادیق الفعلیّة فی زمان صدور الأخبار،و لا دلیل أیضاً علی إلحاق کلّ بلد لحکم </w:t>
      </w:r>
      <w:r>
        <w:rPr>
          <w:rStyle w:val="FootnoteReference"/>
        </w:rPr>
        <w:footnoteReference w:id="1750"/>
      </w:r>
      <w:r>
        <w:rPr>
          <w:rFonts w:ascii="IRNazanin" w:hAnsi="IRNazanin" w:eastAsia="IRNazanin" w:cs="IRNazanin"/>
          <w:lang w:bidi="fa-IR"/>
          <w:color w:val="111111"/>
          <w:sz w:val="28"/>
          <w:szCs w:val="28"/>
          <w:rtl/>
        </w:rPr>
        <w:t xml:space="preserve">نفسه مع اختلاف البلدان.</w:t>
      </w:r>
    </w:p>
    <w:p>
      <w:pPr>
        <w:pStyle w:val="BookText"/>
      </w:pPr>
      <w:r>
        <w:rPr>
          <w:rFonts w:ascii="IRNazanin" w:hAnsi="IRNazanin" w:eastAsia="IRNazanin" w:cs="IRNazanin"/>
          <w:lang w:bidi="fa-IR"/>
          <w:color w:val="111111"/>
          <w:sz w:val="28"/>
          <w:szCs w:val="28"/>
          <w:rtl/>
        </w:rPr>
        <w:t xml:space="preserve">و الحاصل:أنّ الاستدلال </w:t>
      </w:r>
      <w:r>
        <w:rPr>
          <w:rStyle w:val="FootnoteReference"/>
        </w:rPr>
        <w:footnoteReference w:id="1751"/>
      </w:r>
      <w:r>
        <w:rPr>
          <w:rFonts w:ascii="IRNazanin" w:hAnsi="IRNazanin" w:eastAsia="IRNazanin" w:cs="IRNazanin"/>
          <w:lang w:bidi="fa-IR"/>
          <w:color w:val="111111"/>
          <w:sz w:val="28"/>
          <w:szCs w:val="28"/>
          <w:rtl/>
        </w:rPr>
        <w:t xml:space="preserve">بأخبار المسألة المعنونة بما یکال أو یوزن علی ما هو المشهور من کون العبرة فی التقدیر بزمان النبیّ صلّی اللّٰه علیه و آله و سلم،ثمّ بما اتّفق علیه البلاد،ثمّ بما تعارف فی کلّ بلدة بالنسبة إلی نفسه فی غایة الإشکال.فالأولی تنزیل الأخبار علی ما تعارف تقدیره عند المتبایعین و إثبات ما ینافی ذلک من الأحکام المشهورة بالإجماع المنقول المعتضد بالشهرة المحقّقة.</w:t>
      </w:r>
    </w:p>
    <w:p>
      <w:pPr>
        <w:pStyle w:val="BookText"/>
      </w:pPr>
      <w:r>
        <w:rPr>
          <w:rFonts w:ascii="IRNazanin" w:hAnsi="IRNazanin" w:eastAsia="IRNazanin" w:cs="IRNazanin"/>
          <w:lang w:bidi="fa-IR"/>
          <w:color w:val="111111"/>
          <w:sz w:val="28"/>
          <w:szCs w:val="28"/>
          <w:rtl/>
        </w:rPr>
        <w:t xml:space="preserve">و کذا الإشکال لو علم التقدیر فی زمن الشارع و لم یعلم کونه بالکیل أو بالوزن.</w:t>
      </w:r>
    </w:p>
    <w:p>
      <w:pPr>
        <w:pStyle w:val="BookText"/>
      </w:pPr>
      <w:r>
        <w:rPr>
          <w:rFonts w:ascii="IRNazanin" w:hAnsi="IRNazanin" w:eastAsia="IRNazanin" w:cs="IRNazanin"/>
          <w:lang w:bidi="fa-IR"/>
          <w:color w:val="111111"/>
          <w:sz w:val="28"/>
          <w:szCs w:val="28"/>
          <w:rtl/>
        </w:rPr>
        <w:t xml:space="preserve">و ممّا ذکرنا ظهر ضعف ما فی کلام جماعة من التمسّک لکون الاعتبار فی التقدیر بعادة الشرع بوجوب حمل اللفظ علی المتعارف عند الشارع،و لکون المرجع فیما لم یعلم عادة الشرع هی العادة المتعارفة فی البلدان بأنّ الحقیقة العرفیّة هی المرجع عند انتفاء الشرعیّة،و لکون المرجع عادة کلّ بلد إذا اختلف البلدان،بأنّ العرف الخاصّ قائم مقام</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عند انتفائه </w:t>
      </w:r>
      <w:r>
        <w:rPr>
          <w:rStyle w:val="FootnoteReference"/>
        </w:rPr>
        <w:footnoteReference w:id="175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ذکر المحقّق الثانی أیضاً:أنّ الحقیقة العرفیّة یعتبر فیها ما کان یعتبر فی حمل إطلاق لفظ الشارع علیها،فلو تغیّرت فی عصر بعد استقرارها فیما قبله فالمعتبر هو العرف السابق،و لا أثر للعرف </w:t>
      </w:r>
      <w:r>
        <w:rPr>
          <w:rStyle w:val="FootnoteReference"/>
        </w:rPr>
        <w:footnoteReference w:id="1753"/>
      </w:r>
      <w:r>
        <w:rPr>
          <w:rFonts w:ascii="IRNazanin" w:hAnsi="IRNazanin" w:eastAsia="IRNazanin" w:cs="IRNazanin"/>
          <w:lang w:bidi="fa-IR"/>
          <w:color w:val="111111"/>
          <w:sz w:val="28"/>
          <w:szCs w:val="28"/>
          <w:rtl/>
        </w:rPr>
        <w:t xml:space="preserve">الطارئ؛للاستصحاب،و لظاهر قوله صلّی اللّٰه علیه و آله و سلم:«حکمی علی الواحد حکمی علی الجماعة» </w:t>
      </w:r>
      <w:r>
        <w:rPr>
          <w:rStyle w:val="FootnoteReference"/>
        </w:rPr>
        <w:footnoteReference w:id="1754"/>
      </w:r>
      <w:r>
        <w:rPr>
          <w:rFonts w:ascii="IRNazanin" w:hAnsi="IRNazanin" w:eastAsia="IRNazanin" w:cs="IRNazanin"/>
          <w:lang w:bidi="fa-IR"/>
          <w:color w:val="111111"/>
          <w:sz w:val="28"/>
          <w:szCs w:val="28"/>
          <w:rtl/>
        </w:rPr>
        <w:t xml:space="preserve">.و أمّا فی الأقاریر و الایمان و نحوها، فالظاهر الحوالة علی عرف ذلک العصر الواقع فیه شیءٌ منها </w:t>
      </w:r>
      <w:r>
        <w:rPr>
          <w:rStyle w:val="FootnoteReference"/>
        </w:rPr>
        <w:footnoteReference w:id="1755"/>
      </w:r>
      <w:r>
        <w:rPr>
          <w:rFonts w:ascii="IRNazanin" w:hAnsi="IRNazanin" w:eastAsia="IRNazanin" w:cs="IRNazanin"/>
          <w:lang w:bidi="fa-IR"/>
          <w:color w:val="111111"/>
          <w:sz w:val="28"/>
          <w:szCs w:val="28"/>
          <w:rtl/>
        </w:rPr>
        <w:t xml:space="preserve">حملاً له علی ما یفهمه الموقع </w:t>
      </w:r>
      <w:r>
        <w:rPr>
          <w:rStyle w:val="FootnoteReference"/>
        </w:rPr>
        <w:footnoteReference w:id="175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أقول:لیس الکلام فی مفهوم المکیل و الموزون،بل الکلام فیما هو المعتبر فی تحقّق هذا المفهوم؛فإنّ المراد بقولهم علیهم السلام </w:t>
      </w:r>
      <w:r>
        <w:rPr>
          <w:rStyle w:val="FootnoteReference"/>
        </w:rPr>
        <w:footnoteReference w:id="1757"/>
      </w:r>
      <w:r>
        <w:rPr>
          <w:rFonts w:ascii="IRNazanin" w:hAnsi="IRNazanin" w:eastAsia="IRNazanin" w:cs="IRNazanin"/>
          <w:lang w:bidi="fa-IR"/>
          <w:color w:val="111111"/>
          <w:sz w:val="28"/>
          <w:szCs w:val="28"/>
          <w:rtl/>
        </w:rPr>
        <w:t xml:space="preserve">:«ما کان مکیلاً فلا یباع جزافاً» </w:t>
      </w:r>
      <w:r>
        <w:rPr>
          <w:rStyle w:val="FootnoteReference"/>
        </w:rPr>
        <w:footnoteReference w:id="1758"/>
      </w:r>
      <w:r>
        <w:rPr>
          <w:rFonts w:ascii="Amiri" w:hAnsi="Amiri" w:eastAsia="Amiri" w:cs="Amiri"/>
          <w:lang w:bidi="ar-SA"/>
          <w:color w:val="111111"/>
          <w:sz w:val="28"/>
          <w:szCs w:val="28"/>
          <w:rtl/>
        </w:rPr>
        <w:t xml:space="preserve">،أو«لا یُباع بعضه ببعض إلّا متساویاً» </w:t>
      </w:r>
      <w:r>
        <w:rPr>
          <w:rStyle w:val="FootnoteReference"/>
        </w:rPr>
        <w:footnoteReference w:id="1759"/>
      </w:r>
      <w:r>
        <w:rPr>
          <w:rFonts w:ascii="Amiri" w:hAnsi="Amiri" w:eastAsia="Amiri" w:cs="Amiri"/>
          <w:lang w:bidi="ar-SA"/>
          <w:color w:val="111111"/>
          <w:sz w:val="28"/>
          <w:szCs w:val="28"/>
          <w:rtl/>
        </w:rPr>
        <w:t xml:space="preserve">،إمّا أن</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ما هو المکیل فی عرف المتکلّم،أو یراد به ما هو المکیل فی العرف العامّ،أو ما هو المکیل فی عرف کلّ مکلّف،و علی أیّ تقدیرٍ فلا یفید الکلام لحکم غیر ما هو المراد،فلا بدّ لبیان حکم غیر المراد من دلیلٍ خارجی.و إرادة جمیع هذه الثلاثة خصوصاً مع ترتیبٍ خاصٍّ فی ثبوت الحکم بها،و خصوصاً مع کون مرتبة کلّ لاحقٍ مع عدم العلم بسابقه لا مع عدمه غیر صحیحةٍ،کما لا یخفی.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لعلّ المقدّس الأردبیلی أراد ما ذکرنا،حیث تأمّل فیما ذکروه من الترتیب بین عرف الشارع،و العرف العامّ،و العرف الخاصّ؛معلّلاً باحتمال إرادة الکیل و الوزن المتعارف عرفاً عامّاً،أو فی أکثر البلدان، أو فی الجملة مطلقاً،أو بالنسبة إلی کلّ بلدٍ بلد کما قیل فی المأکول و الملبوس فی السجدة من الأمر الوارد بهما لو سلّم </w:t>
      </w:r>
      <w:r>
        <w:rPr>
          <w:rStyle w:val="FootnoteReference"/>
        </w:rPr>
        <w:footnoteReference w:id="1760"/>
      </w:r>
      <w:r>
        <w:rPr>
          <w:rFonts w:ascii="IRNazanin" w:hAnsi="IRNazanin" w:eastAsia="IRNazanin" w:cs="IRNazanin"/>
          <w:lang w:bidi="fa-IR"/>
          <w:color w:val="111111"/>
          <w:sz w:val="28"/>
          <w:szCs w:val="28"/>
          <w:rtl/>
        </w:rPr>
        <w:t xml:space="preserve">،و الظاهر هو الأخیر </w:t>
      </w:r>
      <w:r>
        <w:rPr>
          <w:rStyle w:val="FootnoteReference"/>
        </w:rPr>
        <w:footnoteReference w:id="17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ردّه فی الحدائق:بأنّ الواجب فی معانی الألفاظ الواردة فی الأخبار حملها علی عرفهم صلوات اللّٰه علیهم،فکلّ ما کان مکیلاً أو موزوناً فی عرفهم وجب إجراء الحکم علیه فی الأزمنة المتأخّرة، و ما لم یعلم فهو بناءً علی قواعدهم یرجع إلی العرف العامّ و إلی آخر ما ذکروه من التفصیل.ثمّ قال:و یمکن أن یستدلّ للعرف العامّ بما تقدّم فی صحیحة الحلبی من قوله علیه السلام:«ما کان من طعامٍ سمّیت فیه کیلاً»،فإنّ الظاهر أنّ المرجع فی کونه مکیلاً إلی تسمیته عرفاً</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مکیلاً.و یمکن تقییده بما لم یعلم حاله فی زمانهم علیهم السلام </w:t>
      </w:r>
      <w:r>
        <w:rPr>
          <w:rStyle w:val="FootnoteReference"/>
        </w:rPr>
        <w:footnoteReference w:id="17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أقول:قد عرفت أنّ الکلام هنا لیس فی معنی اللفظ؛لأنّ مفهوم الکیل معلوم لغةً،و إنّما الکلام فی تعیین الاصطلاح الذی یتعارف فیه هذا المفهوم.</w:t>
      </w:r>
    </w:p>
    <w:p>
      <w:pPr>
        <w:pStyle w:val="BookText"/>
      </w:pPr>
      <w:r>
        <w:rPr>
          <w:rFonts w:ascii="IRNazanin" w:hAnsi="IRNazanin" w:eastAsia="IRNazanin" w:cs="IRNazanin"/>
          <w:lang w:bidi="fa-IR"/>
          <w:color w:val="111111"/>
          <w:sz w:val="28"/>
          <w:szCs w:val="28"/>
          <w:rtl/>
        </w:rPr>
        <w:t xml:space="preserve">ثمّ لو فرض کون الکلام فی معنی اللفظ،کان اللازم حمله علی العرف العامّ إذا لم یکن عرفٌ شرعی،لا إذا جهل عرفه الشرعیّ؛فإنّه لم یقل أحد بحمل اللفظ حینئذٍ علی المعنی العرفی،بل لا بدّ من الاجتهاد فی تعیین ذلک المعنی الشرعیّ،و مع العجز یحکم بإجمال اللفظ، کما هو واضح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مع أنّ الأخبار إنّما وصلت إلینا من الأئمة صلوات اللّٰه و سلامه علیهم،فاللازم اعتبار عرفهم لا عرف الشارع.</w:t>
      </w:r>
    </w:p>
    <w:p>
      <w:pPr>
        <w:pStyle w:val="BookText"/>
      </w:pPr>
      <w:r>
        <w:rPr>
          <w:rFonts w:ascii="IRNazanin" w:hAnsi="IRNazanin" w:eastAsia="IRNazanin" w:cs="IRNazanin"/>
          <w:lang w:bidi="fa-IR"/>
          <w:color w:val="111111"/>
          <w:sz w:val="28"/>
          <w:szCs w:val="28"/>
          <w:rtl/>
        </w:rPr>
        <w:t xml:space="preserve">و أمّا ما استشهد به للرجوع إلی العرف العامّ من قوله علیه السلام:</w:t>
      </w:r>
    </w:p>
    <w:p>
      <w:pPr>
        <w:pStyle w:val="BookText"/>
      </w:pPr>
      <w:r>
        <w:rPr>
          <w:rFonts w:ascii="Amiri" w:hAnsi="Amiri" w:eastAsia="Amiri" w:cs="Amiri"/>
          <w:lang w:bidi="ar-SA"/>
          <w:color w:val="111111"/>
          <w:sz w:val="28"/>
          <w:szCs w:val="28"/>
          <w:rtl/>
        </w:rPr>
        <w:t xml:space="preserve">«ما سمّیت فیه کیلاً..إلخ» </w:t>
      </w:r>
      <w:r>
        <w:rPr>
          <w:rStyle w:val="FootnoteReference"/>
        </w:rPr>
        <w:footnoteReference w:id="1764"/>
      </w:r>
      <w:r>
        <w:rPr>
          <w:rFonts w:ascii="IRNazanin" w:hAnsi="IRNazanin" w:eastAsia="IRNazanin" w:cs="IRNazanin"/>
          <w:lang w:bidi="fa-IR"/>
          <w:color w:val="111111"/>
          <w:sz w:val="28"/>
          <w:szCs w:val="28"/>
          <w:rtl/>
        </w:rPr>
        <w:t xml:space="preserve">فیحتمل أن یراد عرف المخاطب،فیکون المعیار العرف الخاصّ بالمتبایعین.</w:t>
      </w:r>
    </w:p>
    <w:p>
      <w:pPr>
        <w:pStyle w:val="BookText"/>
      </w:pPr>
      <w:r>
        <w:rPr>
          <w:rFonts w:ascii="IRNazanin" w:hAnsi="IRNazanin" w:eastAsia="IRNazanin" w:cs="IRNazanin"/>
          <w:lang w:bidi="fa-IR"/>
          <w:color w:val="111111"/>
          <w:sz w:val="28"/>
          <w:szCs w:val="28"/>
          <w:rtl/>
        </w:rPr>
        <w:t xml:space="preserve">نعم،مع العلم بالعرف العامّ لا عبرة بالعرف الخاصّ؛لمقطوعة ابن هاشم الآتیة </w:t>
      </w:r>
      <w:r>
        <w:rPr>
          <w:rStyle w:val="FootnoteReference"/>
        </w:rPr>
        <w:footnoteReference w:id="1765"/>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أبعد شیءٍ فی المقام:ما ذکره فی جامع المقاصد،من أنّ الحقیقة العرفیّة یعتبر فیها ما کان یعتبر فی حمل إطلاق لفظ الشارع علیها </w:t>
      </w:r>
      <w:r>
        <w:rPr>
          <w:rStyle w:val="FootnoteReference"/>
        </w:rPr>
        <w:footnoteReference w:id="1766"/>
      </w:r>
      <w:r>
        <w:rPr>
          <w:rFonts w:ascii="IRNazanin" w:hAnsi="IRNazanin" w:eastAsia="IRNazanin" w:cs="IRNazanin"/>
          <w:lang w:bidi="fa-IR"/>
          <w:color w:val="111111"/>
          <w:sz w:val="28"/>
          <w:szCs w:val="28"/>
          <w:rtl/>
        </w:rPr>
        <w:t xml:space="preserve">، فلو تغیّرت فی عصرٍ بعد استقرارها فیما قبله..إلخ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بالجملة،فإتمام المسائل الثلاث بالأخبار مشکل،لکن الظاهر أنّ کلّها متّفق علیها.</w:t>
      </w:r>
    </w:p>
    <w:p>
      <w:pPr>
        <w:pStyle w:val="BookText"/>
      </w:pPr>
      <w:r>
        <w:rPr>
          <w:rFonts w:ascii="IRNazanin" w:hAnsi="IRNazanin" w:eastAsia="IRNazanin" w:cs="IRNazanin"/>
          <w:lang w:bidi="fa-IR"/>
          <w:color w:val="111111"/>
          <w:sz w:val="28"/>
          <w:szCs w:val="28"/>
          <w:rtl/>
        </w:rPr>
        <w:t xml:space="preserve">نعم،اختلفوا فیما إذا کان البلاد مختلفة فی أنّ لکلّ بلد حکم نفسه من حیث الربا،أو أنّه یغلّب جانب التحریم،کما علیه جماعة من أصحابنا </w:t>
      </w:r>
      <w:r>
        <w:rPr>
          <w:rStyle w:val="FootnoteReference"/>
        </w:rPr>
        <w:footnoteReference w:id="1768"/>
      </w:r>
      <w:r>
        <w:rPr>
          <w:rFonts w:ascii="IRNazanin" w:hAnsi="IRNazanin" w:eastAsia="IRNazanin" w:cs="IRNazanin"/>
          <w:lang w:bidi="fa-IR"/>
          <w:color w:val="111111"/>
          <w:sz w:val="28"/>
          <w:szCs w:val="28"/>
          <w:rtl/>
        </w:rPr>
        <w:t xml:space="preserve">.لکن الظاهر اختصاص هذا الحکم بالربا،لا فی جواز البیع جزافاً فی بلد لا یتعارف فیه التقدیر.</w:t>
      </w:r>
    </w:p>
    <w:p>
      <w:pPr>
        <w:pStyle w:val="BookText"/>
      </w:pPr>
      <w:r>
        <w:rPr>
          <w:rFonts w:ascii="IRNazanin" w:hAnsi="IRNazanin" w:eastAsia="IRNazanin" w:cs="IRNazanin"/>
          <w:lang w:bidi="fa-IR"/>
          <w:color w:val="111111"/>
          <w:sz w:val="28"/>
          <w:szCs w:val="28"/>
          <w:rtl/>
        </w:rPr>
        <w:t xml:space="preserve">ثمّ إنّه یشکل الأمر فیما لو </w:t>
      </w:r>
      <w:r>
        <w:rPr>
          <w:rStyle w:val="FootnoteReference"/>
        </w:rPr>
        <w:footnoteReference w:id="1769"/>
      </w:r>
      <w:r>
        <w:rPr>
          <w:rFonts w:ascii="IRNazanin" w:hAnsi="IRNazanin" w:eastAsia="IRNazanin" w:cs="IRNazanin"/>
          <w:lang w:bidi="fa-IR"/>
          <w:color w:val="111111"/>
          <w:sz w:val="28"/>
          <w:szCs w:val="28"/>
          <w:rtl/>
        </w:rPr>
        <w:t xml:space="preserve">علم کونه مقدّراً فی زمان الشارع لکن لم یعلم أنّ تقدیره بالکیل أو بالوزن،ففیه وجوه:أقواها و أحوطها اعتبار ما هو أبعد من الغرر.</w:t>
      </w:r>
    </w:p>
    <w:p>
      <w:pPr>
        <w:pStyle w:val="BookText"/>
      </w:pPr>
      <w:r>
        <w:rPr>
          <w:rFonts w:ascii="IRNazanin" w:hAnsi="IRNazanin" w:eastAsia="IRNazanin" w:cs="IRNazanin"/>
          <w:lang w:bidi="fa-IR"/>
          <w:color w:val="111111"/>
          <w:sz w:val="28"/>
          <w:szCs w:val="28"/>
          <w:rtl/>
        </w:rPr>
        <w:t xml:space="preserve">و أشکل من ذلک:ما لو علم کون الشیء غیر مکیل فی زمن الشارع أو فی العرف العامّ،مع لزوم الغرر فیه عند قومٍ خاصٍّ،و لا یمکن جعل ترخیص الشارع لبیعه جزافاً تخصیصاً لأدلّة نفی الغرر؛ لاحتمال کون ذلک الشیء من المبتذلات فی زمن الشارع أو فی العرف</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یتحرّز عن الغرر بمشاهدته و قد بلغ عند قوم فی العزّة إلی حیث لا یتسامح فیها.فالأقوی وجوب الاعتبار فی الفرض المذکور بما یندفع فیه الغرر من الکیل أو الوزن أو العدّ.</w:t>
      </w:r>
    </w:p>
    <w:p>
      <w:pPr>
        <w:pStyle w:val="BookText"/>
      </w:pPr>
      <w:r>
        <w:rPr>
          <w:rFonts w:ascii="IRNazanin" w:hAnsi="IRNazanin" w:eastAsia="IRNazanin" w:cs="IRNazanin"/>
          <w:lang w:bidi="fa-IR"/>
          <w:color w:val="111111"/>
          <w:sz w:val="28"/>
          <w:szCs w:val="28"/>
          <w:rtl/>
        </w:rPr>
        <w:t xml:space="preserve">و بالجملة،فالأولی جعل المدار فیما لا إجماع فیه علی وجوب التقدیر بما </w:t>
      </w:r>
      <w:r>
        <w:rPr>
          <w:rStyle w:val="FootnoteReference"/>
        </w:rPr>
        <w:footnoteReference w:id="1770"/>
      </w:r>
      <w:r>
        <w:rPr>
          <w:rFonts w:ascii="IRNazanin" w:hAnsi="IRNazanin" w:eastAsia="IRNazanin" w:cs="IRNazanin"/>
          <w:lang w:bidi="fa-IR"/>
          <w:color w:val="111111"/>
          <w:sz w:val="28"/>
          <w:szCs w:val="28"/>
          <w:rtl/>
        </w:rPr>
        <w:t xml:space="preserve">بنی الأمر فی مقام استعلام مالیّة الشیء علی ذلک التقدیر، فإذا سئل عن مقدار ما عنده من الجوز،فیجاب بذکر العدد،بخلاف ما إذا سئل عن مقدار </w:t>
      </w:r>
      <w:r>
        <w:rPr>
          <w:rStyle w:val="FootnoteReference"/>
        </w:rPr>
        <w:footnoteReference w:id="1771"/>
      </w:r>
      <w:r>
        <w:rPr>
          <w:rFonts w:ascii="IRNazanin" w:hAnsi="IRNazanin" w:eastAsia="IRNazanin" w:cs="IRNazanin"/>
          <w:lang w:bidi="fa-IR"/>
          <w:color w:val="111111"/>
          <w:sz w:val="28"/>
          <w:szCs w:val="28"/>
          <w:rtl/>
        </w:rPr>
        <w:t xml:space="preserve">ما عنده من الرمّان و البطّیخ،فإنّه لا یجاب إلّا بالوزن،و إذا سئل عن مقدار الحنطة و الشعیر فربما یجاب بالکیل و ربما یجاب بالوزن،لکن الجواب بالکیل مختصّ بمن یعرف مقدار الکیل من حیث الوزن؛إذ الکیل بنفسه غیر منضبط،بخلاف الوزن،و قد تقدّم أنّ الوزن أصل فی </w:t>
      </w:r>
      <w:r>
        <w:rPr>
          <w:rStyle w:val="FootnoteReference"/>
        </w:rPr>
        <w:footnoteReference w:id="1772"/>
      </w:r>
      <w:r>
        <w:rPr>
          <w:rFonts w:ascii="IRNazanin" w:hAnsi="IRNazanin" w:eastAsia="IRNazanin" w:cs="IRNazanin"/>
          <w:lang w:bidi="fa-IR"/>
          <w:color w:val="111111"/>
          <w:sz w:val="28"/>
          <w:szCs w:val="28"/>
          <w:rtl/>
        </w:rPr>
        <w:t xml:space="preserve">الکیل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ما ذکرنا هو المراد بالمکیل </w:t>
      </w:r>
      <w:r>
        <w:rPr>
          <w:rStyle w:val="FootnoteReference"/>
        </w:rPr>
        <w:footnoteReference w:id="1774"/>
      </w:r>
      <w:r>
        <w:rPr>
          <w:rFonts w:ascii="IRNazanin" w:hAnsi="IRNazanin" w:eastAsia="IRNazanin" w:cs="IRNazanin"/>
          <w:lang w:bidi="fa-IR"/>
          <w:color w:val="111111"/>
          <w:sz w:val="28"/>
          <w:szCs w:val="28"/>
          <w:rtl/>
        </w:rPr>
        <w:t xml:space="preserve">و الموزون اللذین حمل علیهما الحکم بوجوب الاعتبار بالکیل و الوزن عند البیع،و بدخول الربا فیهما.</w:t>
      </w:r>
    </w:p>
    <w:p>
      <w:pPr>
        <w:pStyle w:val="BookText"/>
      </w:pPr>
      <w:r>
        <w:rPr>
          <w:rFonts w:ascii="IRNazanin" w:hAnsi="IRNazanin" w:eastAsia="IRNazanin" w:cs="IRNazanin"/>
          <w:lang w:bidi="fa-IR"/>
          <w:color w:val="111111"/>
          <w:sz w:val="28"/>
          <w:szCs w:val="28"/>
          <w:rtl/>
        </w:rPr>
        <w:t xml:space="preserve">و أمّا ما لا یعتبر مقدار مالیّته بالتقدیر بأحد الثلاثة کالماء و التبن و الخضریات </w:t>
      </w:r>
      <w:r>
        <w:rPr>
          <w:rStyle w:val="FootnoteReference"/>
        </w:rPr>
        <w:footnoteReference w:id="1775"/>
      </w:r>
      <w:r>
        <w:rPr>
          <w:rFonts w:ascii="IRNazanin" w:hAnsi="IRNazanin" w:eastAsia="IRNazanin" w:cs="IRNazanin"/>
          <w:lang w:bidi="fa-IR"/>
          <w:color w:val="111111"/>
          <w:sz w:val="28"/>
          <w:szCs w:val="28"/>
          <w:rtl/>
        </w:rPr>
        <w:t xml:space="preserve">فالظاهر کفایة المشاهدة فیها من غیر تقدیر.</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اختلف البلاد فی التقدیر و العدم،فلا إشکال فی التقدیر فی بلد التقدیر.و أمّا بلد عدم التقدیر،فإن کان ذلک لابتذال الشیء عندهم بحیث یتسامح فی مقدار التفاوت المحتمل مع المشاهدة کفت المشاهدة،و إن کان لعدم مبالاتهم بالغرر و إقدامهم علیه خرصاً </w:t>
      </w:r>
      <w:r>
        <w:rPr>
          <w:rStyle w:val="FootnoteReference"/>
        </w:rPr>
        <w:footnoteReference w:id="1776"/>
      </w:r>
      <w:r>
        <w:rPr>
          <w:rFonts w:ascii="IRNazanin" w:hAnsi="IRNazanin" w:eastAsia="IRNazanin" w:cs="IRNazanin"/>
          <w:lang w:bidi="fa-IR"/>
          <w:color w:val="111111"/>
          <w:sz w:val="28"/>
          <w:szCs w:val="28"/>
          <w:rtl/>
        </w:rPr>
        <w:t xml:space="preserve">مع الاعتداد بالتفاوت المحتمل بالمشاهدة فلا اعتبار بعادتهم،بل یجب مخالفتها،فإنّ النواهی الواردة فی الشرع عن بیوع الغرر و المجازفات کبیع الملاقیح و المضامین </w:t>
      </w:r>
      <w:r>
        <w:rPr>
          <w:rStyle w:val="FootnoteReference"/>
        </w:rPr>
        <w:footnoteReference w:id="1777"/>
      </w:r>
      <w:r>
        <w:rPr>
          <w:rFonts w:ascii="Amiri" w:hAnsi="Amiri" w:eastAsia="Amiri" w:cs="Amiri"/>
          <w:lang w:bidi="ar-SA"/>
          <w:color w:val="111111"/>
          <w:sz w:val="28"/>
          <w:szCs w:val="28"/>
          <w:rtl/>
        </w:rPr>
        <w:t xml:space="preserve">و الملامسة و المنابذة و الحصاة </w:t>
      </w:r>
      <w:r>
        <w:rPr>
          <w:rStyle w:val="FootnoteReference"/>
        </w:rPr>
        <w:footnoteReference w:id="1778"/>
      </w:r>
      <w:r>
        <w:rPr>
          <w:rFonts w:ascii="IRNazanin" w:hAnsi="IRNazanin" w:eastAsia="IRNazanin" w:cs="IRNazanin"/>
          <w:lang w:bidi="fa-IR"/>
          <w:color w:val="111111"/>
          <w:sz w:val="28"/>
          <w:szCs w:val="28"/>
          <w:rtl/>
        </w:rPr>
        <w:t xml:space="preserve">،علی بعض تفاسیرها </w:t>
      </w:r>
      <w:r>
        <w:rPr>
          <w:rStyle w:val="FootnoteReference"/>
        </w:rPr>
        <w:footnoteReference w:id="1779"/>
      </w:r>
      <w:r>
        <w:rPr>
          <w:rFonts w:ascii="IRNazanin" w:hAnsi="IRNazanin" w:eastAsia="IRNazanin" w:cs="IRNazanin"/>
          <w:lang w:bidi="fa-IR"/>
          <w:color w:val="111111"/>
          <w:sz w:val="28"/>
          <w:szCs w:val="28"/>
          <w:rtl/>
        </w:rPr>
        <w:t xml:space="preserve">،و ثمر الشجر قبل الوجود </w:t>
      </w:r>
      <w:r>
        <w:rPr>
          <w:rStyle w:val="FootnoteReference"/>
        </w:rPr>
        <w:footnoteReference w:id="1780"/>
      </w:r>
      <w:r>
        <w:rPr>
          <w:rFonts w:ascii="IRNazanin" w:hAnsi="IRNazanin" w:eastAsia="IRNazanin" w:cs="IRNazanin"/>
          <w:lang w:bidi="fa-IR"/>
          <w:color w:val="111111"/>
          <w:sz w:val="28"/>
          <w:szCs w:val="28"/>
          <w:rtl/>
        </w:rPr>
        <w:t xml:space="preserve">،و غیر ذلک لم یرد إلّا ردّاً علی من تعارف عندهم الإقدام علی الغرر و البناء علی المجازفات،الموجب لفتح أبواب المنازعات.</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بعض ما ذکرنا أشار ما عن </w:t>
      </w:r>
      <w:r>
        <w:rPr>
          <w:rStyle w:val="FootnoteReference"/>
        </w:rPr>
        <w:footnoteReference w:id="1781"/>
      </w:r>
      <w:r>
        <w:rPr>
          <w:rFonts w:ascii="IRNazanin" w:hAnsi="IRNazanin" w:eastAsia="IRNazanin" w:cs="IRNazanin"/>
          <w:lang w:bidi="fa-IR"/>
          <w:color w:val="111111"/>
          <w:sz w:val="28"/>
          <w:szCs w:val="28"/>
          <w:rtl/>
        </w:rPr>
        <w:t xml:space="preserve">علی بن إبراهیم عن أبیه </w:t>
      </w:r>
      <w:r>
        <w:rPr>
          <w:rStyle w:val="FootnoteReference"/>
        </w:rPr>
        <w:footnoteReference w:id="1782"/>
      </w:r>
      <w:r>
        <w:rPr>
          <w:rFonts w:ascii="IRNazanin" w:hAnsi="IRNazanin" w:eastAsia="IRNazanin" w:cs="IRNazanin"/>
          <w:lang w:bidi="fa-IR"/>
          <w:color w:val="111111"/>
          <w:sz w:val="28"/>
          <w:szCs w:val="28"/>
          <w:rtl/>
        </w:rPr>
        <w:t xml:space="preserve">عن رجاله </w:t>
      </w:r>
      <w:r>
        <w:rPr>
          <w:rStyle w:val="FootnoteReference"/>
        </w:rPr>
        <w:footnoteReference w:id="1783"/>
      </w:r>
      <w:r>
        <w:rPr>
          <w:rFonts w:ascii="IRNazanin" w:hAnsi="IRNazanin" w:eastAsia="IRNazanin" w:cs="IRNazanin"/>
          <w:lang w:bidi="fa-IR"/>
          <w:color w:val="111111"/>
          <w:sz w:val="28"/>
          <w:szCs w:val="28"/>
          <w:rtl/>
        </w:rPr>
        <w:t xml:space="preserve">ذکره فی حدیث طویل،قال:«و لا ینظر فیما یکال أو یوزن إلّا إلی العامّة،و لا یؤخذ فیه بالخاصّة </w:t>
      </w:r>
      <w:r>
        <w:rPr>
          <w:rStyle w:val="FootnoteReference"/>
        </w:rPr>
        <w:footnoteReference w:id="1784"/>
      </w:r>
      <w:r>
        <w:rPr>
          <w:rFonts w:ascii="IRNazanin" w:hAnsi="IRNazanin" w:eastAsia="IRNazanin" w:cs="IRNazanin"/>
          <w:lang w:bidi="fa-IR"/>
          <w:color w:val="111111"/>
          <w:sz w:val="28"/>
          <w:szCs w:val="28"/>
          <w:rtl/>
        </w:rPr>
        <w:t xml:space="preserve">فإن کان قوم یکیلون اللحم و یکیلون الجوز فلا یعتبر بهم؛لأنّ أصل اللحم أن یوزن و أصل الجوز أن یعدّ»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ذکرنا،فالعبرة ببلدِ </w:t>
      </w:r>
      <w:r>
        <w:rPr>
          <w:rStyle w:val="FootnoteReference"/>
        </w:rPr>
        <w:footnoteReference w:id="1786"/>
      </w:r>
      <w:r>
        <w:rPr>
          <w:rFonts w:ascii="IRNazanin" w:hAnsi="IRNazanin" w:eastAsia="IRNazanin" w:cs="IRNazanin"/>
          <w:lang w:bidi="fa-IR"/>
          <w:color w:val="111111"/>
          <w:sz w:val="28"/>
          <w:szCs w:val="28"/>
          <w:rtl/>
        </w:rPr>
        <w:t xml:space="preserve">وجود المبیع،لا ببلد العقد و لا ببلد المتعاقدین.</w:t>
      </w:r>
    </w:p>
    <w:p>
      <w:pPr>
        <w:pStyle w:val="BookText"/>
      </w:pPr>
      <w:r>
        <w:rPr>
          <w:rFonts w:ascii="IRNazanin" w:hAnsi="IRNazanin" w:eastAsia="IRNazanin" w:cs="IRNazanin"/>
          <w:lang w:bidi="fa-IR"/>
          <w:color w:val="111111"/>
          <w:sz w:val="28"/>
          <w:szCs w:val="28"/>
          <w:rtl/>
        </w:rPr>
        <w:t xml:space="preserve">و فی شرح القواعد لبعض الأساطین </w:t>
      </w:r>
      <w:r>
        <w:rPr>
          <w:rStyle w:val="FootnoteReference"/>
        </w:rPr>
        <w:footnoteReference w:id="1787"/>
      </w:r>
      <w:r>
        <w:rPr>
          <w:rFonts w:ascii="IRNazanin" w:hAnsi="IRNazanin" w:eastAsia="IRNazanin" w:cs="IRNazanin"/>
          <w:lang w:bidi="fa-IR"/>
          <w:color w:val="111111"/>
          <w:sz w:val="28"/>
          <w:szCs w:val="28"/>
          <w:rtl/>
        </w:rPr>
        <w:t xml:space="preserve">:ثمّ الرجوع إلی العادة مع اتّفاقها اتّفاقی،و لو اختلف فلکلّ بلد حکمه کما هو المشهور.و هل یراد به بلد العقد أو المتعاقدین؟الأقوی الأوّل.و لو تعاقدا فی الصحراء رجعا إلی حکم بلدهما.و لو اختلفا رجّح الأقرب،أو الأعظم،أو ذو</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الاختبار </w:t>
      </w:r>
      <w:r>
        <w:rPr>
          <w:rStyle w:val="FootnoteReference"/>
        </w:rPr>
        <w:footnoteReference w:id="1788"/>
      </w:r>
      <w:r>
        <w:rPr>
          <w:rFonts w:ascii="IRNazanin" w:hAnsi="IRNazanin" w:eastAsia="IRNazanin" w:cs="IRNazanin"/>
          <w:lang w:bidi="fa-IR"/>
          <w:color w:val="111111"/>
          <w:sz w:val="28"/>
          <w:szCs w:val="28"/>
          <w:rtl/>
        </w:rPr>
        <w:t xml:space="preserve">علی ذی الجزاف،أو البائع فی مبیعه و المشتری فی ثمنه،أو یبنی علی الإقراع مع الاختلاف و ما اتّفقا علیه مع الاتّفاق،أو </w:t>
      </w:r>
      <w:r>
        <w:rPr>
          <w:rStyle w:val="FootnoteReference"/>
        </w:rPr>
        <w:footnoteReference w:id="1789"/>
      </w:r>
      <w:r>
        <w:rPr>
          <w:rFonts w:ascii="IRNazanin" w:hAnsi="IRNazanin" w:eastAsia="IRNazanin" w:cs="IRNazanin"/>
          <w:lang w:bidi="fa-IR"/>
          <w:color w:val="111111"/>
          <w:sz w:val="28"/>
          <w:szCs w:val="28"/>
          <w:rtl/>
        </w:rPr>
        <w:t xml:space="preserve">التخییر،و لعلّه الأقوی </w:t>
      </w:r>
      <w:r>
        <w:rPr>
          <w:rStyle w:val="FootnoteReference"/>
        </w:rPr>
        <w:footnoteReference w:id="1790"/>
      </w:r>
      <w:r>
        <w:rPr>
          <w:rFonts w:ascii="IRNazanin" w:hAnsi="IRNazanin" w:eastAsia="IRNazanin" w:cs="IRNazanin"/>
          <w:lang w:bidi="fa-IR"/>
          <w:color w:val="111111"/>
          <w:sz w:val="28"/>
          <w:szCs w:val="28"/>
          <w:rtl/>
        </w:rPr>
        <w:t xml:space="preserve">.و یجری مثله فی معاملة الغرباء فی الصحراء مع اختلاف البلدان.و الأولی التخلّص بإیقاع المعاملة علی وجه لا یفسدها الجهالة،من صلح أو هبة بعوض أو معاطاة و نحوها.و لو حصل الاختلاف فی البلد الواحد علی وجه التساوی فالأقوی التخییر.و مع الاختصاص بجمع قلیل إشکال </w:t>
      </w:r>
      <w:r>
        <w:rPr>
          <w:rStyle w:val="FootnoteReference"/>
        </w:rPr>
        <w:footnoteReference w:id="17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9" w:name="pg14419_167143"/>
    <w:bookmarkEnd w:id="249"/>
    <w:p>
      <w:pPr>
        <w:pStyle w:val="Heading6"/>
      </w:pPr>
      <w:bookmarkStart w:id="1076" w:name="_Toc516"/>
      <w:r>
        <w:t>مسألة لو أخبر البائع بمقدار المبیع جاز الاعتماد علیه علی المشهور</w:t>
      </w:r>
      <w:bookmarkEnd w:id="1076"/>
    </w:p>
    <w:p>
      <w:pPr>
        <w:pStyle w:val="Heading6"/>
      </w:pPr>
      <w:bookmarkStart w:id="1077" w:name="_Toc517"/>
      <w:r>
        <w:t>اشارة</w:t>
      </w:r>
      <w:bookmarkEnd w:id="1077"/>
    </w:p>
    <w:p>
      <w:pPr>
        <w:pStyle w:val="BookText"/>
      </w:pPr>
      <w:r>
        <w:rPr>
          <w:rFonts w:ascii="IRNazanin" w:hAnsi="IRNazanin" w:eastAsia="IRNazanin" w:cs="IRNazanin"/>
          <w:lang w:bidi="fa-IR"/>
          <w:color w:val="111111"/>
          <w:sz w:val="28"/>
          <w:szCs w:val="28"/>
          <w:rtl/>
        </w:rPr>
        <w:t xml:space="preserve">و عبارة التذکرة </w:t>
      </w:r>
      <w:r>
        <w:rPr>
          <w:rStyle w:val="FootnoteReference"/>
        </w:rPr>
        <w:footnoteReference w:id="1792"/>
      </w:r>
      <w:r>
        <w:rPr>
          <w:rFonts w:ascii="IRNazanin" w:hAnsi="IRNazanin" w:eastAsia="IRNazanin" w:cs="IRNazanin"/>
          <w:lang w:bidi="fa-IR"/>
          <w:color w:val="111111"/>
          <w:sz w:val="28"/>
          <w:szCs w:val="28"/>
          <w:rtl/>
        </w:rPr>
        <w:t xml:space="preserve">مشعرة بالاتّفاق علیه،و یدلّ علیه غیر واحد من الأخبار المتقدّمة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تقدّم من </w:t>
      </w:r>
      <w:r>
        <w:rPr>
          <w:rStyle w:val="FootnoteReference"/>
        </w:rPr>
        <w:footnoteReference w:id="1794"/>
      </w:r>
      <w:r>
        <w:rPr>
          <w:rFonts w:ascii="IRNazanin" w:hAnsi="IRNazanin" w:eastAsia="IRNazanin" w:cs="IRNazanin"/>
          <w:lang w:bidi="fa-IR"/>
          <w:color w:val="111111"/>
          <w:sz w:val="28"/>
          <w:szCs w:val="28"/>
          <w:rtl/>
        </w:rPr>
        <w:t xml:space="preserve">صحیحة الحلبی الظاهرة فی المنع عن ذلک </w:t>
      </w:r>
      <w:r>
        <w:rPr>
          <w:rStyle w:val="FootnoteReference"/>
        </w:rPr>
        <w:footnoteReference w:id="1795"/>
      </w:r>
      <w:r>
        <w:rPr>
          <w:rFonts w:ascii="IRNazanin" w:hAnsi="IRNazanin" w:eastAsia="IRNazanin" w:cs="IRNazanin"/>
          <w:lang w:bidi="fa-IR"/>
          <w:color w:val="111111"/>
          <w:sz w:val="28"/>
          <w:szCs w:val="28"/>
          <w:rtl/>
        </w:rPr>
        <w:t xml:space="preserve">محمول علی صورة إیقاع المعاملة غیر مبنیّة علی المقدار المخبر به و إن کان الإخبار داعیاً إلیها،فإنّها لا تخرج بمجرّد ذلک عن الغرر،و قد تقدّم عن التحریر ما یوافق ذلک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6"/>
      </w:pPr>
      <w:bookmarkStart w:id="1078" w:name="_Toc518"/>
      <w:r>
        <w:t>[هل یعتبر کون الخبر طریقا عرفیا للمقدار]</w:t>
      </w:r>
      <w:bookmarkEnd w:id="1078"/>
    </w:p>
    <w:p>
      <w:pPr>
        <w:pStyle w:val="BookText"/>
      </w:pPr>
      <w:r>
        <w:rPr>
          <w:rFonts w:ascii="IRNazanin" w:hAnsi="IRNazanin" w:eastAsia="IRNazanin" w:cs="IRNazanin"/>
          <w:lang w:bidi="fa-IR"/>
          <w:color w:val="111111"/>
          <w:sz w:val="28"/>
          <w:szCs w:val="28"/>
          <w:rtl/>
        </w:rPr>
        <w:t xml:space="preserve">ثمّ إنّ الظاهر اعتبار کون الخبر طریقاً عرفیّاً للمقدار کما یشهد به الروایات المتقدّمة،فلو لم یُفد ظنّاً فإشکال:من بقاء الجهالة الموجبة</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0" w:name="pg14419_167144"/>
    <w:bookmarkEnd w:id="250"/>
    <w:p>
      <w:pPr>
        <w:pStyle w:val="BookText"/>
      </w:pPr>
      <w:r>
        <w:rPr>
          <w:rFonts w:ascii="IRNazanin" w:hAnsi="IRNazanin" w:eastAsia="IRNazanin" w:cs="IRNazanin"/>
          <w:lang w:bidi="fa-IR"/>
          <w:color w:val="111111"/>
          <w:sz w:val="28"/>
          <w:szCs w:val="28"/>
          <w:rtl/>
        </w:rPr>
        <w:t xml:space="preserve">للغرر،و من عدم تقییدهم الإخبار بإفادة الظنّ و لا المخبر بالعدالة.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الأقوی؛بناءً علی اعتبار التقدیر و إن لم یلزم الغرر الفعلی:هو الاعتبار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دار الحکم مدار الغرر کفی فی صحّة المعاملة إیقاعها مبنیّةً علی المقدار المخبر به و إن کان مجهولاً.و یندفع الغرر ببناء المتعاملین علی ذلک المقدار؛فإنّ ذلک لیس بأدون من بیع العین الغائبة علی أوصاف مذکورة فی العقد،فیقول:بعتک هذه الصبرة علی أنّها کذا و کذا صاعاً، و علی کلّ تقدیرٍ حکمنا فیه بالصحّة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تبیّن الخلاف،فإمّا أن یکون بالنقیصة،و إمّا أن یکون بالزیادة.</w:t>
      </w:r>
    </w:p>
    <w:p>
      <w:pPr>
        <w:pStyle w:val="Heading6"/>
      </w:pPr>
      <w:bookmarkStart w:id="1079" w:name="_Toc519"/>
      <w:r>
        <w:t>[ثبوت الخیار للمشتری لو تبین الخلاف بالنقیصة]</w:t>
      </w:r>
      <w:bookmarkEnd w:id="1079"/>
    </w:p>
    <w:p>
      <w:pPr>
        <w:pStyle w:val="Heading6"/>
      </w:pPr>
      <w:bookmarkStart w:id="1080" w:name="_Toc520"/>
      <w:r>
        <w:t>اشارة</w:t>
      </w:r>
      <w:bookmarkEnd w:id="1080"/>
    </w:p>
    <w:p>
      <w:pPr>
        <w:pStyle w:val="BookText"/>
      </w:pPr>
      <w:r>
        <w:rPr>
          <w:rFonts w:ascii="IRNazanin" w:hAnsi="IRNazanin" w:eastAsia="IRNazanin" w:cs="IRNazanin"/>
          <w:lang w:bidi="fa-IR"/>
          <w:color w:val="111111"/>
          <w:sz w:val="28"/>
          <w:szCs w:val="28"/>
          <w:rtl/>
        </w:rPr>
        <w:t xml:space="preserve">فإن کان بالنقیصة تخیّر المشتری بین الفسخ و بین الإمضاء،بل فی جامع المقاصد:احتمال البطلان،کما لو باعه ثوباً علی أنّه کتّان فبان قطناً.ثمّ ردّه بکون ذلک من غیر الجنس و هذا منه و إنّما الفائت الوصف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یمکن أن یقال:إنّ مغایرة الموجود الخارجی لما هو عنوان العقد حقیقةً مغایرةٌ حقیقیّةٌ لا تشبه مغایرة الفاقد للوصف لواجده؛</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لاشتراکهما فی أصل الحقیقة،بخلاف الجزء و الکلّ،فتأمّل؛فإنّ المتعیّن الصحّة و الخیار.</w:t>
      </w:r>
    </w:p>
    <w:p>
      <w:pPr>
        <w:pStyle w:val="BookText"/>
      </w:pPr>
      <w:r>
        <w:rPr>
          <w:rFonts w:ascii="IRNazanin" w:hAnsi="IRNazanin" w:eastAsia="IRNazanin" w:cs="IRNazanin"/>
          <w:lang w:bidi="fa-IR"/>
          <w:color w:val="111111"/>
          <w:sz w:val="28"/>
          <w:szCs w:val="28"/>
          <w:rtl/>
        </w:rPr>
        <w:t xml:space="preserve">ثمّ إنّه قد عبّر فی القواعد عن ثبوت هذا الخیار للبائع مع الزیادة و للمشتری مع النقیصة بقوله:«تخیّر المغبون» </w:t>
      </w:r>
      <w:r>
        <w:rPr>
          <w:rStyle w:val="FootnoteReference"/>
        </w:rPr>
        <w:footnoteReference w:id="1800"/>
      </w:r>
      <w:r>
        <w:rPr>
          <w:rFonts w:ascii="Amiri" w:hAnsi="Amiri" w:eastAsia="Amiri" w:cs="Amiri"/>
          <w:lang w:bidi="ar-SA"/>
          <w:color w:val="111111"/>
          <w:sz w:val="28"/>
          <w:szCs w:val="28"/>
          <w:rtl/>
        </w:rPr>
        <w:t xml:space="preserve">،فربما تخیّل بعضٌ تبعاً لبعضٍ </w:t>
      </w:r>
      <w:r>
        <w:rPr>
          <w:rStyle w:val="FootnoteReference"/>
        </w:rPr>
        <w:footnoteReference w:id="1801"/>
      </w:r>
      <w:r>
        <w:rPr>
          <w:rFonts w:ascii="IRNazanin" w:hAnsi="IRNazanin" w:eastAsia="IRNazanin" w:cs="IRNazanin"/>
          <w:lang w:bidi="fa-IR"/>
          <w:color w:val="111111"/>
          <w:sz w:val="28"/>
          <w:szCs w:val="28"/>
          <w:rtl/>
        </w:rPr>
        <w:t xml:space="preserve">أنّ هذا لیس من خیار فوات الوصف أو الجزء؛ معلّلاً بأنّ خیار الوصف إنّما یثبت مع التصریح باشتراط الوصف فی العقد.</w:t>
      </w:r>
    </w:p>
    <w:p>
      <w:pPr>
        <w:pStyle w:val="BookText"/>
      </w:pPr>
      <w:r>
        <w:rPr>
          <w:rFonts w:ascii="IRNazanin" w:hAnsi="IRNazanin" w:eastAsia="IRNazanin" w:cs="IRNazanin"/>
          <w:lang w:bidi="fa-IR"/>
          <w:color w:val="111111"/>
          <w:sz w:val="28"/>
          <w:szCs w:val="28"/>
          <w:rtl/>
        </w:rPr>
        <w:t xml:space="preserve">و یدفعه:تصریح العلّامة فی هذه المسألة من التذکرة-:بأنّه لو ظهر النقصان رجع المشتری بالناقص </w:t>
      </w:r>
      <w:r>
        <w:rPr>
          <w:rStyle w:val="FootnoteReference"/>
        </w:rPr>
        <w:footnoteReference w:id="1802"/>
      </w:r>
      <w:r>
        <w:rPr>
          <w:rFonts w:ascii="IRNazanin" w:hAnsi="IRNazanin" w:eastAsia="IRNazanin" w:cs="IRNazanin"/>
          <w:lang w:bidi="fa-IR"/>
          <w:color w:val="111111"/>
          <w:sz w:val="28"/>
          <w:szCs w:val="28"/>
          <w:rtl/>
        </w:rPr>
        <w:t xml:space="preserve">.و فی باب الصرف من القواعد:</w:t>
      </w:r>
    </w:p>
    <w:p>
      <w:pPr>
        <w:pStyle w:val="BookText"/>
      </w:pPr>
      <w:r>
        <w:rPr>
          <w:rFonts w:ascii="IRNazanin" w:hAnsi="IRNazanin" w:eastAsia="IRNazanin" w:cs="IRNazanin"/>
          <w:lang w:bidi="fa-IR"/>
          <w:color w:val="111111"/>
          <w:sz w:val="28"/>
          <w:szCs w:val="28"/>
          <w:rtl/>
        </w:rPr>
        <w:t xml:space="preserve">بأنّه لو تبیّن المبیع علی خلاف ما أخبر البائع تخیّر المشتری بین الفسخ و الإمضاء بحصّةٍ معیّنة </w:t>
      </w:r>
      <w:r>
        <w:rPr>
          <w:rStyle w:val="FootnoteReference"/>
        </w:rPr>
        <w:footnoteReference w:id="1803"/>
      </w:r>
      <w:r>
        <w:rPr>
          <w:rFonts w:ascii="IRNazanin" w:hAnsi="IRNazanin" w:eastAsia="IRNazanin" w:cs="IRNazanin"/>
          <w:lang w:bidi="fa-IR"/>
          <w:color w:val="111111"/>
          <w:sz w:val="28"/>
          <w:szCs w:val="28"/>
          <w:rtl/>
        </w:rPr>
        <w:t xml:space="preserve">من الثمن </w:t>
      </w:r>
      <w:r>
        <w:rPr>
          <w:rStyle w:val="FootnoteReference"/>
        </w:rPr>
        <w:footnoteReference w:id="1804"/>
      </w:r>
      <w:r>
        <w:rPr>
          <w:rFonts w:ascii="IRNazanin" w:hAnsi="IRNazanin" w:eastAsia="IRNazanin" w:cs="IRNazanin"/>
          <w:lang w:bidi="fa-IR"/>
          <w:color w:val="111111"/>
          <w:sz w:val="28"/>
          <w:szCs w:val="28"/>
          <w:rtl/>
        </w:rPr>
        <w:t xml:space="preserve">.و تصریح جامع المقاصد فی المسألة الأخیرة بابتنائها علی المسألة المعروفة،و هی«ما لو باع متساوی الأجزاء علی أنّه مقدار معیّن فبان أقلّ» </w:t>
      </w:r>
      <w:r>
        <w:rPr>
          <w:rStyle w:val="FootnoteReference"/>
        </w:rPr>
        <w:footnoteReference w:id="1805"/>
      </w:r>
      <w:r>
        <w:rPr>
          <w:rFonts w:ascii="IRNazanin" w:hAnsi="IRNazanin" w:eastAsia="IRNazanin" w:cs="IRNazanin"/>
          <w:lang w:bidi="fa-IR"/>
          <w:color w:val="111111"/>
          <w:sz w:val="28"/>
          <w:szCs w:val="28"/>
          <w:rtl/>
        </w:rPr>
        <w:t xml:space="preserve">،و من المعلوم أنّ الخیار فی تلک المسألة إمّا لفوات الوصف،و إمّا لفوات الجزء،علی الخلاف الآتی.</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1" w:name="pg14419_167146"/>
    <w:bookmarkEnd w:id="251"/>
    <w:p>
      <w:pPr>
        <w:pStyle w:val="BookText"/>
      </w:pPr>
      <w:r>
        <w:rPr>
          <w:rFonts w:ascii="IRNazanin" w:hAnsi="IRNazanin" w:eastAsia="IRNazanin" w:cs="IRNazanin"/>
          <w:lang w:bidi="fa-IR"/>
          <w:color w:val="111111"/>
          <w:sz w:val="28"/>
          <w:szCs w:val="28"/>
          <w:rtl/>
        </w:rPr>
        <w:t xml:space="preserve">و أمّا التعبیر ب«المغبون»فیشمل البائع علی تقدیر الزیادة، و المشتری علی تقدیر النقیصة،نظیر تعبیر الشهید فی اللمعة عن البائع و المشتری فی بیع العین الغائبة برؤیتها السابقة مع تبیّن الخلاف،حیث قال:تخیّر المغبون منهما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ذکره:من أنّ الخیار إنّما یثبت فی تخلّف الوصف إذا اشترط فی متن العقد،ففیه:أنّ ذلک فی الأوصاف الخارجة التی لا یشترط اعتبارها فی صحّة البیع </w:t>
      </w:r>
      <w:r>
        <w:rPr>
          <w:rStyle w:val="FootnoteReference"/>
        </w:rPr>
        <w:footnoteReference w:id="1807"/>
      </w:r>
      <w:r>
        <w:rPr>
          <w:rFonts w:ascii="IRNazanin" w:hAnsi="IRNazanin" w:eastAsia="IRNazanin" w:cs="IRNazanin"/>
          <w:lang w:bidi="fa-IR"/>
          <w:color w:val="111111"/>
          <w:sz w:val="28"/>
          <w:szCs w:val="28"/>
          <w:rtl/>
        </w:rPr>
        <w:t xml:space="preserve">،ککتابة العبد و خیاطته.و أمّا الملحوظ فی عنوان المبیع بحیث لو لم یلاحظ لم یصحّ البیع کمقدارٍ معیّن من </w:t>
      </w:r>
      <w:r>
        <w:rPr>
          <w:rStyle w:val="FootnoteReference"/>
        </w:rPr>
        <w:footnoteReference w:id="1808"/>
      </w:r>
      <w:r>
        <w:rPr>
          <w:rFonts w:ascii="IRNazanin" w:hAnsi="IRNazanin" w:eastAsia="IRNazanin" w:cs="IRNazanin"/>
          <w:lang w:bidi="fa-IR"/>
          <w:color w:val="111111"/>
          <w:sz w:val="28"/>
          <w:szCs w:val="28"/>
          <w:rtl/>
        </w:rPr>
        <w:t xml:space="preserve">الکیل أو الوزن أو العدّ فهذا لا یحتاج إلی ذکره فی متن العقد،فإنّ هذا أولی من وصف الصحّة الذی یغنی بناءُ العقد علیه عن ذکره فی العقد،فإنّ معرفة وجود ملاحظة الصحّة لیست من مصحّحات العقد، بخلاف معرفة وجود المقدار المعیّن.</w:t>
      </w:r>
    </w:p>
    <w:p>
      <w:pPr>
        <w:pStyle w:val="Heading6"/>
      </w:pPr>
      <w:bookmarkStart w:id="1081" w:name="_Toc521"/>
      <w:r>
        <w:t>[عدم الإشکال فی کون هذا الخیار خیار التخلف]</w:t>
      </w:r>
      <w:bookmarkEnd w:id="1081"/>
    </w:p>
    <w:p>
      <w:pPr>
        <w:pStyle w:val="BookText"/>
      </w:pPr>
      <w:r>
        <w:rPr>
          <w:rFonts w:ascii="IRNazanin" w:hAnsi="IRNazanin" w:eastAsia="IRNazanin" w:cs="IRNazanin"/>
          <w:lang w:bidi="fa-IR"/>
          <w:color w:val="111111"/>
          <w:sz w:val="28"/>
          <w:szCs w:val="28"/>
          <w:rtl/>
        </w:rPr>
        <w:t xml:space="preserve">و کیف کان،فلا إشکال فی کون هذا الخیار خیار التخلّف و إنّما الإشکال فی أنّ المتخلّف فی الحقیقة هل هو جزء </w:t>
      </w:r>
      <w:r>
        <w:rPr>
          <w:rStyle w:val="FootnoteReference"/>
        </w:rPr>
        <w:footnoteReference w:id="1809"/>
      </w:r>
      <w:r>
        <w:rPr>
          <w:rFonts w:ascii="IRNazanin" w:hAnsi="IRNazanin" w:eastAsia="IRNazanin" w:cs="IRNazanin"/>
          <w:lang w:bidi="fa-IR"/>
          <w:color w:val="111111"/>
          <w:sz w:val="28"/>
          <w:szCs w:val="28"/>
          <w:rtl/>
        </w:rPr>
        <w:t xml:space="preserve">المبیع أو وصف من أوصافه؟فلذلک اختلف فی أنّ الإمضاء هل هو بجمیع الثمن،أو بحصّةٍ منه نسبتها إلیه کنسبة الموجود من الأجزاء إلی المعدوم؟و تمام الکلام فی موضع تعرّض الأصحاب للمسألة.</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2" w:name="pg14419_167147"/>
    <w:bookmarkEnd w:id="252"/>
    <w:p>
      <w:pPr>
        <w:pStyle w:val="Heading6"/>
      </w:pPr>
      <w:bookmarkStart w:id="1082" w:name="_Toc522"/>
      <w:r>
        <w:t>[کل ما یکون طریقا عرفیا إلی مقدار البیع فهو بحکم إخبار البائع]</w:t>
      </w:r>
      <w:bookmarkEnd w:id="10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 فی حکم إخبار البائع بالکیل و الوزن من حیث ثبوت الخیار عند تبیّن الخلاف،کلّ ما یکون طریقاً عرفیّاً إلی مقدار المبیع و أُوقع </w:t>
      </w:r>
      <w:r>
        <w:rPr>
          <w:rStyle w:val="FootnoteReference"/>
        </w:rPr>
        <w:footnoteReference w:id="1810"/>
      </w:r>
      <w:r>
        <w:rPr>
          <w:rFonts w:ascii="IRNazanin" w:hAnsi="IRNazanin" w:eastAsia="IRNazanin" w:cs="IRNazanin"/>
          <w:lang w:bidi="fa-IR"/>
          <w:color w:val="111111"/>
          <w:sz w:val="28"/>
          <w:szCs w:val="28"/>
          <w:rtl/>
        </w:rPr>
        <w:t xml:space="preserve">العقد بناءً علیه،کما إذا جعلنا الکیل فی المعدود و الموزون طریقاً إلی عدّه أو وزنه.</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3" w:name="pg14419_167148"/>
    <w:bookmarkEnd w:id="253"/>
    <w:p>
      <w:pPr>
        <w:pStyle w:val="Heading6"/>
      </w:pPr>
      <w:bookmarkStart w:id="1083" w:name="_Toc523"/>
      <w:r>
        <w:t>مسألة [هل یجوز بیع الثوب و الأراضی مع المشاهدة]</w:t>
      </w:r>
      <w:bookmarkEnd w:id="1083"/>
    </w:p>
    <w:p>
      <w:pPr>
        <w:pStyle w:val="BookText"/>
      </w:pPr>
      <w:r>
        <w:rPr>
          <w:rFonts w:ascii="IRNazanin" w:hAnsi="IRNazanin" w:eastAsia="IRNazanin" w:cs="IRNazanin"/>
          <w:lang w:bidi="fa-IR"/>
          <w:color w:val="111111"/>
          <w:sz w:val="28"/>
          <w:szCs w:val="28"/>
          <w:rtl/>
        </w:rPr>
        <w:t xml:space="preserve">قال فی الشرائع:یجوز بیع الثوب و الأرض مع المشاهدة و إن لم یُمسحا،و لو مُسحا کان أحوط؛لتفاوت الغرض فی ذلک،و تعذّر إدراکه بالمشاهدة </w:t>
      </w:r>
      <w:r>
        <w:rPr>
          <w:rStyle w:val="FootnoteReference"/>
        </w:rPr>
        <w:footnoteReference w:id="181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التذکرة:لو باع مختلف الأجزاء مع المشاهدة صحّ کالثوب و الدار و الغنم إجماعاً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فی التحریر بجواز بیع قطیع الغنم و إن لم یعلم عددها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أقول:یشکل الحکم بالجواز فی کثیر من هذه الموارد،لثبوت الغرر غالباً مع جهل أذرع الثوب و عدد قطیع الغنم.و الاعتماد فی عددها علی ما یحصل تخمیناً بالمشاهدة عین المجازفة.</w:t>
      </w:r>
    </w:p>
    <w:p>
      <w:pPr>
        <w:pStyle w:val="BookText"/>
      </w:pPr>
      <w:r>
        <w:rPr>
          <w:rFonts w:ascii="IRNazanin" w:hAnsi="IRNazanin" w:eastAsia="IRNazanin" w:cs="IRNazanin"/>
          <w:lang w:bidi="fa-IR"/>
          <w:color w:val="111111"/>
          <w:sz w:val="28"/>
          <w:szCs w:val="28"/>
          <w:rtl/>
        </w:rPr>
        <w:t xml:space="preserve">و بالجملة،فإذا فرضنا أنّ مقدار مالیّة الغنم قلّة و کثرة یعلم بالعدد فلا فرق بین الجهل بالعدد فیها و بین الجهل بالمقدار فی المکیل و الموزون</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المعدود.و کذا الحکم فی عدد الأذرع و الطاقات فی الکرابیس </w:t>
      </w:r>
      <w:r>
        <w:rPr>
          <w:rStyle w:val="FootnoteReference"/>
        </w:rPr>
        <w:footnoteReference w:id="1814"/>
      </w:r>
      <w:r>
        <w:rPr>
          <w:rFonts w:ascii="IRNazanin" w:hAnsi="IRNazanin" w:eastAsia="IRNazanin" w:cs="IRNazanin"/>
          <w:lang w:bidi="fa-IR"/>
          <w:color w:val="111111"/>
          <w:sz w:val="28"/>
          <w:szCs w:val="28"/>
          <w:rtl/>
        </w:rPr>
        <w:t xml:space="preserve">و الجربان فی کثیرٍ من الأراضی المقدّرة عادةً بالجریب.</w:t>
      </w:r>
    </w:p>
    <w:p>
      <w:pPr>
        <w:pStyle w:val="BookText"/>
      </w:pPr>
      <w:r>
        <w:rPr>
          <w:rFonts w:ascii="IRNazanin" w:hAnsi="IRNazanin" w:eastAsia="IRNazanin" w:cs="IRNazanin"/>
          <w:lang w:bidi="fa-IR"/>
          <w:color w:val="111111"/>
          <w:sz w:val="28"/>
          <w:szCs w:val="28"/>
          <w:rtl/>
        </w:rPr>
        <w:t xml:space="preserve">نعم،ربما یتّفق تعارف عددٍ خاصٍّ فی أذرع بعض طاقات الکرابیس،لکن الاعتماد علی هذا من حیث کونه طریقاً إلی عدد الأذرع،نظیر إخبار البائع،و لیس هذا معنی کفایة المشاهدة.</w:t>
      </w:r>
    </w:p>
    <w:p>
      <w:pPr>
        <w:pStyle w:val="BookText"/>
      </w:pPr>
      <w:r>
        <w:rPr>
          <w:rFonts w:ascii="IRNazanin" w:hAnsi="IRNazanin" w:eastAsia="IRNazanin" w:cs="IRNazanin"/>
          <w:lang w:bidi="fa-IR"/>
          <w:color w:val="111111"/>
          <w:sz w:val="28"/>
          <w:szCs w:val="28"/>
          <w:rtl/>
        </w:rPr>
        <w:t xml:space="preserve">و تظهر الثمرة فی ثبوت الخیار؛إذ علی تقدیر کفایة المشاهدة لا یثبت خیارٌ مع تبیّن قلّة الأذرع بالنسبة إلی ما حصل التخمین به من المشاهدة،إلّا إذا کان النقص عیباً أو اشترط عدداً خاصّاً من حیث الذراع </w:t>
      </w:r>
      <w:r>
        <w:rPr>
          <w:rStyle w:val="FootnoteReference"/>
        </w:rPr>
        <w:footnoteReference w:id="1815"/>
      </w:r>
      <w:r>
        <w:rPr>
          <w:rFonts w:ascii="Amiri" w:hAnsi="Amiri" w:eastAsia="Amiri" w:cs="Amiri"/>
          <w:lang w:bidi="ar-SA"/>
          <w:color w:val="111111"/>
          <w:sz w:val="28"/>
          <w:szCs w:val="28"/>
          <w:rtl/>
        </w:rPr>
        <w:t xml:space="preserve">طولاً و عرضاً.</w:t>
      </w:r>
    </w:p>
    <w:p>
      <w:pPr>
        <w:pStyle w:val="BookText"/>
      </w:pPr>
      <w:r>
        <w:rPr>
          <w:rFonts w:ascii="IRNazanin" w:hAnsi="IRNazanin" w:eastAsia="IRNazanin" w:cs="IRNazanin"/>
          <w:lang w:bidi="fa-IR"/>
          <w:color w:val="111111"/>
          <w:sz w:val="28"/>
          <w:szCs w:val="28"/>
          <w:rtl/>
        </w:rPr>
        <w:t xml:space="preserve">و بالجملة،فالمعیار هنا دفع الغرر الشخصی،إذ لم یرد هنا نصٌّ بالتقدیر لیحتمل إناطة الحکم به و لو لم یکن غرر،کما استظهرناه فی المکیل و الموزون،فافهم.</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4" w:name="pg14419_167150"/>
    <w:bookmarkEnd w:id="254"/>
    <w:p>
      <w:pPr>
        <w:pStyle w:val="Heading6"/>
      </w:pPr>
      <w:bookmarkStart w:id="1084" w:name="_Toc524"/>
      <w:r>
        <w:t>مسألة بیع بعضٍ من جملةٍ متساویة الأجزاء</w:t>
      </w:r>
      <w:bookmarkEnd w:id="1084"/>
    </w:p>
    <w:p>
      <w:pPr>
        <w:pStyle w:val="Heading6"/>
      </w:pPr>
      <w:bookmarkStart w:id="1085" w:name="_Toc525"/>
      <w:r>
        <w:t>اشارة</w:t>
      </w:r>
      <w:bookmarkEnd w:id="1085"/>
    </w:p>
    <w:p>
      <w:pPr>
        <w:pStyle w:val="BookText"/>
      </w:pPr>
      <w:r>
        <w:rPr>
          <w:rFonts w:ascii="IRNazanin" w:hAnsi="IRNazanin" w:eastAsia="IRNazanin" w:cs="IRNazanin"/>
          <w:lang w:bidi="fa-IR"/>
          <w:color w:val="111111"/>
          <w:sz w:val="28"/>
          <w:szCs w:val="28"/>
          <w:rtl/>
        </w:rPr>
        <w:t xml:space="preserve">کصاعٍ من صبرةٍ مجتمعة الصیعان أو متفرّقتها،أو ذراعٍ من کرباسٍ،أو عبدٍ من عبدین،و شبه ذلک یتصوّر علی وجوه:</w:t>
      </w:r>
    </w:p>
    <w:p>
      <w:pPr>
        <w:pStyle w:val="Heading6"/>
      </w:pPr>
      <w:bookmarkStart w:id="1086" w:name="_Toc526"/>
      <w:r>
        <w:t>الأوّل : أن یرید بذلک البعض کسراً واقعیّاً من الجملة مقدّراً بذلک العنوان</w:t>
      </w:r>
      <w:bookmarkEnd w:id="1086"/>
    </w:p>
    <w:p>
      <w:pPr>
        <w:pStyle w:val="BookText"/>
      </w:pPr>
      <w:r>
        <w:rPr>
          <w:rFonts w:ascii="IRNazanin" w:hAnsi="IRNazanin" w:eastAsia="IRNazanin" w:cs="IRNazanin"/>
          <w:lang w:bidi="fa-IR"/>
          <w:color w:val="111111"/>
          <w:sz w:val="28"/>
          <w:szCs w:val="28"/>
          <w:rtl/>
        </w:rPr>
        <w:t xml:space="preserve">الأوّل: أن یرید </w:t>
      </w:r>
      <w:r>
        <w:rPr>
          <w:rStyle w:val="FootnoteReference"/>
        </w:rPr>
        <w:footnoteReference w:id="1816"/>
      </w:r>
      <w:r>
        <w:rPr>
          <w:rFonts w:ascii="Amiri" w:hAnsi="Amiri" w:eastAsia="Amiri" w:cs="Amiri"/>
          <w:lang w:bidi="ar-SA"/>
          <w:color w:val="111111"/>
          <w:sz w:val="28"/>
          <w:szCs w:val="28"/>
          <w:rtl/>
        </w:rPr>
        <w:t xml:space="preserve">بذلک البعض کسراً واقعیّاً من الجملة مقدّراً </w:t>
      </w:r>
      <w:r>
        <w:rPr>
          <w:rStyle w:val="FootnoteReference"/>
        </w:rPr>
        <w:footnoteReference w:id="1817"/>
      </w:r>
      <w:r>
        <w:rPr>
          <w:rFonts w:ascii="IRNazanin" w:hAnsi="IRNazanin" w:eastAsia="IRNazanin" w:cs="IRNazanin"/>
          <w:lang w:bidi="fa-IR"/>
          <w:color w:val="111111"/>
          <w:sz w:val="28"/>
          <w:szCs w:val="28"/>
          <w:rtl/>
        </w:rPr>
        <w:t xml:space="preserve">بذلک العنوان،</w:t>
      </w:r>
    </w:p>
    <w:p>
      <w:pPr>
        <w:pStyle w:val="BookText"/>
      </w:pPr>
      <w:r>
        <w:rPr>
          <w:rFonts w:ascii="IRNazanin" w:hAnsi="IRNazanin" w:eastAsia="IRNazanin" w:cs="IRNazanin"/>
          <w:lang w:bidi="fa-IR"/>
          <w:color w:val="111111"/>
          <w:sz w:val="28"/>
          <w:szCs w:val="28"/>
          <w:rtl/>
        </w:rPr>
        <w:t xml:space="preserve">فیرید </w:t>
      </w:r>
      <w:r>
        <w:rPr>
          <w:rStyle w:val="FootnoteReference"/>
        </w:rPr>
        <w:footnoteReference w:id="1818"/>
      </w:r>
      <w:r>
        <w:rPr>
          <w:rFonts w:ascii="IRNazanin" w:hAnsi="IRNazanin" w:eastAsia="IRNazanin" w:cs="IRNazanin"/>
          <w:lang w:bidi="fa-IR"/>
          <w:color w:val="111111"/>
          <w:sz w:val="28"/>
          <w:szCs w:val="28"/>
          <w:rtl/>
        </w:rPr>
        <w:t xml:space="preserve">بالصاع مثلاً من صبرةٍ تکون عشرة أصوع عُشرها،و من عبدٍ من العبدین نصفهما.</w:t>
      </w:r>
    </w:p>
    <w:p>
      <w:pPr>
        <w:pStyle w:val="BookText"/>
      </w:pPr>
      <w:r>
        <w:rPr>
          <w:rFonts w:ascii="IRNazanin" w:hAnsi="IRNazanin" w:eastAsia="IRNazanin" w:cs="IRNazanin"/>
          <w:lang w:bidi="fa-IR"/>
          <w:color w:val="111111"/>
          <w:sz w:val="28"/>
          <w:szCs w:val="28"/>
          <w:rtl/>
        </w:rPr>
        <w:t xml:space="preserve">و لا إشکال فی صحّة ذلک،و لا فی کون المبیع مشاعاً فی الجملة.</w:t>
      </w:r>
    </w:p>
    <w:p>
      <w:pPr>
        <w:pStyle w:val="BookText"/>
      </w:pPr>
      <w:r>
        <w:rPr>
          <w:rFonts w:ascii="IRNazanin" w:hAnsi="IRNazanin" w:eastAsia="IRNazanin" w:cs="IRNazanin"/>
          <w:lang w:bidi="fa-IR"/>
          <w:color w:val="111111"/>
          <w:sz w:val="28"/>
          <w:szCs w:val="28"/>
          <w:rtl/>
        </w:rPr>
        <w:t xml:space="preserve">و لا فرق بین اختلاف العبدین فی القیمة و عدمه،و لا بین العلم بعدد صیعان الصبرة و عدمه،لأنّ الکسر مقدّرٌ بالصاع فلا یعتبر العلم بنسبته إلی المجموع.</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5" w:name="pg14419_167151"/>
    <w:bookmarkEnd w:id="255"/>
    <w:p>
      <w:pPr>
        <w:pStyle w:val="BookText"/>
      </w:pPr>
      <w:r>
        <w:rPr>
          <w:rFonts w:ascii="IRNazanin" w:hAnsi="IRNazanin" w:eastAsia="IRNazanin" w:cs="IRNazanin"/>
          <w:lang w:bidi="fa-IR"/>
          <w:color w:val="111111"/>
          <w:sz w:val="28"/>
          <w:szCs w:val="28"/>
          <w:rtl/>
        </w:rPr>
        <w:t xml:space="preserve">هذا،و لکن قال فی التذکرة:و الأقرب أنّه لو قصد الإشاعة فی عبد من عبدین أو شاة من شاتین بطل،بخلاف الذراع من الأرض </w:t>
      </w:r>
      <w:r>
        <w:rPr>
          <w:rStyle w:val="FootnoteReference"/>
        </w:rPr>
        <w:footnoteReference w:id="181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لم یعلم وجه الفرق </w:t>
      </w:r>
      <w:r>
        <w:rPr>
          <w:rStyle w:val="FootnoteReference"/>
        </w:rPr>
        <w:footnoteReference w:id="1820"/>
      </w:r>
      <w:r>
        <w:rPr>
          <w:rFonts w:ascii="IRNazanin" w:hAnsi="IRNazanin" w:eastAsia="IRNazanin" w:cs="IRNazanin"/>
          <w:lang w:bidi="fa-IR"/>
          <w:color w:val="111111"/>
          <w:sz w:val="28"/>
          <w:szCs w:val="28"/>
          <w:rtl/>
        </w:rPr>
        <w:t xml:space="preserve">،إلّا منع ظهور الکسر المشاع من لفظ «العبد»و«الشاة».</w:t>
      </w:r>
    </w:p>
    <w:p>
      <w:pPr>
        <w:pStyle w:val="Heading6"/>
      </w:pPr>
      <w:bookmarkStart w:id="1087" w:name="_Toc527"/>
      <w:r>
        <w:t>الثانی : أن یراد به بعض مردّد بین ما یمکن صدقه علیه من الأفراد المتصوّرة فی المجموع</w:t>
      </w:r>
      <w:bookmarkEnd w:id="1087"/>
    </w:p>
    <w:p>
      <w:pPr>
        <w:pStyle w:val="Heading6"/>
      </w:pPr>
      <w:bookmarkStart w:id="1088" w:name="_Toc528"/>
      <w:r>
        <w:t>اشارة</w:t>
      </w:r>
      <w:bookmarkEnd w:id="1088"/>
    </w:p>
    <w:p>
      <w:pPr>
        <w:pStyle w:val="BookText"/>
      </w:pPr>
      <w:r>
        <w:rPr>
          <w:rFonts w:ascii="IRNazanin" w:hAnsi="IRNazanin" w:eastAsia="IRNazanin" w:cs="IRNazanin"/>
          <w:lang w:bidi="fa-IR"/>
          <w:color w:val="111111"/>
          <w:sz w:val="28"/>
          <w:szCs w:val="28"/>
          <w:rtl/>
        </w:rPr>
        <w:t xml:space="preserve">نظیر تردّد الفرد المنتشر بین الأفراد،و هذا یتّضح فی صاعٍ من الصیعان المتفرّقة.</w:t>
      </w:r>
    </w:p>
    <w:p>
      <w:pPr>
        <w:pStyle w:val="BookText"/>
      </w:pPr>
      <w:r>
        <w:rPr>
          <w:rFonts w:ascii="IRNazanin" w:hAnsi="IRNazanin" w:eastAsia="IRNazanin" w:cs="IRNazanin"/>
          <w:lang w:bidi="fa-IR"/>
          <w:color w:val="111111"/>
          <w:sz w:val="28"/>
          <w:szCs w:val="28"/>
          <w:rtl/>
        </w:rPr>
        <w:t xml:space="preserve">و لا إشکال فی بطلان ذلک مع اختلاف المصادیق فی القیمة کالعبدین المختلفین؛لأنّه غرر؛لأنّ المشتری لا یعلم بما یحصل فی یده منهما.</w:t>
      </w:r>
    </w:p>
    <w:p>
      <w:pPr>
        <w:pStyle w:val="BookText"/>
      </w:pPr>
      <w:r>
        <w:rPr>
          <w:rFonts w:ascii="IRNazanin" w:hAnsi="IRNazanin" w:eastAsia="IRNazanin" w:cs="IRNazanin"/>
          <w:lang w:bidi="fa-IR"/>
          <w:color w:val="111111"/>
          <w:sz w:val="28"/>
          <w:szCs w:val="28"/>
          <w:rtl/>
        </w:rPr>
        <w:t xml:space="preserve">و أمّا مع اتّفاقهما فی القیمة کما فی الصیعان المتفرّقة،فالمشهور أیضاً کما فی کلام بعض </w:t>
      </w:r>
      <w:r>
        <w:rPr>
          <w:rStyle w:val="FootnoteReference"/>
        </w:rPr>
        <w:footnoteReference w:id="1821"/>
      </w:r>
      <w:r>
        <w:rPr>
          <w:rFonts w:ascii="IRNazanin" w:hAnsi="IRNazanin" w:eastAsia="IRNazanin" w:cs="IRNazanin"/>
          <w:lang w:bidi="fa-IR"/>
          <w:color w:val="111111"/>
          <w:sz w:val="28"/>
          <w:szCs w:val="28"/>
          <w:rtl/>
        </w:rPr>
        <w:t xml:space="preserve">المنع،بل فی الریاض نسبته إلی الأصحاب </w:t>
      </w:r>
      <w:r>
        <w:rPr>
          <w:rStyle w:val="FootnoteReference"/>
        </w:rPr>
        <w:footnoteReference w:id="1822"/>
      </w:r>
      <w:r>
        <w:rPr>
          <w:rFonts w:ascii="IRNazanin" w:hAnsi="IRNazanin" w:eastAsia="IRNazanin" w:cs="IRNazanin"/>
          <w:lang w:bidi="fa-IR"/>
          <w:color w:val="111111"/>
          <w:sz w:val="28"/>
          <w:szCs w:val="28"/>
          <w:rtl/>
        </w:rPr>
        <w:t xml:space="preserve">، و عن المحقّق الأردبیلی قدّس سرّه أیضاً نسبة المنع عن بیع ذراع من کرباس مشاهد من غیر تعیین أحد طرفیه إلی الأصحاب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علی المنع بعضهم </w:t>
      </w:r>
      <w:r>
        <w:rPr>
          <w:rStyle w:val="FootnoteReference"/>
        </w:rPr>
        <w:footnoteReference w:id="1824"/>
      </w:r>
      <w:r>
        <w:rPr>
          <w:rFonts w:ascii="IRNazanin" w:hAnsi="IRNazanin" w:eastAsia="IRNazanin" w:cs="IRNazanin"/>
          <w:lang w:bidi="fa-IR"/>
          <w:color w:val="111111"/>
          <w:sz w:val="28"/>
          <w:szCs w:val="28"/>
          <w:rtl/>
        </w:rPr>
        <w:t xml:space="preserve">:بالجهالة التی یبطل معها البیع إجماعاً.</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 </w:t>
      </w:r>
      <w:r>
        <w:rPr>
          <w:rStyle w:val="FootnoteReference"/>
        </w:rPr>
        <w:footnoteReference w:id="1825"/>
      </w:r>
      <w:r>
        <w:rPr>
          <w:rFonts w:ascii="IRNazanin" w:hAnsi="IRNazanin" w:eastAsia="IRNazanin" w:cs="IRNazanin"/>
          <w:lang w:bidi="fa-IR"/>
          <w:color w:val="111111"/>
          <w:sz w:val="28"/>
          <w:szCs w:val="28"/>
          <w:rtl/>
        </w:rPr>
        <w:t xml:space="preserve">:بأنّ الإبهام فی البیع مبطلٌ له،لا من حیث الجهالة.و یؤیّده أنّه حکم فی التذکرة مع منعه عن بیع أحد العبدین المشاهدین المتساویین بأنّه لو تلف أحدهما فباع الباقی و لم یدرِ أیّهما هو،صحّ، خلافاً لبعض العامّة </w:t>
      </w:r>
      <w:r>
        <w:rPr>
          <w:rStyle w:val="FootnoteReference"/>
        </w:rPr>
        <w:footnoteReference w:id="1826"/>
      </w:r>
      <w:r>
        <w:rPr>
          <w:rFonts w:ascii="Amiri" w:hAnsi="Amiri" w:eastAsia="Amiri" w:cs="Amiri"/>
          <w:lang w:bidi="ar-SA"/>
          <w:color w:val="111111"/>
          <w:sz w:val="28"/>
          <w:szCs w:val="28"/>
          <w:rtl/>
        </w:rPr>
        <w:t xml:space="preserve">.و ثالثٌ </w:t>
      </w:r>
      <w:r>
        <w:rPr>
          <w:rStyle w:val="FootnoteReference"/>
        </w:rPr>
        <w:footnoteReference w:id="1827"/>
      </w:r>
      <w:r>
        <w:rPr>
          <w:rFonts w:ascii="IRNazanin" w:hAnsi="IRNazanin" w:eastAsia="IRNazanin" w:cs="IRNazanin"/>
          <w:lang w:bidi="fa-IR"/>
          <w:color w:val="111111"/>
          <w:sz w:val="28"/>
          <w:szCs w:val="28"/>
          <w:rtl/>
        </w:rPr>
        <w:t xml:space="preserve">:بلزوم الغرر.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و رابعٌ </w:t>
      </w:r>
      <w:r>
        <w:rPr>
          <w:rStyle w:val="FootnoteReference"/>
        </w:rPr>
        <w:footnoteReference w:id="1828"/>
      </w:r>
      <w:r>
        <w:rPr>
          <w:rFonts w:ascii="IRNazanin" w:hAnsi="IRNazanin" w:eastAsia="IRNazanin" w:cs="IRNazanin"/>
          <w:lang w:bidi="fa-IR"/>
          <w:color w:val="111111"/>
          <w:sz w:val="28"/>
          <w:szCs w:val="28"/>
          <w:rtl/>
        </w:rPr>
        <w:t xml:space="preserve">:بأنّ الملک صفةٌ وجودیّةٌ محتاجةٌ إلی محلٍّ تقوم به کسائر الصفات الموجودة فی الخارج و أحدهما علی سبیل البدل غیر قابل لقیامه به؛لأنّه أمرٌ انتزاعیٌّ من أمرین معیّنین.</w:t>
      </w:r>
    </w:p>
    <w:p>
      <w:pPr>
        <w:pStyle w:val="BookText"/>
      </w:pPr>
      <w:r>
        <w:rPr>
          <w:rFonts w:ascii="IRNazanin" w:hAnsi="IRNazanin" w:eastAsia="IRNazanin" w:cs="IRNazanin"/>
          <w:lang w:bidi="fa-IR"/>
          <w:color w:val="111111"/>
          <w:sz w:val="28"/>
          <w:szCs w:val="28"/>
          <w:rtl/>
        </w:rPr>
        <w:t xml:space="preserve">و یضعّف الأوّل بمنع المقدّمتین؛لأنّ الواحد علی سبیل البدل غیر مجهول؛إذ لا تعیّن له فی الواقع حتّی یُجهل،و المنع عن بیع المجهول و لو لم یلزم غررٌ،غیر مسلّم.</w:t>
      </w:r>
    </w:p>
    <w:p>
      <w:pPr>
        <w:pStyle w:val="BookText"/>
      </w:pPr>
      <w:r>
        <w:rPr>
          <w:rFonts w:ascii="IRNazanin" w:hAnsi="IRNazanin" w:eastAsia="IRNazanin" w:cs="IRNazanin"/>
          <w:lang w:bidi="fa-IR"/>
          <w:color w:val="111111"/>
          <w:sz w:val="28"/>
          <w:szCs w:val="28"/>
          <w:rtl/>
        </w:rPr>
        <w:t xml:space="preserve">نعم،وقع فی معقد بعض الإجماعات ما یظهر منه صدق کلتا المقدّمتین.</w:t>
      </w:r>
    </w:p>
    <w:p>
      <w:pPr>
        <w:pStyle w:val="BookText"/>
      </w:pPr>
      <w:r>
        <w:rPr>
          <w:rFonts w:ascii="IRNazanin" w:hAnsi="IRNazanin" w:eastAsia="IRNazanin" w:cs="IRNazanin"/>
          <w:lang w:bidi="fa-IR"/>
          <w:color w:val="111111"/>
          <w:sz w:val="28"/>
          <w:szCs w:val="28"/>
          <w:rtl/>
        </w:rPr>
        <w:t xml:space="preserve">ففی السرائر بعد نقل الروایة التی رواها فی الخلاف علی جواز بیع عبدٍ من عبدین قال:إنّ ما اشتملت علیه الروایة مخالفٌ لما علیه الأُمّة بأسرها،منافٍ لأُصول مذهب أصحابنا و فتاویهم و تصانیفهم؛لأنّ المبیع إذا کان مجهولاً کان البیع باطلاً بغیر خلاف </w:t>
      </w:r>
      <w:r>
        <w:rPr>
          <w:rStyle w:val="FootnoteReference"/>
        </w:rPr>
        <w:footnoteReference w:id="18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الخلاف فی باب السلَم-:أنّه لو قال:«أشتری منک أحد</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هذین العبدین أو هؤلاء العبید»لم یصحّ الشراء.دلیلنا:أنّه بیع مجهول فیجب أن لا یصحّ،و لأنه بیع غرر لاختلاف قیمتی العبدین،و لأنه لا دلیل علی صحّة ذلک فی الشرع.و قد ذکرنا هذه المسألة فی البیوع و قلنا:إنّ أصحابنا رووا جواز ذلک فی العبدین،فإن قلنا بذلک تبعنا فیه الروایة،و لم یقس </w:t>
      </w:r>
      <w:r>
        <w:rPr>
          <w:rStyle w:val="FootnoteReference"/>
        </w:rPr>
        <w:footnoteReference w:id="1830"/>
      </w:r>
      <w:r>
        <w:rPr>
          <w:rFonts w:ascii="IRNazanin" w:hAnsi="IRNazanin" w:eastAsia="IRNazanin" w:cs="IRNazanin"/>
          <w:lang w:bidi="fa-IR"/>
          <w:color w:val="111111"/>
          <w:sz w:val="28"/>
          <w:szCs w:val="28"/>
          <w:rtl/>
        </w:rPr>
        <w:t xml:space="preserve">غیرها علیها </w:t>
      </w:r>
      <w:r>
        <w:rPr>
          <w:rStyle w:val="FootnoteReference"/>
        </w:rPr>
        <w:footnoteReference w:id="183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عبارته المحکیة فی باب البیوع هی:أنّه روی أصحابنا أنّه إذا اشتری عبداً من عبدین علی أنّ للمشتری أن یختار أیّهما شاء،أنّه جائز،و لم یرووا فی الثوبین شیئاً.ثمّ قال:دلیلنا إجماع الفرقة، و قوله صلّی اللّٰه علیه و آله و سلم:«المؤمنون عند شروطهم» </w:t>
      </w:r>
      <w:r>
        <w:rPr>
          <w:rStyle w:val="FootnoteReference"/>
        </w:rPr>
        <w:footnoteReference w:id="183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سیأتی أیضاً فی کلام فخر الدین أنّ عدم تشخیص المبیع،من الغرر الذی یوجب النهی عنه الفساد إجماعاً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هذه الکلمات صدق الجهالة و کون مثلها قادحة اتّفاقاً مع فرض عدم نصٍّ،بل قد عرفت ردّ الحلّی للنصّ المجوّز بمخالفته لإجماع الأُمّة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من منع کبری الوجه الأوّل یظهر حال الوجه الثانی من وجوه المنع،أعنی کون الإبهام مبطلاً.</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الوجه الثالث،فیردّه منع لزوم الغَرَر مع فرض اتّفاق الأفراد فی الصفات الموجبة لاختلاف القیمة؛و لذا یجوز الإسلاف فی الکلیّ من هذه الأفراد،مع أنّ الانضباط فی السلَم آکد.و أیضاً فقد جوّزوا بیع الصاع الکلیّ من الصبرة،و لا فرق بینهما من حیث الغرر قطعاً؛و لذا ردّ فی الإیضاح حمل الصاع من الصبرة علی الکلیّ برجوعه إلی عدم تعیین المبیع الموجب للغرر المفسد إجماعاً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الرابع،فبمنع احتیاج صفة الملک إلی موجودٍ خارجیٍّ،فإنّ الکلیّ المبیع سَلَماً أو حالّا مملوکٌ للمشتری،و لا وجود لفردٍ منه فی الخارج بصفة کونه مملوکاً للمشتری،فالوجه أنّ الملکیّة أمرٌ اعتباریٌّ یعتبره العرف و الشرع أو أحدهما فی موارده،و لیست صفةً وجودیّةً متأصّلةً کالحموضة و السواد؛و لذا صرّحوا بصحّة الوصیّة بأحد الشیئین، بل لأحد </w:t>
      </w:r>
      <w:r>
        <w:rPr>
          <w:rStyle w:val="FootnoteReference"/>
        </w:rPr>
        <w:footnoteReference w:id="1836"/>
      </w:r>
      <w:r>
        <w:rPr>
          <w:rFonts w:ascii="IRNazanin" w:hAnsi="IRNazanin" w:eastAsia="IRNazanin" w:cs="IRNazanin"/>
          <w:lang w:bidi="fa-IR"/>
          <w:color w:val="111111"/>
          <w:sz w:val="28"/>
          <w:szCs w:val="28"/>
          <w:rtl/>
        </w:rPr>
        <w:t xml:space="preserve">الشخصین و نحوهما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فالإنصاف کما اعترف به جماعةٌ </w:t>
      </w:r>
      <w:r>
        <w:rPr>
          <w:rStyle w:val="FootnoteReference"/>
        </w:rPr>
        <w:footnoteReference w:id="1838"/>
      </w:r>
      <w:r>
        <w:rPr>
          <w:rFonts w:ascii="IRNazanin" w:hAnsi="IRNazanin" w:eastAsia="IRNazanin" w:cs="IRNazanin"/>
          <w:lang w:bidi="fa-IR"/>
          <w:color w:val="111111"/>
          <w:sz w:val="28"/>
          <w:szCs w:val="28"/>
          <w:rtl/>
        </w:rPr>
        <w:t xml:space="preserve">أوّلهم المحقّق الأردبیلی عدم دلیلٍ معتبرٍ علی المنع.</w:t>
      </w:r>
    </w:p>
    <w:p>
      <w:pPr>
        <w:pStyle w:val="BookText"/>
      </w:pPr>
      <w:r>
        <w:rPr>
          <w:rFonts w:ascii="IRNazanin" w:hAnsi="IRNazanin" w:eastAsia="IRNazanin" w:cs="IRNazanin"/>
          <w:lang w:bidi="fa-IR"/>
          <w:color w:val="111111"/>
          <w:sz w:val="28"/>
          <w:szCs w:val="28"/>
          <w:rtl/>
        </w:rPr>
        <w:t xml:space="preserve">قال فی شرح الإرشاد علی ما حکی عنه بعد أن حکی عن الأصحاب المنع عن بیع ذراعٍ من کرباسٍ من غیر تقیید کونه من أیّ الطرفین،قال:و فیه تأمّلٌ،إذ لم یقم دلیلٌ علی اعتبار هذا المقدار من</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العلم،فإنّهما إذا تراضیا علی ذراع من هذا الکرباس من أیّ طرف أراد المشتری أو من أیّ جانب کان من الأرض،فما المانع بعد العلم بذلک؟ </w:t>
      </w:r>
      <w:r>
        <w:rPr>
          <w:rStyle w:val="FootnoteReference"/>
        </w:rPr>
        <w:footnoteReference w:id="183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فالدلیل هو الإجماع لو ثبت،و قد عرفت من </w:t>
      </w:r>
      <w:r>
        <w:rPr>
          <w:rStyle w:val="FootnoteReference"/>
        </w:rPr>
        <w:footnoteReference w:id="1840"/>
      </w:r>
      <w:r>
        <w:rPr>
          <w:rFonts w:ascii="IRNazanin" w:hAnsi="IRNazanin" w:eastAsia="IRNazanin" w:cs="IRNazanin"/>
          <w:lang w:bidi="fa-IR"/>
          <w:color w:val="111111"/>
          <w:sz w:val="28"/>
          <w:szCs w:val="28"/>
          <w:rtl/>
        </w:rPr>
        <w:t xml:space="preserve">غیر واحد نسبته إلی الأصحاب.</w:t>
      </w:r>
    </w:p>
    <w:p>
      <w:pPr>
        <w:pStyle w:val="BookText"/>
      </w:pPr>
      <w:r>
        <w:rPr>
          <w:rFonts w:ascii="IRNazanin" w:hAnsi="IRNazanin" w:eastAsia="IRNazanin" w:cs="IRNazanin"/>
          <w:lang w:bidi="fa-IR"/>
          <w:color w:val="111111"/>
          <w:sz w:val="28"/>
          <w:szCs w:val="28"/>
          <w:rtl/>
        </w:rPr>
        <w:t xml:space="preserve">قال بعض الأساطین فی شرحه علی القواعد بعد حکم المصنّف بصحّة بیع الذراع من الثوب و الأرض،الراجع إلی بیع الکسر المشاع قال:و إن قصدا معیّناً </w:t>
      </w:r>
      <w:r>
        <w:rPr>
          <w:rStyle w:val="FootnoteReference"/>
        </w:rPr>
        <w:footnoteReference w:id="1841"/>
      </w:r>
      <w:r>
        <w:rPr>
          <w:rFonts w:ascii="IRNazanin" w:hAnsi="IRNazanin" w:eastAsia="IRNazanin" w:cs="IRNazanin"/>
          <w:lang w:bidi="fa-IR"/>
          <w:color w:val="111111"/>
          <w:sz w:val="28"/>
          <w:szCs w:val="28"/>
          <w:rtl/>
        </w:rPr>
        <w:t xml:space="preserve">أو کلّیاً لا علی وجه الإشاعة بطل؛لحصول الغرر بالإبهام فی الأوّل،و کونه بیع المعدوم،و باختلاف الأغراض فی الثانی غالباً،فیلحق به النادر،و للإجماع المنقول فیه إلی أن قال:</w:t>
      </w:r>
    </w:p>
    <w:p>
      <w:pPr>
        <w:pStyle w:val="BookText"/>
      </w:pPr>
      <w:r>
        <w:rPr>
          <w:rFonts w:ascii="IRNazanin" w:hAnsi="IRNazanin" w:eastAsia="IRNazanin" w:cs="IRNazanin"/>
          <w:lang w:bidi="fa-IR"/>
          <w:color w:val="111111"/>
          <w:sz w:val="28"/>
          <w:szCs w:val="28"/>
          <w:rtl/>
        </w:rPr>
        <w:t xml:space="preserve">و الظاهر بعد إمعان النظر و نهایة التتبّع أنّ الغرر الشرعی لا یستلزم الغرر العرفی و بالعکس،و ارتفاع الجهالة فی الخصوصیّة قد لا یثمر مع حصولها فی أصل الماهیّة،و لعلّ الدائرة فی الشرع أضیق،و إن کان بین المصطلحین عموم و خصوص من وجهین </w:t>
      </w:r>
      <w:r>
        <w:rPr>
          <w:rStyle w:val="FootnoteReference"/>
        </w:rPr>
        <w:footnoteReference w:id="1842"/>
      </w:r>
      <w:r>
        <w:rPr>
          <w:rFonts w:ascii="IRNazanin" w:hAnsi="IRNazanin" w:eastAsia="IRNazanin" w:cs="IRNazanin"/>
          <w:lang w:bidi="fa-IR"/>
          <w:color w:val="111111"/>
          <w:sz w:val="28"/>
          <w:szCs w:val="28"/>
          <w:rtl/>
        </w:rPr>
        <w:t xml:space="preserve">،و فهم الأصحاب مقدّم؛لأنّهم أدری بمذاق الشارع و أعلم </w:t>
      </w:r>
      <w:r>
        <w:rPr>
          <w:rStyle w:val="FootnoteReference"/>
        </w:rPr>
        <w:footnoteReference w:id="184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لقد أجاد حیث التجأ إلی فهم الأصحاب فیما یخالف العمومات.</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6" w:name="pg14419_167156"/>
    <w:bookmarkEnd w:id="256"/>
    <w:p>
      <w:pPr>
        <w:pStyle w:val="Heading6"/>
      </w:pPr>
      <w:bookmarkStart w:id="1089" w:name="_Toc529"/>
      <w:r>
        <w:t>فرع</w:t>
      </w:r>
      <w:bookmarkEnd w:id="1089"/>
    </w:p>
    <w:p>
      <w:pPr>
        <w:pStyle w:val="BookText"/>
      </w:pPr>
      <w:r>
        <w:rPr>
          <w:rFonts w:ascii="IRNazanin" w:hAnsi="IRNazanin" w:eastAsia="IRNazanin" w:cs="IRNazanin"/>
          <w:lang w:bidi="fa-IR"/>
          <w:color w:val="111111"/>
          <w:sz w:val="28"/>
          <w:szCs w:val="28"/>
          <w:rtl/>
        </w:rPr>
        <w:t xml:space="preserve">علی المشهور من المنع،لو اتّفقا علی أنّهما أرادا غیر شائعٍ لم یصحّ البیع؛</w:t>
      </w:r>
    </w:p>
    <w:p>
      <w:pPr>
        <w:pStyle w:val="BookText"/>
      </w:pPr>
      <w:r>
        <w:rPr>
          <w:rFonts w:ascii="IRNazanin" w:hAnsi="IRNazanin" w:eastAsia="IRNazanin" w:cs="IRNazanin"/>
          <w:lang w:bidi="fa-IR"/>
          <w:color w:val="111111"/>
          <w:sz w:val="28"/>
          <w:szCs w:val="28"/>
          <w:rtl/>
        </w:rPr>
        <w:t xml:space="preserve">لاتّفاقهما علی بطلانه.</w:t>
      </w:r>
    </w:p>
    <w:p>
      <w:pPr>
        <w:pStyle w:val="BookText"/>
      </w:pPr>
      <w:r>
        <w:rPr>
          <w:rFonts w:ascii="IRNazanin" w:hAnsi="IRNazanin" w:eastAsia="IRNazanin" w:cs="IRNazanin"/>
          <w:lang w:bidi="fa-IR"/>
          <w:color w:val="111111"/>
          <w:sz w:val="28"/>
          <w:szCs w:val="28"/>
          <w:rtl/>
        </w:rPr>
        <w:t xml:space="preserve">و لو اختلفا فادّعی المشتری الإشاعة فیصحّ البیع،و قال البائع:</w:t>
      </w:r>
    </w:p>
    <w:p>
      <w:pPr>
        <w:pStyle w:val="BookText"/>
      </w:pPr>
      <w:r>
        <w:rPr>
          <w:rFonts w:ascii="IRNazanin" w:hAnsi="IRNazanin" w:eastAsia="IRNazanin" w:cs="IRNazanin"/>
          <w:lang w:bidi="fa-IR"/>
          <w:color w:val="111111"/>
          <w:sz w:val="28"/>
          <w:szCs w:val="28"/>
          <w:rtl/>
        </w:rPr>
        <w:t xml:space="preserve">أردت معیّناً،ففی التذکرة:الأقرب قبول قول المشتری؛عملاً بأصالة الصحّة و أصالة عدم التعیین </w:t>
      </w:r>
      <w:r>
        <w:rPr>
          <w:rStyle w:val="FootnoteReference"/>
        </w:rPr>
        <w:footnoteReference w:id="184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حسن لو لم یتسالما علی صیغة ظاهرة فی أحد المعنیین،أمّا معه فالمتّبع </w:t>
      </w:r>
      <w:r>
        <w:rPr>
          <w:rStyle w:val="FootnoteReference"/>
        </w:rPr>
        <w:footnoteReference w:id="1845"/>
      </w:r>
      <w:r>
        <w:rPr>
          <w:rFonts w:ascii="Amiri" w:hAnsi="Amiri" w:eastAsia="Amiri" w:cs="Amiri"/>
          <w:lang w:bidi="ar-SA"/>
          <w:color w:val="111111"/>
          <w:sz w:val="28"/>
          <w:szCs w:val="28"/>
          <w:rtl/>
        </w:rPr>
        <w:t xml:space="preserve">هو الظاهر،و أصالة الصحّة لا تصرف الظواهر </w:t>
      </w:r>
      <w:r>
        <w:rPr>
          <w:rStyle w:val="FootnoteReference"/>
        </w:rPr>
        <w:footnoteReference w:id="1846"/>
      </w:r>
      <w:r>
        <w:rPr>
          <w:rFonts w:ascii="IRNazanin" w:hAnsi="IRNazanin" w:eastAsia="IRNazanin" w:cs="IRNazanin"/>
          <w:lang w:bidi="fa-IR"/>
          <w:color w:val="111111"/>
          <w:sz w:val="28"/>
          <w:szCs w:val="28"/>
          <w:rtl/>
        </w:rPr>
        <w:t xml:space="preserve">.و أمّا أصالة عدم التعیین فلم أتحقّقها.</w:t>
      </w:r>
    </w:p>
    <w:p>
      <w:pPr>
        <w:pStyle w:val="BookText"/>
      </w:pPr>
      <w:r>
        <w:rPr>
          <w:rFonts w:ascii="IRNazanin" w:hAnsi="IRNazanin" w:eastAsia="IRNazanin" w:cs="IRNazanin"/>
          <w:lang w:bidi="fa-IR"/>
          <w:color w:val="111111"/>
          <w:sz w:val="28"/>
          <w:szCs w:val="28"/>
          <w:rtl/>
        </w:rPr>
        <w:t xml:space="preserve">و ذکر بعض من قارب عصرنا </w:t>
      </w:r>
      <w:r>
        <w:rPr>
          <w:rStyle w:val="FootnoteReference"/>
        </w:rPr>
        <w:footnoteReference w:id="1847"/>
      </w:r>
      <w:r>
        <w:rPr>
          <w:rFonts w:ascii="IRNazanin" w:hAnsi="IRNazanin" w:eastAsia="IRNazanin" w:cs="IRNazanin"/>
          <w:lang w:bidi="fa-IR"/>
          <w:color w:val="111111"/>
          <w:sz w:val="28"/>
          <w:szCs w:val="28"/>
          <w:rtl/>
        </w:rPr>
        <w:t xml:space="preserve">:أنّه لو فرض للکلام ظهور فی عدم </w:t>
      </w:r>
      <w:r>
        <w:rPr>
          <w:rStyle w:val="FootnoteReference"/>
        </w:rPr>
        <w:footnoteReference w:id="1848"/>
      </w:r>
      <w:r>
        <w:rPr>
          <w:rFonts w:ascii="IRNazanin" w:hAnsi="IRNazanin" w:eastAsia="IRNazanin" w:cs="IRNazanin"/>
          <w:lang w:bidi="fa-IR"/>
          <w:color w:val="111111"/>
          <w:sz w:val="28"/>
          <w:szCs w:val="28"/>
          <w:rtl/>
        </w:rPr>
        <w:t xml:space="preserve">الإشاعة کان حمل الفعل علی الصحّة قرینة صارفة.و فیه نظر.</w:t>
      </w:r>
    </w:p>
    <w:p>
      <w:pPr>
        <w:pStyle w:val="Heading6"/>
      </w:pPr>
      <w:bookmarkStart w:id="1090" w:name="_Toc530"/>
      <w:r>
        <w:t>الثالث من وجوه بیع البعض من الکلّ : أن یکون المبیع طبیعة کلّیة منحصرة المصادیق فی الأفراد المتصوّرة فی تلک الجملة</w:t>
      </w:r>
      <w:bookmarkEnd w:id="1090"/>
    </w:p>
    <w:p>
      <w:pPr>
        <w:pStyle w:val="Heading6"/>
      </w:pPr>
      <w:bookmarkStart w:id="1091" w:name="_Toc531"/>
      <w:r>
        <w:t>اشارة</w:t>
      </w:r>
      <w:bookmarkEnd w:id="1091"/>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7" w:name="pg14419_167157"/>
    <w:bookmarkEnd w:id="257"/>
    <w:p>
      <w:pPr>
        <w:pStyle w:val="Heading6"/>
      </w:pPr>
      <w:bookmarkStart w:id="1092" w:name="_Toc532"/>
      <w:r>
        <w:t>و الفرق بین هذا الوجه و الوجه الثانی</w:t>
      </w:r>
      <w:bookmarkEnd w:id="1092"/>
    </w:p>
    <w:p>
      <w:pPr>
        <w:pStyle w:val="BookText"/>
      </w:pPr>
      <w:r>
        <w:rPr>
          <w:rFonts w:ascii="IRNazanin" w:hAnsi="IRNazanin" w:eastAsia="IRNazanin" w:cs="IRNazanin"/>
          <w:lang w:bidi="fa-IR"/>
          <w:color w:val="111111"/>
          <w:sz w:val="28"/>
          <w:szCs w:val="28"/>
          <w:rtl/>
        </w:rPr>
        <w:t xml:space="preserve">کما حقّقه فی جامع المقاصد بعد التمثیل للثانی بما إذا فرّق الصیعان،و قال:بعتک أحدها-:أنّ المبیع هناک </w:t>
      </w:r>
      <w:r>
        <w:rPr>
          <w:rStyle w:val="FootnoteReference"/>
        </w:rPr>
        <w:footnoteReference w:id="1849"/>
      </w:r>
      <w:r>
        <w:rPr>
          <w:rFonts w:ascii="Amiri" w:hAnsi="Amiri" w:eastAsia="Amiri" w:cs="Amiri"/>
          <w:lang w:bidi="ar-SA"/>
          <w:color w:val="111111"/>
          <w:sz w:val="28"/>
          <w:szCs w:val="28"/>
          <w:rtl/>
        </w:rPr>
        <w:t xml:space="preserve">واحدٌ من الصیعان المتمیّزة المتشخّصة غیر معیّنٍ </w:t>
      </w:r>
      <w:r>
        <w:rPr>
          <w:rStyle w:val="FootnoteReference"/>
        </w:rPr>
        <w:footnoteReference w:id="1850"/>
      </w:r>
      <w:r>
        <w:rPr>
          <w:rFonts w:ascii="IRNazanin" w:hAnsi="IRNazanin" w:eastAsia="IRNazanin" w:cs="IRNazanin"/>
          <w:lang w:bidi="fa-IR"/>
          <w:color w:val="111111"/>
          <w:sz w:val="28"/>
          <w:szCs w:val="28"/>
          <w:rtl/>
        </w:rPr>
        <w:t xml:space="preserve">،فیکون بیعه مشتملاً علی الغرر.و فی هذا الوجه أمر کلیّ‌ٌ غیر متشخّصٍ و لا متمیّزٍ بنفسه،و یتقوّم بکلّ واحدٍ من صیعان الصبرة و یوجد به؛و مثله ما لو قسّم الأرباع و باع ربعاً منها من غیر تعیین.و لو باع ربعاً قبل القسمة صحّ و تنزّل علی واحدٍ منها مشاعاً؛لأنّه حینئذٍ أمر کلیّ‌ٌ.فإن قلت:</w:t>
      </w:r>
    </w:p>
    <w:p>
      <w:pPr>
        <w:pStyle w:val="BookText"/>
      </w:pPr>
      <w:r>
        <w:rPr>
          <w:rFonts w:ascii="IRNazanin" w:hAnsi="IRNazanin" w:eastAsia="IRNazanin" w:cs="IRNazanin"/>
          <w:lang w:bidi="fa-IR"/>
          <w:color w:val="111111"/>
          <w:sz w:val="28"/>
          <w:szCs w:val="28"/>
          <w:rtl/>
        </w:rPr>
        <w:t xml:space="preserve">المبیع فی الأُولی أیضاً أمر کلیّ‌ٌ.قلنا:لیس کذلک،بل هو واحدٌ من تلک الصیعان المتشخّصة،مبهم بحسب صورة العبارة،فیشبه الأمر الکلیّ،و بحسب الواقع جزئیٌّ غیر معیّن و لا معلوم.و المقتضی لهذا المعنی هو تفریق الصیعان،و جعل کلّ واحد منها </w:t>
      </w:r>
      <w:r>
        <w:rPr>
          <w:rStyle w:val="FootnoteReference"/>
        </w:rPr>
        <w:footnoteReference w:id="1851"/>
      </w:r>
      <w:r>
        <w:rPr>
          <w:rFonts w:ascii="IRNazanin" w:hAnsi="IRNazanin" w:eastAsia="IRNazanin" w:cs="IRNazanin"/>
          <w:lang w:bidi="fa-IR"/>
          <w:color w:val="111111"/>
          <w:sz w:val="28"/>
          <w:szCs w:val="28"/>
          <w:rtl/>
        </w:rPr>
        <w:t xml:space="preserve">برأسه،فصار إطلاق أحدها منزَّلاً علی شخصیٍّ غیر معلوم،فصار کبیع أحد الشیاه و أحد العبید.و لو أنّه قال:بعتک صاعاً من هذه شائعاً فی جملتها،لحکمنا بالصحّة </w:t>
      </w:r>
      <w:r>
        <w:rPr>
          <w:rStyle w:val="FootnoteReference"/>
        </w:rPr>
        <w:footnoteReference w:id="185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حاصله:أنّ المبیع مع التردید جزئیٌّ حقیقیٌّ،فیمتاز عن المبیع الکلیّ الصادق علی الأفراد المتصوّرة فی تلک الجملة.</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الإیضاح:أنّ الفرق بینهما هو الفرق بین الکلیّ المقیّد بالوحدة و بین الفرد المنتشر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الظاهر صحّة بیع الکلیّ بهذا المعنی،کما هو صریح جماعةٍ، منهم الشیخ </w:t>
      </w:r>
      <w:r>
        <w:rPr>
          <w:rStyle w:val="FootnoteReference"/>
        </w:rPr>
        <w:footnoteReference w:id="1854"/>
      </w:r>
      <w:r>
        <w:rPr>
          <w:rFonts w:ascii="IRNazanin" w:hAnsi="IRNazanin" w:eastAsia="IRNazanin" w:cs="IRNazanin"/>
          <w:lang w:bidi="fa-IR"/>
          <w:color w:val="111111"/>
          <w:sz w:val="28"/>
          <w:szCs w:val="28"/>
          <w:rtl/>
        </w:rPr>
        <w:t xml:space="preserve">و الشهیدان </w:t>
      </w:r>
      <w:r>
        <w:rPr>
          <w:rStyle w:val="FootnoteReference"/>
        </w:rPr>
        <w:footnoteReference w:id="1855"/>
      </w:r>
      <w:r>
        <w:rPr>
          <w:rFonts w:ascii="IRNazanin" w:hAnsi="IRNazanin" w:eastAsia="IRNazanin" w:cs="IRNazanin"/>
          <w:lang w:bidi="fa-IR"/>
          <w:color w:val="111111"/>
          <w:sz w:val="28"/>
          <w:szCs w:val="28"/>
          <w:rtl/>
        </w:rPr>
        <w:t xml:space="preserve">و المحقّق الثانی </w:t>
      </w:r>
      <w:r>
        <w:rPr>
          <w:rStyle w:val="FootnoteReference"/>
        </w:rPr>
        <w:footnoteReference w:id="1856"/>
      </w:r>
      <w:r>
        <w:rPr>
          <w:rFonts w:ascii="IRNazanin" w:hAnsi="IRNazanin" w:eastAsia="IRNazanin" w:cs="IRNazanin"/>
          <w:lang w:bidi="fa-IR"/>
          <w:color w:val="111111"/>
          <w:sz w:val="28"/>
          <w:szCs w:val="28"/>
          <w:rtl/>
        </w:rPr>
        <w:t xml:space="preserve">و غیرهم </w:t>
      </w:r>
      <w:r>
        <w:rPr>
          <w:rStyle w:val="FootnoteReference"/>
        </w:rPr>
        <w:footnoteReference w:id="1857"/>
      </w:r>
      <w:r>
        <w:rPr>
          <w:rFonts w:ascii="IRNazanin" w:hAnsi="IRNazanin" w:eastAsia="IRNazanin" w:cs="IRNazanin"/>
          <w:lang w:bidi="fa-IR"/>
          <w:color w:val="111111"/>
          <w:sz w:val="28"/>
          <w:szCs w:val="28"/>
          <w:rtl/>
        </w:rPr>
        <w:t xml:space="preserve">،بل الظاهر عدم الخلاف فیه و إن اختلفوا فی تنزیل الصاع من الصبرة علی الکلیّ أو الإشاعة.</w:t>
      </w:r>
    </w:p>
    <w:p>
      <w:pPr>
        <w:pStyle w:val="BookText"/>
      </w:pPr>
      <w:r>
        <w:rPr>
          <w:rFonts w:ascii="IRNazanin" w:hAnsi="IRNazanin" w:eastAsia="IRNazanin" w:cs="IRNazanin"/>
          <w:lang w:bidi="fa-IR"/>
          <w:color w:val="111111"/>
          <w:sz w:val="28"/>
          <w:szCs w:val="28"/>
          <w:rtl/>
        </w:rPr>
        <w:t xml:space="preserve">لکن یظهر ممّا عن الإیضاح وجود الخلاف فی صحّة بیع الکلیّ و أنّ منشأ القول بالتنزیل علی الإشاعة هو بطلان بیع الکلیّ بهذا المعنی، و الکلیّ الذی یجوز بیعه هو ما یکون فی الذمّة.</w:t>
      </w:r>
    </w:p>
    <w:p>
      <w:pPr>
        <w:pStyle w:val="BookText"/>
      </w:pPr>
      <w:r>
        <w:rPr>
          <w:rFonts w:ascii="IRNazanin" w:hAnsi="IRNazanin" w:eastAsia="IRNazanin" w:cs="IRNazanin"/>
          <w:lang w:bidi="fa-IR"/>
          <w:color w:val="111111"/>
          <w:sz w:val="28"/>
          <w:szCs w:val="28"/>
          <w:rtl/>
        </w:rPr>
        <w:t xml:space="preserve">قال فی الإیضاح فی ترجیح التنزیل علی الإشاعة:إنّه لو لم یکن مشاعاً لکان غیر معیّن،فلا یکون معلوم العین،و هو الغرر الذی یدلّ النهی عنه علی الفساد إجماعاً،و لأنّ أحدهما بعینه لو وقع البیع علیه ترجّح </w:t>
      </w:r>
      <w:r>
        <w:rPr>
          <w:rStyle w:val="FootnoteReference"/>
        </w:rPr>
        <w:footnoteReference w:id="1858"/>
      </w:r>
      <w:r>
        <w:rPr>
          <w:rFonts w:ascii="IRNazanin" w:hAnsi="IRNazanin" w:eastAsia="IRNazanin" w:cs="IRNazanin"/>
          <w:lang w:bidi="fa-IR"/>
          <w:color w:val="111111"/>
          <w:sz w:val="28"/>
          <w:szCs w:val="28"/>
          <w:rtl/>
        </w:rPr>
        <w:t xml:space="preserve">من غیر مرجّح،و لا بعینه هو المبهم،و إبهام المبیع مبطل </w:t>
      </w:r>
      <w:r>
        <w:rPr>
          <w:rStyle w:val="FootnoteReference"/>
        </w:rPr>
        <w:footnoteReference w:id="185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تبعه بعض المعاصرین </w:t>
      </w:r>
      <w:r>
        <w:rPr>
          <w:rStyle w:val="FootnoteReference"/>
        </w:rPr>
        <w:footnoteReference w:id="1860"/>
      </w:r>
      <w:r>
        <w:rPr>
          <w:rFonts w:ascii="IRNazanin" w:hAnsi="IRNazanin" w:eastAsia="IRNazanin" w:cs="IRNazanin"/>
          <w:lang w:bidi="fa-IR"/>
          <w:color w:val="111111"/>
          <w:sz w:val="28"/>
          <w:szCs w:val="28"/>
          <w:rtl/>
        </w:rPr>
        <w:t xml:space="preserve">مستنداً تارةً إلی ما فی الإیضاح من لزوم الإبهام و الغرر،و أُخری إلی عدم معهودیّة ملک الکلیّ فی غیر الذمّة لا علی وجه الإشاعة،و ثالثةً باتّفاقهم علی تنزیل الأرطال المستثناة من بیع الثمرة علی الإشاعة.</w:t>
      </w:r>
    </w:p>
    <w:p>
      <w:pPr>
        <w:pStyle w:val="BookText"/>
      </w:pPr>
      <w:r>
        <w:rPr>
          <w:rFonts w:ascii="IRNazanin" w:hAnsi="IRNazanin" w:eastAsia="IRNazanin" w:cs="IRNazanin"/>
          <w:lang w:bidi="fa-IR"/>
          <w:color w:val="111111"/>
          <w:sz w:val="28"/>
          <w:szCs w:val="28"/>
          <w:rtl/>
        </w:rPr>
        <w:t xml:space="preserve">و یردّ الأوّل:ما عرفت من منع الغرر فی بیع الفرد المنتشر، فکیف نسلّم فی الکلیّ.</w:t>
      </w:r>
    </w:p>
    <w:p>
      <w:pPr>
        <w:pStyle w:val="BookText"/>
      </w:pPr>
      <w:r>
        <w:rPr>
          <w:rFonts w:ascii="IRNazanin" w:hAnsi="IRNazanin" w:eastAsia="IRNazanin" w:cs="IRNazanin"/>
          <w:lang w:bidi="fa-IR"/>
          <w:color w:val="111111"/>
          <w:sz w:val="28"/>
          <w:szCs w:val="28"/>
          <w:rtl/>
        </w:rPr>
        <w:t xml:space="preserve">و الثانی:بأنّه معهود فی الوصیّة و الإصداق؛مع أنّه لم یفهم مراده من المعهودیّة،فإنّ أنواع الملک بل کلّ جنس لا یعهد تحقّق أحدها فی مورد الآخر،إلّا أن یراد منه عدم وجود موردٍ یقینیٍّ </w:t>
      </w:r>
      <w:r>
        <w:rPr>
          <w:rStyle w:val="FootnoteReference"/>
        </w:rPr>
        <w:footnoteReference w:id="1861"/>
      </w:r>
      <w:r>
        <w:rPr>
          <w:rFonts w:ascii="IRNazanin" w:hAnsi="IRNazanin" w:eastAsia="IRNazanin" w:cs="IRNazanin"/>
          <w:lang w:bidi="fa-IR"/>
          <w:color w:val="111111"/>
          <w:sz w:val="28"/>
          <w:szCs w:val="28"/>
          <w:rtl/>
        </w:rPr>
        <w:t xml:space="preserve">حکم فیه الشارع بملکیّة الکلیّ المشترک بین أفراد موجودة،فیکفی </w:t>
      </w:r>
      <w:r>
        <w:rPr>
          <w:rStyle w:val="FootnoteReference"/>
        </w:rPr>
        <w:footnoteReference w:id="1862"/>
      </w:r>
      <w:r>
        <w:rPr>
          <w:rFonts w:ascii="IRNazanin" w:hAnsi="IRNazanin" w:eastAsia="IRNazanin" w:cs="IRNazanin"/>
          <w:lang w:bidi="fa-IR"/>
          <w:color w:val="111111"/>
          <w:sz w:val="28"/>
          <w:szCs w:val="28"/>
          <w:rtl/>
        </w:rPr>
        <w:t xml:space="preserve">فی ردّه النقض بالوصیّة و شبهها.</w:t>
      </w:r>
    </w:p>
    <w:p>
      <w:pPr>
        <w:pStyle w:val="BookText"/>
      </w:pPr>
      <w:r>
        <w:rPr>
          <w:rFonts w:ascii="IRNazanin" w:hAnsi="IRNazanin" w:eastAsia="IRNazanin" w:cs="IRNazanin"/>
          <w:lang w:bidi="fa-IR"/>
          <w:color w:val="111111"/>
          <w:sz w:val="28"/>
          <w:szCs w:val="28"/>
          <w:rtl/>
        </w:rPr>
        <w:t xml:space="preserve">هذا کلّه مضافاً إلی صحیحة الأطنان الآتیة </w:t>
      </w:r>
      <w:r>
        <w:rPr>
          <w:rStyle w:val="FootnoteReference"/>
        </w:rPr>
        <w:footnoteReference w:id="1863"/>
      </w:r>
      <w:r>
        <w:rPr>
          <w:rFonts w:ascii="IRNazanin" w:hAnsi="IRNazanin" w:eastAsia="IRNazanin" w:cs="IRNazanin"/>
          <w:lang w:bidi="fa-IR"/>
          <w:color w:val="111111"/>
          <w:sz w:val="28"/>
          <w:szCs w:val="28"/>
          <w:rtl/>
        </w:rPr>
        <w:t xml:space="preserve">،فإنّ موردها إمّا بیع الفرد المنتشر،و إمّا بیع الکلیّ فی الخارج.</w:t>
      </w:r>
    </w:p>
    <w:p>
      <w:pPr>
        <w:pStyle w:val="BookText"/>
      </w:pPr>
      <w:r>
        <w:rPr>
          <w:rFonts w:ascii="IRNazanin" w:hAnsi="IRNazanin" w:eastAsia="IRNazanin" w:cs="IRNazanin"/>
          <w:lang w:bidi="fa-IR"/>
          <w:color w:val="111111"/>
          <w:sz w:val="28"/>
          <w:szCs w:val="28"/>
          <w:rtl/>
        </w:rPr>
        <w:t xml:space="preserve">و أمّا الثالث:فسیأتی الکلام فیه إن شاء اللّٰه تعالی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8" w:name="pg14419_167160"/>
    <w:bookmarkEnd w:id="258"/>
    <w:p>
      <w:pPr>
        <w:pStyle w:val="Heading6"/>
      </w:pPr>
      <w:bookmarkStart w:id="1093" w:name="_Toc533"/>
      <w:r>
        <w:t>مسألة لو باع صاعاً من صبرة</w:t>
      </w:r>
      <w:bookmarkEnd w:id="1093"/>
    </w:p>
    <w:p>
      <w:pPr>
        <w:pStyle w:val="Heading6"/>
      </w:pPr>
      <w:bookmarkStart w:id="1094" w:name="_Toc534"/>
      <w:r>
        <w:t>اشارة</w:t>
      </w:r>
      <w:bookmarkEnd w:id="1094"/>
    </w:p>
    <w:p>
      <w:pPr>
        <w:pStyle w:val="BookText"/>
      </w:pPr>
      <w:r>
        <w:rPr>
          <w:rFonts w:ascii="IRNazanin" w:hAnsi="IRNazanin" w:eastAsia="IRNazanin" w:cs="IRNazanin"/>
          <w:lang w:bidi="fa-IR"/>
          <w:color w:val="111111"/>
          <w:sz w:val="28"/>
          <w:szCs w:val="28"/>
          <w:rtl/>
        </w:rPr>
        <w:t xml:space="preserve">فهل ینزّل علی الوجه الأوّل من الوجوه الثلاثة المتقدّمة أعنی:الکسر المشاع أو علی الوجه الثالث و هو الکلیّ،بناءً علی المشهور من صحّته؟وجهان،بل قولان،حکی ثانیهما عن الشیخ </w:t>
      </w:r>
      <w:r>
        <w:rPr>
          <w:rStyle w:val="FootnoteReference"/>
        </w:rPr>
        <w:footnoteReference w:id="1865"/>
      </w:r>
      <w:r>
        <w:rPr>
          <w:rFonts w:ascii="IRNazanin" w:hAnsi="IRNazanin" w:eastAsia="IRNazanin" w:cs="IRNazanin"/>
          <w:lang w:bidi="fa-IR"/>
          <w:color w:val="111111"/>
          <w:sz w:val="28"/>
          <w:szCs w:val="28"/>
          <w:rtl/>
        </w:rPr>
        <w:t xml:space="preserve">و الشهیدین </w:t>
      </w:r>
      <w:r>
        <w:rPr>
          <w:rStyle w:val="FootnoteReference"/>
        </w:rPr>
        <w:footnoteReference w:id="1866"/>
      </w:r>
      <w:r>
        <w:rPr>
          <w:rFonts w:ascii="IRNazanin" w:hAnsi="IRNazanin" w:eastAsia="IRNazanin" w:cs="IRNazanin"/>
          <w:lang w:bidi="fa-IR"/>
          <w:color w:val="111111"/>
          <w:sz w:val="28"/>
          <w:szCs w:val="28"/>
          <w:rtl/>
        </w:rPr>
        <w:t xml:space="preserve">و المحقّق الثانی </w:t>
      </w:r>
      <w:r>
        <w:rPr>
          <w:rStyle w:val="FootnoteReference"/>
        </w:rPr>
        <w:footnoteReference w:id="1867"/>
      </w:r>
      <w:r>
        <w:rPr>
          <w:rFonts w:ascii="Amiri" w:hAnsi="Amiri" w:eastAsia="Amiri" w:cs="Amiri"/>
          <w:lang w:bidi="ar-SA"/>
          <w:color w:val="111111"/>
          <w:sz w:val="28"/>
          <w:szCs w:val="28"/>
          <w:rtl/>
        </w:rPr>
        <w:t xml:space="preserve">و جماعة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له فی جامع المقاصد:بأنّه السابق إلی الفهم، و بروایة برید بن معاویة عن أبی عبد اللّٰه علیه السلام:«عن رجل</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اشتری </w:t>
      </w:r>
      <w:r>
        <w:rPr>
          <w:rStyle w:val="FootnoteReference"/>
        </w:rPr>
        <w:footnoteReference w:id="1869"/>
      </w:r>
      <w:r>
        <w:rPr>
          <w:rFonts w:ascii="IRNazanin" w:hAnsi="IRNazanin" w:eastAsia="IRNazanin" w:cs="IRNazanin"/>
          <w:lang w:bidi="fa-IR"/>
          <w:color w:val="111111"/>
          <w:sz w:val="28"/>
          <w:szCs w:val="28"/>
          <w:rtl/>
        </w:rPr>
        <w:t xml:space="preserve">عشرة آلاف طُنّ من أنبار بعضه علی بعض من أجمة واحدة، و الأنبار فیه ثلاثون ألف طُنّ،فقال البائع:قد بعتک من هذا القصب عشرة آلاف طُنّ.فقال المشتری:قد قبلت و اشتریت و رضیت،فأعطاه المشتری من ثمنه ألف درهم،و وکّل من یقبضه،فأصبحوا و قد وقع فی القصب نار فاحترق منه عشرون ألف طُنّ و بقی عشرة آلاف طُنّ، فقال علیه السلام:العشرة آلاف طُنّ التی بقیت هی للمشتری،و العشرون التی احترقت من مال البائع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دفع الأوّل:بأنّ مقتضی الوضع فی قوله:«صاعاً من صبرة»هو الفرد المنتشر الذی عرفت سابقاً </w:t>
      </w:r>
      <w:r>
        <w:rPr>
          <w:rStyle w:val="FootnoteReference"/>
        </w:rPr>
        <w:footnoteReference w:id="1871"/>
      </w:r>
      <w:r>
        <w:rPr>
          <w:rFonts w:ascii="IRNazanin" w:hAnsi="IRNazanin" w:eastAsia="IRNazanin" w:cs="IRNazanin"/>
          <w:lang w:bidi="fa-IR"/>
          <w:color w:val="111111"/>
          <w:sz w:val="28"/>
          <w:szCs w:val="28"/>
          <w:rtl/>
        </w:rPr>
        <w:t xml:space="preserve">أنّ المشهور بل الإجماع علی بطلانه.و مقتضی المعنی العرفی هو المقدار المقدّر بصاع،و ظاهره حینئذٍ الإشاعة،لأنّ المقدار المذکور من مجموع الصبرة مشاع فیه.</w:t>
      </w:r>
    </w:p>
    <w:p>
      <w:pPr>
        <w:pStyle w:val="BookText"/>
      </w:pPr>
      <w:r>
        <w:rPr>
          <w:rFonts w:ascii="IRNazanin" w:hAnsi="IRNazanin" w:eastAsia="IRNazanin" w:cs="IRNazanin"/>
          <w:lang w:bidi="fa-IR"/>
          <w:color w:val="111111"/>
          <w:sz w:val="28"/>
          <w:szCs w:val="28"/>
          <w:rtl/>
        </w:rPr>
        <w:t xml:space="preserve">و أمّا الروایة فهی أیضاً ظاهرة فی الفرد المنتشر،کما اعترف به فی الریاض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الإنصاف:أنّ العرف یعاملون فی البیع المذکور معاملة الکلیّ فیجعلون الخیار فی التعیین إلی البائع،و هذه أمارة فهمهم الکلیّ.</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9" w:name="pg14419_167162"/>
    <w:bookmarkEnd w:id="25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الروایة،فلو فرضنا ظهورها فی الفرد المنتشر فلا بأس بحملها علی الکلیّ لأجل القرینة الخارجیّة،و تدلّ علی عدم الإشاعة من حیث الحکم ببقاء المقدار المبیع و کونه مالاً للمشتری.</w:t>
      </w:r>
    </w:p>
    <w:p>
      <w:pPr>
        <w:pStyle w:val="BookText"/>
      </w:pPr>
      <w:r>
        <w:rPr>
          <w:rFonts w:ascii="IRNazanin" w:hAnsi="IRNazanin" w:eastAsia="IRNazanin" w:cs="IRNazanin"/>
          <w:lang w:bidi="fa-IR"/>
          <w:color w:val="111111"/>
          <w:sz w:val="28"/>
          <w:szCs w:val="28"/>
          <w:rtl/>
        </w:rPr>
        <w:t xml:space="preserve">فالقول الثانی لا یخلو من قوّة،بل لم نظفر بمن جزم بالأوّل و إن حکاه فی الإیضاح قولاً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6"/>
      </w:pPr>
      <w:bookmarkStart w:id="1095" w:name="_Toc535"/>
      <w:r>
        <w:t>ثمّ إنّه یتفرّع علی المختار من کون المبیع کلّیاً أُمور</w:t>
      </w:r>
      <w:bookmarkEnd w:id="1095"/>
    </w:p>
    <w:p>
      <w:pPr>
        <w:pStyle w:val="Heading6"/>
      </w:pPr>
      <w:bookmarkStart w:id="1096" w:name="_Toc536"/>
      <w:r>
        <w:t>أحدها : کون التخییر فی تعیینه بید البائع</w:t>
      </w:r>
      <w:bookmarkEnd w:id="1096"/>
    </w:p>
    <w:p>
      <w:pPr>
        <w:pStyle w:val="BookText"/>
      </w:pPr>
      <w:r>
        <w:rPr>
          <w:rFonts w:ascii="IRNazanin" w:hAnsi="IRNazanin" w:eastAsia="IRNazanin" w:cs="IRNazanin"/>
          <w:lang w:bidi="fa-IR"/>
          <w:color w:val="111111"/>
          <w:sz w:val="28"/>
          <w:szCs w:val="28"/>
          <w:rtl/>
        </w:rPr>
        <w:t xml:space="preserve">لأنّ المفروض أنّ المشتری لم یملک إلّا الطبیعة المعرّاة عن التشخّص الخاصّ،فلا یستحقّ علی البائع خصوصیّة فإذا طالب بخصوصیّة زائدة علی الطبیعة فقد طالب ما </w:t>
      </w:r>
      <w:r>
        <w:rPr>
          <w:rStyle w:val="FootnoteReference"/>
        </w:rPr>
        <w:footnoteReference w:id="1874"/>
      </w:r>
      <w:r>
        <w:rPr>
          <w:rFonts w:ascii="IRNazanin" w:hAnsi="IRNazanin" w:eastAsia="IRNazanin" w:cs="IRNazanin"/>
          <w:lang w:bidi="fa-IR"/>
          <w:color w:val="111111"/>
          <w:sz w:val="28"/>
          <w:szCs w:val="28"/>
          <w:rtl/>
        </w:rPr>
        <w:t xml:space="preserve">لیس حقّا له.و هذا جارٍ فی کلّ من ملک کلّیاً فی الذمّة أو فی الخارج،فلیس لمالکه اقتراح الخصوصیّة علی من علیه الکلیّ؛و لذا کان اختیار التعیین بید الوارث إذا أوصی المیّت لرجل بواحد من متعدّد یملکه المیّت،کعبدٍ من عبیده و نحو ذلک.</w:t>
      </w:r>
    </w:p>
    <w:p>
      <w:pPr>
        <w:pStyle w:val="BookText"/>
      </w:pPr>
      <w:r>
        <w:rPr>
          <w:rFonts w:ascii="IRNazanin" w:hAnsi="IRNazanin" w:eastAsia="IRNazanin" w:cs="IRNazanin"/>
          <w:lang w:bidi="fa-IR"/>
          <w:color w:val="111111"/>
          <w:sz w:val="28"/>
          <w:szCs w:val="28"/>
          <w:rtl/>
        </w:rPr>
        <w:t xml:space="preserve">إلّا أنّه قد جزم المحقّق القمّی قدّس سرّه فی غیر موضعٍ من أجوبة مسائله-:بأنّ الاختیار فی التعیین بید المشتری </w:t>
      </w:r>
      <w:r>
        <w:rPr>
          <w:rStyle w:val="FootnoteReference"/>
        </w:rPr>
        <w:footnoteReference w:id="1875"/>
      </w:r>
      <w:r>
        <w:rPr>
          <w:rFonts w:ascii="IRNazanin" w:hAnsi="IRNazanin" w:eastAsia="IRNazanin" w:cs="IRNazanin"/>
          <w:lang w:bidi="fa-IR"/>
          <w:color w:val="111111"/>
          <w:sz w:val="28"/>
          <w:szCs w:val="28"/>
          <w:rtl/>
        </w:rPr>
        <w:t xml:space="preserve">،و لم یعلم له وجه مصحّح،فیا لیته قاس ذلک علی طلب الطبیعة!حیث إنّ الطالب لمّا ملک الطبیعة علی المأمور و استحقّها منه لم یجز له بحکم العقل مطالبة خصوصیّة دون اخری،و کذلک مسألة التملیک کما لا یخفی.</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0" w:name="pg14419_167163"/>
    <w:bookmarkEnd w:id="260"/>
    <w:p>
      <w:pPr>
        <w:pStyle w:val="BookText"/>
      </w:pPr>
      <w:r>
        <w:rPr>
          <w:rFonts w:ascii="IRNazanin" w:hAnsi="IRNazanin" w:eastAsia="IRNazanin" w:cs="IRNazanin"/>
          <w:lang w:bidi="fa-IR"/>
          <w:color w:val="111111"/>
          <w:sz w:val="28"/>
          <w:szCs w:val="28"/>
          <w:rtl/>
        </w:rPr>
        <w:t xml:space="preserve">و أمّا علی الإشاعة:فلا اختیار لأحدهما،لحصول الشرکة، فیحتاج القسمة إلی التراضی.</w:t>
      </w:r>
    </w:p>
    <w:p>
      <w:pPr>
        <w:pStyle w:val="Heading6"/>
      </w:pPr>
      <w:bookmarkStart w:id="1097" w:name="_Toc537"/>
      <w:r>
        <w:t>و منها : أنّه لو تلف بعض الجملة و بقی مصداق الطبیعة انحصر حقّ المشتری فیه</w:t>
      </w:r>
      <w:bookmarkEnd w:id="1097"/>
    </w:p>
    <w:p>
      <w:pPr>
        <w:pStyle w:val="BookText"/>
      </w:pPr>
      <w:r>
        <w:rPr>
          <w:rFonts w:ascii="IRNazanin" w:hAnsi="IRNazanin" w:eastAsia="IRNazanin" w:cs="IRNazanin"/>
          <w:lang w:bidi="fa-IR"/>
          <w:color w:val="111111"/>
          <w:sz w:val="28"/>
          <w:szCs w:val="28"/>
          <w:rtl/>
        </w:rPr>
        <w:t xml:space="preserve">لأنّ کلّ فرد من أفراد الطبیعة و إن کان قابلاً لتعلّق ملکه به بخصوصه،إلّا أنّه یتوقّف علی تعیین مالک المجموع و إقباضه،فکلّ ما تلف قبل إقباضه خرج عن قابلیّة ملکیّته للمشتری </w:t>
      </w:r>
      <w:r>
        <w:rPr>
          <w:rStyle w:val="FootnoteReference"/>
        </w:rPr>
        <w:footnoteReference w:id="1876"/>
      </w:r>
      <w:r>
        <w:rPr>
          <w:rFonts w:ascii="Amiri" w:hAnsi="Amiri" w:eastAsia="Amiri" w:cs="Amiri"/>
          <w:lang w:bidi="ar-SA"/>
          <w:color w:val="111111"/>
          <w:sz w:val="28"/>
          <w:szCs w:val="28"/>
          <w:rtl/>
        </w:rPr>
        <w:t xml:space="preserve">فعلاً </w:t>
      </w:r>
      <w:r>
        <w:rPr>
          <w:rStyle w:val="FootnoteReference"/>
        </w:rPr>
        <w:footnoteReference w:id="1877"/>
      </w:r>
      <w:r>
        <w:rPr>
          <w:rFonts w:ascii="IRNazanin" w:hAnsi="IRNazanin" w:eastAsia="IRNazanin" w:cs="IRNazanin"/>
          <w:lang w:bidi="fa-IR"/>
          <w:color w:val="111111"/>
          <w:sz w:val="28"/>
          <w:szCs w:val="28"/>
          <w:rtl/>
        </w:rPr>
        <w:t xml:space="preserve">فینحصر فی الموجود.و هذا بخلاف المشاع،فإنّ ملک المشتری فعلاً </w:t>
      </w:r>
      <w:r>
        <w:rPr>
          <w:rStyle w:val="FootnoteReference"/>
        </w:rPr>
        <w:footnoteReference w:id="1878"/>
      </w:r>
      <w:r>
        <w:rPr>
          <w:rFonts w:ascii="IRNazanin" w:hAnsi="IRNazanin" w:eastAsia="IRNazanin" w:cs="IRNazanin"/>
          <w:lang w:bidi="fa-IR"/>
          <w:color w:val="111111"/>
          <w:sz w:val="28"/>
          <w:szCs w:val="28"/>
          <w:rtl/>
        </w:rPr>
        <w:t xml:space="preserve">ثابت فی کلّ جزءٍ من المال من دون حاجة إلی اختیارٍ و إقباض،فکلّ ما یتلف من المال فقد تلف من المشتری جزء بنسبة حصّته.</w:t>
      </w:r>
    </w:p>
    <w:p>
      <w:pPr>
        <w:pStyle w:val="Heading6"/>
      </w:pPr>
      <w:bookmarkStart w:id="1098" w:name="_Toc538"/>
      <w:r>
        <w:t>و منها : أنّه لو فرضنا أنّ البائع بعد ما باع صاعاً من الجملة باع من شخص آخر صاعاً کلیّاً آخر</w:t>
      </w:r>
      <w:bookmarkEnd w:id="1098"/>
    </w:p>
    <w:p>
      <w:pPr>
        <w:pStyle w:val="BookText"/>
      </w:pPr>
      <w:r>
        <w:rPr>
          <w:rFonts w:ascii="Amiri" w:hAnsi="Amiri" w:eastAsia="Amiri" w:cs="Amiri"/>
          <w:lang w:bidi="ar-SA"/>
          <w:color w:val="111111"/>
          <w:sz w:val="28"/>
          <w:szCs w:val="28"/>
          <w:rtl/>
        </w:rPr>
        <w:t xml:space="preserve">و منها:أنّه </w:t>
      </w:r>
      <w:r>
        <w:rPr>
          <w:rStyle w:val="FootnoteReference"/>
        </w:rPr>
        <w:footnoteReference w:id="1879"/>
      </w:r>
      <w:r>
        <w:rPr>
          <w:rFonts w:ascii="IRNazanin" w:hAnsi="IRNazanin" w:eastAsia="IRNazanin" w:cs="IRNazanin"/>
          <w:lang w:bidi="fa-IR"/>
          <w:color w:val="111111"/>
          <w:sz w:val="28"/>
          <w:szCs w:val="28"/>
          <w:rtl/>
        </w:rPr>
        <w:t xml:space="preserve">لو فرضنا أنّ البائع بعد ما باع صاعاً من الجملة باع من شخص آخر صاعاً کلیّاً آخر،</w:t>
      </w:r>
    </w:p>
    <w:p>
      <w:pPr>
        <w:pStyle w:val="BookText"/>
      </w:pPr>
      <w:r>
        <w:rPr>
          <w:rFonts w:ascii="IRNazanin" w:hAnsi="IRNazanin" w:eastAsia="IRNazanin" w:cs="IRNazanin"/>
          <w:lang w:bidi="fa-IR"/>
          <w:color w:val="111111"/>
          <w:sz w:val="28"/>
          <w:szCs w:val="28"/>
          <w:rtl/>
        </w:rPr>
        <w:t xml:space="preserve">فالظاهر أنّه إذا بقی صاع واحد کان للأوّل،لأنّ الکلیّ المبیع ثانیاً إنّما هو سارٍ فی مال البائع و هو ما عدا الصاع من الصبرة،فإذا تلف ما عدا الصاع فقد تلف جمیع ما کان الکلیّ فیه ساریاً فقد تلف المبیع الثانی قبل القبض،و هذا بخلاف ما لو قلنا بالإشاعة.</w:t>
      </w:r>
    </w:p>
    <w:p>
      <w:pPr>
        <w:pStyle w:val="Heading6"/>
      </w:pPr>
      <w:bookmarkStart w:id="1099" w:name="_Toc539"/>
      <w:r>
        <w:t>[صور إقباض الکلی]</w:t>
      </w:r>
      <w:bookmarkEnd w:id="1099"/>
    </w:p>
    <w:p>
      <w:pPr>
        <w:pStyle w:val="BookText"/>
      </w:pPr>
      <w:r>
        <w:rPr>
          <w:rFonts w:ascii="IRNazanin" w:hAnsi="IRNazanin" w:eastAsia="IRNazanin" w:cs="IRNazanin"/>
          <w:lang w:bidi="fa-IR"/>
          <w:color w:val="111111"/>
          <w:sz w:val="28"/>
          <w:szCs w:val="28"/>
          <w:rtl/>
        </w:rPr>
        <w:t xml:space="preserve">ثمّ اعلم:أنّ المبیع إنّما یبقی کلّیاً ما لم یقبض.و أمّا إذا قُبض، فإن قُبض منفرداً عمّا عداه کان مختصّاً بالمشتری،و إن قبض فی ضمن الباقی بأن أقبضه البائع مجموع الصبرة فیکون بعضه وفاءً،و الباقی</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1" w:name="pg14419_167164"/>
    <w:bookmarkEnd w:id="261"/>
    <w:p>
      <w:pPr>
        <w:pStyle w:val="BookText"/>
      </w:pPr>
      <w:r>
        <w:rPr>
          <w:rFonts w:ascii="IRNazanin" w:hAnsi="IRNazanin" w:eastAsia="IRNazanin" w:cs="IRNazanin"/>
          <w:lang w:bidi="fa-IR"/>
          <w:color w:val="111111"/>
          <w:sz w:val="28"/>
          <w:szCs w:val="28"/>
          <w:rtl/>
        </w:rPr>
        <w:t xml:space="preserve">أمانة حصلت الشرکة،لحصول ماله فی یده و عدم توقّفه علی تعیینٍ و إقباضٍ حتّی یخرج التالف عن قابلیّة تملّک المشتری له فعلاً و ینحصر حقّه فی الباقی،فحینئذٍ حساب التالف علی البائع دون المشتری ترجیحٌ بلا مرجّح،فیحسب علیهما.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و الحاصل:أنّ کلّ جزءٍ </w:t>
      </w:r>
      <w:r>
        <w:rPr>
          <w:rStyle w:val="FootnoteReference"/>
        </w:rPr>
        <w:footnoteReference w:id="1880"/>
      </w:r>
      <w:r>
        <w:rPr>
          <w:rFonts w:ascii="IRNazanin" w:hAnsi="IRNazanin" w:eastAsia="IRNazanin" w:cs="IRNazanin"/>
          <w:lang w:bidi="fa-IR"/>
          <w:color w:val="111111"/>
          <w:sz w:val="28"/>
          <w:szCs w:val="28"/>
          <w:rtl/>
        </w:rPr>
        <w:t xml:space="preserve">معیّن قبل الإقباض قابلٌ لکونه کلا أو بعضاً </w:t>
      </w:r>
      <w:r>
        <w:rPr>
          <w:rStyle w:val="FootnoteReference"/>
        </w:rPr>
        <w:footnoteReference w:id="1881"/>
      </w:r>
      <w:r>
        <w:rPr>
          <w:rFonts w:ascii="IRNazanin" w:hAnsi="IRNazanin" w:eastAsia="IRNazanin" w:cs="IRNazanin"/>
          <w:lang w:bidi="fa-IR"/>
          <w:color w:val="111111"/>
          <w:sz w:val="28"/>
          <w:szCs w:val="28"/>
          <w:rtl/>
        </w:rPr>
        <w:t xml:space="preserve">ملکاً فعلیّاً للمشتری،و الملک الفعلی له حینئذٍ هو الکلیّ الساری،فالتالف المعیّن غیر قابل لکون جزئه </w:t>
      </w:r>
      <w:r>
        <w:rPr>
          <w:rStyle w:val="FootnoteReference"/>
        </w:rPr>
        <w:footnoteReference w:id="1882"/>
      </w:r>
      <w:r>
        <w:rPr>
          <w:rFonts w:ascii="IRNazanin" w:hAnsi="IRNazanin" w:eastAsia="IRNazanin" w:cs="IRNazanin"/>
          <w:lang w:bidi="fa-IR"/>
          <w:color w:val="111111"/>
          <w:sz w:val="28"/>
          <w:szCs w:val="28"/>
          <w:rtl/>
        </w:rPr>
        <w:t xml:space="preserve">محسوباً علی المشتری، لأنّ تملّکه لمعیّن موقوف علی اختیار البائع و إقباضه،فیحسب علی البائع.بخلاف التالف بعد الإقباض،فإنّ تملّک المشتری لمقدارٍ منه حاصلٌ فعلاً؛لتحقّق الإقباض،فنسبة کلّ جزءٍ معیّنٍ من الجملة إلی کلٍّ من البائع و المشتری علی حدٍّ سواء.</w:t>
      </w:r>
    </w:p>
    <w:p>
      <w:pPr>
        <w:pStyle w:val="BookText"/>
      </w:pPr>
      <w:r>
        <w:rPr>
          <w:rFonts w:ascii="IRNazanin" w:hAnsi="IRNazanin" w:eastAsia="IRNazanin" w:cs="IRNazanin"/>
          <w:lang w:bidi="fa-IR"/>
          <w:color w:val="111111"/>
          <w:sz w:val="28"/>
          <w:szCs w:val="28"/>
          <w:rtl/>
        </w:rPr>
        <w:t xml:space="preserve">نعم،لو لم یکن إقباض البائع للمجموع </w:t>
      </w:r>
      <w:r>
        <w:rPr>
          <w:rStyle w:val="FootnoteReference"/>
        </w:rPr>
        <w:footnoteReference w:id="1883"/>
      </w:r>
      <w:r>
        <w:rPr>
          <w:rFonts w:ascii="IRNazanin" w:hAnsi="IRNazanin" w:eastAsia="IRNazanin" w:cs="IRNazanin"/>
          <w:lang w:bidi="fa-IR"/>
          <w:color w:val="111111"/>
          <w:sz w:val="28"/>
          <w:szCs w:val="28"/>
          <w:rtl/>
        </w:rPr>
        <w:t xml:space="preserve">علی وجه الإیفاء،بل علی وجه التوکیل فی التعیین،أو علی وجه الأمانة حتّی یعیّن البائع بعد ذلک،کان حکمه حکم ما قبل القبض.</w:t>
      </w:r>
    </w:p>
    <w:p>
      <w:pPr>
        <w:pStyle w:val="Heading6"/>
      </w:pPr>
      <w:bookmarkStart w:id="1100" w:name="_Toc540"/>
      <w:r>
        <w:t>[لو باع ثمرة شجرات و استثنی منها أرطالا معلومة]</w:t>
      </w:r>
      <w:bookmarkEnd w:id="1100"/>
    </w:p>
    <w:p>
      <w:pPr>
        <w:pStyle w:val="BookText"/>
      </w:pPr>
      <w:r>
        <w:rPr>
          <w:rFonts w:ascii="IRNazanin" w:hAnsi="IRNazanin" w:eastAsia="IRNazanin" w:cs="IRNazanin"/>
          <w:lang w:bidi="fa-IR"/>
          <w:color w:val="111111"/>
          <w:sz w:val="28"/>
          <w:szCs w:val="28"/>
          <w:rtl/>
        </w:rPr>
        <w:t xml:space="preserve">هذا کلّه ممّا لا إشکال فیه،و إنّما الإشکال فی أنّهم ذکروا فیما لو باع ثمرة شجراتٍ و استثنی منها أرطالاً معلومة:أنّه لو خاست الثمرة</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من المستثنی بحسابه </w:t>
      </w:r>
      <w:r>
        <w:rPr>
          <w:rStyle w:val="FootnoteReference"/>
        </w:rPr>
        <w:footnoteReference w:id="1884"/>
      </w:r>
      <w:r>
        <w:rPr>
          <w:rFonts w:ascii="IRNazanin" w:hAnsi="IRNazanin" w:eastAsia="IRNazanin" w:cs="IRNazanin"/>
          <w:lang w:bidi="fa-IR"/>
          <w:color w:val="111111"/>
          <w:sz w:val="28"/>
          <w:szCs w:val="28"/>
          <w:rtl/>
        </w:rPr>
        <w:t xml:space="preserve">.و ظاهر ذلک تنزیل الأرطال المستثناة علی الإشاعة،و لذا قال فی الدروس:إنّ فی هذا الحکم دلالةً علی تنزیل الصاع من الصبرة علی الإشاعة </w:t>
      </w:r>
      <w:r>
        <w:rPr>
          <w:rStyle w:val="FootnoteReference"/>
        </w:rPr>
        <w:footnoteReference w:id="1885"/>
      </w:r>
      <w:r>
        <w:rPr>
          <w:rFonts w:ascii="IRNazanin" w:hAnsi="IRNazanin" w:eastAsia="IRNazanin" w:cs="IRNazanin"/>
          <w:lang w:bidi="fa-IR"/>
          <w:color w:val="111111"/>
          <w:sz w:val="28"/>
          <w:szCs w:val="28"/>
          <w:rtl/>
        </w:rPr>
        <w:t xml:space="preserve">.و حینئذٍ یقع الإشکال فی الفرق بین المسألتین،حیث إنّ مسألة الاستثناء ظاهرهم الاتّفاق علی تنزیلها علی الإشاعة.</w:t>
      </w:r>
    </w:p>
    <w:p>
      <w:pPr>
        <w:pStyle w:val="BookText"/>
      </w:pPr>
      <w:r>
        <w:rPr>
          <w:rFonts w:ascii="IRNazanin" w:hAnsi="IRNazanin" w:eastAsia="IRNazanin" w:cs="IRNazanin"/>
          <w:lang w:bidi="fa-IR"/>
          <w:color w:val="111111"/>
          <w:sz w:val="28"/>
          <w:szCs w:val="28"/>
          <w:rtl/>
        </w:rPr>
        <w:t xml:space="preserve">و المشهور هنا التنزیل علی الکلّی،بل لم یُعرف مَن جزم بالإشاعة.</w:t>
      </w:r>
    </w:p>
    <w:p>
      <w:pPr>
        <w:pStyle w:val="BookText"/>
      </w:pPr>
      <w:r>
        <w:rPr>
          <w:rFonts w:ascii="IRNazanin" w:hAnsi="IRNazanin" w:eastAsia="IRNazanin" w:cs="IRNazanin"/>
          <w:lang w:bidi="fa-IR"/>
          <w:color w:val="111111"/>
          <w:sz w:val="28"/>
          <w:szCs w:val="28"/>
          <w:rtl/>
        </w:rPr>
        <w:t xml:space="preserve">و ربما یفرّق بین المسألتین </w:t>
      </w:r>
      <w:r>
        <w:rPr>
          <w:rStyle w:val="FootnoteReference"/>
        </w:rPr>
        <w:footnoteReference w:id="1886"/>
      </w:r>
      <w:r>
        <w:rPr>
          <w:rFonts w:ascii="IRNazanin" w:hAnsi="IRNazanin" w:eastAsia="IRNazanin" w:cs="IRNazanin"/>
          <w:lang w:bidi="fa-IR"/>
          <w:color w:val="111111"/>
          <w:sz w:val="28"/>
          <w:szCs w:val="28"/>
          <w:rtl/>
        </w:rPr>
        <w:t xml:space="preserve">بالنصّ فیما نحن فیه علی التنزیل علی الکلیّ،و هو ما تقدّم من الصحیحة المتقدّمة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النصّ إن استفید منه حکم القاعدة لزم التعدّی عن مورده إلی مسألة الاستثناء،أو بیان الفارق و خروجها عن القاعدة.</w:t>
      </w:r>
    </w:p>
    <w:p>
      <w:pPr>
        <w:pStyle w:val="BookText"/>
      </w:pPr>
      <w:r>
        <w:rPr>
          <w:rFonts w:ascii="IRNazanin" w:hAnsi="IRNazanin" w:eastAsia="IRNazanin" w:cs="IRNazanin"/>
          <w:lang w:bidi="fa-IR"/>
          <w:color w:val="111111"/>
          <w:sz w:val="28"/>
          <w:szCs w:val="28"/>
          <w:rtl/>
        </w:rPr>
        <w:t xml:space="preserve">و إن اقتصر علی مورده لم یتعدّ إلی غیر مورده حتّی فی البیع إلّا بعد إبداء الفرق بین موارد التعدّی و بین مسألة الاستثناء.</w:t>
      </w:r>
    </w:p>
    <w:p>
      <w:pPr>
        <w:pStyle w:val="BookText"/>
      </w:pPr>
      <w:r>
        <w:rPr>
          <w:rFonts w:ascii="IRNazanin" w:hAnsi="IRNazanin" w:eastAsia="IRNazanin" w:cs="IRNazanin"/>
          <w:lang w:bidi="fa-IR"/>
          <w:color w:val="111111"/>
          <w:sz w:val="28"/>
          <w:szCs w:val="28"/>
          <w:rtl/>
        </w:rPr>
        <w:t xml:space="preserve">و بالجملة،فالنصّ بنفسه لا یصلح فارقاً مع البناء علی التعدّی عن مورده الشخصی.</w:t>
      </w:r>
    </w:p>
    <w:p>
      <w:pPr>
        <w:pStyle w:val="BookText"/>
      </w:pPr>
      <w:r>
        <w:rPr>
          <w:rFonts w:ascii="IRNazanin" w:hAnsi="IRNazanin" w:eastAsia="IRNazanin" w:cs="IRNazanin"/>
          <w:lang w:bidi="fa-IR"/>
          <w:color w:val="111111"/>
          <w:sz w:val="28"/>
          <w:szCs w:val="28"/>
          <w:rtl/>
        </w:rPr>
        <w:t xml:space="preserve">و أضعف من ذلک:الفرق بقیام الإجماع علی الإشاعة فی مسألة</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الاستثناء؛لأنّا نقطع بعدم استناد المجمعین فیها إلی توقیف بالخصوص.</w:t>
      </w:r>
    </w:p>
    <w:p>
      <w:pPr>
        <w:pStyle w:val="BookText"/>
      </w:pPr>
      <w:r>
        <w:rPr>
          <w:rFonts w:ascii="IRNazanin" w:hAnsi="IRNazanin" w:eastAsia="IRNazanin" w:cs="IRNazanin"/>
          <w:lang w:bidi="fa-IR"/>
          <w:color w:val="111111"/>
          <w:sz w:val="28"/>
          <w:szCs w:val="28"/>
          <w:rtl/>
        </w:rPr>
        <w:t xml:space="preserve">و أضعف من هذین،الفرق بین مسألة الاستثناء و مسألة الزکاة و غیرهما ممّا یحمل الکلیّ فیها علی الإشاعة،و بین البیع،باعتبار </w:t>
      </w:r>
      <w:r>
        <w:rPr>
          <w:rStyle w:val="FootnoteReference"/>
        </w:rPr>
        <w:footnoteReference w:id="1888"/>
      </w:r>
      <w:r>
        <w:rPr>
          <w:rFonts w:ascii="IRNazanin" w:hAnsi="IRNazanin" w:eastAsia="IRNazanin" w:cs="IRNazanin"/>
          <w:lang w:bidi="fa-IR"/>
          <w:color w:val="111111"/>
          <w:sz w:val="28"/>
          <w:szCs w:val="28"/>
          <w:rtl/>
        </w:rPr>
        <w:t xml:space="preserve">القبض فی لزوم البیع و إیجابه علی البائع،فمع وجود فرد یتحقّق فیه البیع </w:t>
      </w:r>
      <w:r>
        <w:rPr>
          <w:rStyle w:val="FootnoteReference"/>
        </w:rPr>
        <w:footnoteReference w:id="1889"/>
      </w:r>
      <w:r>
        <w:rPr>
          <w:rFonts w:ascii="IRNazanin" w:hAnsi="IRNazanin" w:eastAsia="IRNazanin" w:cs="IRNazanin"/>
          <w:lang w:bidi="fa-IR"/>
          <w:color w:val="111111"/>
          <w:sz w:val="28"/>
          <w:szCs w:val="28"/>
          <w:rtl/>
        </w:rPr>
        <w:t xml:space="preserve">یجب دفعه إلی المشتری،إذ هو شبه الکلیّ فی الذمّة.</w:t>
      </w:r>
    </w:p>
    <w:p>
      <w:pPr>
        <w:pStyle w:val="BookText"/>
      </w:pPr>
      <w:r>
        <w:rPr>
          <w:rFonts w:ascii="IRNazanin" w:hAnsi="IRNazanin" w:eastAsia="IRNazanin" w:cs="IRNazanin"/>
          <w:lang w:bidi="fa-IR"/>
          <w:color w:val="111111"/>
          <w:sz w:val="28"/>
          <w:szCs w:val="28"/>
          <w:rtl/>
        </w:rPr>
        <w:t xml:space="preserve">و فیه مع أنّ إیجاب القبض متحقّق فی مسألتی الزکاة و الاستثناء-:أنّ إیجاب القبض علی البائع یتوقّف علی بقائه؛إذ مع عدم بقائه کلاّ أو بعضاً ینفسخ البیع فی التالف،و الحکم بالبقاء یتوقّف علی نفی الإشاعة،فنفی الإشاعة بوجوب الإقباض لا یخلو عن مصادرة،کما لا یخفی.</w:t>
      </w:r>
    </w:p>
    <w:p>
      <w:pPr>
        <w:pStyle w:val="BookText"/>
      </w:pPr>
      <w:r>
        <w:rPr>
          <w:rFonts w:ascii="IRNazanin" w:hAnsi="IRNazanin" w:eastAsia="IRNazanin" w:cs="IRNazanin"/>
          <w:lang w:bidi="fa-IR"/>
          <w:color w:val="111111"/>
          <w:sz w:val="28"/>
          <w:szCs w:val="28"/>
          <w:rtl/>
        </w:rPr>
        <w:t xml:space="preserve">و أمّا مدخلیّة القبض فی اللزوم فلا دخل له أصلاً فی الفرق.</w:t>
      </w:r>
    </w:p>
    <w:p>
      <w:pPr>
        <w:pStyle w:val="BookText"/>
      </w:pPr>
      <w:r>
        <w:rPr>
          <w:rFonts w:ascii="IRNazanin" w:hAnsi="IRNazanin" w:eastAsia="IRNazanin" w:cs="IRNazanin"/>
          <w:lang w:bidi="fa-IR"/>
          <w:color w:val="111111"/>
          <w:sz w:val="28"/>
          <w:szCs w:val="28"/>
          <w:rtl/>
        </w:rPr>
        <w:t xml:space="preserve">و مثله فی الضعف لو لم یکن عینه ما فی مفتاح الکرامة من الفرق:بأنّ التلف من الصبرة قبل القبض،فیلزم علی البائع تسلیم المبیع منها و </w:t>
      </w:r>
      <w:r>
        <w:rPr>
          <w:rStyle w:val="FootnoteReference"/>
        </w:rPr>
        <w:footnoteReference w:id="1890"/>
      </w:r>
      <w:r>
        <w:rPr>
          <w:rFonts w:ascii="IRNazanin" w:hAnsi="IRNazanin" w:eastAsia="IRNazanin" w:cs="IRNazanin"/>
          <w:lang w:bidi="fa-IR"/>
          <w:color w:val="111111"/>
          <w:sz w:val="28"/>
          <w:szCs w:val="28"/>
          <w:rtl/>
        </w:rPr>
        <w:t xml:space="preserve">إن بقی قدره،فلا ینقص المبیع لأجله.بخلاف الاستثناء، فإنّ التلف فیه بعد القبض،و المستثنی بید المشتری أمانة علی الإشاعة بینهما،فیوزّع الناقص علیهما،و لهذا لم یحکم بضمان المشتری هنا،بخلاف البائع هناک </w:t>
      </w:r>
      <w:r>
        <w:rPr>
          <w:rStyle w:val="FootnoteReference"/>
        </w:rPr>
        <w:footnoteReference w:id="18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 مع ما عرفت من أنّ التلف من الصبرة قبل القبض إنّما یوجب تسلیم تمام المبیع من الباقی بعد ثبوت عدم الإشاعة،فکیف یثبت به؟أنّه:</w:t>
      </w:r>
    </w:p>
    <w:p>
      <w:pPr>
        <w:pStyle w:val="BookText"/>
      </w:pPr>
      <w:r>
        <w:rPr>
          <w:rFonts w:ascii="Amiri" w:hAnsi="Amiri" w:eastAsia="Amiri" w:cs="Amiri"/>
          <w:lang w:bidi="ar-SA"/>
          <w:color w:val="111111"/>
          <w:sz w:val="28"/>
          <w:szCs w:val="28"/>
          <w:rtl/>
        </w:rPr>
        <w:t xml:space="preserve">إن أُرید من </w:t>
      </w:r>
      <w:r>
        <w:rPr>
          <w:rStyle w:val="FootnoteReference"/>
        </w:rPr>
        <w:footnoteReference w:id="1892"/>
      </w:r>
      <w:r>
        <w:rPr>
          <w:rFonts w:ascii="IRNazanin" w:hAnsi="IRNazanin" w:eastAsia="IRNazanin" w:cs="IRNazanin"/>
          <w:lang w:bidi="fa-IR"/>
          <w:color w:val="111111"/>
          <w:sz w:val="28"/>
          <w:szCs w:val="28"/>
          <w:rtl/>
        </w:rPr>
        <w:t xml:space="preserve">کون التلف فی مسألة الاستثناء بعد القبض:أنّه بعد قبض المشتری؟ ففیه:أنّه موجب لخروج البائع عن ضمان ما یتلف من مال المشتری و لا کلام فیه و لا إشکال،و إنّما الإشکال فی الفرق بین المشتری فی مسألة الصاع و البائع فی مسألة الاستثناء،حیث إنّ کلاّ منهما یستحقّ مقداراً من المجموع لم یقبضه مستحقّه،فکیف یحسب نقص التالف </w:t>
      </w:r>
      <w:r>
        <w:rPr>
          <w:rStyle w:val="FootnoteReference"/>
        </w:rPr>
        <w:footnoteReference w:id="1893"/>
      </w:r>
      <w:r>
        <w:rPr>
          <w:rFonts w:ascii="IRNazanin" w:hAnsi="IRNazanin" w:eastAsia="IRNazanin" w:cs="IRNazanin"/>
          <w:lang w:bidi="fa-IR"/>
          <w:color w:val="111111"/>
          <w:sz w:val="28"/>
          <w:szCs w:val="28"/>
          <w:rtl/>
        </w:rPr>
        <w:t xml:space="preserve">علی أحدهما دون الآخر مع اشتراکهما فی عدم قبض حقّه </w:t>
      </w:r>
      <w:r>
        <w:rPr>
          <w:rStyle w:val="FootnoteReference"/>
        </w:rPr>
        <w:footnoteReference w:id="1894"/>
      </w:r>
      <w:r>
        <w:rPr>
          <w:rFonts w:ascii="Amiri" w:hAnsi="Amiri" w:eastAsia="Amiri" w:cs="Amiri"/>
          <w:lang w:bidi="ar-SA"/>
          <w:color w:val="111111"/>
          <w:sz w:val="28"/>
          <w:szCs w:val="28"/>
          <w:rtl/>
        </w:rPr>
        <w:t xml:space="preserve">الکلیّ.</w:t>
      </w:r>
    </w:p>
    <w:p>
      <w:pPr>
        <w:pStyle w:val="BookText"/>
      </w:pPr>
      <w:r>
        <w:rPr>
          <w:rFonts w:ascii="IRNazanin" w:hAnsi="IRNazanin" w:eastAsia="IRNazanin" w:cs="IRNazanin"/>
          <w:lang w:bidi="fa-IR"/>
          <w:color w:val="111111"/>
          <w:sz w:val="28"/>
          <w:szCs w:val="28"/>
          <w:rtl/>
        </w:rPr>
        <w:t xml:space="preserve">و إن أُرید من کون التلف بعد القبض:أنّ الکلیّ الذی یستحقّه البائع قد کان فی یده بعد العقد فحصل الاشتراک،فإذا دفع الکلّ إلی المشتری فقد دفع مالاً مشترکاً،فهو نظیر ما إذا دفع البائع مجموع الصبرة إلی المشتری،فالاشتراک کان قبل القبض.</w:t>
      </w:r>
    </w:p>
    <w:p>
      <w:pPr>
        <w:pStyle w:val="BookText"/>
      </w:pPr>
      <w:r>
        <w:rPr>
          <w:rFonts w:ascii="IRNazanin" w:hAnsi="IRNazanin" w:eastAsia="IRNazanin" w:cs="IRNazanin"/>
          <w:lang w:bidi="fa-IR"/>
          <w:color w:val="111111"/>
          <w:sz w:val="28"/>
          <w:szCs w:val="28"/>
          <w:rtl/>
        </w:rPr>
        <w:t xml:space="preserve">ففیه:أنّ الإشکال بحاله؛إذ یبقی سؤال الفرق بین قوله:«بعتک صاعاً من هذه الصبرة»و بین قوله:«بعتک هذه الصبرة أو هذه</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الثمرة إلّا صاعاً منها»،و ما الموجب للاشتراک فی الثانی دون الأوّل؟ مع کون مقتضی الکلیّ عدم تعیّن </w:t>
      </w:r>
      <w:r>
        <w:rPr>
          <w:rStyle w:val="FootnoteReference"/>
        </w:rPr>
        <w:footnoteReference w:id="1895"/>
      </w:r>
      <w:r>
        <w:rPr>
          <w:rFonts w:ascii="IRNazanin" w:hAnsi="IRNazanin" w:eastAsia="IRNazanin" w:cs="IRNazanin"/>
          <w:lang w:bidi="fa-IR"/>
          <w:color w:val="111111"/>
          <w:sz w:val="28"/>
          <w:szCs w:val="28"/>
          <w:rtl/>
        </w:rPr>
        <w:t xml:space="preserve">فردٍ منه أو جزءٍ منه لمالکه </w:t>
      </w:r>
      <w:r>
        <w:rPr>
          <w:rStyle w:val="FootnoteReference"/>
        </w:rPr>
        <w:footnoteReference w:id="1896"/>
      </w:r>
      <w:r>
        <w:rPr>
          <w:rFonts w:ascii="IRNazanin" w:hAnsi="IRNazanin" w:eastAsia="IRNazanin" w:cs="IRNazanin"/>
          <w:lang w:bidi="fa-IR"/>
          <w:color w:val="111111"/>
          <w:sz w:val="28"/>
          <w:szCs w:val="28"/>
          <w:rtl/>
        </w:rPr>
        <w:t xml:space="preserve">إلّا بعد إقباض مالک الکلّ الذی هو المشتری فی مسألة الاستثناء،فإنّ کون الکلّ بید البائع المالک للکلیّ لا یوجب الاشتراک.</w:t>
      </w:r>
    </w:p>
    <w:p>
      <w:pPr>
        <w:pStyle w:val="BookText"/>
      </w:pPr>
      <w:r>
        <w:rPr>
          <w:rFonts w:ascii="IRNazanin" w:hAnsi="IRNazanin" w:eastAsia="IRNazanin" w:cs="IRNazanin"/>
          <w:lang w:bidi="fa-IR"/>
          <w:color w:val="111111"/>
          <w:sz w:val="28"/>
          <w:szCs w:val="28"/>
          <w:rtl/>
        </w:rPr>
        <w:t xml:space="preserve">هذا،مع أنّه لم یعلم من الأصحاب فی مسألة الاستثناء الحکم بعد العقد بالاشتراک و عدم جواز تصرّف المشتری إلّا بإذن البائع،کما یشعر به فتوی جماعةٍ،منهم الشهیدان </w:t>
      </w:r>
      <w:r>
        <w:rPr>
          <w:rStyle w:val="FootnoteReference"/>
        </w:rPr>
        <w:footnoteReference w:id="1897"/>
      </w:r>
      <w:r>
        <w:rPr>
          <w:rFonts w:ascii="IRNazanin" w:hAnsi="IRNazanin" w:eastAsia="IRNazanin" w:cs="IRNazanin"/>
          <w:lang w:bidi="fa-IR"/>
          <w:color w:val="111111"/>
          <w:sz w:val="28"/>
          <w:szCs w:val="28"/>
          <w:rtl/>
        </w:rPr>
        <w:t xml:space="preserve">و المحقّق الثانی </w:t>
      </w:r>
      <w:r>
        <w:rPr>
          <w:rStyle w:val="FootnoteReference"/>
        </w:rPr>
        <w:footnoteReference w:id="1898"/>
      </w:r>
      <w:r>
        <w:rPr>
          <w:rFonts w:ascii="IRNazanin" w:hAnsi="IRNazanin" w:eastAsia="IRNazanin" w:cs="IRNazanin"/>
          <w:lang w:bidi="fa-IR"/>
          <w:color w:val="111111"/>
          <w:sz w:val="28"/>
          <w:szCs w:val="28"/>
          <w:rtl/>
        </w:rPr>
        <w:t xml:space="preserve">بأنّه لو فرّط المشتری وجب أداء المستثنی من الباقی.</w:t>
      </w:r>
    </w:p>
    <w:p>
      <w:pPr>
        <w:pStyle w:val="BookText"/>
      </w:pPr>
      <w:r>
        <w:rPr>
          <w:rFonts w:ascii="IRNazanin" w:hAnsi="IRNazanin" w:eastAsia="IRNazanin" w:cs="IRNazanin"/>
          <w:lang w:bidi="fa-IR"/>
          <w:color w:val="111111"/>
          <w:sz w:val="28"/>
          <w:szCs w:val="28"/>
          <w:rtl/>
        </w:rPr>
        <w:t xml:space="preserve">و یمکن </w:t>
      </w:r>
      <w:r>
        <w:rPr>
          <w:rStyle w:val="FootnoteReference"/>
        </w:rPr>
        <w:footnoteReference w:id="1899"/>
      </w:r>
      <w:r>
        <w:rPr>
          <w:rFonts w:ascii="IRNazanin" w:hAnsi="IRNazanin" w:eastAsia="IRNazanin" w:cs="IRNazanin"/>
          <w:lang w:bidi="fa-IR"/>
          <w:color w:val="111111"/>
          <w:sz w:val="28"/>
          <w:szCs w:val="28"/>
          <w:rtl/>
        </w:rPr>
        <w:t xml:space="preserve">أن یقال:إنّ بناء المشهور فی مسألة استثناء الأرطال إن کان علی عدم الإشاعة قبل التلف و اختصاص الاشتراک بالتالف دون الموجود کما ینبئ عنه فتوی جماعةٍ منهم:بأنّه لو کان تلف البعض بتفریط المشتری کان حصّة البائع فی الباقی،و یؤیّده استمرار السیرة فی صورة استثناء أرطال معلومة من الثمرة علی استقلال المشتری فی التصرّف و عدم المعاملة مع البائع معاملة الشرکاء فالمسألتان مشترکتان فی التنزیل علی الکلیّ،و لا فرق بینهما إلّا فی بعض ثمرات التنزیل علی</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و هو حساب التالف علیهما.و لا یحضرنی وجهٌ واضح لهذا الفرق، إلّا دعوی أنّ المتبادر من الکلیّ المستثنی هو الکلیّ الشائع فیما یسلم للمشتری،لا مطلق الموجود وقت البیع.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إن کان بناؤهم علی الإشاعة من أوّل الأمر أمکن أن یکون الوجه فی ذلک:أنّ المستثنی کما یکون ظاهراً فی الکلیّ،کذلک یکون عنوان المستثنی منه الذی انتقل إلی المشتری بالبیع کلّیاً،بمعنی أنّه ملحوظٌ بعنوانٍ کلیّ یقع علیه البیع،فمعنی«بعتک هذه الصبرة إلّا صاعاً منها»:«بعتک الکلیّ الخارجی الذی هو المجموع المخرج عنه الصاع»فهو کلیّ‌ٌ کنفس الصاع،فکلٌّ منهما مالک لعنوان کلیّ،فالموجود مشترک بینهما؛لأنّ نسبة کل جزءٍ منه إلی کلٍّ منهما علی نهجٍ سواء،فتخصیص أحدهما به ترجیحٌ من غیر مرجّح؛و کذا التالف نسبته إلیهما علی السواء،فیحسب علیهما.</w:t>
      </w:r>
    </w:p>
    <w:p>
      <w:pPr>
        <w:pStyle w:val="BookText"/>
      </w:pPr>
      <w:r>
        <w:rPr>
          <w:rFonts w:ascii="IRNazanin" w:hAnsi="IRNazanin" w:eastAsia="IRNazanin" w:cs="IRNazanin"/>
          <w:lang w:bidi="fa-IR"/>
          <w:color w:val="111111"/>
          <w:sz w:val="28"/>
          <w:szCs w:val="28"/>
          <w:rtl/>
        </w:rPr>
        <w:t xml:space="preserve">و هذا بخلاف ما إذا کان المبیع کلّیاً،فإنّ مال البائع لیس ملحوظاً بعنوان کلیّ فی قولنا:«بعتک صاعاً من هذه الصبرة»؛إذ لم یقع موضوع الحکم </w:t>
      </w:r>
      <w:r>
        <w:rPr>
          <w:rStyle w:val="FootnoteReference"/>
        </w:rPr>
        <w:footnoteReference w:id="1900"/>
      </w:r>
      <w:r>
        <w:rPr>
          <w:rFonts w:ascii="IRNazanin" w:hAnsi="IRNazanin" w:eastAsia="IRNazanin" w:cs="IRNazanin"/>
          <w:lang w:bidi="fa-IR"/>
          <w:color w:val="111111"/>
          <w:sz w:val="28"/>
          <w:szCs w:val="28"/>
          <w:rtl/>
        </w:rPr>
        <w:t xml:space="preserve">فی هذا الکلام حتّی یلحظ بعنوان کلیّ کنفس الصاع.</w:t>
      </w:r>
    </w:p>
    <w:p>
      <w:pPr>
        <w:pStyle w:val="BookText"/>
      </w:pPr>
      <w:r>
        <w:rPr>
          <w:rFonts w:ascii="IRNazanin" w:hAnsi="IRNazanin" w:eastAsia="IRNazanin" w:cs="IRNazanin"/>
          <w:lang w:bidi="fa-IR"/>
          <w:color w:val="111111"/>
          <w:sz w:val="28"/>
          <w:szCs w:val="28"/>
          <w:rtl/>
        </w:rPr>
        <w:t xml:space="preserve">فإن قلت:إنّ مال البائع بعد بیع الصاع لیس جزئیّاً حقیقیّا متشخّصاً فی الخارج فیکون کلّیاً کنفس الصاع.</w:t>
      </w:r>
    </w:p>
    <w:p>
      <w:pPr>
        <w:pStyle w:val="BookText"/>
      </w:pPr>
      <w:r>
        <w:rPr>
          <w:rFonts w:ascii="IRNazanin" w:hAnsi="IRNazanin" w:eastAsia="IRNazanin" w:cs="IRNazanin"/>
          <w:lang w:bidi="fa-IR"/>
          <w:color w:val="111111"/>
          <w:sz w:val="28"/>
          <w:szCs w:val="28"/>
          <w:rtl/>
        </w:rPr>
        <w:t xml:space="preserve">قلت:نعم و لکن ملکیّة البائع له لیس بعنوانٍ کلیّ حتّی یبقی ما بقی ذلک العنوان،لیکون الباقی بعد تلف البعض صادقاً علی هذا العنوان</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2" w:name="pg14419_167170"/>
    <w:bookmarkEnd w:id="262"/>
    <w:p>
      <w:pPr>
        <w:pStyle w:val="BookText"/>
      </w:pPr>
      <w:r>
        <w:rPr>
          <w:rFonts w:ascii="IRNazanin" w:hAnsi="IRNazanin" w:eastAsia="IRNazanin" w:cs="IRNazanin"/>
          <w:lang w:bidi="fa-IR"/>
          <w:color w:val="111111"/>
          <w:sz w:val="28"/>
          <w:szCs w:val="28"/>
          <w:rtl/>
        </w:rPr>
        <w:t xml:space="preserve">و علی عنوان الصاع </w:t>
      </w:r>
      <w:r>
        <w:rPr>
          <w:rStyle w:val="FootnoteReference"/>
        </w:rPr>
        <w:footnoteReference w:id="1901"/>
      </w:r>
      <w:r>
        <w:rPr>
          <w:rFonts w:ascii="IRNazanin" w:hAnsi="IRNazanin" w:eastAsia="IRNazanin" w:cs="IRNazanin"/>
          <w:lang w:bidi="fa-IR"/>
          <w:color w:val="111111"/>
          <w:sz w:val="28"/>
          <w:szCs w:val="28"/>
          <w:rtl/>
        </w:rPr>
        <w:t xml:space="preserve">علی نهجٍ سواء،لیلزم من تخصیصه بأحدهما الترجیح من غیر مرجّح فیجیء الاشتراک،فإذا لم یبقَ إلّا صاع کان الموجود مصداقاً لعنوان ملک المشتری فیحکم بکونه مالکاً له،و لا یزاحمه بقاء عنوان ملک البائع،فتأمّل.</w:t>
      </w:r>
    </w:p>
    <w:p>
      <w:pPr>
        <w:pStyle w:val="BookText"/>
      </w:pPr>
      <w:r>
        <w:rPr>
          <w:rFonts w:ascii="IRNazanin" w:hAnsi="IRNazanin" w:eastAsia="IRNazanin" w:cs="IRNazanin"/>
          <w:lang w:bidi="fa-IR"/>
          <w:color w:val="111111"/>
          <w:sz w:val="28"/>
          <w:szCs w:val="28"/>
          <w:rtl/>
        </w:rPr>
        <w:t xml:space="preserve">هذا ما خطر عاجلاً بالبال،و قد أو کلنا تحقیق هذا المقام الذی لم یبلغ إلیه ذهنی القاصر إلی نظر الناظر البصیر الخبیر الماهر،عفی اللّٰه عن الزلل فی المعاثر.</w:t>
      </w:r>
    </w:p>
    <w:p>
      <w:pPr>
        <w:pStyle w:val="Heading6"/>
      </w:pPr>
      <w:bookmarkStart w:id="1101" w:name="_Toc541"/>
      <w:r>
        <w:t>[أقسام بیع الصبرة]</w:t>
      </w:r>
      <w:bookmarkEnd w:id="1101"/>
    </w:p>
    <w:p>
      <w:pPr>
        <w:pStyle w:val="BookText"/>
      </w:pPr>
      <w:r>
        <w:rPr>
          <w:rFonts w:ascii="IRNazanin" w:hAnsi="IRNazanin" w:eastAsia="IRNazanin" w:cs="IRNazanin"/>
          <w:lang w:bidi="fa-IR"/>
          <w:color w:val="111111"/>
          <w:sz w:val="28"/>
          <w:szCs w:val="28"/>
          <w:rtl/>
        </w:rPr>
        <w:t xml:space="preserve">قال فی الروضة تبعاً للمحکی عن حواشی الشهید </w:t>
      </w:r>
      <w:r>
        <w:rPr>
          <w:rStyle w:val="FootnoteReference"/>
        </w:rPr>
        <w:footnoteReference w:id="1902"/>
      </w:r>
      <w:r>
        <w:rPr>
          <w:rFonts w:ascii="IRNazanin" w:hAnsi="IRNazanin" w:eastAsia="IRNazanin" w:cs="IRNazanin"/>
          <w:lang w:bidi="fa-IR"/>
          <w:color w:val="111111"/>
          <w:sz w:val="28"/>
          <w:szCs w:val="28"/>
          <w:rtl/>
        </w:rPr>
        <w:t xml:space="preserve">-:إنّ أقسام بیع الصبرة عشرة؛لأنّها إمّا أن تکون معلومة المقدار أو مجهولته،فإن کانت معلومة صحّ بیعها أجمع،و بیع جزءٍ منها معلومٍ مشاعٍ،و بیع مقدارٍ کقفیزٍ تشتمل علیه،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بیعها کلّ قفیز بکذا،لا </w:t>
      </w:r>
      <w:r>
        <w:rPr>
          <w:rStyle w:val="FootnoteReference"/>
        </w:rPr>
        <w:footnoteReference w:id="1903"/>
      </w:r>
      <w:r>
        <w:rPr>
          <w:rFonts w:ascii="Amiri" w:hAnsi="Amiri" w:eastAsia="Amiri" w:cs="Amiri"/>
          <w:lang w:bidi="ar-SA"/>
          <w:color w:val="111111"/>
          <w:sz w:val="28"/>
          <w:szCs w:val="28"/>
          <w:rtl/>
        </w:rPr>
        <w:t xml:space="preserve">بیع کلِّ قفیز منها بکذا.</w:t>
      </w:r>
    </w:p>
    <w:p>
      <w:pPr>
        <w:pStyle w:val="BookText"/>
      </w:pPr>
      <w:r>
        <w:rPr>
          <w:rFonts w:ascii="IRNazanin" w:hAnsi="IRNazanin" w:eastAsia="IRNazanin" w:cs="IRNazanin"/>
          <w:lang w:bidi="fa-IR"/>
          <w:color w:val="111111"/>
          <w:sz w:val="28"/>
          <w:szCs w:val="28"/>
          <w:rtl/>
        </w:rPr>
        <w:t xml:space="preserve">و المجهولة کلّها باطلة إلّا الثالث </w:t>
      </w:r>
      <w:r>
        <w:rPr>
          <w:rStyle w:val="FootnoteReference"/>
        </w:rPr>
        <w:footnoteReference w:id="1904"/>
      </w:r>
      <w:r>
        <w:rPr>
          <w:rFonts w:ascii="IRNazanin" w:hAnsi="IRNazanin" w:eastAsia="IRNazanin" w:cs="IRNazanin"/>
          <w:lang w:bidi="fa-IR"/>
          <w:color w:val="111111"/>
          <w:sz w:val="28"/>
          <w:szCs w:val="28"/>
          <w:rtl/>
        </w:rPr>
        <w:t xml:space="preserve">،و هو بیع مقدارٍ معلوم یشتمل الصبرة علیه.</w:t>
      </w:r>
    </w:p>
    <w:p>
      <w:pPr>
        <w:pStyle w:val="BookText"/>
      </w:pPr>
      <w:r>
        <w:rPr>
          <w:rFonts w:ascii="IRNazanin" w:hAnsi="IRNazanin" w:eastAsia="IRNazanin" w:cs="IRNazanin"/>
          <w:lang w:bidi="fa-IR"/>
          <w:color w:val="111111"/>
          <w:sz w:val="28"/>
          <w:szCs w:val="28"/>
          <w:rtl/>
        </w:rPr>
        <w:t xml:space="preserve">و لو لم یعلم باشتمالها علیه،فظاهر القواعد </w:t>
      </w:r>
      <w:r>
        <w:rPr>
          <w:rStyle w:val="FootnoteReference"/>
        </w:rPr>
        <w:footnoteReference w:id="1905"/>
      </w:r>
      <w:r>
        <w:rPr>
          <w:rFonts w:ascii="IRNazanin" w:hAnsi="IRNazanin" w:eastAsia="IRNazanin" w:cs="IRNazanin"/>
          <w:lang w:bidi="fa-IR"/>
          <w:color w:val="111111"/>
          <w:sz w:val="28"/>
          <w:szCs w:val="28"/>
          <w:rtl/>
        </w:rPr>
        <w:t xml:space="preserve">و المحکی عن حواشی</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الشهید </w:t>
      </w:r>
      <w:r>
        <w:rPr>
          <w:rStyle w:val="FootnoteReference"/>
        </w:rPr>
        <w:footnoteReference w:id="1906"/>
      </w:r>
      <w:r>
        <w:rPr>
          <w:rFonts w:ascii="IRNazanin" w:hAnsi="IRNazanin" w:eastAsia="IRNazanin" w:cs="IRNazanin"/>
          <w:lang w:bidi="fa-IR"/>
          <w:color w:val="111111"/>
          <w:sz w:val="28"/>
          <w:szCs w:val="28"/>
          <w:rtl/>
        </w:rPr>
        <w:t xml:space="preserve">و غیرها </w:t>
      </w:r>
      <w:r>
        <w:rPr>
          <w:rStyle w:val="FootnoteReference"/>
        </w:rPr>
        <w:footnoteReference w:id="1907"/>
      </w:r>
      <w:r>
        <w:rPr>
          <w:rFonts w:ascii="IRNazanin" w:hAnsi="IRNazanin" w:eastAsia="IRNazanin" w:cs="IRNazanin"/>
          <w:lang w:bidi="fa-IR"/>
          <w:color w:val="111111"/>
          <w:sz w:val="28"/>
          <w:szCs w:val="28"/>
          <w:rtl/>
        </w:rPr>
        <w:t xml:space="preserve">عدم الصحّة،و استحسنه فی الروضة،ثمّ قال:و لو قیل بالاکتفاء بالظنّ باشتمالها علیه کان متّجهاً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المحکی عن ظاهر الدروس و اللمعة الصحّة </w:t>
      </w:r>
      <w:r>
        <w:rPr>
          <w:rStyle w:val="FootnoteReference"/>
        </w:rPr>
        <w:footnoteReference w:id="1909"/>
      </w:r>
      <w:r>
        <w:rPr>
          <w:rFonts w:ascii="IRNazanin" w:hAnsi="IRNazanin" w:eastAsia="IRNazanin" w:cs="IRNazanin"/>
          <w:lang w:bidi="fa-IR"/>
          <w:color w:val="111111"/>
          <w:sz w:val="28"/>
          <w:szCs w:val="28"/>
          <w:rtl/>
        </w:rPr>
        <w:t xml:space="preserve">،قال فیها:فإن نقصت تخیّر بین أخذ الموجود منها بحصّته </w:t>
      </w:r>
      <w:r>
        <w:rPr>
          <w:rStyle w:val="FootnoteReference"/>
        </w:rPr>
        <w:footnoteReference w:id="1910"/>
      </w:r>
      <w:r>
        <w:rPr>
          <w:rFonts w:ascii="IRNazanin" w:hAnsi="IRNazanin" w:eastAsia="IRNazanin" w:cs="IRNazanin"/>
          <w:lang w:bidi="fa-IR"/>
          <w:color w:val="111111"/>
          <w:sz w:val="28"/>
          <w:szCs w:val="28"/>
          <w:rtl/>
        </w:rPr>
        <w:t xml:space="preserve">من الثمن و بین الفسخ </w:t>
      </w:r>
      <w:r>
        <w:rPr>
          <w:rStyle w:val="FootnoteReference"/>
        </w:rPr>
        <w:footnoteReference w:id="1911"/>
      </w:r>
      <w:r>
        <w:rPr>
          <w:rFonts w:ascii="IRNazanin" w:hAnsi="IRNazanin" w:eastAsia="IRNazanin" w:cs="IRNazanin"/>
          <w:lang w:bidi="fa-IR"/>
          <w:color w:val="111111"/>
          <w:sz w:val="28"/>
          <w:szCs w:val="28"/>
          <w:rtl/>
        </w:rPr>
        <w:t xml:space="preserve">، لتبعّض الصفقة.و ربما یحکی عن المبسوط،و المحکیّ </w:t>
      </w:r>
      <w:r>
        <w:rPr>
          <w:rStyle w:val="FootnoteReference"/>
        </w:rPr>
        <w:footnoteReference w:id="1912"/>
      </w:r>
      <w:r>
        <w:rPr>
          <w:rFonts w:ascii="IRNazanin" w:hAnsi="IRNazanin" w:eastAsia="IRNazanin" w:cs="IRNazanin"/>
          <w:lang w:bidi="fa-IR"/>
          <w:color w:val="111111"/>
          <w:sz w:val="28"/>
          <w:szCs w:val="28"/>
          <w:rtl/>
        </w:rPr>
        <w:t xml:space="preserve">خلافه </w:t>
      </w:r>
      <w:r>
        <w:rPr>
          <w:rStyle w:val="FootnoteReference"/>
        </w:rPr>
        <w:footnoteReference w:id="1913"/>
      </w:r>
      <w:r>
        <w:rPr>
          <w:rFonts w:ascii="IRNazanin" w:hAnsi="IRNazanin" w:eastAsia="IRNazanin" w:cs="IRNazanin"/>
          <w:lang w:bidi="fa-IR"/>
          <w:color w:val="111111"/>
          <w:sz w:val="28"/>
          <w:szCs w:val="28"/>
          <w:rtl/>
        </w:rPr>
        <w:t xml:space="preserve">، و لا یخلو عن قوّة و إن کان فی تعیینه نظر،لا لتدارک الغرر </w:t>
      </w:r>
      <w:r>
        <w:rPr>
          <w:rStyle w:val="FootnoteReference"/>
        </w:rPr>
        <w:footnoteReference w:id="1914"/>
      </w:r>
      <w:r>
        <w:rPr>
          <w:rFonts w:ascii="IRNazanin" w:hAnsi="IRNazanin" w:eastAsia="IRNazanin" w:cs="IRNazanin"/>
          <w:lang w:bidi="fa-IR"/>
          <w:color w:val="111111"/>
          <w:sz w:val="28"/>
          <w:szCs w:val="28"/>
          <w:rtl/>
        </w:rPr>
        <w:t xml:space="preserve">بالخیار؛ لما عرفت غیر مرّة:من أنّ الغرر إنّما یلاحظ فی البیع مع قطع النظر</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الخیار الذی هو من أحکام العقد،فلا یرتفع به الغرر الحاصل عند العقد،بل لمنع الغرر.</w:t>
      </w:r>
    </w:p>
    <w:p>
      <w:pPr>
        <w:pStyle w:val="BookText"/>
      </w:pPr>
      <w:r>
        <w:rPr>
          <w:rFonts w:ascii="IRNazanin" w:hAnsi="IRNazanin" w:eastAsia="IRNazanin" w:cs="IRNazanin"/>
          <w:lang w:bidi="fa-IR"/>
          <w:color w:val="111111"/>
          <w:sz w:val="28"/>
          <w:szCs w:val="28"/>
          <w:rtl/>
        </w:rPr>
        <w:t xml:space="preserve">و إن قیل </w:t>
      </w:r>
      <w:r>
        <w:rPr>
          <w:rStyle w:val="FootnoteReference"/>
        </w:rPr>
        <w:footnoteReference w:id="1915"/>
      </w:r>
      <w:r>
        <w:rPr>
          <w:rFonts w:ascii="IRNazanin" w:hAnsi="IRNazanin" w:eastAsia="IRNazanin" w:cs="IRNazanin"/>
          <w:lang w:bidi="fa-IR"/>
          <w:color w:val="111111"/>
          <w:sz w:val="28"/>
          <w:szCs w:val="28"/>
          <w:rtl/>
        </w:rPr>
        <w:t xml:space="preserve">:عدم العلم بالوجود من أعظم أفراد الغرر.</w:t>
      </w:r>
    </w:p>
    <w:p>
      <w:pPr>
        <w:pStyle w:val="BookText"/>
      </w:pPr>
      <w:r>
        <w:rPr>
          <w:rFonts w:ascii="IRNazanin" w:hAnsi="IRNazanin" w:eastAsia="IRNazanin" w:cs="IRNazanin"/>
          <w:lang w:bidi="fa-IR"/>
          <w:color w:val="111111"/>
          <w:sz w:val="28"/>
          <w:szCs w:val="28"/>
          <w:rtl/>
        </w:rPr>
        <w:t xml:space="preserve">قلنا:نعم،إذا بنی العقد علی جعل الثمن فی مقابل الموجود.</w:t>
      </w:r>
    </w:p>
    <w:p>
      <w:pPr>
        <w:pStyle w:val="BookText"/>
      </w:pPr>
      <w:r>
        <w:rPr>
          <w:rFonts w:ascii="IRNazanin" w:hAnsi="IRNazanin" w:eastAsia="IRNazanin" w:cs="IRNazanin"/>
          <w:lang w:bidi="fa-IR"/>
          <w:color w:val="111111"/>
          <w:sz w:val="28"/>
          <w:szCs w:val="28"/>
          <w:rtl/>
        </w:rPr>
        <w:t xml:space="preserve">و أمّا إذا بنی علی توزیع الثمن علی مجموع المبیع الغیر المعلوم الوجود </w:t>
      </w:r>
      <w:r>
        <w:rPr>
          <w:rStyle w:val="FootnoteReference"/>
        </w:rPr>
        <w:footnoteReference w:id="1916"/>
      </w:r>
      <w:r>
        <w:rPr>
          <w:rFonts w:ascii="IRNazanin" w:hAnsi="IRNazanin" w:eastAsia="IRNazanin" w:cs="IRNazanin"/>
          <w:lang w:bidi="fa-IR"/>
          <w:color w:val="111111"/>
          <w:sz w:val="28"/>
          <w:szCs w:val="28"/>
          <w:rtl/>
        </w:rPr>
        <w:t xml:space="preserve">بتمامه فلا غرر عرفاً،و ربما یحتمل الصحّة مراعیً بتبیّن اشتمالها علیه.</w:t>
      </w:r>
    </w:p>
    <w:p>
      <w:pPr>
        <w:pStyle w:val="BookText"/>
      </w:pPr>
      <w:r>
        <w:rPr>
          <w:rFonts w:ascii="IRNazanin" w:hAnsi="IRNazanin" w:eastAsia="IRNazanin" w:cs="IRNazanin"/>
          <w:lang w:bidi="fa-IR"/>
          <w:color w:val="111111"/>
          <w:sz w:val="28"/>
          <w:szCs w:val="28"/>
          <w:rtl/>
        </w:rPr>
        <w:t xml:space="preserve">و فیه:أنّ الغرر إن ثبت حال البیع لم ینفع تبیّن الاشتمال.</w:t>
      </w:r>
    </w:p>
    <w:p>
      <w:pPr>
        <w:pStyle w:val="BookText"/>
      </w:pPr>
      <w:r>
        <w:rPr>
          <w:rFonts w:ascii="IRNazanin" w:hAnsi="IRNazanin" w:eastAsia="IRNazanin" w:cs="IRNazanin"/>
          <w:lang w:bidi="fa-IR"/>
          <w:color w:val="111111"/>
          <w:sz w:val="28"/>
          <w:szCs w:val="28"/>
          <w:rtl/>
        </w:rPr>
        <w:t xml:space="preserve">هذا،و لکن الأوفق بکلماتهم فی موارد الغرر عدم الصحّة،إلّا </w:t>
      </w:r>
      <w:r>
        <w:rPr>
          <w:rStyle w:val="FootnoteReference"/>
        </w:rPr>
        <w:footnoteReference w:id="1917"/>
      </w:r>
      <w:r>
        <w:rPr>
          <w:rFonts w:ascii="IRNazanin" w:hAnsi="IRNazanin" w:eastAsia="IRNazanin" w:cs="IRNazanin"/>
          <w:lang w:bidi="fa-IR"/>
          <w:color w:val="111111"/>
          <w:sz w:val="28"/>
          <w:szCs w:val="28"/>
          <w:rtl/>
        </w:rPr>
        <w:t xml:space="preserve">مع العلم بالاشتمال،أو الظنّ الذی یتعارف الاعتماد علیه و لو کان من جهة استصحاب الاشتمال.</w:t>
      </w:r>
    </w:p>
    <w:p>
      <w:pPr>
        <w:pStyle w:val="BookText"/>
      </w:pPr>
      <w:r>
        <w:rPr>
          <w:rFonts w:ascii="IRNazanin" w:hAnsi="IRNazanin" w:eastAsia="IRNazanin" w:cs="IRNazanin"/>
          <w:lang w:bidi="fa-IR"/>
          <w:color w:val="111111"/>
          <w:sz w:val="28"/>
          <w:szCs w:val="28"/>
          <w:rtl/>
        </w:rPr>
        <w:t xml:space="preserve">و أمّا الرابع مع الجهالة و هو بیعها کلّ قفیز بکذا فالمحکیّ عن جماعة </w:t>
      </w:r>
      <w:r>
        <w:rPr>
          <w:rStyle w:val="FootnoteReference"/>
        </w:rPr>
        <w:footnoteReference w:id="1918"/>
      </w:r>
      <w:r>
        <w:rPr>
          <w:rFonts w:ascii="IRNazanin" w:hAnsi="IRNazanin" w:eastAsia="IRNazanin" w:cs="IRNazanin"/>
          <w:lang w:bidi="fa-IR"/>
          <w:color w:val="111111"/>
          <w:sz w:val="28"/>
          <w:szCs w:val="28"/>
          <w:rtl/>
        </w:rPr>
        <w:t xml:space="preserve">المنع.</w:t>
      </w:r>
    </w:p>
    <w:p>
      <w:pPr>
        <w:pStyle w:val="BookText"/>
      </w:pPr>
      <w:r>
        <w:rPr>
          <w:rFonts w:ascii="IRNazanin" w:hAnsi="IRNazanin" w:eastAsia="IRNazanin" w:cs="IRNazanin"/>
          <w:lang w:bidi="fa-IR"/>
          <w:color w:val="111111"/>
          <w:sz w:val="28"/>
          <w:szCs w:val="28"/>
          <w:rtl/>
        </w:rPr>
        <w:t xml:space="preserve">و عن ظاهر إطلاق المحکیّ من عبارتی المبسوط و الخلاف أنّه لو</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قال:«بعتک هذه الصبرة کلّ قفیز بدرهم»صحّ البیع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الخلاف:«لأنّه لا مانع منه،و الأصل جوازه».و ظاهر إطلاقه یعمّ صورة الجهل بالاشتمال.</w:t>
      </w:r>
    </w:p>
    <w:p>
      <w:pPr>
        <w:pStyle w:val="BookText"/>
      </w:pPr>
      <w:r>
        <w:rPr>
          <w:rFonts w:ascii="IRNazanin" w:hAnsi="IRNazanin" w:eastAsia="IRNazanin" w:cs="IRNazanin"/>
          <w:lang w:bidi="fa-IR"/>
          <w:color w:val="111111"/>
          <w:sz w:val="28"/>
          <w:szCs w:val="28"/>
          <w:rtl/>
        </w:rPr>
        <w:t xml:space="preserve">و عن الکفایة:نفی البُعد عنه </w:t>
      </w:r>
      <w:r>
        <w:rPr>
          <w:rStyle w:val="FootnoteReference"/>
        </w:rPr>
        <w:footnoteReference w:id="1920"/>
      </w:r>
      <w:r>
        <w:rPr>
          <w:rFonts w:ascii="IRNazanin" w:hAnsi="IRNazanin" w:eastAsia="IRNazanin" w:cs="IRNazanin"/>
          <w:lang w:bidi="fa-IR"/>
          <w:color w:val="111111"/>
          <w:sz w:val="28"/>
          <w:szCs w:val="28"/>
          <w:rtl/>
        </w:rPr>
        <w:t xml:space="preserve">إذ المبیع معلوم بالمشاهدة،و الثمن ممّا یمکن أن یعرف،بأن تکال الصبرة و یوزّع الثمن علی قفزاتها، قال </w:t>
      </w:r>
      <w:r>
        <w:rPr>
          <w:rStyle w:val="FootnoteReference"/>
        </w:rPr>
        <w:footnoteReference w:id="1921"/>
      </w:r>
      <w:r>
        <w:rPr>
          <w:rFonts w:ascii="IRNazanin" w:hAnsi="IRNazanin" w:eastAsia="IRNazanin" w:cs="IRNazanin"/>
          <w:lang w:bidi="fa-IR"/>
          <w:color w:val="111111"/>
          <w:sz w:val="28"/>
          <w:szCs w:val="28"/>
          <w:rtl/>
        </w:rPr>
        <w:t xml:space="preserve">:و له نظائر ذکر جملة منها فی التذکرة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63" w:name="pg14419_167174"/>
    <w:bookmarkEnd w:id="263"/>
    <w:p>
      <w:pPr>
        <w:pStyle w:val="Heading6"/>
      </w:pPr>
      <w:bookmarkStart w:id="1102" w:name="_Toc542"/>
      <w:r>
        <w:t>مسألة إذا شاهد عیناً فی زمان سابق علی العقد علیها</w:t>
      </w:r>
      <w:bookmarkEnd w:id="1102"/>
    </w:p>
    <w:p>
      <w:pPr>
        <w:pStyle w:val="Heading6"/>
      </w:pPr>
      <w:bookmarkStart w:id="1103" w:name="_Toc543"/>
      <w:r>
        <w:t>اشارة</w:t>
      </w:r>
      <w:bookmarkEnd w:id="1103"/>
    </w:p>
    <w:p>
      <w:pPr>
        <w:pStyle w:val="BookText"/>
      </w:pPr>
      <w:r>
        <w:rPr>
          <w:rFonts w:ascii="IRNazanin" w:hAnsi="IRNazanin" w:eastAsia="IRNazanin" w:cs="IRNazanin"/>
          <w:lang w:bidi="fa-IR"/>
          <w:color w:val="111111"/>
          <w:sz w:val="28"/>
          <w:szCs w:val="28"/>
          <w:rtl/>
        </w:rPr>
        <w:t xml:space="preserve">فإن اقتضت العادة تغیّرها عن صفاتها </w:t>
      </w:r>
      <w:r>
        <w:rPr>
          <w:rStyle w:val="FootnoteReference"/>
        </w:rPr>
        <w:footnoteReference w:id="1923"/>
      </w:r>
      <w:r>
        <w:rPr>
          <w:rFonts w:ascii="IRNazanin" w:hAnsi="IRNazanin" w:eastAsia="IRNazanin" w:cs="IRNazanin"/>
          <w:lang w:bidi="fa-IR"/>
          <w:color w:val="111111"/>
          <w:sz w:val="28"/>
          <w:szCs w:val="28"/>
          <w:rtl/>
        </w:rPr>
        <w:t xml:space="preserve">السابقة إلی غیرها المجهول عند المتبایعین، فلا یصحّ البیع إلّا بذکر صفات تصحّح بیع الغائب؛لأنّ الرؤیة القدیمة غیر نافعة.</w:t>
      </w:r>
    </w:p>
    <w:p>
      <w:pPr>
        <w:pStyle w:val="BookText"/>
      </w:pPr>
      <w:r>
        <w:rPr>
          <w:rFonts w:ascii="IRNazanin" w:hAnsi="IRNazanin" w:eastAsia="IRNazanin" w:cs="IRNazanin"/>
          <w:lang w:bidi="fa-IR"/>
          <w:color w:val="111111"/>
          <w:sz w:val="28"/>
          <w:szCs w:val="28"/>
          <w:rtl/>
        </w:rPr>
        <w:t xml:space="preserve">و إن اقتضت العادة بقاءها علیها فلا إشکال فی الصحّة،و لا خلاف أیضاً إلّا من بعض الشافعیّة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احتمل الأمران جاز الاعتماد علی أصالة عدم التغیّر </w:t>
      </w:r>
      <w:r>
        <w:rPr>
          <w:rStyle w:val="FootnoteReference"/>
        </w:rPr>
        <w:footnoteReference w:id="1925"/>
      </w:r>
      <w:r>
        <w:rPr>
          <w:rFonts w:ascii="IRNazanin" w:hAnsi="IRNazanin" w:eastAsia="IRNazanin" w:cs="IRNazanin"/>
          <w:lang w:bidi="fa-IR"/>
          <w:color w:val="111111"/>
          <w:sz w:val="28"/>
          <w:szCs w:val="28"/>
          <w:rtl/>
        </w:rPr>
        <w:t xml:space="preserve">و البناء علیها فی العقد،فیکون نظیر إخبار البائع بالکیل و الوزن؛لأنّ الأصل من الطرق التی یتعارف التعویل علیها.</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فرضناه فی مقام لا یمکن التعویل علیه </w:t>
      </w:r>
      <w:r>
        <w:rPr>
          <w:rStyle w:val="FootnoteReference"/>
        </w:rPr>
        <w:footnoteReference w:id="1926"/>
      </w:r>
      <w:r>
        <w:rPr>
          <w:rFonts w:ascii="IRNazanin" w:hAnsi="IRNazanin" w:eastAsia="IRNazanin" w:cs="IRNazanin"/>
          <w:lang w:bidi="fa-IR"/>
          <w:color w:val="111111"/>
          <w:sz w:val="28"/>
          <w:szCs w:val="28"/>
          <w:rtl/>
        </w:rPr>
        <w:t xml:space="preserve">لحصول أمارة علی خلافه </w:t>
      </w:r>
      <w:r>
        <w:rPr>
          <w:rStyle w:val="FootnoteReference"/>
        </w:rPr>
        <w:footnoteReference w:id="1927"/>
      </w:r>
      <w:r>
        <w:rPr>
          <w:rFonts w:ascii="IRNazanin" w:hAnsi="IRNazanin" w:eastAsia="IRNazanin" w:cs="IRNazanin"/>
          <w:lang w:bidi="fa-IR"/>
          <w:color w:val="111111"/>
          <w:sz w:val="28"/>
          <w:szCs w:val="28"/>
          <w:rtl/>
        </w:rPr>
        <w:t xml:space="preserve">،فإن بلغت قوّة الظنّ حدّا یلحقه بالقسم الأوّل و هو ما اقتضی العادة تغیّره لم یجز البیع،و إلّا جاز مع ذکر تلک الصفات، لا بدونه؛لأنّه لا ینقص عن الغائب الموصوف الذی یجوز بیعه بصفات لم یشاهد علیها،بل یمکن القول بالصحّة فی القسم الأوّل إذا لم یفرض کون ذکر الصفات مع اقتضاء العادة عدمها لغواً.لکن هذا کلّه خارج عن البیع بالرؤیة القدیمة.</w:t>
      </w:r>
    </w:p>
    <w:p>
      <w:pPr>
        <w:pStyle w:val="BookText"/>
      </w:pPr>
      <w:r>
        <w:rPr>
          <w:rFonts w:ascii="IRNazanin" w:hAnsi="IRNazanin" w:eastAsia="IRNazanin" w:cs="IRNazanin"/>
          <w:lang w:bidi="fa-IR"/>
          <w:color w:val="111111"/>
          <w:sz w:val="28"/>
          <w:szCs w:val="28"/>
          <w:rtl/>
        </w:rPr>
        <w:t xml:space="preserve">و کیف کان،فإذا باع أو اشتری برؤیة قدیمة فانکشف التغیّر تخیّر المغبون و هو البائع إن تغیّر </w:t>
      </w:r>
      <w:r>
        <w:rPr>
          <w:rStyle w:val="FootnoteReference"/>
        </w:rPr>
        <w:footnoteReference w:id="1928"/>
      </w:r>
      <w:r>
        <w:rPr>
          <w:rFonts w:ascii="IRNazanin" w:hAnsi="IRNazanin" w:eastAsia="IRNazanin" w:cs="IRNazanin"/>
          <w:lang w:bidi="fa-IR"/>
          <w:color w:val="111111"/>
          <w:sz w:val="28"/>
          <w:szCs w:val="28"/>
          <w:rtl/>
        </w:rPr>
        <w:t xml:space="preserve">إلی صفات زادت فی مالیّته،و المشتری إن نقصت عن تلک الصفات لقاعدة«الضرر»،و لأنّ الصفات المبنیّ علیها فی حکم الصفات المشروطة،فهی من قبیل تخلّف الشرط،کما أشار إلیه فی نهایة الإحکام و المسالک بقولهما:الرؤیة بمثابة الشرط فی الصفات الکائنة فی المرئیّ،فکلّ ما فات منها فهو بمثابة التخلّف فی الشرط </w:t>
      </w:r>
      <w:r>
        <w:rPr>
          <w:rStyle w:val="FootnoteReference"/>
        </w:rPr>
        <w:footnoteReference w:id="19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توهّم:أنّ الشروط إذا لم تُذکر فی متن العقد لا عبرة بها، فما </w:t>
      </w:r>
      <w:r>
        <w:rPr>
          <w:rStyle w:val="FootnoteReference"/>
        </w:rPr>
        <w:footnoteReference w:id="1930"/>
      </w:r>
      <w:r>
        <w:rPr>
          <w:rFonts w:ascii="IRNazanin" w:hAnsi="IRNazanin" w:eastAsia="IRNazanin" w:cs="IRNazanin"/>
          <w:lang w:bidi="fa-IR"/>
          <w:color w:val="111111"/>
          <w:sz w:val="28"/>
          <w:szCs w:val="28"/>
          <w:rtl/>
        </w:rPr>
        <w:t xml:space="preserve">نحن فیه من قبیل ما لم یذکر من الشروط فی متن العقد،مدفوع</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الغرض من ذکر الشروط فی العقد صیرورتها مأخوذةً فیه حتّی لا یکون العمل بالعقد بدونها وفاءً بالعقد.و الصفات المرئیّة سابقاً حیث إنّ البیع لا یصحّ إلّا مبنیّاً علیها کانت </w:t>
      </w:r>
      <w:r>
        <w:rPr>
          <w:rStyle w:val="FootnoteReference"/>
        </w:rPr>
        <w:footnoteReference w:id="1931"/>
      </w:r>
      <w:r>
        <w:rPr>
          <w:rFonts w:ascii="IRNazanin" w:hAnsi="IRNazanin" w:eastAsia="IRNazanin" w:cs="IRNazanin"/>
          <w:lang w:bidi="fa-IR"/>
          <w:color w:val="111111"/>
          <w:sz w:val="28"/>
          <w:szCs w:val="28"/>
          <w:rtl/>
        </w:rPr>
        <w:t xml:space="preserve">دخولها فی العقد أولی من دخول الشرط المذکور علی وجه الشرطیّة؛و لذا لو لم یبن البیع علیها و لم یلاحظ وجودها فی البیع کان البیع باطلاً،فالذکر اللفظی إنّما یحتاج إلیه فی شروط خارجة لا یجب ملاحظتها فی العقد.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احتمل فی نهایة الإحکام البطلان </w:t>
      </w:r>
      <w:r>
        <w:rPr>
          <w:rStyle w:val="FootnoteReference"/>
        </w:rPr>
        <w:footnoteReference w:id="1932"/>
      </w:r>
      <w:r>
        <w:rPr>
          <w:rFonts w:ascii="IRNazanin" w:hAnsi="IRNazanin" w:eastAsia="IRNazanin" w:cs="IRNazanin"/>
          <w:lang w:bidi="fa-IR"/>
          <w:color w:val="111111"/>
          <w:sz w:val="28"/>
          <w:szCs w:val="28"/>
          <w:rtl/>
        </w:rPr>
        <w:t xml:space="preserve">.و لعلّه لأنّ المضیّ علی البیع و عدم نقضه عند تبیّن الخلاف إن کان وفاءً بالعقد وجب،فلا خیار.</w:t>
      </w:r>
    </w:p>
    <w:p>
      <w:pPr>
        <w:pStyle w:val="BookText"/>
      </w:pPr>
      <w:r>
        <w:rPr>
          <w:rFonts w:ascii="IRNazanin" w:hAnsi="IRNazanin" w:eastAsia="IRNazanin" w:cs="IRNazanin"/>
          <w:lang w:bidi="fa-IR"/>
          <w:color w:val="111111"/>
          <w:sz w:val="28"/>
          <w:szCs w:val="28"/>
          <w:rtl/>
        </w:rPr>
        <w:t xml:space="preserve">و إن لم یکن وفاءً لم یدلّ دلیل علی جوازه.و بعبارة اخری:العقد إذا وقع علی الشیء الموصوف انتفی متعلّقه بانتفاء صفته،و إلّا فلا وجه للخیار مع أصالة اللزوم.</w:t>
      </w:r>
    </w:p>
    <w:p>
      <w:pPr>
        <w:pStyle w:val="BookText"/>
      </w:pPr>
      <w:r>
        <w:rPr>
          <w:rFonts w:ascii="IRNazanin" w:hAnsi="IRNazanin" w:eastAsia="IRNazanin" w:cs="IRNazanin"/>
          <w:lang w:bidi="fa-IR"/>
          <w:color w:val="111111"/>
          <w:sz w:val="28"/>
          <w:szCs w:val="28"/>
          <w:rtl/>
        </w:rPr>
        <w:t xml:space="preserve">و یضعّفه:أنّ الأوصاف الخارجة عن حقیقة المبیع إذا اعتبرت فیه عند البیع إمّا ببناء العقد علیها،و إمّا بذکرها فی متن العقد لا تعدّ </w:t>
      </w:r>
      <w:r>
        <w:rPr>
          <w:rStyle w:val="FootnoteReference"/>
        </w:rPr>
        <w:footnoteReference w:id="1933"/>
      </w:r>
      <w:r>
        <w:rPr>
          <w:rFonts w:ascii="Amiri" w:hAnsi="Amiri" w:eastAsia="Amiri" w:cs="Amiri"/>
          <w:lang w:bidi="ar-SA"/>
          <w:color w:val="111111"/>
          <w:sz w:val="28"/>
          <w:szCs w:val="28"/>
          <w:rtl/>
        </w:rPr>
        <w:t xml:space="preserve">مقوّماتٍ للعقد کما أنّها لیست </w:t>
      </w:r>
      <w:r>
        <w:rPr>
          <w:rStyle w:val="FootnoteReference"/>
        </w:rPr>
        <w:footnoteReference w:id="1934"/>
      </w:r>
      <w:r>
        <w:rPr>
          <w:rFonts w:ascii="IRNazanin" w:hAnsi="IRNazanin" w:eastAsia="IRNazanin" w:cs="IRNazanin"/>
          <w:lang w:bidi="fa-IR"/>
          <w:color w:val="111111"/>
          <w:sz w:val="28"/>
          <w:szCs w:val="28"/>
          <w:rtl/>
        </w:rPr>
        <w:t xml:space="preserve">مقوّمات المبیع،ففواتها فوات حقٍّ للمشتری ثبت بسببه الخیار؛دفعاً لضرر الالتزام بما لم یقدم علیه.و تمام الکلام فی باب الخیارات إن شاء اللّٰه.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64" w:name="pg14419_167177"/>
    <w:bookmarkEnd w:id="264"/>
    <w:p>
      <w:pPr>
        <w:pStyle w:val="Heading6"/>
      </w:pPr>
      <w:bookmarkStart w:id="1104" w:name="_Toc544"/>
      <w:r>
        <w:t>فرعان</w:t>
      </w:r>
      <w:bookmarkEnd w:id="1104"/>
    </w:p>
    <w:p>
      <w:pPr>
        <w:pStyle w:val="Heading6"/>
      </w:pPr>
      <w:bookmarkStart w:id="1105" w:name="_Toc545"/>
      <w:r>
        <w:t>الأوّل : لو اختلفا فی التغییر فادّعاه المشتری</w:t>
      </w:r>
      <w:bookmarkEnd w:id="1105"/>
    </w:p>
    <w:p>
      <w:pPr>
        <w:pStyle w:val="BookText"/>
      </w:pPr>
      <w:r>
        <w:rPr>
          <w:rFonts w:ascii="IRNazanin" w:hAnsi="IRNazanin" w:eastAsia="IRNazanin" w:cs="IRNazanin"/>
          <w:lang w:bidi="fa-IR"/>
          <w:color w:val="111111"/>
          <w:sz w:val="28"/>
          <w:szCs w:val="28"/>
          <w:rtl/>
        </w:rPr>
        <w:t xml:space="preserve">الأوّل لو اختلفا فی التغییر </w:t>
      </w:r>
      <w:r>
        <w:rPr>
          <w:rStyle w:val="FootnoteReference"/>
        </w:rPr>
        <w:footnoteReference w:id="1935"/>
      </w:r>
      <w:r>
        <w:rPr>
          <w:rFonts w:ascii="IRNazanin" w:hAnsi="IRNazanin" w:eastAsia="IRNazanin" w:cs="IRNazanin"/>
          <w:lang w:bidi="fa-IR"/>
          <w:color w:val="111111"/>
          <w:sz w:val="28"/>
          <w:szCs w:val="28"/>
          <w:rtl/>
        </w:rPr>
        <w:t xml:space="preserve">فادّعاه المشتری،</w:t>
      </w:r>
    </w:p>
    <w:p>
      <w:pPr>
        <w:pStyle w:val="BookText"/>
      </w:pPr>
      <w:r>
        <w:rPr>
          <w:rFonts w:ascii="IRNazanin" w:hAnsi="IRNazanin" w:eastAsia="IRNazanin" w:cs="IRNazanin"/>
          <w:lang w:bidi="fa-IR"/>
          <w:color w:val="111111"/>
          <w:sz w:val="28"/>
          <w:szCs w:val="28"/>
          <w:rtl/>
        </w:rPr>
        <w:t xml:space="preserve">ففی المبسوط </w:t>
      </w:r>
      <w:r>
        <w:rPr>
          <w:rStyle w:val="FootnoteReference"/>
        </w:rPr>
        <w:footnoteReference w:id="1936"/>
      </w:r>
      <w:r>
        <w:rPr>
          <w:rFonts w:ascii="IRNazanin" w:hAnsi="IRNazanin" w:eastAsia="IRNazanin" w:cs="IRNazanin"/>
          <w:lang w:bidi="fa-IR"/>
          <w:color w:val="111111"/>
          <w:sz w:val="28"/>
          <w:szCs w:val="28"/>
          <w:rtl/>
        </w:rPr>
        <w:t xml:space="preserve">و التذکرة </w:t>
      </w:r>
      <w:r>
        <w:rPr>
          <w:rStyle w:val="FootnoteReference"/>
        </w:rPr>
        <w:footnoteReference w:id="1937"/>
      </w:r>
      <w:r>
        <w:rPr>
          <w:rFonts w:ascii="IRNazanin" w:hAnsi="IRNazanin" w:eastAsia="IRNazanin" w:cs="IRNazanin"/>
          <w:lang w:bidi="fa-IR"/>
          <w:color w:val="111111"/>
          <w:sz w:val="28"/>
          <w:szCs w:val="28"/>
          <w:rtl/>
        </w:rPr>
        <w:t xml:space="preserve">و الإیضاح </w:t>
      </w:r>
      <w:r>
        <w:rPr>
          <w:rStyle w:val="FootnoteReference"/>
        </w:rPr>
        <w:footnoteReference w:id="1938"/>
      </w:r>
      <w:r>
        <w:rPr>
          <w:rFonts w:ascii="IRNazanin" w:hAnsi="IRNazanin" w:eastAsia="IRNazanin" w:cs="IRNazanin"/>
          <w:lang w:bidi="fa-IR"/>
          <w:color w:val="111111"/>
          <w:sz w:val="28"/>
          <w:szCs w:val="28"/>
          <w:rtl/>
        </w:rPr>
        <w:t xml:space="preserve">و الدروس </w:t>
      </w:r>
      <w:r>
        <w:rPr>
          <w:rStyle w:val="FootnoteReference"/>
        </w:rPr>
        <w:footnoteReference w:id="1939"/>
      </w:r>
      <w:r>
        <w:rPr>
          <w:rFonts w:ascii="IRNazanin" w:hAnsi="IRNazanin" w:eastAsia="IRNazanin" w:cs="IRNazanin"/>
          <w:lang w:bidi="fa-IR"/>
          <w:color w:val="111111"/>
          <w:sz w:val="28"/>
          <w:szCs w:val="28"/>
          <w:rtl/>
        </w:rPr>
        <w:t xml:space="preserve">و جامع المقاصد </w:t>
      </w:r>
      <w:r>
        <w:rPr>
          <w:rStyle w:val="FootnoteReference"/>
        </w:rPr>
        <w:footnoteReference w:id="1940"/>
      </w:r>
      <w:r>
        <w:rPr>
          <w:rFonts w:ascii="IRNazanin" w:hAnsi="IRNazanin" w:eastAsia="IRNazanin" w:cs="IRNazanin"/>
          <w:lang w:bidi="fa-IR"/>
          <w:color w:val="111111"/>
          <w:sz w:val="28"/>
          <w:szCs w:val="28"/>
          <w:rtl/>
        </w:rPr>
        <w:t xml:space="preserve">و المسالک </w:t>
      </w:r>
      <w:r>
        <w:rPr>
          <w:rStyle w:val="FootnoteReference"/>
        </w:rPr>
        <w:footnoteReference w:id="1941"/>
      </w:r>
      <w:r>
        <w:rPr>
          <w:rFonts w:ascii="IRNazanin" w:hAnsi="IRNazanin" w:eastAsia="IRNazanin" w:cs="IRNazanin"/>
          <w:lang w:bidi="fa-IR"/>
          <w:color w:val="111111"/>
          <w:sz w:val="28"/>
          <w:szCs w:val="28"/>
          <w:rtl/>
        </w:rPr>
        <w:t xml:space="preserve">:تقدیم قول المشتری؛لأنّ یده علی الثمن،کما فی الدروس </w:t>
      </w:r>
      <w:r>
        <w:rPr>
          <w:rStyle w:val="FootnoteReference"/>
        </w:rPr>
        <w:footnoteReference w:id="1942"/>
      </w:r>
      <w:r>
        <w:rPr>
          <w:rFonts w:ascii="IRNazanin" w:hAnsi="IRNazanin" w:eastAsia="IRNazanin" w:cs="IRNazanin"/>
          <w:lang w:bidi="fa-IR"/>
          <w:color w:val="111111"/>
          <w:sz w:val="28"/>
          <w:szCs w:val="28"/>
          <w:rtl/>
        </w:rPr>
        <w:t xml:space="preserve">،و هو راجع إلی ما فی المبسوط </w:t>
      </w:r>
      <w:r>
        <w:rPr>
          <w:rStyle w:val="FootnoteReference"/>
        </w:rPr>
        <w:footnoteReference w:id="1943"/>
      </w:r>
      <w:r>
        <w:rPr>
          <w:rFonts w:ascii="IRNazanin" w:hAnsi="IRNazanin" w:eastAsia="IRNazanin" w:cs="IRNazanin"/>
          <w:lang w:bidi="fa-IR"/>
          <w:color w:val="111111"/>
          <w:sz w:val="28"/>
          <w:szCs w:val="28"/>
          <w:rtl/>
        </w:rPr>
        <w:t xml:space="preserve">و السرائر </w:t>
      </w:r>
      <w:r>
        <w:rPr>
          <w:rStyle w:val="FootnoteReference"/>
        </w:rPr>
        <w:footnoteReference w:id="1944"/>
      </w:r>
      <w:r>
        <w:rPr>
          <w:rFonts w:ascii="IRNazanin" w:hAnsi="IRNazanin" w:eastAsia="IRNazanin" w:cs="IRNazanin"/>
          <w:lang w:bidi="fa-IR"/>
          <w:color w:val="111111"/>
          <w:sz w:val="28"/>
          <w:szCs w:val="28"/>
          <w:rtl/>
        </w:rPr>
        <w:t xml:space="preserve">:من أنّ المشتری هو الذی ینتزع منه الثمن،و لا ینتزع منه إلّا بإقراره أو بیّنةٍ </w:t>
      </w:r>
      <w:r>
        <w:rPr>
          <w:rStyle w:val="FootnoteReference"/>
        </w:rPr>
        <w:footnoteReference w:id="1945"/>
      </w:r>
      <w:r>
        <w:rPr>
          <w:rFonts w:ascii="IRNazanin" w:hAnsi="IRNazanin" w:eastAsia="IRNazanin" w:cs="IRNazanin"/>
          <w:lang w:bidi="fa-IR"/>
          <w:color w:val="111111"/>
          <w:sz w:val="28"/>
          <w:szCs w:val="28"/>
          <w:rtl/>
        </w:rPr>
        <w:t xml:space="preserve">تقوم علیه،انتهی.</w:t>
      </w:r>
    </w:p>
    <w:p>
      <w:pPr>
        <w:pStyle w:val="BookText"/>
      </w:pPr>
      <w:r>
        <w:rPr>
          <w:rFonts w:ascii="IRNazanin" w:hAnsi="IRNazanin" w:eastAsia="IRNazanin" w:cs="IRNazanin"/>
          <w:lang w:bidi="fa-IR"/>
          <w:color w:val="111111"/>
          <w:sz w:val="28"/>
          <w:szCs w:val="28"/>
          <w:rtl/>
        </w:rPr>
        <w:t xml:space="preserve">و تبعهما </w:t>
      </w:r>
      <w:r>
        <w:rPr>
          <w:rStyle w:val="FootnoteReference"/>
        </w:rPr>
        <w:footnoteReference w:id="1946"/>
      </w:r>
      <w:r>
        <w:rPr>
          <w:rFonts w:ascii="IRNazanin" w:hAnsi="IRNazanin" w:eastAsia="IRNazanin" w:cs="IRNazanin"/>
          <w:lang w:bidi="fa-IR"/>
          <w:color w:val="111111"/>
          <w:sz w:val="28"/>
          <w:szCs w:val="28"/>
          <w:rtl/>
        </w:rPr>
        <w:t xml:space="preserve">العلّامة أیضاً فی صورة الاختلاف فی أوصاف المبیع</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 إذا لم یسبقه رؤیة </w:t>
      </w:r>
      <w:r>
        <w:rPr>
          <w:rStyle w:val="FootnoteReference"/>
        </w:rPr>
        <w:footnoteReference w:id="1947"/>
      </w:r>
      <w:r>
        <w:rPr>
          <w:rFonts w:ascii="IRNazanin" w:hAnsi="IRNazanin" w:eastAsia="IRNazanin" w:cs="IRNazanin"/>
          <w:lang w:bidi="fa-IR"/>
          <w:color w:val="111111"/>
          <w:sz w:val="28"/>
          <w:szCs w:val="28"/>
          <w:rtl/>
        </w:rPr>
        <w:t xml:space="preserve">،حیث تمسّک بأصالة براءة ذمّة المشتری من الثمن،فلا یلزمه ما لم یقرَّ بِه أو یثبت </w:t>
      </w:r>
      <w:r>
        <w:rPr>
          <w:rStyle w:val="FootnoteReference"/>
        </w:rPr>
        <w:footnoteReference w:id="1948"/>
      </w:r>
      <w:r>
        <w:rPr>
          <w:rFonts w:ascii="Amiri" w:hAnsi="Amiri" w:eastAsia="Amiri" w:cs="Amiri"/>
          <w:lang w:bidi="ar-SA"/>
          <w:color w:val="111111"/>
          <w:sz w:val="28"/>
          <w:szCs w:val="28"/>
          <w:rtl/>
        </w:rPr>
        <w:t xml:space="preserve">بالبیّنة.</w:t>
      </w:r>
    </w:p>
    <w:p>
      <w:pPr>
        <w:pStyle w:val="BookText"/>
      </w:pPr>
      <w:r>
        <w:rPr>
          <w:rFonts w:ascii="IRNazanin" w:hAnsi="IRNazanin" w:eastAsia="IRNazanin" w:cs="IRNazanin"/>
          <w:lang w:bidi="fa-IR"/>
          <w:color w:val="111111"/>
          <w:sz w:val="28"/>
          <w:szCs w:val="28"/>
          <w:rtl/>
        </w:rPr>
        <w:t xml:space="preserve">و لأنّ البائع یدّعی علمه بالمبیع علی هذا الوصف الموجود و الرضا به،و الأصل عدمه کما فی التذکرة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الأصل عدم وصول حقّه إلیه کما فی جامع المقاصد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یضعّف الأوّل:بأنّ ید المشتری علی الثمن بعد اعترافه بتحقّق الناقل الصحیح ید أمانة،غایة الأمر أنّه یدّعی سلطنته علی الفسخ فلا ینفع تشبّثه بالید.إلّا أن یقال:إنّ وجود الناقل لا یکفی فی سلطنة البائع علی الثمن،بناءً علی ما ذکره العلّامة فی أحکام الخیار من التذکرة،و لم ینسب خلافه إلّا إلی بعض الشافعیّة،من عدم وجوب تسلیم الثمن و المثمن فی مدّة الخیار و إن تسلّم الآخر </w:t>
      </w:r>
      <w:r>
        <w:rPr>
          <w:rStyle w:val="FootnoteReference"/>
        </w:rPr>
        <w:footnoteReference w:id="1951"/>
      </w:r>
      <w:r>
        <w:rPr>
          <w:rFonts w:ascii="IRNazanin" w:hAnsi="IRNazanin" w:eastAsia="IRNazanin" w:cs="IRNazanin"/>
          <w:lang w:bidi="fa-IR"/>
          <w:color w:val="111111"/>
          <w:sz w:val="28"/>
          <w:szCs w:val="28"/>
          <w:rtl/>
        </w:rPr>
        <w:t xml:space="preserve">،و حینئذٍ فالشکّ فی ثبوت الخیار یوجب الشکّ فی سلطنة البائع علی أخذ الثمن،فلا مدفع لهذا الوجه إلّا أصالة عدم سبب الخیار لو تمّ،کما سیجیء.</w:t>
      </w:r>
    </w:p>
    <w:p>
      <w:pPr>
        <w:pStyle w:val="BookText"/>
      </w:pPr>
      <w:r>
        <w:rPr>
          <w:rFonts w:ascii="IRNazanin" w:hAnsi="IRNazanin" w:eastAsia="IRNazanin" w:cs="IRNazanin"/>
          <w:lang w:bidi="fa-IR"/>
          <w:color w:val="111111"/>
          <w:sz w:val="28"/>
          <w:szCs w:val="28"/>
          <w:rtl/>
        </w:rPr>
        <w:t xml:space="preserve">و الثانی </w:t>
      </w:r>
      <w:r>
        <w:rPr>
          <w:rStyle w:val="FootnoteReference"/>
        </w:rPr>
        <w:footnoteReference w:id="1952"/>
      </w:r>
      <w:r>
        <w:rPr>
          <w:rFonts w:ascii="IRNazanin" w:hAnsi="IRNazanin" w:eastAsia="IRNazanin" w:cs="IRNazanin"/>
          <w:lang w:bidi="fa-IR"/>
          <w:color w:val="111111"/>
          <w:sz w:val="28"/>
          <w:szCs w:val="28"/>
          <w:rtl/>
        </w:rPr>
        <w:t xml:space="preserve">مع معارضته بأصالة عدم علم المشتری بالمبیع علی وصف آخر حتّی یکون حقّا له یوجب الخیار-:بأنّ الشکّ فی علم</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بهذا الوصف و علمه بغیره مسبّب عن الشکّ فی وجود غیر هذا الوصف سابقاً،فإذا انتفی غیره بالأصل الذی یرجع إلیه أصالة عدم تغیّر المبیع لم یجر أصالة عدم علمه بهذا الوصف.</w:t>
      </w:r>
    </w:p>
    <w:p>
      <w:pPr>
        <w:pStyle w:val="BookText"/>
      </w:pPr>
      <w:r>
        <w:rPr>
          <w:rFonts w:ascii="IRNazanin" w:hAnsi="IRNazanin" w:eastAsia="IRNazanin" w:cs="IRNazanin"/>
          <w:lang w:bidi="fa-IR"/>
          <w:color w:val="111111"/>
          <w:sz w:val="28"/>
          <w:szCs w:val="28"/>
          <w:rtl/>
        </w:rPr>
        <w:t xml:space="preserve">و الثالث:بأنّ حقّ المشتری من نفس العین قد وصل إلیه قطعاً، و لذا یجوز له إمضاء العقد،و ثبوت حقٍّ له من حیث الوصف المفقود غیر ثابت،فعلیه الإثبات،و المرجع أصالة لزوم العقد.و لأجل ما ذکرنا قوّی بعضٌ </w:t>
      </w:r>
      <w:r>
        <w:rPr>
          <w:rStyle w:val="FootnoteReference"/>
        </w:rPr>
        <w:footnoteReference w:id="1953"/>
      </w:r>
      <w:r>
        <w:rPr>
          <w:rFonts w:ascii="IRNazanin" w:hAnsi="IRNazanin" w:eastAsia="IRNazanin" w:cs="IRNazanin"/>
          <w:lang w:bidi="fa-IR"/>
          <w:color w:val="111111"/>
          <w:sz w:val="28"/>
          <w:szCs w:val="28"/>
          <w:rtl/>
        </w:rPr>
        <w:t xml:space="preserve">تقدیم قول البائع.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هذا،و یمکن بناء المسألة علی أنّ بناء المتبایعین حین العقد علی الأوصاف الملحوظة حین المشاهدة هل هو کاشتراطها فی العقد،فهی کشروط مضمرة فی نفس المتعاقدین کما عرفت </w:t>
      </w:r>
      <w:r>
        <w:rPr>
          <w:rStyle w:val="FootnoteReference"/>
        </w:rPr>
        <w:footnoteReference w:id="1954"/>
      </w:r>
      <w:r>
        <w:rPr>
          <w:rFonts w:ascii="IRNazanin" w:hAnsi="IRNazanin" w:eastAsia="IRNazanin" w:cs="IRNazanin"/>
          <w:lang w:bidi="fa-IR"/>
          <w:color w:val="111111"/>
          <w:sz w:val="28"/>
          <w:szCs w:val="28"/>
          <w:rtl/>
        </w:rPr>
        <w:t xml:space="preserve">عن النهایة و المسالک و لذا لا یحصل من فقدها إلّا خیار لمن اشترطت له و لا یلزم بطلان العقد،أو أنّها مأخوذة فی نفس المعقود علیه،بحیث یکون المعقود علیه هو الشیء المقیّد؛و لذا لا یجوز إلغاؤها فی المعقود علیه کما یجوز إلغاء غیرها من الشروط؟ فعلی الأوّل:یرجع النزاع فی التغیّر و عدمه إلی النزاع فی اشتراط خلاف هذا الوصف الموجود علی البائع و عدمه،و الأصل مع البائع.</w:t>
      </w:r>
    </w:p>
    <w:p>
      <w:pPr>
        <w:pStyle w:val="BookText"/>
      </w:pPr>
      <w:r>
        <w:rPr>
          <w:rFonts w:ascii="IRNazanin" w:hAnsi="IRNazanin" w:eastAsia="IRNazanin" w:cs="IRNazanin"/>
          <w:lang w:bidi="fa-IR"/>
          <w:color w:val="111111"/>
          <w:sz w:val="28"/>
          <w:szCs w:val="28"/>
          <w:rtl/>
        </w:rPr>
        <w:t xml:space="preserve">و بعبارة اخری:النزاع فی أنّ العقد وقع علی الشیء الملحوظ فیه الوصف المفقود،أم لا </w:t>
      </w:r>
      <w:r>
        <w:rPr>
          <w:rStyle w:val="FootnoteReference"/>
        </w:rPr>
        <w:footnoteReference w:id="1955"/>
      </w:r>
      <w:r>
        <w:rPr>
          <w:rFonts w:ascii="IRNazanin" w:hAnsi="IRNazanin" w:eastAsia="IRNazanin" w:cs="IRNazanin"/>
          <w:lang w:bidi="fa-IR"/>
          <w:color w:val="111111"/>
          <w:sz w:val="28"/>
          <w:szCs w:val="28"/>
          <w:rtl/>
        </w:rPr>
        <w:t xml:space="preserve">؟ لکنّ الإنصاف:أنّ هذا البناء فی حکم</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الاشتراط من حیث ثبوت الخیار،لکنّه لیس شیئاً مستقلا حتّی یدفع عند الشکّ بالأصل،بل المراد به إیقاع العقد علی العین الملحوظ کونه متّصفاً </w:t>
      </w:r>
      <w:r>
        <w:rPr>
          <w:rStyle w:val="FootnoteReference"/>
        </w:rPr>
        <w:footnoteReference w:id="1956"/>
      </w:r>
      <w:r>
        <w:rPr>
          <w:rFonts w:ascii="IRNazanin" w:hAnsi="IRNazanin" w:eastAsia="IRNazanin" w:cs="IRNazanin"/>
          <w:lang w:bidi="fa-IR"/>
          <w:color w:val="111111"/>
          <w:sz w:val="28"/>
          <w:szCs w:val="28"/>
          <w:rtl/>
        </w:rPr>
        <w:t xml:space="preserve">بهذا الوصف،و لیس هنا عقدٌ علی العین و التزامٌ بکونه متّصفاً </w:t>
      </w:r>
      <w:r>
        <w:rPr>
          <w:rStyle w:val="FootnoteReference"/>
        </w:rPr>
        <w:footnoteReference w:id="1957"/>
      </w:r>
      <w:r>
        <w:rPr>
          <w:rFonts w:ascii="IRNazanin" w:hAnsi="IRNazanin" w:eastAsia="IRNazanin" w:cs="IRNazanin"/>
          <w:lang w:bidi="fa-IR"/>
          <w:color w:val="111111"/>
          <w:sz w:val="28"/>
          <w:szCs w:val="28"/>
          <w:rtl/>
        </w:rPr>
        <w:t xml:space="preserve">بذلک الوصف،فهو قیدٌ ملحوظٌ فی المعقود علیه نظیر الأجزاء،لا شرطٌ ملزمٌ </w:t>
      </w:r>
      <w:r>
        <w:rPr>
          <w:rStyle w:val="FootnoteReference"/>
        </w:rPr>
        <w:footnoteReference w:id="1958"/>
      </w:r>
      <w:r>
        <w:rPr>
          <w:rFonts w:ascii="IRNazanin" w:hAnsi="IRNazanin" w:eastAsia="IRNazanin" w:cs="IRNazanin"/>
          <w:lang w:bidi="fa-IR"/>
          <w:color w:val="111111"/>
          <w:sz w:val="28"/>
          <w:szCs w:val="28"/>
          <w:rtl/>
        </w:rPr>
        <w:t xml:space="preserve">فی العقد؛فحینئذٍ یرجع النزاع إلی وقوع العقد علی ما ینطبق علی الشیء الموجود حتّی یلزم الوفاء و عدمه،و الأصل عدمه.</w:t>
      </w:r>
    </w:p>
    <w:p>
      <w:pPr>
        <w:pStyle w:val="BookText"/>
      </w:pPr>
      <w:r>
        <w:rPr>
          <w:rFonts w:ascii="IRNazanin" w:hAnsi="IRNazanin" w:eastAsia="IRNazanin" w:cs="IRNazanin"/>
          <w:lang w:bidi="fa-IR"/>
          <w:color w:val="111111"/>
          <w:sz w:val="28"/>
          <w:szCs w:val="28"/>
          <w:rtl/>
        </w:rPr>
        <w:t xml:space="preserve">و دعوی:معارضته بأصالة عدم وقوع العقد علی العین المقیّدة بالوصف المفقود لیثبت الجواز،مدفوعةٌ:بأنّ عدم وقوع العقد علی العین المقیّدة لا یثبت جواز العقد الواقع إلّا بعد إثبات وقوع العقد علی العین الغیر المقیّدة بأصالة عدم وقوع العقد علی المقیّدة،و هو غیر جائزٍ کما حقّق فی الأُصول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الثانی </w:t>
      </w:r>
      <w:r>
        <w:rPr>
          <w:rStyle w:val="FootnoteReference"/>
        </w:rPr>
        <w:footnoteReference w:id="1960"/>
      </w:r>
      <w:r>
        <w:rPr>
          <w:rFonts w:ascii="IRNazanin" w:hAnsi="IRNazanin" w:eastAsia="IRNazanin" w:cs="IRNazanin"/>
          <w:lang w:bidi="fa-IR"/>
          <w:color w:val="111111"/>
          <w:sz w:val="28"/>
          <w:szCs w:val="28"/>
          <w:rtl/>
        </w:rPr>
        <w:t xml:space="preserve">:یرجع النزاع إلی وقوع العقد </w:t>
      </w:r>
      <w:r>
        <w:rPr>
          <w:rStyle w:val="FootnoteReference"/>
        </w:rPr>
        <w:footnoteReference w:id="1961"/>
      </w:r>
      <w:r>
        <w:rPr>
          <w:rFonts w:ascii="IRNazanin" w:hAnsi="IRNazanin" w:eastAsia="IRNazanin" w:cs="IRNazanin"/>
          <w:lang w:bidi="fa-IR"/>
          <w:color w:val="111111"/>
          <w:sz w:val="28"/>
          <w:szCs w:val="28"/>
          <w:rtl/>
        </w:rPr>
        <w:t xml:space="preserve">و التراضی علی الشیء المطلق بحیث یشمل الموصوف بهذا الوصف الموجود و عدمه،</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الأصل مع المشتری.</w:t>
      </w:r>
    </w:p>
    <w:p>
      <w:pPr>
        <w:pStyle w:val="BookText"/>
      </w:pPr>
      <w:r>
        <w:rPr>
          <w:rFonts w:ascii="IRNazanin" w:hAnsi="IRNazanin" w:eastAsia="IRNazanin" w:cs="IRNazanin"/>
          <w:lang w:bidi="fa-IR"/>
          <w:color w:val="111111"/>
          <w:sz w:val="28"/>
          <w:szCs w:val="28"/>
          <w:rtl/>
        </w:rPr>
        <w:t xml:space="preserve">و دعوی:معارضته بأصالة عدم وقوع العقد علی الشیء الموصوف بالصفة المفقودة،مدفوعة:بأنّه لا یلزم من عدم تعلّقه بذاک تعلّقه بهذا حتّی یلزم علی المشتری الوفاء به،فإلزام المشتری بالوفاء بالعقد موقوف علی ثبوت تعلّق العقد بهذا،و هو غیر ثابت و الأصل عدمه؛ و قد تقرّر فی الأُصول:أنّ نفی أحد الضدّین بالأصل </w:t>
      </w:r>
      <w:r>
        <w:rPr>
          <w:rStyle w:val="FootnoteReference"/>
        </w:rPr>
        <w:footnoteReference w:id="1962"/>
      </w:r>
      <w:r>
        <w:rPr>
          <w:rFonts w:ascii="IRNazanin" w:hAnsi="IRNazanin" w:eastAsia="IRNazanin" w:cs="IRNazanin"/>
          <w:lang w:bidi="fa-IR"/>
          <w:color w:val="111111"/>
          <w:sz w:val="28"/>
          <w:szCs w:val="28"/>
          <w:rtl/>
        </w:rPr>
        <w:t xml:space="preserve">لا یثبت الضدّ الآخر </w:t>
      </w:r>
      <w:r>
        <w:rPr>
          <w:rStyle w:val="FootnoteReference"/>
        </w:rPr>
        <w:footnoteReference w:id="1963"/>
      </w:r>
      <w:r>
        <w:rPr>
          <w:rFonts w:ascii="IRNazanin" w:hAnsi="IRNazanin" w:eastAsia="IRNazanin" w:cs="IRNazanin"/>
          <w:lang w:bidi="fa-IR"/>
          <w:color w:val="111111"/>
          <w:sz w:val="28"/>
          <w:szCs w:val="28"/>
          <w:rtl/>
        </w:rPr>
        <w:t xml:space="preserve">لیترتّب علیه حکمه.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بما ذکرنا یظهر فساد التمسّک بأصالة اللزوم؛حیث إنّ المبیع ملک المشتری،و الثمن ملک البائع اتّفاقاً،و إنّما اختلافهما فی تسلّط المشتری علی الفسخ،فیُنفی بما تقدّم من قاعدة اللزوم.</w:t>
      </w:r>
    </w:p>
    <w:p>
      <w:pPr>
        <w:pStyle w:val="BookText"/>
      </w:pPr>
      <w:r>
        <w:rPr>
          <w:rFonts w:ascii="IRNazanin" w:hAnsi="IRNazanin" w:eastAsia="IRNazanin" w:cs="IRNazanin"/>
          <w:lang w:bidi="fa-IR"/>
          <w:color w:val="111111"/>
          <w:sz w:val="28"/>
          <w:szCs w:val="28"/>
          <w:rtl/>
        </w:rPr>
        <w:t xml:space="preserve">توضیح الفساد:أنّ الشکّ فی اللزوم و عدمه من حیث الشکّ فی متعلّق العقد،فإنّا نقول:الأصل عدم تعلّق العقد بهذا الموجود حتّی یثبت اللزوم،و هو وارد علی أصالة اللزوم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هنا أمرین:</w:t>
      </w:r>
    </w:p>
    <w:p>
      <w:pPr>
        <w:pStyle w:val="BookText"/>
      </w:pPr>
      <w:r>
        <w:rPr>
          <w:rFonts w:ascii="IRNazanin" w:hAnsi="IRNazanin" w:eastAsia="IRNazanin" w:cs="IRNazanin"/>
          <w:lang w:bidi="fa-IR"/>
          <w:color w:val="111111"/>
          <w:sz w:val="28"/>
          <w:szCs w:val="28"/>
          <w:rtl/>
        </w:rPr>
        <w:t xml:space="preserve">أحدهما:عدم تقیید </w:t>
      </w:r>
      <w:r>
        <w:rPr>
          <w:rStyle w:val="FootnoteReference"/>
        </w:rPr>
        <w:footnoteReference w:id="1965"/>
      </w:r>
      <w:r>
        <w:rPr>
          <w:rFonts w:ascii="IRNazanin" w:hAnsi="IRNazanin" w:eastAsia="IRNazanin" w:cs="IRNazanin"/>
          <w:lang w:bidi="fa-IR"/>
          <w:color w:val="111111"/>
          <w:sz w:val="28"/>
          <w:szCs w:val="28"/>
          <w:rtl/>
        </w:rPr>
        <w:t xml:space="preserve">متعلّق العقد بذلک الوصف المفقود و أخذه فیه.و هذا الأصل ینفع فی عدم الخیار،لکنّه غیر جارٍ؛لعدم الحالة السابقة.</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الثانی:عدم وقوع العقد علی الموصوف بذاک الوصف المفقود.</w:t>
      </w:r>
    </w:p>
    <w:p>
      <w:pPr>
        <w:pStyle w:val="BookText"/>
      </w:pPr>
      <w:r>
        <w:rPr>
          <w:rFonts w:ascii="IRNazanin" w:hAnsi="IRNazanin" w:eastAsia="IRNazanin" w:cs="IRNazanin"/>
          <w:lang w:bidi="fa-IR"/>
          <w:color w:val="111111"/>
          <w:sz w:val="28"/>
          <w:szCs w:val="28"/>
          <w:rtl/>
        </w:rPr>
        <w:t xml:space="preserve">و هذا جارٍ غیر نافع،نظیر الشکّ فی کون الماء المخلوق </w:t>
      </w:r>
      <w:r>
        <w:rPr>
          <w:rStyle w:val="FootnoteReference"/>
        </w:rPr>
        <w:footnoteReference w:id="1966"/>
      </w:r>
      <w:r>
        <w:rPr>
          <w:rFonts w:ascii="IRNazanin" w:hAnsi="IRNazanin" w:eastAsia="IRNazanin" w:cs="IRNazanin"/>
          <w:lang w:bidi="fa-IR"/>
          <w:color w:val="111111"/>
          <w:sz w:val="28"/>
          <w:szCs w:val="28"/>
          <w:rtl/>
        </w:rPr>
        <w:t xml:space="preserve">دفعة کرّاً من أصله،فإنّ أصالة عدم کرّیته نافعةٌ غیر جاریة،و أصالة عدم وجود الکرّ جاریةٌ غیر نافعة فی ترتّب آثار القلّة علی الماء المذکور،فافهم و اغتنم.</w:t>
      </w:r>
    </w:p>
    <w:p>
      <w:pPr>
        <w:pStyle w:val="BookText"/>
      </w:pPr>
      <w:r>
        <w:rPr>
          <w:rFonts w:ascii="Amiri" w:hAnsi="Amiri" w:eastAsia="Amiri" w:cs="Amiri"/>
          <w:lang w:bidi="ar-SA"/>
          <w:color w:val="111111"/>
          <w:sz w:val="28"/>
          <w:szCs w:val="28"/>
          <w:rtl/>
        </w:rPr>
        <w:t xml:space="preserve">و بما ذکرنا یظهر حال التمسّک بالعمومات المقتضیة للزوم العقد الحاکمة علی الأُصول العملیّة المتقدّمة،مثل ما دلّ علی حرمة أکل المال إِلاّٰ أَنْ تَکُونَ تِجٰارَةً عَنْ تَرٰاضٍ </w:t>
      </w:r>
      <w:r>
        <w:rPr>
          <w:rStyle w:val="FootnoteReference"/>
        </w:rPr>
        <w:footnoteReference w:id="1967"/>
      </w:r>
      <w:r>
        <w:rPr>
          <w:rFonts w:ascii="IRNazanin" w:hAnsi="IRNazanin" w:eastAsia="IRNazanin" w:cs="IRNazanin"/>
          <w:lang w:bidi="fa-IR"/>
          <w:color w:val="111111"/>
          <w:sz w:val="28"/>
          <w:szCs w:val="28"/>
          <w:rtl/>
        </w:rPr>
        <w:t xml:space="preserve">،و عموم:«لا </w:t>
      </w:r>
      <w:r>
        <w:rPr>
          <w:rStyle w:val="FootnoteReference"/>
        </w:rPr>
        <w:footnoteReference w:id="1968"/>
      </w:r>
      <w:r>
        <w:rPr>
          <w:rFonts w:ascii="Amiri" w:hAnsi="Amiri" w:eastAsia="Amiri" w:cs="Amiri"/>
          <w:lang w:bidi="ar-SA"/>
          <w:color w:val="111111"/>
          <w:sz w:val="28"/>
          <w:szCs w:val="28"/>
          <w:rtl/>
        </w:rPr>
        <w:t xml:space="preserve">یحلّ مال امرئٍ مسلمٍ إلّا عن طیب نفسه» </w:t>
      </w:r>
      <w:r>
        <w:rPr>
          <w:rStyle w:val="FootnoteReference"/>
        </w:rPr>
        <w:footnoteReference w:id="1969"/>
      </w:r>
      <w:r>
        <w:rPr>
          <w:rFonts w:ascii="IRNazanin" w:hAnsi="IRNazanin" w:eastAsia="IRNazanin" w:cs="IRNazanin"/>
          <w:lang w:bidi="fa-IR"/>
          <w:color w:val="111111"/>
          <w:sz w:val="28"/>
          <w:szCs w:val="28"/>
          <w:rtl/>
        </w:rPr>
        <w:t xml:space="preserve">،و عموم:«الناس مسلّطون علی أموالهم» </w:t>
      </w:r>
      <w:r>
        <w:rPr>
          <w:rStyle w:val="FootnoteReference"/>
        </w:rPr>
        <w:footnoteReference w:id="1970"/>
      </w:r>
      <w:r>
        <w:rPr>
          <w:rFonts w:ascii="IRNazanin" w:hAnsi="IRNazanin" w:eastAsia="IRNazanin" w:cs="IRNazanin"/>
          <w:lang w:bidi="fa-IR"/>
          <w:color w:val="111111"/>
          <w:sz w:val="28"/>
          <w:szCs w:val="28"/>
          <w:rtl/>
        </w:rPr>
        <w:t xml:space="preserve">،بناءً علی أنّها تدلّ علی عدم تسلّط المشتری علی استرداد الثمن من البائع؛لأنّ المفروض صیرورته مِلکاً له </w:t>
      </w:r>
      <w:r>
        <w:rPr>
          <w:rStyle w:val="FootnoteReference"/>
        </w:rPr>
        <w:footnoteReference w:id="1971"/>
      </w:r>
      <w:r>
        <w:rPr>
          <w:rFonts w:ascii="IRNazanin" w:hAnsi="IRNazanin" w:eastAsia="IRNazanin" w:cs="IRNazanin"/>
          <w:lang w:bidi="fa-IR"/>
          <w:color w:val="111111"/>
          <w:sz w:val="28"/>
          <w:szCs w:val="28"/>
          <w:rtl/>
        </w:rPr>
        <w:t xml:space="preserve">إذ لا یخفی علیک أنّ هذه العمومات مخصَّصة قد خرج عنها بحکم أدلّة الخیار المال الذی لم یدفع عوضه الذی وقع المعاوضة علیه إلی المشتری،فإذا شکّ فی ذلک فالأصل عدم دفع العوض.و هذا هو الذی تقدّم:من أصالة عدم وصول حقّ المشتری إلیه،فإنّ عدم وصول حقّه إلیه یثبت موضوع</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خیار تخلّف الوصف.</w:t>
      </w:r>
    </w:p>
    <w:p>
      <w:pPr>
        <w:pStyle w:val="BookText"/>
      </w:pPr>
      <w:r>
        <w:rPr>
          <w:rFonts w:ascii="IRNazanin" w:hAnsi="IRNazanin" w:eastAsia="IRNazanin" w:cs="IRNazanin"/>
          <w:lang w:bidi="fa-IR"/>
          <w:color w:val="111111"/>
          <w:sz w:val="28"/>
          <w:szCs w:val="28"/>
          <w:rtl/>
        </w:rPr>
        <w:t xml:space="preserve">فإن قلت:لا دلیل علی کون الخارج من العمومات المذکورة معنوناً بالعنوان المذکور،بل نقول:قد خرج من تلک العمومات المال الذی وقع المعاوضة بینه و بین ما لم ینطبق علی المدفوع،فإذا شکّ فی ذلک فالأصل عدم وقوع المعاوضة المذکورة.</w:t>
      </w:r>
    </w:p>
    <w:p>
      <w:pPr>
        <w:pStyle w:val="BookText"/>
      </w:pPr>
      <w:r>
        <w:rPr>
          <w:rFonts w:ascii="IRNazanin" w:hAnsi="IRNazanin" w:eastAsia="IRNazanin" w:cs="IRNazanin"/>
          <w:lang w:bidi="fa-IR"/>
          <w:color w:val="111111"/>
          <w:sz w:val="28"/>
          <w:szCs w:val="28"/>
          <w:rtl/>
        </w:rPr>
        <w:t xml:space="preserve">قلت:السبب فی الخیار و سلطنة المشتری علی فسخ العقد و عدم وجوب الوفاء به علیه هو عدم کون العین الخارجیّة </w:t>
      </w:r>
      <w:r>
        <w:rPr>
          <w:rStyle w:val="FootnoteReference"/>
        </w:rPr>
        <w:footnoteReference w:id="1972"/>
      </w:r>
      <w:r>
        <w:rPr>
          <w:rFonts w:ascii="IRNazanin" w:hAnsi="IRNazanin" w:eastAsia="IRNazanin" w:cs="IRNazanin"/>
          <w:lang w:bidi="fa-IR"/>
          <w:color w:val="111111"/>
          <w:sz w:val="28"/>
          <w:szCs w:val="28"/>
          <w:rtl/>
        </w:rPr>
        <w:t xml:space="preserve">منطبقة علی ما وقع العقد علیه.و بعبارة اخری:هو عدم وفاء البائع بالعقد بدفع العنوان الذی وقع العقد علیه إلی المشتری،لا وقوع العقد علی ما لا </w:t>
      </w:r>
      <w:r>
        <w:rPr>
          <w:rStyle w:val="FootnoteReference"/>
        </w:rPr>
        <w:footnoteReference w:id="1973"/>
      </w:r>
      <w:r>
        <w:rPr>
          <w:rFonts w:ascii="IRNazanin" w:hAnsi="IRNazanin" w:eastAsia="IRNazanin" w:cs="IRNazanin"/>
          <w:lang w:bidi="fa-IR"/>
          <w:color w:val="111111"/>
          <w:sz w:val="28"/>
          <w:szCs w:val="28"/>
          <w:rtl/>
        </w:rPr>
        <w:t xml:space="preserve">یطابق العین الخارجیّة.</w:t>
      </w:r>
    </w:p>
    <w:p>
      <w:pPr>
        <w:pStyle w:val="BookText"/>
      </w:pPr>
      <w:r>
        <w:rPr>
          <w:rFonts w:ascii="IRNazanin" w:hAnsi="IRNazanin" w:eastAsia="IRNazanin" w:cs="IRNazanin"/>
          <w:lang w:bidi="fa-IR"/>
          <w:color w:val="111111"/>
          <w:sz w:val="28"/>
          <w:szCs w:val="28"/>
          <w:rtl/>
        </w:rPr>
        <w:t xml:space="preserve">کما أنّ السبب فی لزوم العقد تحقّق مقتضاه:من انتقال العین بالصفات التی وقع العقد علیها إلی ملک المشتری.</w:t>
      </w:r>
    </w:p>
    <w:p>
      <w:pPr>
        <w:pStyle w:val="BookText"/>
      </w:pPr>
      <w:r>
        <w:rPr>
          <w:rFonts w:ascii="IRNazanin" w:hAnsi="IRNazanin" w:eastAsia="IRNazanin" w:cs="IRNazanin"/>
          <w:lang w:bidi="fa-IR"/>
          <w:color w:val="111111"/>
          <w:sz w:val="28"/>
          <w:szCs w:val="28"/>
          <w:rtl/>
        </w:rPr>
        <w:t xml:space="preserve">و الأصل موافق للأوّل،و مخالف للثانی.مثلاً إذا وقع العقد علی العین علی أنّها سمینة فبانت مهزولة،فالموجب للخیار هو:أنّه لم ینتقل إلیه فی الخارج ما عُقد علیه و هو السمین،لا وقوع العقد علی السمین، فإنّ ذلک لا یقتضی الجواز،و إنّما المقتضی للجواز عدم انطباق العین الخارجیّة علی متعلّق العقد،و من المعلوم أنّ عدم الانطباق هو المطابق</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 عند الشکّ.</w:t>
      </w:r>
    </w:p>
    <w:p>
      <w:pPr>
        <w:pStyle w:val="BookText"/>
      </w:pPr>
      <w:r>
        <w:rPr>
          <w:rFonts w:ascii="IRNazanin" w:hAnsi="IRNazanin" w:eastAsia="IRNazanin" w:cs="IRNazanin"/>
          <w:lang w:bidi="fa-IR"/>
          <w:color w:val="111111"/>
          <w:sz w:val="28"/>
          <w:szCs w:val="28"/>
          <w:rtl/>
        </w:rPr>
        <w:t xml:space="preserve">فقد تحقّق ممّا ذکرنا:صحّة ما تقدّم:من أصالة عدم وصول حقّ المشتری إلیه،و کذا صحّة ما فی التذکرة:من أصالة عدم التزام المشتری بتملّک هذا الموجود حتّی یجب الوفاء بما أُلزم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نعم ما فی المبسوط </w:t>
      </w:r>
      <w:r>
        <w:rPr>
          <w:rStyle w:val="FootnoteReference"/>
        </w:rPr>
        <w:footnoteReference w:id="1975"/>
      </w:r>
      <w:r>
        <w:rPr>
          <w:rFonts w:ascii="IRNazanin" w:hAnsi="IRNazanin" w:eastAsia="IRNazanin" w:cs="IRNazanin"/>
          <w:lang w:bidi="fa-IR"/>
          <w:color w:val="111111"/>
          <w:sz w:val="28"/>
          <w:szCs w:val="28"/>
          <w:rtl/>
        </w:rPr>
        <w:t xml:space="preserve">و السرائر </w:t>
      </w:r>
      <w:r>
        <w:rPr>
          <w:rStyle w:val="FootnoteReference"/>
        </w:rPr>
        <w:footnoteReference w:id="1976"/>
      </w:r>
      <w:r>
        <w:rPr>
          <w:rFonts w:ascii="IRNazanin" w:hAnsi="IRNazanin" w:eastAsia="IRNazanin" w:cs="IRNazanin"/>
          <w:lang w:bidi="fa-IR"/>
          <w:color w:val="111111"/>
          <w:sz w:val="28"/>
          <w:szCs w:val="28"/>
          <w:rtl/>
        </w:rPr>
        <w:t xml:space="preserve">و الدروس </w:t>
      </w:r>
      <w:r>
        <w:rPr>
          <w:rStyle w:val="FootnoteReference"/>
        </w:rPr>
        <w:footnoteReference w:id="1977"/>
      </w:r>
      <w:r>
        <w:rPr>
          <w:rFonts w:ascii="IRNazanin" w:hAnsi="IRNazanin" w:eastAsia="IRNazanin" w:cs="IRNazanin"/>
          <w:lang w:bidi="fa-IR"/>
          <w:color w:val="111111"/>
          <w:sz w:val="28"/>
          <w:szCs w:val="28"/>
          <w:rtl/>
        </w:rPr>
        <w:t xml:space="preserve">:من أصالة بقاء ید المشتری علی الثمن،کأنه لا یناسب أصالة اللزوم بل یناسب أصالة الجواز عند الشکّ فی لزوم العقد،کما یظهر من المختلف فی باب السبق و الرمایة </w:t>
      </w:r>
      <w:r>
        <w:rPr>
          <w:rStyle w:val="FootnoteReference"/>
        </w:rPr>
        <w:footnoteReference w:id="1978"/>
      </w:r>
      <w:r>
        <w:rPr>
          <w:rFonts w:ascii="IRNazanin" w:hAnsi="IRNazanin" w:eastAsia="IRNazanin" w:cs="IRNazanin"/>
          <w:lang w:bidi="fa-IR"/>
          <w:color w:val="111111"/>
          <w:sz w:val="28"/>
          <w:szCs w:val="28"/>
          <w:rtl/>
        </w:rPr>
        <w:t xml:space="preserve">.و سیأتی تحقیق الحال فی باب الخیار.</w:t>
      </w:r>
    </w:p>
    <w:p>
      <w:pPr>
        <w:pStyle w:val="BookText"/>
      </w:pPr>
      <w:r>
        <w:rPr>
          <w:rFonts w:ascii="IRNazanin" w:hAnsi="IRNazanin" w:eastAsia="IRNazanin" w:cs="IRNazanin"/>
          <w:lang w:bidi="fa-IR"/>
          <w:color w:val="111111"/>
          <w:sz w:val="28"/>
          <w:szCs w:val="28"/>
          <w:rtl/>
        </w:rPr>
        <w:t xml:space="preserve">و أمّا دعوی ورود أصالة عدم تغیّر المبیع علی الأُصول المذکورة؛ لأنّ الشکّ فیها مسبّب عن الشکّ فی تغیّر المبیع،فهی مدفوعة مضافاً إلی منع جریانه فیما إذا علم بالسمَن قبل المشاهدة فاختلف فی زمان المشاهدة،کما إذا علم بکونها سمینة و أنّها صارت مهزولة،و لا یعلم أنّها فی زمان المشاهدة کانت باقیة علی السمن أو لا،فحینئذٍ مقتضی الأصل تأخّر الهزال عن المشاهدة،فالأصل تأخّر التغیّر،لا عدمه</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 للزوم العقد-:بأنّ </w:t>
      </w:r>
      <w:r>
        <w:rPr>
          <w:rStyle w:val="FootnoteReference"/>
        </w:rPr>
        <w:footnoteReference w:id="1979"/>
      </w:r>
      <w:r>
        <w:rPr>
          <w:rFonts w:ascii="IRNazanin" w:hAnsi="IRNazanin" w:eastAsia="IRNazanin" w:cs="IRNazanin"/>
          <w:lang w:bidi="fa-IR"/>
          <w:color w:val="111111"/>
          <w:sz w:val="28"/>
          <w:szCs w:val="28"/>
          <w:rtl/>
        </w:rPr>
        <w:t xml:space="preserve">مرجع أصالة عدم تغیّر المبیع إلی عدم کونها حین المشاهدة سمینة،و من المعلوم:أنّ هذا بنفسه لا یوجب لزوم العقد،نظیر أصالة عدم وقوع العقد علی السمین.</w:t>
      </w:r>
    </w:p>
    <w:p>
      <w:pPr>
        <w:pStyle w:val="BookText"/>
      </w:pPr>
      <w:r>
        <w:rPr>
          <w:rFonts w:ascii="IRNazanin" w:hAnsi="IRNazanin" w:eastAsia="IRNazanin" w:cs="IRNazanin"/>
          <w:lang w:bidi="fa-IR"/>
          <w:color w:val="111111"/>
          <w:sz w:val="28"/>
          <w:szCs w:val="28"/>
          <w:rtl/>
        </w:rPr>
        <w:t xml:space="preserve">نعم،لو ثبت بذلک الأصل هزالها عند المشاهدة و تعلّق العقد بالمهزول ثبت لزوم العقد،و لکنّ الأُصول العدمیّة فی مجاریها لا تثبت وجود أضدادها.</w:t>
      </w:r>
    </w:p>
    <w:p>
      <w:pPr>
        <w:pStyle w:val="BookText"/>
      </w:pPr>
      <w:r>
        <w:rPr>
          <w:rFonts w:ascii="IRNazanin" w:hAnsi="IRNazanin" w:eastAsia="IRNazanin" w:cs="IRNazanin"/>
          <w:lang w:bidi="fa-IR"/>
          <w:color w:val="111111"/>
          <w:sz w:val="28"/>
          <w:szCs w:val="28"/>
          <w:rtl/>
        </w:rPr>
        <w:t xml:space="preserve">هذا کلّه مع دعوی المشتری النقص الموجب للخیار.</w:t>
      </w:r>
    </w:p>
    <w:p>
      <w:pPr>
        <w:pStyle w:val="BookText"/>
      </w:pPr>
      <w:r>
        <w:rPr>
          <w:rFonts w:ascii="IRNazanin" w:hAnsi="IRNazanin" w:eastAsia="IRNazanin" w:cs="IRNazanin"/>
          <w:lang w:bidi="fa-IR"/>
          <w:color w:val="111111"/>
          <w:sz w:val="28"/>
          <w:szCs w:val="28"/>
          <w:rtl/>
        </w:rPr>
        <w:t xml:space="preserve">و لو ادّعی البائع الزیادة الموجبة لخیار البائع،فمقتضی ما ذکرنا فی طرف المشتری تقدیم قول البائع،لأنّ الأصل عدم وقوع العقد علی هذا الموجود حتّی یجب علیه الوفاء به.</w:t>
      </w:r>
    </w:p>
    <w:p>
      <w:pPr>
        <w:pStyle w:val="BookText"/>
      </w:pPr>
      <w:r>
        <w:rPr>
          <w:rFonts w:ascii="IRNazanin" w:hAnsi="IRNazanin" w:eastAsia="IRNazanin" w:cs="IRNazanin"/>
          <w:lang w:bidi="fa-IR"/>
          <w:color w:val="111111"/>
          <w:sz w:val="28"/>
          <w:szCs w:val="28"/>
          <w:rtl/>
        </w:rPr>
        <w:t xml:space="preserve">و ظاهر عبارة اللمعة تقدیم قول المشتری هنا </w:t>
      </w:r>
      <w:r>
        <w:rPr>
          <w:rStyle w:val="FootnoteReference"/>
        </w:rPr>
        <w:footnoteReference w:id="1980"/>
      </w:r>
      <w:r>
        <w:rPr>
          <w:rFonts w:ascii="IRNazanin" w:hAnsi="IRNazanin" w:eastAsia="IRNazanin" w:cs="IRNazanin"/>
          <w:lang w:bidi="fa-IR"/>
          <w:color w:val="111111"/>
          <w:sz w:val="28"/>
          <w:szCs w:val="28"/>
          <w:rtl/>
        </w:rPr>
        <w:t xml:space="preserve">.و لم یعلم وجهه.</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5" w:name="pg14419_167186"/>
    <w:bookmarkEnd w:id="265"/>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106" w:name="_Toc546"/>
      <w:r>
        <w:t>الفرع الثانی : لو اتّفقا علی التغیّر بعد المشاهدة</w:t>
      </w:r>
      <w:bookmarkEnd w:id="1106"/>
    </w:p>
    <w:p>
      <w:pPr>
        <w:pStyle w:val="BookText"/>
      </w:pPr>
      <w:r>
        <w:rPr>
          <w:rFonts w:ascii="IRNazanin" w:hAnsi="IRNazanin" w:eastAsia="IRNazanin" w:cs="IRNazanin"/>
          <w:lang w:bidi="fa-IR"/>
          <w:color w:val="111111"/>
          <w:sz w:val="28"/>
          <w:szCs w:val="28"/>
          <w:rtl/>
        </w:rPr>
        <w:t xml:space="preserve">الفرع </w:t>
      </w:r>
      <w:r>
        <w:rPr>
          <w:rStyle w:val="FootnoteReference"/>
        </w:rPr>
        <w:footnoteReference w:id="1981"/>
      </w:r>
      <w:r>
        <w:rPr>
          <w:rFonts w:ascii="IRNazanin" w:hAnsi="IRNazanin" w:eastAsia="IRNazanin" w:cs="IRNazanin"/>
          <w:lang w:bidi="fa-IR"/>
          <w:color w:val="111111"/>
          <w:sz w:val="28"/>
          <w:szCs w:val="28"/>
          <w:rtl/>
        </w:rPr>
        <w:t xml:space="preserve">]الثانی لو اتّفقا علی التغیّر بعد المشاهدة،و وقوع العقد علی الوصف المشاهَد،و اختلفا فی تقدّم التغیّر علی البیع لیثبت الخیار،و تأخّره عنه</w:t>
      </w:r>
    </w:p>
    <w:p>
      <w:pPr>
        <w:pStyle w:val="BookText"/>
      </w:pPr>
      <w:r>
        <w:rPr>
          <w:rFonts w:ascii="IRNazanin" w:hAnsi="IRNazanin" w:eastAsia="IRNazanin" w:cs="IRNazanin"/>
          <w:lang w:bidi="fa-IR"/>
          <w:color w:val="111111"/>
          <w:sz w:val="28"/>
          <w:szCs w:val="28"/>
          <w:rtl/>
        </w:rPr>
        <w:t xml:space="preserve">علی وجهٍ لا یوجب الخیار،تعارض کلٌّ من أصالة عدم تقدّم البیع و التغیّر علی صاحبه.</w:t>
      </w:r>
    </w:p>
    <w:p>
      <w:pPr>
        <w:pStyle w:val="BookText"/>
      </w:pPr>
      <w:r>
        <w:rPr>
          <w:rFonts w:ascii="IRNazanin" w:hAnsi="IRNazanin" w:eastAsia="IRNazanin" w:cs="IRNazanin"/>
          <w:lang w:bidi="fa-IR"/>
          <w:color w:val="111111"/>
          <w:sz w:val="28"/>
          <w:szCs w:val="28"/>
          <w:rtl/>
        </w:rPr>
        <w:t xml:space="preserve">و حیث إنّ مرجع الأصلین إلی أصالة عدم وقوع البیع حال السمن مثلاً،و أصالة بقاء السمن،و عدم وجود الهزال حال البیع و الظاهر أنّه لا یترتّب علی شیءٍ منهما الحکم بالجواز أو </w:t>
      </w:r>
      <w:r>
        <w:rPr>
          <w:rStyle w:val="FootnoteReference"/>
        </w:rPr>
        <w:footnoteReference w:id="1982"/>
      </w:r>
      <w:r>
        <w:rPr>
          <w:rFonts w:ascii="IRNazanin" w:hAnsi="IRNazanin" w:eastAsia="IRNazanin" w:cs="IRNazanin"/>
          <w:lang w:bidi="fa-IR"/>
          <w:color w:val="111111"/>
          <w:sz w:val="28"/>
          <w:szCs w:val="28"/>
          <w:rtl/>
        </w:rPr>
        <w:t xml:space="preserve">اللزوم؛ لأنّ اللزوم من أحکام وصول ما عقد علیه و انتقاله إلی المشتری، و أصالة بقاء السمن لا یثبت وصول السمین؛کما أنّ أصالة عدم وقوع البیع حال السمن لا ینفیه فالمرجع إلی أصالة عدم وصول حقّ المشتری إلیه کما فی المسألة السابقة،إلّا أنّ الفرق بینهما هو:أنّ الشکّ فی وصول الحقّ هناک ناشٍ عن الشکّ فی نفس الحقّ،و هنا ناشٍ عن الشکّ فی وصول الحقّ المعلوم.</w:t>
      </w:r>
    </w:p>
    <w:p>
      <w:pPr>
        <w:pStyle w:val="BookText"/>
      </w:pPr>
      <w:r>
        <w:rPr>
          <w:rFonts w:ascii="IRNazanin" w:hAnsi="IRNazanin" w:eastAsia="IRNazanin" w:cs="IRNazanin"/>
          <w:lang w:bidi="fa-IR"/>
          <w:color w:val="111111"/>
          <w:sz w:val="28"/>
          <w:szCs w:val="28"/>
          <w:rtl/>
        </w:rPr>
        <w:t xml:space="preserve">و بعبارة اخری:الشکّ هنا فی وصول الحقّ،و هناک فی حقیّة </w:t>
      </w:r>
      <w:r>
        <w:rPr>
          <w:rStyle w:val="FootnoteReference"/>
        </w:rPr>
        <w:footnoteReference w:id="1983"/>
      </w:r>
      <w:r>
        <w:rPr>
          <w:rFonts w:ascii="IRNazanin" w:hAnsi="IRNazanin" w:eastAsia="IRNazanin" w:cs="IRNazanin"/>
          <w:lang w:bidi="fa-IR"/>
          <w:color w:val="111111"/>
          <w:sz w:val="28"/>
          <w:szCs w:val="28"/>
          <w:rtl/>
        </w:rPr>
        <w:t xml:space="preserve">الواصل،و مقتضی الأصل فی المقامین عدم اللزوم.</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یعلم الکلام فیما لو کان مدّعی الخیار هو البائع،بأن اتّفقا علی مشاهدته مهزولاً و وقوع العقد علی المشاهد و حصل السمن، و اختلفا فی تقدّمه علی البیع لیثبت الخیار للبائع،فافهم و تدبّر؛فإنّ المقام لا یخلو عن إشکال و اشتباه.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لو وجد المبیع تالفاً بعد القبض فیما یکفی فی قبضه التخلیة، و اختلفا فی تقدّم التلف علی البیع و تأخّره،فالأصل بقاء ملک المشتری علی الثمن،لأصالة عدم تأثیر البیع.</w:t>
      </w:r>
    </w:p>
    <w:p>
      <w:pPr>
        <w:pStyle w:val="BookText"/>
      </w:pPr>
      <w:r>
        <w:rPr>
          <w:rFonts w:ascii="IRNazanin" w:hAnsi="IRNazanin" w:eastAsia="IRNazanin" w:cs="IRNazanin"/>
          <w:lang w:bidi="fa-IR"/>
          <w:color w:val="111111"/>
          <w:sz w:val="28"/>
          <w:szCs w:val="28"/>
          <w:rtl/>
        </w:rPr>
        <w:t xml:space="preserve">و قد یتوهّم جریان أصالة صحّة البیع هنا،للشکّ فی بعض شروطه،و هو وجود المبیع.</w:t>
      </w:r>
    </w:p>
    <w:p>
      <w:pPr>
        <w:pStyle w:val="BookText"/>
      </w:pPr>
      <w:r>
        <w:rPr>
          <w:rFonts w:ascii="IRNazanin" w:hAnsi="IRNazanin" w:eastAsia="IRNazanin" w:cs="IRNazanin"/>
          <w:lang w:bidi="fa-IR"/>
          <w:color w:val="111111"/>
          <w:sz w:val="28"/>
          <w:szCs w:val="28"/>
          <w:rtl/>
        </w:rPr>
        <w:t xml:space="preserve">و فیه:أنّ صحّة العقد عبارةٌ عن کونه بحیث یترتّب علیه الأثر شرعاً،فإذا فرضنا أنّه عقد علی شیءٍ معدومٍ فی الواقع فلا تأثیر له عقلاً فی تملیک العین؛لأنّ تملیک المعدوم لا علی قصد تملیکه عند الوجود،و لا علی قصد تملیک بدله مِثلاً أو قیمته </w:t>
      </w:r>
      <w:r>
        <w:rPr>
          <w:rStyle w:val="FootnoteReference"/>
        </w:rPr>
        <w:footnoteReference w:id="1984"/>
      </w:r>
      <w:r>
        <w:rPr>
          <w:rFonts w:ascii="IRNazanin" w:hAnsi="IRNazanin" w:eastAsia="IRNazanin" w:cs="IRNazanin"/>
          <w:lang w:bidi="fa-IR"/>
          <w:color w:val="111111"/>
          <w:sz w:val="28"/>
          <w:szCs w:val="28"/>
          <w:rtl/>
        </w:rPr>
        <w:t xml:space="preserve">غیر معقول.و مجرّد إنشائه باللفظ لغوٌ عرفاً،یقبح مع العلم دون الجهل بالحال،فإذا شککنا فی وجود العین حال العقد فلا یلزم من الحکم بعدمه فعلٌ فاسدٌ من المسلم؛لأنّ التملیک الحقیقی غیر متحقّق،و الصوری و إن تحقّق لکنّه لیس بفاسد؛إذ اللغو فاسدٌ عرفاً أی قبیح إذا صدر عن علمٍ </w:t>
      </w:r>
      <w:r>
        <w:rPr>
          <w:rStyle w:val="FootnoteReference"/>
        </w:rPr>
        <w:footnoteReference w:id="1985"/>
      </w:r>
      <w:r>
        <w:rPr>
          <w:rFonts w:ascii="IRNazanin" w:hAnsi="IRNazanin" w:eastAsia="IRNazanin" w:cs="IRNazanin"/>
          <w:lang w:bidi="fa-IR"/>
          <w:color w:val="111111"/>
          <w:sz w:val="28"/>
          <w:szCs w:val="28"/>
          <w:rtl/>
        </w:rPr>
        <w:t xml:space="preserve">بالحال.</w:t>
      </w:r>
    </w:p>
    <w:p>
      <w:pPr>
        <w:pStyle w:val="BookText"/>
      </w:pPr>
      <w:r>
        <w:rPr>
          <w:rFonts w:ascii="IRNazanin" w:hAnsi="IRNazanin" w:eastAsia="IRNazanin" w:cs="IRNazanin"/>
          <w:lang w:bidi="fa-IR"/>
          <w:color w:val="111111"/>
          <w:sz w:val="28"/>
          <w:szCs w:val="28"/>
          <w:rtl/>
        </w:rPr>
        <w:t xml:space="preserve">و بالجملة،الفاسد شرعاً الذی تنزّه </w:t>
      </w:r>
      <w:r>
        <w:rPr>
          <w:rStyle w:val="FootnoteReference"/>
        </w:rPr>
        <w:footnoteReference w:id="1986"/>
      </w:r>
      <w:r>
        <w:rPr>
          <w:rFonts w:ascii="IRNazanin" w:hAnsi="IRNazanin" w:eastAsia="IRNazanin" w:cs="IRNazanin"/>
          <w:lang w:bidi="fa-IR"/>
          <w:color w:val="111111"/>
          <w:sz w:val="28"/>
          <w:szCs w:val="28"/>
          <w:rtl/>
        </w:rPr>
        <w:t xml:space="preserve">عنه فعل المسلم هو التملیک</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 المقصود الذی لم یمضه الشارع.</w:t>
      </w:r>
    </w:p>
    <w:p>
      <w:pPr>
        <w:pStyle w:val="BookText"/>
      </w:pPr>
      <w:r>
        <w:rPr>
          <w:rFonts w:ascii="IRNazanin" w:hAnsi="IRNazanin" w:eastAsia="IRNazanin" w:cs="IRNazanin"/>
          <w:lang w:bidi="fa-IR"/>
          <w:color w:val="111111"/>
          <w:sz w:val="28"/>
          <w:szCs w:val="28"/>
          <w:rtl/>
        </w:rPr>
        <w:t xml:space="preserve">فافهم هذا،فإنّه قد غفل عنه بعضٌ </w:t>
      </w:r>
      <w:r>
        <w:rPr>
          <w:rStyle w:val="FootnoteReference"/>
        </w:rPr>
        <w:footnoteReference w:id="1987"/>
      </w:r>
      <w:r>
        <w:rPr>
          <w:rFonts w:ascii="IRNazanin" w:hAnsi="IRNazanin" w:eastAsia="IRNazanin" w:cs="IRNazanin"/>
          <w:lang w:bidi="fa-IR"/>
          <w:color w:val="111111"/>
          <w:sz w:val="28"/>
          <w:szCs w:val="28"/>
          <w:rtl/>
        </w:rPr>
        <w:t xml:space="preserve">فی مسألة الاختلاف فی تقدّم </w:t>
      </w:r>
      <w:r>
        <w:rPr>
          <w:rStyle w:val="FootnoteReference"/>
        </w:rPr>
        <w:footnoteReference w:id="1988"/>
      </w:r>
      <w:r>
        <w:rPr>
          <w:rFonts w:ascii="IRNazanin" w:hAnsi="IRNazanin" w:eastAsia="IRNazanin" w:cs="IRNazanin"/>
          <w:lang w:bidi="fa-IR"/>
          <w:color w:val="111111"/>
          <w:sz w:val="28"/>
          <w:szCs w:val="28"/>
          <w:rtl/>
        </w:rPr>
        <w:t xml:space="preserve">بیع الراهن علی رجوع المرتهن عن إذنه فی البیع و تأخّره </w:t>
      </w:r>
      <w:r>
        <w:rPr>
          <w:rStyle w:val="FootnoteReference"/>
        </w:rPr>
        <w:footnoteReference w:id="1989"/>
      </w:r>
      <w:r>
        <w:rPr>
          <w:rFonts w:ascii="IRNazanin" w:hAnsi="IRNazanin" w:eastAsia="IRNazanin" w:cs="IRNazanin"/>
          <w:lang w:bidi="fa-IR"/>
          <w:color w:val="111111"/>
          <w:sz w:val="28"/>
          <w:szCs w:val="28"/>
          <w:rtl/>
        </w:rPr>
        <w:t xml:space="preserve">عنه، حیث تمسّک بأصالة صحّة الرجوع عن الإذن؛لأنّ الرجوع لو وقع بعد بیع الراهن کان فاسداً؛لعدم مصادفته محلّاً یؤثّر فیه.</w:t>
      </w:r>
    </w:p>
    <w:p>
      <w:pPr>
        <w:pStyle w:val="BookText"/>
      </w:pPr>
      <w:r>
        <w:rPr>
          <w:rFonts w:ascii="Amiri" w:hAnsi="Amiri" w:eastAsia="Amiri" w:cs="Amiri"/>
          <w:lang w:bidi="ar-SA"/>
          <w:color w:val="111111"/>
          <w:sz w:val="28"/>
          <w:szCs w:val="28"/>
          <w:rtl/>
        </w:rPr>
        <w:t xml:space="preserve">نعم،لو تحقّقت قابلیّة التأثیر عقلاً و تحقّق </w:t>
      </w:r>
      <w:r>
        <w:rPr>
          <w:rStyle w:val="FootnoteReference"/>
        </w:rPr>
        <w:footnoteReference w:id="1990"/>
      </w:r>
      <w:r>
        <w:rPr>
          <w:rFonts w:ascii="IRNazanin" w:hAnsi="IRNazanin" w:eastAsia="IRNazanin" w:cs="IRNazanin"/>
          <w:lang w:bidi="fa-IR"/>
          <w:color w:val="111111"/>
          <w:sz w:val="28"/>
          <w:szCs w:val="28"/>
          <w:rtl/>
        </w:rPr>
        <w:t xml:space="preserve">الإنشاء الحقیقی عرفاً و لو فیما إذا باع بلا ثمن،أو باع ما هو غیر مملوکٍ کالخمر و الخنزیر و کالتالف شرعاً کالغریق و المسروق،أو معدوم قُصد تملّکه عند وجوده کالثمرة المعدومة،أو قصد تملیک بدله مِثلاً أو قیمةً،کما لو باع ما أتلفه زید علی عمرو،أو صالحه إیّاه بقصد حصول أثر الملک فی بدله تحقّق مورد الصحّة و الفساد،فإذا حکم بفساد شیءٍ من ذلک ثمّ شکّ فی أنّ العقد الخارجی منه أم من الصحیح،حمل علی الصحیح.</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6" w:name="pg14419_167190"/>
    <w:bookmarkEnd w:id="266"/>
    <w:p>
      <w:pPr>
        <w:pStyle w:val="Heading6"/>
      </w:pPr>
      <w:bookmarkStart w:id="1107" w:name="_Toc547"/>
      <w:r>
        <w:t>مسألة لا بدّ من اختبار الطعم و اللون و الرائحة فیما یختلف قیمته باختلاف ذلک</w:t>
      </w:r>
      <w:bookmarkEnd w:id="1107"/>
    </w:p>
    <w:p>
      <w:pPr>
        <w:pStyle w:val="BookText"/>
      </w:pPr>
      <w:r>
        <w:rPr>
          <w:rFonts w:ascii="IRNazanin" w:hAnsi="IRNazanin" w:eastAsia="IRNazanin" w:cs="IRNazanin"/>
          <w:lang w:bidi="fa-IR"/>
          <w:color w:val="111111"/>
          <w:sz w:val="28"/>
          <w:szCs w:val="28"/>
          <w:rtl/>
        </w:rPr>
        <w:t xml:space="preserve">کما فی کلّ وصفٍ یکون کذلک؛إذ لا فرق فی توقّف رفع الغرر علی العلم،بین هذه الأوصاف و بین تقدیر العوضین بالکیل و الوزن و العدّ.</w:t>
      </w:r>
    </w:p>
    <w:p>
      <w:pPr>
        <w:pStyle w:val="BookText"/>
      </w:pPr>
      <w:r>
        <w:rPr>
          <w:rFonts w:ascii="IRNazanin" w:hAnsi="IRNazanin" w:eastAsia="IRNazanin" w:cs="IRNazanin"/>
          <w:lang w:bidi="fa-IR"/>
          <w:color w:val="111111"/>
          <w:sz w:val="28"/>
          <w:szCs w:val="28"/>
          <w:rtl/>
        </w:rPr>
        <w:t xml:space="preserve">و یغنی الوصف عن الاختبار فیما ینضبط من الأوصاف،دون ما لا ینضبط،کمقدار الطعم و الرائحة و اللون و کیفیّاتها،فإنّ ذلک ممّا لا یمکن ضبطه إلّا باختبار شیءٍ من جنسه،ثمّ الشراء علی ذلک النحو من الوصف،مثل أن یکون الأعمی قد رأی قبل العمی لؤلؤةً،فبیع منه لؤلؤةٌ أُخری علی ذلک الوصف.و کذا الکلام فی الطعم و الرائحة لمن کان مسلوب الذائقة و الشامّة.</w:t>
      </w:r>
    </w:p>
    <w:p>
      <w:pPr>
        <w:pStyle w:val="BookText"/>
      </w:pPr>
      <w:r>
        <w:rPr>
          <w:rFonts w:ascii="IRNazanin" w:hAnsi="IRNazanin" w:eastAsia="IRNazanin" w:cs="IRNazanin"/>
          <w:lang w:bidi="fa-IR"/>
          <w:color w:val="111111"/>
          <w:sz w:val="28"/>
          <w:szCs w:val="28"/>
          <w:rtl/>
        </w:rPr>
        <w:t xml:space="preserve">نعم،لو لم یُرد من اختبار الأوصاف إلّا استعلام صحّته و فساده، جاز شراؤها بوصف الصحّة،کما فی الدبس و الدهن مثلاً،فإنّ المقصود من طعمهما ملاحظة عدم فسادهما.بخلاف بعض أنواع الفواکه و الروائح التی تختلف قیمتها باختلاف طعمها و رائحتها،و لا یقصد من اختبار أوصافها ملاحظة صحّتها و فسادها.</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کلمات الأصحاب </w:t>
      </w:r>
      <w:r>
        <w:rPr>
          <w:rStyle w:val="FootnoteReference"/>
        </w:rPr>
        <w:footnoteReference w:id="1991"/>
      </w:r>
      <w:r>
        <w:rPr>
          <w:rFonts w:ascii="IRNazanin" w:hAnsi="IRNazanin" w:eastAsia="IRNazanin" w:cs="IRNazanin"/>
          <w:lang w:bidi="fa-IR"/>
          <w:color w:val="111111"/>
          <w:sz w:val="28"/>
          <w:szCs w:val="28"/>
          <w:rtl/>
        </w:rPr>
        <w:t xml:space="preserve">فی جواز شراء ما یراد طعمه و رائحته بالوصف محمولٌ علی ما إذا أُرید الأوصاف التی لها مدخلٌ فی الصحّة،لا الزائدة علی الصحّة التی یختلف بها القیمة </w:t>
      </w:r>
      <w:r>
        <w:rPr>
          <w:rStyle w:val="FootnoteReference"/>
        </w:rPr>
        <w:footnoteReference w:id="19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بقرینة تعرّضهم بعد هذا لبیان جواز شرائها من دون اختبارٍ و لا وصفٍ،بناءً علی أصالة الصحّة.</w:t>
      </w:r>
    </w:p>
    <w:p>
      <w:pPr>
        <w:pStyle w:val="BookText"/>
      </w:pPr>
      <w:r>
        <w:rPr>
          <w:rFonts w:ascii="IRNazanin" w:hAnsi="IRNazanin" w:eastAsia="IRNazanin" w:cs="IRNazanin"/>
          <w:lang w:bidi="fa-IR"/>
          <w:color w:val="111111"/>
          <w:sz w:val="28"/>
          <w:szCs w:val="28"/>
          <w:rtl/>
        </w:rPr>
        <w:t xml:space="preserve">و کیف کان،فقد قوّی فی السرائر عدم الجواز أخیراً بعد اختیار جواز بیع ما ذکرنا بالوصف،وفاقاً للمشهور المدّعی علیه الإجماع فی الغنیة </w:t>
      </w:r>
      <w:r>
        <w:rPr>
          <w:rStyle w:val="FootnoteReference"/>
        </w:rPr>
        <w:footnoteReference w:id="1993"/>
      </w:r>
      <w:r>
        <w:rPr>
          <w:rFonts w:ascii="IRNazanin" w:hAnsi="IRNazanin" w:eastAsia="IRNazanin" w:cs="IRNazanin"/>
          <w:lang w:bidi="fa-IR"/>
          <w:color w:val="111111"/>
          <w:sz w:val="28"/>
          <w:szCs w:val="28"/>
          <w:rtl/>
        </w:rPr>
        <w:t xml:space="preserve">.قال:یمکن أن یقال:إنّ بیع العین المشاهدة المرئیّة لا یجوز أن یکون بالوصف؛لأنّه غیر غائبٍ فیباع مع خیار الرؤیة بالوصف،فإذاً لا بدّ من شمّه و ذوقه؛لأنّه حاضر مشاهَد غیر غائبٍ یحتاج إلی الوصف،و هذا قویٌّ </w:t>
      </w:r>
      <w:r>
        <w:rPr>
          <w:rStyle w:val="FootnoteReference"/>
        </w:rPr>
        <w:footnoteReference w:id="199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یضعّفه:أنّ المقصود من الاختبار رفع الغرر،فإذا فرض رفعه بالوصف کان الفرق بین الحاضر و الغائب تحکّماً.بل الأقوی جواز بیعه من غیر اختبار و لا وصفٍ،بناءً علی أصالة الصحّة،وفاقاً للفاضلین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تأخّر عنهما </w:t>
      </w:r>
      <w:r>
        <w:rPr>
          <w:rStyle w:val="FootnoteReference"/>
        </w:rPr>
        <w:footnoteReference w:id="1996"/>
      </w:r>
      <w:r>
        <w:rPr>
          <w:rFonts w:ascii="IRNazanin" w:hAnsi="IRNazanin" w:eastAsia="IRNazanin" w:cs="IRNazanin"/>
          <w:lang w:bidi="fa-IR"/>
          <w:color w:val="111111"/>
          <w:sz w:val="28"/>
          <w:szCs w:val="28"/>
          <w:rtl/>
        </w:rPr>
        <w:t xml:space="preserve">،لأنّه إذا کان المفروض ملاحظة الوصف من جهة دوران الصحّة معه،فذکره فی الحقیقة یرجع إلی ذکر وصف الصحّة، و من المعلوم أنّه غیر معتبرٍ فی البیع إجماعاً،بل یکفی بناء المتعاقدین علیه إذا لم یصرّح البائع بالبراءة من العیوب.</w:t>
      </w:r>
    </w:p>
    <w:p>
      <w:pPr>
        <w:pStyle w:val="BookText"/>
      </w:pPr>
      <w:r>
        <w:rPr>
          <w:rFonts w:ascii="IRNazanin" w:hAnsi="IRNazanin" w:eastAsia="IRNazanin" w:cs="IRNazanin"/>
          <w:lang w:bidi="fa-IR"/>
          <w:color w:val="111111"/>
          <w:sz w:val="28"/>
          <w:szCs w:val="28"/>
          <w:rtl/>
        </w:rPr>
        <w:t xml:space="preserve">و أمّا روایة محمّد بن العیص:«عن الرجل یشتری ما یذاق، أ یذوقه قبل أن یشتری؟قال:نعم فلیذقه،و لا یذوقنّ ما لا یشتری»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فالسؤال فیها عن جواز الذوق،لا عن وجوبه.</w:t>
      </w:r>
    </w:p>
    <w:p>
      <w:pPr>
        <w:pStyle w:val="BookText"/>
      </w:pPr>
      <w:r>
        <w:rPr>
          <w:rFonts w:ascii="IRNazanin" w:hAnsi="IRNazanin" w:eastAsia="IRNazanin" w:cs="IRNazanin"/>
          <w:lang w:bidi="fa-IR"/>
          <w:color w:val="111111"/>
          <w:sz w:val="28"/>
          <w:szCs w:val="28"/>
          <w:rtl/>
        </w:rPr>
        <w:t xml:space="preserve">ثمّ إنّه ربما نسب الخلاف فی هذه المسألة إلی المفید و القاضی و سلّار و أبی الصلاح و ابن حمزة.</w:t>
      </w:r>
    </w:p>
    <w:p>
      <w:pPr>
        <w:pStyle w:val="BookText"/>
      </w:pPr>
      <w:r>
        <w:rPr>
          <w:rFonts w:ascii="IRNazanin" w:hAnsi="IRNazanin" w:eastAsia="IRNazanin" w:cs="IRNazanin"/>
          <w:lang w:bidi="fa-IR"/>
          <w:color w:val="111111"/>
          <w:sz w:val="28"/>
          <w:szCs w:val="28"/>
          <w:rtl/>
        </w:rPr>
        <w:t xml:space="preserve">قال فی المقنعة:کلّ شیءٍ من المطعومات و المشمومات یمکن للإنسان اختباره من غیر إفسادٍ له کالأدهان المختبرة بالشمّ و صنوف الطیب و الحلوات المذوقة فإنّه لا یصحّ بیعه بغیر اختباره </w:t>
      </w:r>
      <w:r>
        <w:rPr>
          <w:rStyle w:val="FootnoteReference"/>
        </w:rPr>
        <w:footnoteReference w:id="1998"/>
      </w:r>
      <w:r>
        <w:rPr>
          <w:rFonts w:ascii="IRNazanin" w:hAnsi="IRNazanin" w:eastAsia="IRNazanin" w:cs="IRNazanin"/>
          <w:lang w:bidi="fa-IR"/>
          <w:color w:val="111111"/>
          <w:sz w:val="28"/>
          <w:szCs w:val="28"/>
          <w:rtl/>
        </w:rPr>
        <w:t xml:space="preserve">،فإن ابتیع بغیر اختبارٍ کان البیع باطلاً،و المتبایعان فیه </w:t>
      </w:r>
      <w:r>
        <w:rPr>
          <w:rStyle w:val="FootnoteReference"/>
        </w:rPr>
        <w:footnoteReference w:id="1999"/>
      </w:r>
      <w:r>
        <w:rPr>
          <w:rFonts w:ascii="IRNazanin" w:hAnsi="IRNazanin" w:eastAsia="IRNazanin" w:cs="IRNazanin"/>
          <w:lang w:bidi="fa-IR"/>
          <w:color w:val="111111"/>
          <w:sz w:val="28"/>
          <w:szCs w:val="28"/>
          <w:rtl/>
        </w:rPr>
        <w:t xml:space="preserve">بالخیار </w:t>
      </w:r>
      <w:r>
        <w:rPr>
          <w:rStyle w:val="FootnoteReference"/>
        </w:rPr>
        <w:footnoteReference w:id="2000"/>
      </w:r>
      <w:r>
        <w:rPr>
          <w:rFonts w:ascii="IRNazanin" w:hAnsi="IRNazanin" w:eastAsia="IRNazanin" w:cs="IRNazanin"/>
          <w:lang w:bidi="fa-IR"/>
          <w:color w:val="111111"/>
          <w:sz w:val="28"/>
          <w:szCs w:val="28"/>
          <w:rtl/>
        </w:rPr>
        <w:t xml:space="preserve">فإن تراضیا</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لم یکن به بأس،انتهی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القاضی:أنّه لا یجوز بیعه إلّا بعد أن یختبر،فإن بیع من غیر اختبار کان المشتری مخیّراً فی ردّه له علی البائع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المحکیّ عن سلّار و أبی الصلاح و ابن حمزة:إطلاق القول بعدم صحّة البیع من غیر اختبار فی ما لا یفسده الاختبار </w:t>
      </w:r>
      <w:r>
        <w:rPr>
          <w:rStyle w:val="FootnoteReference"/>
        </w:rPr>
        <w:footnoteReference w:id="2003"/>
      </w:r>
      <w:r>
        <w:rPr>
          <w:rFonts w:ascii="IRNazanin" w:hAnsi="IRNazanin" w:eastAsia="IRNazanin" w:cs="IRNazanin"/>
          <w:lang w:bidi="fa-IR"/>
          <w:color w:val="111111"/>
          <w:sz w:val="28"/>
          <w:szCs w:val="28"/>
          <w:rtl/>
        </w:rPr>
        <w:t xml:space="preserve">من غیر تعرّض لخیارٍ للمتبایعین </w:t>
      </w:r>
      <w:r>
        <w:rPr>
          <w:rStyle w:val="FootnoteReference"/>
        </w:rPr>
        <w:footnoteReference w:id="2004"/>
      </w:r>
      <w:r>
        <w:rPr>
          <w:rFonts w:ascii="IRNazanin" w:hAnsi="IRNazanin" w:eastAsia="IRNazanin" w:cs="IRNazanin"/>
          <w:lang w:bidi="fa-IR"/>
          <w:color w:val="111111"/>
          <w:sz w:val="28"/>
          <w:szCs w:val="28"/>
          <w:rtl/>
        </w:rPr>
        <w:t xml:space="preserve">کالمفید،أو للمشتری کالقاضی.</w:t>
      </w:r>
    </w:p>
    <w:p>
      <w:pPr>
        <w:pStyle w:val="BookText"/>
      </w:pPr>
      <w:r>
        <w:rPr>
          <w:rFonts w:ascii="IRNazanin" w:hAnsi="IRNazanin" w:eastAsia="IRNazanin" w:cs="IRNazanin"/>
          <w:lang w:bidi="fa-IR"/>
          <w:color w:val="111111"/>
          <w:sz w:val="28"/>
          <w:szCs w:val="28"/>
          <w:rtl/>
        </w:rPr>
        <w:t xml:space="preserve">ثمّ المحکیّ عن المفید و سلّار:أنّ ما یفسده الاختبار یجوز بیعه بشرط الصحّة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النهایة و الکافی:أنّ بیعه جائز علی شرط الصحّة أو البراءة من العیوب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القاضی:لا یجوز بیعه إلّا بشرط الصحّة أو البراءة من العیوب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محکیّ المختلف بعد ذکر عبارة القاضی-:إنّ هذه العبارة توهم اشتراط أحد القیدین:أمّا الصحّة أو البراءة من العیوب،و لیس</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بجیّد،بل الأولی انعقاد البیع،سواء شرط أحدهما أو خلی </w:t>
      </w:r>
      <w:r>
        <w:rPr>
          <w:rStyle w:val="FootnoteReference"/>
        </w:rPr>
        <w:footnoteReference w:id="2008"/>
      </w:r>
      <w:r>
        <w:rPr>
          <w:rFonts w:ascii="IRNazanin" w:hAnsi="IRNazanin" w:eastAsia="IRNazanin" w:cs="IRNazanin"/>
          <w:lang w:bidi="fa-IR"/>
          <w:color w:val="111111"/>
          <w:sz w:val="28"/>
          <w:szCs w:val="28"/>
          <w:rtl/>
        </w:rPr>
        <w:t xml:space="preserve">عنهما أو شرط العیب.و الظاهر أنّه إنّما صار إلی الإبهام من عبارة الشیخین </w:t>
      </w:r>
      <w:r>
        <w:rPr>
          <w:rStyle w:val="FootnoteReference"/>
        </w:rPr>
        <w:footnoteReference w:id="2009"/>
      </w:r>
      <w:r>
        <w:rPr>
          <w:rFonts w:ascii="IRNazanin" w:hAnsi="IRNazanin" w:eastAsia="IRNazanin" w:cs="IRNazanin"/>
          <w:lang w:bidi="fa-IR"/>
          <w:color w:val="111111"/>
          <w:sz w:val="28"/>
          <w:szCs w:val="28"/>
          <w:rtl/>
        </w:rPr>
        <w:t xml:space="preserve">، حیث قالا:إنّه جاز علی شرط الصحّة أو بشرط الصحّة.و مقصودهما:</w:t>
      </w:r>
    </w:p>
    <w:p>
      <w:pPr>
        <w:pStyle w:val="BookText"/>
      </w:pPr>
      <w:r>
        <w:rPr>
          <w:rFonts w:ascii="IRNazanin" w:hAnsi="IRNazanin" w:eastAsia="IRNazanin" w:cs="IRNazanin"/>
          <w:lang w:bidi="fa-IR"/>
          <w:color w:val="111111"/>
          <w:sz w:val="28"/>
          <w:szCs w:val="28"/>
          <w:rtl/>
        </w:rPr>
        <w:t xml:space="preserve">أنّ البیع بشرط الصحّة أو علی شرط الصحّة جائز،لا أنّ جوازه مشروط بالصحّة أو البراءة </w:t>
      </w:r>
      <w:r>
        <w:rPr>
          <w:rStyle w:val="FootnoteReference"/>
        </w:rPr>
        <w:footnoteReference w:id="201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أقول:و لعلّه لنکتةِ بیانِ أنّ مطلب الشیخین لیس وجوب ذکر الوصف فی العقد </w:t>
      </w:r>
      <w:r>
        <w:rPr>
          <w:rStyle w:val="FootnoteReference"/>
        </w:rPr>
        <w:footnoteReference w:id="2011"/>
      </w:r>
      <w:r>
        <w:rPr>
          <w:rFonts w:ascii="IRNazanin" w:hAnsi="IRNazanin" w:eastAsia="IRNazanin" w:cs="IRNazanin"/>
          <w:lang w:bidi="fa-IR"/>
          <w:color w:val="111111"/>
          <w:sz w:val="28"/>
          <w:szCs w:val="28"/>
          <w:rtl/>
        </w:rPr>
        <w:t xml:space="preserve">عبّر فی القواعد فیما یفسده الاختبار بقوله:«جاز </w:t>
      </w:r>
      <w:r>
        <w:rPr>
          <w:rStyle w:val="FootnoteReference"/>
        </w:rPr>
        <w:footnoteReference w:id="2012"/>
      </w:r>
      <w:r>
        <w:rPr>
          <w:rFonts w:ascii="IRNazanin" w:hAnsi="IRNazanin" w:eastAsia="IRNazanin" w:cs="IRNazanin"/>
          <w:lang w:bidi="fa-IR"/>
          <w:color w:val="111111"/>
          <w:sz w:val="28"/>
          <w:szCs w:val="28"/>
          <w:rtl/>
        </w:rPr>
        <w:t xml:space="preserve">بشرط </w:t>
      </w:r>
      <w:r>
        <w:rPr>
          <w:rStyle w:val="FootnoteReference"/>
        </w:rPr>
        <w:footnoteReference w:id="2013"/>
      </w:r>
      <w:r>
        <w:rPr>
          <w:rFonts w:ascii="Amiri" w:hAnsi="Amiri" w:eastAsia="Amiri" w:cs="Amiri"/>
          <w:lang w:bidi="ar-SA"/>
          <w:color w:val="111111"/>
          <w:sz w:val="28"/>
          <w:szCs w:val="28"/>
          <w:rtl/>
        </w:rPr>
        <w:t xml:space="preserve">الصحّة» </w:t>
      </w:r>
      <w:r>
        <w:rPr>
          <w:rStyle w:val="FootnoteReference"/>
        </w:rPr>
        <w:footnoteReference w:id="2014"/>
      </w:r>
      <w:r>
        <w:rPr>
          <w:rFonts w:ascii="IRNazanin" w:hAnsi="IRNazanin" w:eastAsia="IRNazanin" w:cs="IRNazanin"/>
          <w:lang w:bidi="fa-IR"/>
          <w:color w:val="111111"/>
          <w:sz w:val="28"/>
          <w:szCs w:val="28"/>
          <w:rtl/>
        </w:rPr>
        <w:t xml:space="preserve">،لکنّ الإنصاف أنّ الظاهر من عبارتی المقنعة و النهایة و نحوهما هو اعتبار ذکر الصحّة فی العقد،کما یظهر بالتدبّر فی عبارة المقنعة من أوّلها إلی آخرها </w:t>
      </w:r>
      <w:r>
        <w:rPr>
          <w:rStyle w:val="FootnoteReference"/>
        </w:rPr>
        <w:footnoteReference w:id="2015"/>
      </w:r>
      <w:r>
        <w:rPr>
          <w:rFonts w:ascii="IRNazanin" w:hAnsi="IRNazanin" w:eastAsia="IRNazanin" w:cs="IRNazanin"/>
          <w:lang w:bidi="fa-IR"/>
          <w:color w:val="111111"/>
          <w:sz w:val="28"/>
          <w:szCs w:val="28"/>
          <w:rtl/>
        </w:rPr>
        <w:t xml:space="preserve">،و عبارة النهایة هنا هی عبارة المقنعة بعینها،فلاحظ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ظاهر الکلّ کما تری اعتبار خصوص الاختبار فیما لا یفسده،</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تقدّم من الحلّی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یکفی ذکر الأوصاف،فضلاً عن الاستغناء عنها بأصالة السلامة.و یدلّ علیه:أنّ هؤلاء اشترطوا فی ظاهر عبائرهم المتقدّمة اشتراط الوصف أو السلامة من العیوب فیما یفسده الاختبار،و إن فهم فی المختلف خلاف ذلک.لکن قدّمنا ما فیه.</w:t>
      </w:r>
    </w:p>
    <w:p>
      <w:pPr>
        <w:pStyle w:val="BookText"/>
      </w:pPr>
      <w:r>
        <w:rPr>
          <w:rFonts w:ascii="IRNazanin" w:hAnsi="IRNazanin" w:eastAsia="IRNazanin" w:cs="IRNazanin"/>
          <w:lang w:bidi="fa-IR"/>
          <w:color w:val="111111"/>
          <w:sz w:val="28"/>
          <w:szCs w:val="28"/>
          <w:rtl/>
        </w:rPr>
        <w:t xml:space="preserve">فینبغی أن یکون کلامهم فی الأُمور التی لا تنضبط خصوصیّة طعمها و ریحها بالوصف.و الظاهر أنّ ذلک فی غیر الأوصاف التی یدور علیها السلامة من العیب،إلّا أنّ تخصیصهم </w:t>
      </w:r>
      <w:r>
        <w:rPr>
          <w:rStyle w:val="FootnoteReference"/>
        </w:rPr>
        <w:footnoteReference w:id="2018"/>
      </w:r>
      <w:r>
        <w:rPr>
          <w:rFonts w:ascii="IRNazanin" w:hAnsi="IRNazanin" w:eastAsia="IRNazanin" w:cs="IRNazanin"/>
          <w:lang w:bidi="fa-IR"/>
          <w:color w:val="111111"/>
          <w:sz w:val="28"/>
          <w:szCs w:val="28"/>
          <w:rtl/>
        </w:rPr>
        <w:t xml:space="preserve">الحکم بما لا یفسده الاختبار کالشاهد </w:t>
      </w:r>
      <w:r>
        <w:rPr>
          <w:rStyle w:val="FootnoteReference"/>
        </w:rPr>
        <w:footnoteReference w:id="2019"/>
      </w:r>
      <w:r>
        <w:rPr>
          <w:rFonts w:ascii="IRNazanin" w:hAnsi="IRNazanin" w:eastAsia="IRNazanin" w:cs="IRNazanin"/>
          <w:lang w:bidi="fa-IR"/>
          <w:color w:val="111111"/>
          <w:sz w:val="28"/>
          <w:szCs w:val="28"/>
          <w:rtl/>
        </w:rPr>
        <w:t xml:space="preserve">علی أنّ المراد بالأوصاف التی لا یفسد اختبارها ما هو مناط السلامة،کما أنّ مقابله و هو ما یفسد الشیء باختباره کالبیض و البطّیخ کذلک غالباً.و یؤیّده حکم القاضی بخیار المشتری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کان،فإن کان مذهبهم تعیین الاختبار فیما لا ینضبط بالأوصاف،فلا خلاف معهم منّا و لا من الأصحاب.</w:t>
      </w:r>
    </w:p>
    <w:p>
      <w:pPr>
        <w:pStyle w:val="BookText"/>
      </w:pPr>
      <w:r>
        <w:rPr>
          <w:rFonts w:ascii="IRNazanin" w:hAnsi="IRNazanin" w:eastAsia="IRNazanin" w:cs="IRNazanin"/>
          <w:lang w:bidi="fa-IR"/>
          <w:color w:val="111111"/>
          <w:sz w:val="28"/>
          <w:szCs w:val="28"/>
          <w:rtl/>
        </w:rPr>
        <w:t xml:space="preserve">و إن کان مذهبهم موافقاً للحلّی </w:t>
      </w:r>
      <w:r>
        <w:rPr>
          <w:rStyle w:val="FootnoteReference"/>
        </w:rPr>
        <w:footnoteReference w:id="2021"/>
      </w:r>
      <w:r>
        <w:rPr>
          <w:rFonts w:ascii="IRNazanin" w:hAnsi="IRNazanin" w:eastAsia="IRNazanin" w:cs="IRNazanin"/>
          <w:lang w:bidi="fa-IR"/>
          <w:color w:val="111111"/>
          <w:sz w:val="28"/>
          <w:szCs w:val="28"/>
          <w:rtl/>
        </w:rPr>
        <w:t xml:space="preserve">بناءً علی إرادة الأوصاف التی بها قوام السلامة من العیب،فقد عرفت أنّه ضعیف فی الغایة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مذهبهم عدم کفایة البناء علی أصالة السلامة عن الاختبار و الوصف و إن کان ذکر الوصف کافیاً عن الاختبار،فقد عرفت:أنّ الظاهر من حالهم و حال غیرهم عدم التزام ذکر الأوصاف الراجعة إلی السلامة من العیوب فی بیع الأعیان الشخصیة.</w:t>
      </w:r>
    </w:p>
    <w:p>
      <w:pPr>
        <w:pStyle w:val="BookText"/>
      </w:pPr>
      <w:r>
        <w:rPr>
          <w:rFonts w:ascii="IRNazanin" w:hAnsi="IRNazanin" w:eastAsia="IRNazanin" w:cs="IRNazanin"/>
          <w:lang w:bidi="fa-IR"/>
          <w:color w:val="111111"/>
          <w:sz w:val="28"/>
          <w:szCs w:val="28"/>
          <w:rtl/>
        </w:rPr>
        <w:t xml:space="preserve">و یمکن أن یقال بعد منع جریان أصالة السلامة فی الأعیان؛ لعدم الدلیل علیها،لا من بناء العقلاء إلّا فیما إذا کان الشکّ فی طروّ المفسد،مع أنّ الکلام </w:t>
      </w:r>
      <w:r>
        <w:rPr>
          <w:rStyle w:val="FootnoteReference"/>
        </w:rPr>
        <w:footnoteReference w:id="2023"/>
      </w:r>
      <w:r>
        <w:rPr>
          <w:rFonts w:ascii="IRNazanin" w:hAnsi="IRNazanin" w:eastAsia="IRNazanin" w:cs="IRNazanin"/>
          <w:lang w:bidi="fa-IR"/>
          <w:color w:val="111111"/>
          <w:sz w:val="28"/>
          <w:szCs w:val="28"/>
          <w:rtl/>
        </w:rPr>
        <w:t xml:space="preserve">فی کفایة أصالة السلامة عن ذکر الأوصاف أعمّ،و لا من الشرع؛لعدم الدلیل علیه-:إنّ السلامة من العیب الخاصّ متی ما کانت مقصودة علی جهة الرکنیّة للمال کالحلاوة فی الدبس،و الرائحة فی الجُلّاب،و الحموضة فی الخلّ،و غیر ذلک ممّا یذهب بذهابه معظم المالیّة فلا بدّ فی دفع الغرر من إحراز السلامة من هذا العیب الناشئ من عدم هذه الصفات،و حیث فرض عدم اعتبار أصالة السلامة،فلا بدّ من الاختبار أو الوصف أو الاعتقاد </w:t>
      </w:r>
      <w:r>
        <w:rPr>
          <w:rStyle w:val="FootnoteReference"/>
        </w:rPr>
        <w:footnoteReference w:id="2024"/>
      </w:r>
      <w:r>
        <w:rPr>
          <w:rFonts w:ascii="IRNazanin" w:hAnsi="IRNazanin" w:eastAsia="IRNazanin" w:cs="IRNazanin"/>
          <w:lang w:bidi="fa-IR"/>
          <w:color w:val="111111"/>
          <w:sz w:val="28"/>
          <w:szCs w:val="28"/>
          <w:rtl/>
        </w:rPr>
        <w:t xml:space="preserve">بوجودها لأمارة عرفیّة مغنیة عن الاختبار و الوصف.و متی ما کانت مقصودة لا علی هذا الوجه لم یجب إحرازها.</w:t>
      </w:r>
    </w:p>
    <w:p>
      <w:pPr>
        <w:pStyle w:val="BookText"/>
      </w:pPr>
      <w:r>
        <w:rPr>
          <w:rFonts w:ascii="IRNazanin" w:hAnsi="IRNazanin" w:eastAsia="IRNazanin" w:cs="IRNazanin"/>
          <w:lang w:bidi="fa-IR"/>
          <w:color w:val="111111"/>
          <w:sz w:val="28"/>
          <w:szCs w:val="28"/>
          <w:rtl/>
        </w:rPr>
        <w:t xml:space="preserve">نعم،لمّا کان الإطلاق منصرفاً إلی الصحیح جاء الخیار عند تبیّن العیب، فالخیار من جهة الانصراف نظیر انصراف الإطلاق إلی النقد لا النسیئة، و انصراف إطلاق الملک فی المبیع إلی غیر مسلوب المنفعة مدّة یعتدّ بها، لا من جهة الاعتماد فی إحراز الصحّة و البناء علیها علی أصالة السلامة.</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اخری:الشکّ فی بعض العیوب قد لا یستلزم الغرر، ککون الجاریة ممّن لا تحیض فی سنّ الحیض،و مثل هذا لا یعتبر إحراز السلامة عنه.و قد یستلزمه،ککون الجاریة خنثی و کون الدابّة لا تستطیع المشی أو الرکوب و الحمل علیها،و هذه ممّا یعتبر إحراز السلامة عنها؛ و حیث فرض عدم إحرازها بالأصل،فلا بدّ من الاختبار أو الوصف.</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هذا،و یؤیّد ما ذکرنا من التفصیل:أنّ بعضهم کالمحقّق فی النافع </w:t>
      </w:r>
      <w:r>
        <w:rPr>
          <w:rStyle w:val="FootnoteReference"/>
        </w:rPr>
        <w:footnoteReference w:id="2025"/>
      </w:r>
      <w:r>
        <w:rPr>
          <w:rFonts w:ascii="IRNazanin" w:hAnsi="IRNazanin" w:eastAsia="IRNazanin" w:cs="IRNazanin"/>
          <w:lang w:bidi="fa-IR"/>
          <w:color w:val="111111"/>
          <w:sz w:val="28"/>
          <w:szCs w:val="28"/>
          <w:rtl/>
        </w:rPr>
        <w:t xml:space="preserve">و العلّامة فی القواعد </w:t>
      </w:r>
      <w:r>
        <w:rPr>
          <w:rStyle w:val="FootnoteReference"/>
        </w:rPr>
        <w:footnoteReference w:id="2026"/>
      </w:r>
      <w:r>
        <w:rPr>
          <w:rFonts w:ascii="IRNazanin" w:hAnsi="IRNazanin" w:eastAsia="IRNazanin" w:cs="IRNazanin"/>
          <w:lang w:bidi="fa-IR"/>
          <w:color w:val="111111"/>
          <w:sz w:val="28"/>
          <w:szCs w:val="28"/>
          <w:rtl/>
        </w:rPr>
        <w:t xml:space="preserve">عنون المسألة بما کان المراد طعمه أو ریحه.</w:t>
      </w:r>
    </w:p>
    <w:p>
      <w:pPr>
        <w:pStyle w:val="BookText"/>
      </w:pPr>
      <w:r>
        <w:rPr>
          <w:rFonts w:ascii="IRNazanin" w:hAnsi="IRNazanin" w:eastAsia="IRNazanin" w:cs="IRNazanin"/>
          <w:lang w:bidi="fa-IR"/>
          <w:color w:val="111111"/>
          <w:sz w:val="28"/>
          <w:szCs w:val="28"/>
          <w:rtl/>
        </w:rPr>
        <w:t xml:space="preserve">هذا،و لکنّ الإنصاف أنّ مطلق العیب إذا التفت إلیه المشتری و شکّ فیه،فلا بدّ فی رفع الغرر من إحراز السلامة عنه إمّا بالاختبار، و إمّا بالوصف،و إمّا بالإطلاق إذا فرض قیامه مقام الوصف إمّا لأجل الانصراف و إمّا لأصالة السلامة،من غیر تفرقة بین العیوب أصلاً.</w:t>
      </w:r>
    </w:p>
    <w:p>
      <w:pPr>
        <w:pStyle w:val="BookText"/>
      </w:pPr>
      <w:r>
        <w:rPr>
          <w:rFonts w:ascii="IRNazanin" w:hAnsi="IRNazanin" w:eastAsia="IRNazanin" w:cs="IRNazanin"/>
          <w:lang w:bidi="fa-IR"/>
          <w:color w:val="111111"/>
          <w:sz w:val="28"/>
          <w:szCs w:val="28"/>
          <w:rtl/>
        </w:rPr>
        <w:t xml:space="preserve">فلا بدّ إمّا من کفایة الإطلاق فی الکلّ؛للأصل و الانصراف،و إمّا من عدم کفایته فی الکلّ؛نظراً إلی أنّه لا یندفع به الغرر إلّا إذا حصل منه الوثوق،حتّی أنّه لو شکّ فی أنّ هذا العبد صحیح أو أنّه أجذم لم یجز البناء علی أصالة السلامة إذا لم یفد الوثوق،بل لا بدّ من الاختبار أو وصف کونه غیر أجذم.</w:t>
      </w:r>
    </w:p>
    <w:p>
      <w:pPr>
        <w:pStyle w:val="BookText"/>
      </w:pPr>
      <w:r>
        <w:rPr>
          <w:rFonts w:ascii="IRNazanin" w:hAnsi="IRNazanin" w:eastAsia="IRNazanin" w:cs="IRNazanin"/>
          <w:lang w:bidi="fa-IR"/>
          <w:color w:val="111111"/>
          <w:sz w:val="28"/>
          <w:szCs w:val="28"/>
          <w:rtl/>
        </w:rPr>
        <w:t xml:space="preserve">و هذا و إن کان لا یخلو عن وجه،إلّا أنّه مخالف لما یستفاد من کلماتهم فی غیر موضع-:من عدم وجوب اختبار غیر ما یراد طعمه أو ریحه من حیث سلامته من العیوب و عدمها.</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7" w:name="pg14419_167198"/>
    <w:bookmarkEnd w:id="267"/>
    <w:p>
      <w:pPr>
        <w:pStyle w:val="Heading6"/>
      </w:pPr>
      <w:bookmarkStart w:id="1108" w:name="_Toc548"/>
      <w:r>
        <w:t>مسألة یجوز ابتیاع ما یفسده الاختبار من دون اختبار</w:t>
      </w:r>
      <w:bookmarkEnd w:id="1108"/>
    </w:p>
    <w:p>
      <w:pPr>
        <w:pStyle w:val="BookText"/>
      </w:pPr>
      <w:r>
        <w:rPr>
          <w:rFonts w:ascii="IRNazanin" w:hAnsi="IRNazanin" w:eastAsia="IRNazanin" w:cs="IRNazanin"/>
          <w:lang w:bidi="fa-IR"/>
          <w:color w:val="111111"/>
          <w:sz w:val="28"/>
          <w:szCs w:val="28"/>
          <w:rtl/>
        </w:rPr>
        <w:t xml:space="preserve">إجماعاً علی الظاهر،و الأقوی عدم اعتبار اشتراط الصحّة فی العقد و کفایة الاعتماد علی أصالة السلامة کما فیما لا یفسده الاختبار </w:t>
      </w:r>
      <w:r>
        <w:rPr>
          <w:rStyle w:val="FootnoteReference"/>
        </w:rPr>
        <w:footnoteReference w:id="2027"/>
      </w:r>
      <w:r>
        <w:rPr>
          <w:rFonts w:ascii="IRNazanin" w:hAnsi="IRNazanin" w:eastAsia="IRNazanin" w:cs="IRNazanin"/>
          <w:lang w:bidi="fa-IR"/>
          <w:color w:val="111111"/>
          <w:sz w:val="28"/>
          <w:szCs w:val="28"/>
          <w:rtl/>
        </w:rPr>
        <w:t xml:space="preserve">.خلافاً لظاهر جماعة تقدّم ذکرهم </w:t>
      </w:r>
      <w:r>
        <w:rPr>
          <w:rStyle w:val="FootnoteReference"/>
        </w:rPr>
        <w:footnoteReference w:id="2028"/>
      </w:r>
      <w:r>
        <w:rPr>
          <w:rFonts w:ascii="IRNazanin" w:hAnsi="IRNazanin" w:eastAsia="IRNazanin" w:cs="IRNazanin"/>
          <w:lang w:bidi="fa-IR"/>
          <w:color w:val="111111"/>
          <w:sz w:val="28"/>
          <w:szCs w:val="28"/>
          <w:rtl/>
        </w:rPr>
        <w:t xml:space="preserve">من اعتبار اشتراط الصحّة أو البراءة من العیوب أو خصوص أحدهما.</w:t>
      </w:r>
    </w:p>
    <w:p>
      <w:pPr>
        <w:pStyle w:val="BookText"/>
      </w:pPr>
      <w:r>
        <w:rPr>
          <w:rFonts w:ascii="IRNazanin" w:hAnsi="IRNazanin" w:eastAsia="IRNazanin" w:cs="IRNazanin"/>
          <w:lang w:bidi="fa-IR"/>
          <w:color w:val="111111"/>
          <w:sz w:val="28"/>
          <w:szCs w:val="28"/>
          <w:rtl/>
        </w:rPr>
        <w:t xml:space="preserve">و قد عرفت تأویل العلّامة فی المختلف لعبارتی المقنعة و النهایة الظاهرتین فی ذلک و إرجاعهما إلی ما أراده من قوله فی القواعد:«جاز بیعه بشرط الصحّة»:من أنّه مع الصحّة یمضی البیع،و لا معها یتخیّر المشتری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عرفت أنّ هذا التأویل مخالف للظاهر،حتّی أنّ قوله فی القواعد</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فی اعتبار شرط الصحّة؛و لذا قال فی جامع المقاصد:و کما یجوز بیعه بشرط الصحّة یجوز بیعه مطلقاً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کان،فإذا تبیّن فساد المبیع،فإن کان قبل التصرّف فیه بالکسر و نحوه،فإن کان لفاسده قیمة کبیض النعامة و الجوز تخیّر بین الردّ و الأرش.و لو فرض بلوغ الفساد إلی حیث لا یعدّ الفاسد من أفراد ذلک الجنس عرفاً کالجوز الأجوف الذی لا یصلح إلّا للإحراق فیحتمل قویّاً بطلان البیع.و إن لم یکن لفاسده قیمة تبیّن بطلان البیع؛ لوقوعه علی ما لیس بمتموّلٍ.</w:t>
      </w:r>
    </w:p>
    <w:p>
      <w:pPr>
        <w:pStyle w:val="BookText"/>
      </w:pPr>
      <w:r>
        <w:rPr>
          <w:rFonts w:ascii="IRNazanin" w:hAnsi="IRNazanin" w:eastAsia="IRNazanin" w:cs="IRNazanin"/>
          <w:lang w:bidi="fa-IR"/>
          <w:color w:val="111111"/>
          <w:sz w:val="28"/>
          <w:szCs w:val="28"/>
          <w:rtl/>
        </w:rPr>
        <w:t xml:space="preserve">و إن کان تبیّن الفساد بعد الکسر،ففی الأوّل یتعیّن </w:t>
      </w:r>
      <w:r>
        <w:rPr>
          <w:rStyle w:val="FootnoteReference"/>
        </w:rPr>
        <w:footnoteReference w:id="2031"/>
      </w:r>
      <w:r>
        <w:rPr>
          <w:rFonts w:ascii="IRNazanin" w:hAnsi="IRNazanin" w:eastAsia="IRNazanin" w:cs="IRNazanin"/>
          <w:lang w:bidi="fa-IR"/>
          <w:color w:val="111111"/>
          <w:sz w:val="28"/>
          <w:szCs w:val="28"/>
          <w:rtl/>
        </w:rPr>
        <w:t xml:space="preserve">الأرش خاصة؛لمکان التصرّف.</w:t>
      </w:r>
    </w:p>
    <w:p>
      <w:pPr>
        <w:pStyle w:val="BookText"/>
      </w:pPr>
      <w:r>
        <w:rPr>
          <w:rFonts w:ascii="IRNazanin" w:hAnsi="IRNazanin" w:eastAsia="IRNazanin" w:cs="IRNazanin"/>
          <w:lang w:bidi="fa-IR"/>
          <w:color w:val="111111"/>
          <w:sz w:val="28"/>
          <w:szCs w:val="28"/>
          <w:rtl/>
        </w:rPr>
        <w:t xml:space="preserve">و یظهر من المبسوط قولٌ بأنّه لو کان تصرّفه علی قَدَرٍ یستعلم به فساد المبیع لم یسقط الردّ،و </w:t>
      </w:r>
      <w:r>
        <w:rPr>
          <w:rStyle w:val="FootnoteReference"/>
        </w:rPr>
        <w:footnoteReference w:id="2032"/>
      </w:r>
      <w:r>
        <w:rPr>
          <w:rFonts w:ascii="IRNazanin" w:hAnsi="IRNazanin" w:eastAsia="IRNazanin" w:cs="IRNazanin"/>
          <w:lang w:bidi="fa-IR"/>
          <w:color w:val="111111"/>
          <w:sz w:val="28"/>
          <w:szCs w:val="28"/>
          <w:rtl/>
        </w:rPr>
        <w:t xml:space="preserve">المراد بالأرش:تفاوت ما بین صحیحه و فاسده الغیر المکسور؛لأنّ الکسر نقصٌ حصل فی ید المشتری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یعلم ثبوت الأرش أیضاً و لو لم یکن لمکسوره قیمة؛لأنّ العبرة فی التموّل بالفاسد الغیر المکسور،و لا عبرة بخروجه بالکسر عن التموّل.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یبطل البیع فی الثانی أعنی ما لم یکن لفاسده قیمة وفاقاً</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للمبسوط </w:t>
      </w:r>
      <w:r>
        <w:rPr>
          <w:rStyle w:val="FootnoteReference"/>
        </w:rPr>
        <w:footnoteReference w:id="2034"/>
      </w:r>
      <w:r>
        <w:rPr>
          <w:rFonts w:ascii="IRNazanin" w:hAnsi="IRNazanin" w:eastAsia="IRNazanin" w:cs="IRNazanin"/>
          <w:lang w:bidi="fa-IR"/>
          <w:color w:val="111111"/>
          <w:sz w:val="28"/>
          <w:szCs w:val="28"/>
          <w:rtl/>
        </w:rPr>
        <w:t xml:space="preserve">و السرائر </w:t>
      </w:r>
      <w:r>
        <w:rPr>
          <w:rStyle w:val="FootnoteReference"/>
        </w:rPr>
        <w:footnoteReference w:id="2035"/>
      </w:r>
      <w:r>
        <w:rPr>
          <w:rFonts w:ascii="IRNazanin" w:hAnsi="IRNazanin" w:eastAsia="IRNazanin" w:cs="IRNazanin"/>
          <w:lang w:bidi="fa-IR"/>
          <w:color w:val="111111"/>
          <w:sz w:val="28"/>
          <w:szCs w:val="28"/>
          <w:rtl/>
        </w:rPr>
        <w:t xml:space="preserve">، </w:t>
      </w:r>
      <w:r>
        <w:rPr>
          <w:rStyle w:val="FootnoteReference"/>
        </w:rPr>
        <w:footnoteReference w:id="2036"/>
      </w:r>
      <w:r>
        <w:rPr>
          <w:rFonts w:ascii="IRNazanin" w:hAnsi="IRNazanin" w:eastAsia="IRNazanin" w:cs="IRNazanin"/>
          <w:lang w:bidi="fa-IR"/>
          <w:color w:val="111111"/>
          <w:sz w:val="28"/>
          <w:szCs w:val="28"/>
          <w:rtl/>
        </w:rPr>
        <w:t xml:space="preserve">و ظاهر من تأخّر عنهما </w:t>
      </w:r>
      <w:r>
        <w:rPr>
          <w:rStyle w:val="FootnoteReference"/>
        </w:rPr>
        <w:footnoteReference w:id="2037"/>
      </w:r>
      <w:r>
        <w:rPr>
          <w:rFonts w:ascii="IRNazanin" w:hAnsi="IRNazanin" w:eastAsia="IRNazanin" w:cs="IRNazanin"/>
          <w:lang w:bidi="fa-IR"/>
          <w:color w:val="111111"/>
          <w:sz w:val="28"/>
          <w:szCs w:val="28"/>
          <w:rtl/>
        </w:rPr>
        <w:t xml:space="preserve">.و ظاهرهم بطلان البیع من رأس،کما صرّح به الشیخ </w:t>
      </w:r>
      <w:r>
        <w:rPr>
          <w:rStyle w:val="FootnoteReference"/>
        </w:rPr>
        <w:footnoteReference w:id="2038"/>
      </w:r>
      <w:r>
        <w:rPr>
          <w:rFonts w:ascii="Amiri" w:hAnsi="Amiri" w:eastAsia="Amiri" w:cs="Amiri"/>
          <w:lang w:bidi="ar-SA"/>
          <w:color w:val="111111"/>
          <w:sz w:val="28"/>
          <w:szCs w:val="28"/>
          <w:rtl/>
        </w:rPr>
        <w:t xml:space="preserve">و الحلّی </w:t>
      </w:r>
      <w:r>
        <w:rPr>
          <w:rStyle w:val="FootnoteReference"/>
        </w:rPr>
        <w:footnoteReference w:id="2039"/>
      </w:r>
      <w:r>
        <w:rPr>
          <w:rFonts w:ascii="IRNazanin" w:hAnsi="IRNazanin" w:eastAsia="IRNazanin" w:cs="IRNazanin"/>
          <w:lang w:bidi="fa-IR"/>
          <w:color w:val="111111"/>
          <w:sz w:val="28"/>
          <w:szCs w:val="28"/>
          <w:rtl/>
        </w:rPr>
        <w:t xml:space="preserve">و العلّامة فی التذکرة </w:t>
      </w:r>
      <w:r>
        <w:rPr>
          <w:rStyle w:val="FootnoteReference"/>
        </w:rPr>
        <w:footnoteReference w:id="2040"/>
      </w:r>
      <w:r>
        <w:rPr>
          <w:rFonts w:ascii="IRNazanin" w:hAnsi="IRNazanin" w:eastAsia="IRNazanin" w:cs="IRNazanin"/>
          <w:lang w:bidi="fa-IR"/>
          <w:color w:val="111111"/>
          <w:sz w:val="28"/>
          <w:szCs w:val="28"/>
          <w:rtl/>
        </w:rPr>
        <w:t xml:space="preserve">، مستدلّین بوقوعه علی ما لا قیمة له،کالحشرات.و هو صریح جملةٍ ممّن تأخّر عنهم </w:t>
      </w:r>
      <w:r>
        <w:rPr>
          <w:rStyle w:val="FootnoteReference"/>
        </w:rPr>
        <w:footnoteReference w:id="2041"/>
      </w:r>
      <w:r>
        <w:rPr>
          <w:rFonts w:ascii="IRNazanin" w:hAnsi="IRNazanin" w:eastAsia="IRNazanin" w:cs="IRNazanin"/>
          <w:lang w:bidi="fa-IR"/>
          <w:color w:val="111111"/>
          <w:sz w:val="28"/>
          <w:szCs w:val="28"/>
          <w:rtl/>
        </w:rPr>
        <w:t xml:space="preserve">و ظاهر آخرین عدا الشهید فی الدروس؛فإنّ ظاهره انفساخ البیع من حین </w:t>
      </w:r>
      <w:r>
        <w:rPr>
          <w:rStyle w:val="FootnoteReference"/>
        </w:rPr>
        <w:footnoteReference w:id="2042"/>
      </w:r>
      <w:r>
        <w:rPr>
          <w:rFonts w:ascii="IRNazanin" w:hAnsi="IRNazanin" w:eastAsia="IRNazanin" w:cs="IRNazanin"/>
          <w:lang w:bidi="fa-IR"/>
          <w:color w:val="111111"/>
          <w:sz w:val="28"/>
          <w:szCs w:val="28"/>
          <w:rtl/>
        </w:rPr>
        <w:t xml:space="preserve">تبیّن الفساد لا من أصله،و جَعَلَ الثانی احتمالاً و نسبه إلی ظاهر الجماعة </w:t>
      </w:r>
      <w:r>
        <w:rPr>
          <w:rStyle w:val="FootnoteReference"/>
        </w:rPr>
        <w:footnoteReference w:id="2043"/>
      </w:r>
      <w:r>
        <w:rPr>
          <w:rFonts w:ascii="IRNazanin" w:hAnsi="IRNazanin" w:eastAsia="IRNazanin" w:cs="IRNazanin"/>
          <w:lang w:bidi="fa-IR"/>
          <w:color w:val="111111"/>
          <w:sz w:val="28"/>
          <w:szCs w:val="28"/>
          <w:rtl/>
        </w:rPr>
        <w:t xml:space="preserve">.و لم یعلم وجه ما اختاره؛و لذا نسب فی الروضة خلافه إلی الوضوح </w:t>
      </w:r>
      <w:r>
        <w:rPr>
          <w:rStyle w:val="FootnoteReference"/>
        </w:rPr>
        <w:footnoteReference w:id="2044"/>
      </w:r>
      <w:r>
        <w:rPr>
          <w:rFonts w:ascii="IRNazanin" w:hAnsi="IRNazanin" w:eastAsia="IRNazanin" w:cs="IRNazanin"/>
          <w:lang w:bidi="fa-IR"/>
          <w:color w:val="111111"/>
          <w:sz w:val="28"/>
          <w:szCs w:val="28"/>
          <w:rtl/>
        </w:rPr>
        <w:t xml:space="preserve">.و هو کذلک؛فإنّ الفاسد الواقعی إن لم یکن من الأموال الواقعیّة کان العقد علیه فاسداً،لأنّ اشتراط تموّل</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العوضین واقعی لا علمی.و إن کان من الأموال الواقعیّة،فإن لم یکن بینه و بین الصحیح تفاوتٌ فی القیمة لم یکن هنا أرشٌ و لا ردٌّ،بل کان البیع لازماً و قد تلف المبیع بعد قبضه.و إن کان بینه و بین الصحیح الواقعی تفاوتٌ،فاللازم هو استرجاع نسبة تفاوت ما بین الصحیح و الفاسد من الثمن لا جمیع الثمن.</w:t>
      </w:r>
    </w:p>
    <w:p>
      <w:pPr>
        <w:pStyle w:val="BookText"/>
      </w:pPr>
      <w:r>
        <w:rPr>
          <w:rFonts w:ascii="IRNazanin" w:hAnsi="IRNazanin" w:eastAsia="IRNazanin" w:cs="IRNazanin"/>
          <w:lang w:bidi="fa-IR"/>
          <w:color w:val="111111"/>
          <w:sz w:val="28"/>
          <w:szCs w:val="28"/>
          <w:rtl/>
        </w:rPr>
        <w:t xml:space="preserve">اللّهم إلّا أن یقال:إنّه مالٌ واقعیٌّ إلی حین تبیّن الفساد،فإذا سقط عن المالیّة لأمرٍ سابقٍ علی العقد و هو فساده واقعاً کان فی ضمان البائع،فینفسخ </w:t>
      </w:r>
      <w:r>
        <w:rPr>
          <w:rStyle w:val="FootnoteReference"/>
        </w:rPr>
        <w:footnoteReference w:id="2045"/>
      </w:r>
      <w:r>
        <w:rPr>
          <w:rFonts w:ascii="IRNazanin" w:hAnsi="IRNazanin" w:eastAsia="IRNazanin" w:cs="IRNazanin"/>
          <w:lang w:bidi="fa-IR"/>
          <w:color w:val="111111"/>
          <w:sz w:val="28"/>
          <w:szCs w:val="28"/>
          <w:rtl/>
        </w:rPr>
        <w:t xml:space="preserve">البیع حینئذٍ.</w:t>
      </w:r>
    </w:p>
    <w:p>
      <w:pPr>
        <w:pStyle w:val="BookText"/>
      </w:pPr>
      <w:r>
        <w:rPr>
          <w:rFonts w:ascii="IRNazanin" w:hAnsi="IRNazanin" w:eastAsia="IRNazanin" w:cs="IRNazanin"/>
          <w:lang w:bidi="fa-IR"/>
          <w:color w:val="111111"/>
          <w:sz w:val="28"/>
          <w:szCs w:val="28"/>
          <w:rtl/>
        </w:rPr>
        <w:t xml:space="preserve">بل یمکن أن یقال بعدم الانفساخ،فیجوز له الإمضاء فیکون المکسور ملکاً له و إن خرج عن المالیّة بالکسر،و حیث إنّ خروجه عن المالیة لأمرٍ سابق علی العقد کان مضموناً علی البائع،و تدارک هذا العیب أعنی فوات المالیّة لا یکون إلّا بدفع تمام الثمن </w:t>
      </w:r>
      <w:r>
        <w:rPr>
          <w:rStyle w:val="FootnoteReference"/>
        </w:rPr>
        <w:footnoteReference w:id="2046"/>
      </w:r>
      <w:r>
        <w:rPr>
          <w:rFonts w:ascii="IRNazanin" w:hAnsi="IRNazanin" w:eastAsia="IRNazanin" w:cs="IRNazanin"/>
          <w:lang w:bidi="fa-IR"/>
          <w:color w:val="111111"/>
          <w:sz w:val="28"/>
          <w:szCs w:val="28"/>
          <w:rtl/>
        </w:rPr>
        <w:t xml:space="preserve">.لکن سیجیء ما فیه من مخالفة القواعد و الفتاوی.</w:t>
      </w:r>
    </w:p>
    <w:p>
      <w:pPr>
        <w:pStyle w:val="BookText"/>
      </w:pPr>
      <w:r>
        <w:rPr>
          <w:rFonts w:ascii="IRNazanin" w:hAnsi="IRNazanin" w:eastAsia="IRNazanin" w:cs="IRNazanin"/>
          <w:lang w:bidi="fa-IR"/>
          <w:color w:val="111111"/>
          <w:sz w:val="28"/>
          <w:szCs w:val="28"/>
          <w:rtl/>
        </w:rPr>
        <w:t xml:space="preserve">و فیه:وضوح کون مالیّته عرفاً و شرعاً من حیث الظاهر،و أمّا </w:t>
      </w:r>
      <w:r>
        <w:rPr>
          <w:rStyle w:val="FootnoteReference"/>
        </w:rPr>
        <w:footnoteReference w:id="2047"/>
      </w:r>
      <w:r>
        <w:rPr>
          <w:rFonts w:ascii="IRNazanin" w:hAnsi="IRNazanin" w:eastAsia="IRNazanin" w:cs="IRNazanin"/>
          <w:lang w:bidi="fa-IR"/>
          <w:color w:val="111111"/>
          <w:sz w:val="28"/>
          <w:szCs w:val="28"/>
          <w:rtl/>
        </w:rPr>
        <w:t xml:space="preserve">إذا انکشف الفساد حُکم بعدم المالیّة الواقعیّة من أوّل الأمر؛مع أنّه لو کان مالاً واقعاً فالعیب حادثٌ فی ملک المشتری؛فإنّ العلم مخرجٌ له عن المالیّة،لا کاشفٌ،فلیس هذا عیباً مجهولاً،و لو سلّم فهو کالأرمد یعمی بعد الاشتراء و المریض یموت،مع أنّ فوات المالیّة یُعدّ تلفاً،لا عیباً.</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فائدة الخلاف تظهر فی ترتّب آثار مالکیّة </w:t>
      </w:r>
      <w:r>
        <w:rPr>
          <w:rStyle w:val="FootnoteReference"/>
        </w:rPr>
        <w:footnoteReference w:id="2048"/>
      </w:r>
      <w:r>
        <w:rPr>
          <w:rFonts w:ascii="IRNazanin" w:hAnsi="IRNazanin" w:eastAsia="IRNazanin" w:cs="IRNazanin"/>
          <w:lang w:bidi="fa-IR"/>
          <w:color w:val="111111"/>
          <w:sz w:val="28"/>
          <w:szCs w:val="28"/>
          <w:rtl/>
        </w:rPr>
        <w:t xml:space="preserve">المشتری الثمن </w:t>
      </w:r>
      <w:r>
        <w:rPr>
          <w:rStyle w:val="FootnoteReference"/>
        </w:rPr>
        <w:footnoteReference w:id="2049"/>
      </w:r>
      <w:r>
        <w:rPr>
          <w:rFonts w:ascii="IRNazanin" w:hAnsi="IRNazanin" w:eastAsia="IRNazanin" w:cs="IRNazanin"/>
          <w:lang w:bidi="fa-IR"/>
          <w:color w:val="111111"/>
          <w:sz w:val="28"/>
          <w:szCs w:val="28"/>
          <w:rtl/>
        </w:rPr>
        <w:t xml:space="preserve">إلی </w:t>
      </w:r>
      <w:r>
        <w:rPr>
          <w:rStyle w:val="FootnoteReference"/>
        </w:rPr>
        <w:footnoteReference w:id="2050"/>
      </w:r>
      <w:r>
        <w:rPr>
          <w:rFonts w:ascii="IRNazanin" w:hAnsi="IRNazanin" w:eastAsia="IRNazanin" w:cs="IRNazanin"/>
          <w:lang w:bidi="fa-IR"/>
          <w:color w:val="111111"/>
          <w:sz w:val="28"/>
          <w:szCs w:val="28"/>
          <w:rtl/>
        </w:rPr>
        <w:t xml:space="preserve">حین تبیّن الفساد.</w:t>
      </w:r>
    </w:p>
    <w:p>
      <w:pPr>
        <w:pStyle w:val="BookText"/>
      </w:pPr>
      <w:r>
        <w:rPr>
          <w:rFonts w:ascii="IRNazanin" w:hAnsi="IRNazanin" w:eastAsia="IRNazanin" w:cs="IRNazanin"/>
          <w:lang w:bidi="fa-IR"/>
          <w:color w:val="111111"/>
          <w:sz w:val="28"/>
          <w:szCs w:val="28"/>
          <w:rtl/>
        </w:rPr>
        <w:t xml:space="preserve">و عن الدروس و اللمعة:أنّها تظهر فی مئونة نقله عن الموضع الذی اشتراه فیه إلی موضع اختباره </w:t>
      </w:r>
      <w:r>
        <w:rPr>
          <w:rStyle w:val="FootnoteReference"/>
        </w:rPr>
        <w:footnoteReference w:id="2051"/>
      </w:r>
      <w:r>
        <w:rPr>
          <w:rFonts w:ascii="IRNazanin" w:hAnsi="IRNazanin" w:eastAsia="IRNazanin" w:cs="IRNazanin"/>
          <w:lang w:bidi="fa-IR"/>
          <w:color w:val="111111"/>
          <w:sz w:val="28"/>
          <w:szCs w:val="28"/>
          <w:rtl/>
        </w:rPr>
        <w:t xml:space="preserve">،فعلی الأوّل علی البائع،و علی الثانی علی المشتری؛لوقوعه فی ملکه.</w:t>
      </w:r>
    </w:p>
    <w:p>
      <w:pPr>
        <w:pStyle w:val="BookText"/>
      </w:pPr>
      <w:r>
        <w:rPr>
          <w:rFonts w:ascii="IRNazanin" w:hAnsi="IRNazanin" w:eastAsia="IRNazanin" w:cs="IRNazanin"/>
          <w:lang w:bidi="fa-IR"/>
          <w:color w:val="111111"/>
          <w:sz w:val="28"/>
          <w:szCs w:val="28"/>
          <w:rtl/>
        </w:rPr>
        <w:t xml:space="preserve">و فی جامع المقاصد:الذی یقتضیه النظر أنّه لیس له رجوعٌ علی البائع بها؛لانتفاء المقتضی </w:t>
      </w:r>
      <w:r>
        <w:rPr>
          <w:rStyle w:val="FootnoteReference"/>
        </w:rPr>
        <w:footnoteReference w:id="2052"/>
      </w:r>
      <w:r>
        <w:rPr>
          <w:rFonts w:ascii="IRNazanin" w:hAnsi="IRNazanin" w:eastAsia="IRNazanin" w:cs="IRNazanin"/>
          <w:lang w:bidi="fa-IR"/>
          <w:color w:val="111111"/>
          <w:sz w:val="28"/>
          <w:szCs w:val="28"/>
          <w:rtl/>
        </w:rPr>
        <w:t xml:space="preserve">.و تبعه الشهید الثانی،قال:لأنّه نقله بغیر أمره،فلا یتّجه الرجوع علیه بها،و کون المشتری هنا کجاهل استحقاق المبیع حیث یرجع </w:t>
      </w:r>
      <w:r>
        <w:rPr>
          <w:rStyle w:val="FootnoteReference"/>
        </w:rPr>
        <w:footnoteReference w:id="2053"/>
      </w:r>
      <w:r>
        <w:rPr>
          <w:rFonts w:ascii="IRNazanin" w:hAnsi="IRNazanin" w:eastAsia="IRNazanin" w:cs="IRNazanin"/>
          <w:lang w:bidi="fa-IR"/>
          <w:color w:val="111111"/>
          <w:sz w:val="28"/>
          <w:szCs w:val="28"/>
          <w:rtl/>
        </w:rPr>
        <w:t xml:space="preserve">بما غرم،إنّما یتّجه مع الغرور،و هو منفیٌّ هنا، لاشتراکهما فی الجهل </w:t>
      </w:r>
      <w:r>
        <w:rPr>
          <w:rStyle w:val="FootnoteReference"/>
        </w:rPr>
        <w:footnoteReference w:id="205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اعتُرض علیه </w:t>
      </w:r>
      <w:r>
        <w:rPr>
          <w:rStyle w:val="FootnoteReference"/>
        </w:rPr>
        <w:footnoteReference w:id="2055"/>
      </w:r>
      <w:r>
        <w:rPr>
          <w:rFonts w:ascii="IRNazanin" w:hAnsi="IRNazanin" w:eastAsia="IRNazanin" w:cs="IRNazanin"/>
          <w:lang w:bidi="fa-IR"/>
          <w:color w:val="111111"/>
          <w:sz w:val="28"/>
          <w:szCs w:val="28"/>
          <w:rtl/>
        </w:rPr>
        <w:t xml:space="preserve">:بأنّ الغرور لا یختصّ بصورة علم الغارّ.</w:t>
      </w:r>
    </w:p>
    <w:p>
      <w:pPr>
        <w:pStyle w:val="BookText"/>
      </w:pPr>
      <w:r>
        <w:rPr>
          <w:rFonts w:ascii="IRNazanin" w:hAnsi="IRNazanin" w:eastAsia="IRNazanin" w:cs="IRNazanin"/>
          <w:lang w:bidi="fa-IR"/>
          <w:color w:val="111111"/>
          <w:sz w:val="28"/>
          <w:szCs w:val="28"/>
          <w:rtl/>
        </w:rPr>
        <w:t xml:space="preserve">و هنا قولٌ ثالثٌ نفی عنه البعد بعض الأساطین </w:t>
      </w:r>
      <w:r>
        <w:rPr>
          <w:rStyle w:val="FootnoteReference"/>
        </w:rPr>
        <w:footnoteReference w:id="2056"/>
      </w:r>
      <w:r>
        <w:rPr>
          <w:rFonts w:ascii="IRNazanin" w:hAnsi="IRNazanin" w:eastAsia="IRNazanin" w:cs="IRNazanin"/>
          <w:lang w:bidi="fa-IR"/>
          <w:color w:val="111111"/>
          <w:sz w:val="28"/>
          <w:szCs w:val="28"/>
          <w:rtl/>
        </w:rPr>
        <w:t xml:space="preserve">،و هو:کونه علی البائع علی التقدیرین.و هو بعیدٌ علی تقدیر الفسخ من حین تبیّن الفساد.</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فی مئونة النقل من موضع الاشتراء إلی موضع الکسر.</w:t>
      </w:r>
    </w:p>
    <w:p>
      <w:pPr>
        <w:pStyle w:val="BookText"/>
      </w:pPr>
      <w:r>
        <w:rPr>
          <w:rFonts w:ascii="IRNazanin" w:hAnsi="IRNazanin" w:eastAsia="IRNazanin" w:cs="IRNazanin"/>
          <w:lang w:bidi="fa-IR"/>
          <w:color w:val="111111"/>
          <w:sz w:val="28"/>
          <w:szCs w:val="28"/>
          <w:rtl/>
        </w:rPr>
        <w:t xml:space="preserve">و أمّا مئونة نقله من موضع الکسر لو وجب تفریغه منه لمطالبة مالکه أو لکونه مسجداً أو مشهداً فإن کان المکسور مع عدم تموّله ملکاً نظیر حبّة الحنطة،فالظاهر أنّه علی البائع علی التقدیرین؛لأنّه بعد الفسخ ملکه،و أمّا لو لم یکن قابلاً للتملّک،فلا یبعد مؤاخذة المشتری به.و فی رجوعه علی البائع ما تقدّم فی مئونة نقله إلی موضع الکسر.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 المحکیّ فی الدروس عن الشیخ و أتباعه:أنّه لو تبرّأ البائع من العیب فیما لا قیمة لمکسوره صحّ </w:t>
      </w:r>
      <w:r>
        <w:rPr>
          <w:rStyle w:val="FootnoteReference"/>
        </w:rPr>
        <w:footnoteReference w:id="2057"/>
      </w:r>
      <w:r>
        <w:rPr>
          <w:rFonts w:ascii="IRNazanin" w:hAnsi="IRNazanin" w:eastAsia="IRNazanin" w:cs="IRNazanin"/>
          <w:lang w:bidi="fa-IR"/>
          <w:color w:val="111111"/>
          <w:sz w:val="28"/>
          <w:szCs w:val="28"/>
          <w:rtl/>
        </w:rPr>
        <w:t xml:space="preserve">،قال:و یشکل:أنّه أکل مال بالباطل </w:t>
      </w:r>
      <w:r>
        <w:rPr>
          <w:rStyle w:val="FootnoteReference"/>
        </w:rPr>
        <w:footnoteReference w:id="2058"/>
      </w:r>
      <w:r>
        <w:rPr>
          <w:rFonts w:ascii="IRNazanin" w:hAnsi="IRNazanin" w:eastAsia="IRNazanin" w:cs="IRNazanin"/>
          <w:lang w:bidi="fa-IR"/>
          <w:color w:val="111111"/>
          <w:sz w:val="28"/>
          <w:szCs w:val="28"/>
          <w:rtl/>
        </w:rPr>
        <w:t xml:space="preserve">.و تبعه الشهید و المحقّق الثانیان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تصدّی بعض لتوجیه صحّة اشتراط البراءة بما حاصله:منع بطلان البیع و إن استحقّ المشتری مجموع الثمن من باب الأرش المستوعب،فإنّ الأرش غرامة أوجبها الشارع بسبب العیب،لا أنّه جزءٌ من الثمن استحقّ بسبب فوات ما قابلة من المثمن،و لذا یسقط بالإسقاط،و لا یتعیّن علی البائع الإعطاء من نفس الثمن،و یسقط </w:t>
      </w:r>
      <w:r>
        <w:rPr>
          <w:rStyle w:val="FootnoteReference"/>
        </w:rPr>
        <w:footnoteReference w:id="2060"/>
      </w:r>
      <w:r>
        <w:rPr>
          <w:rFonts w:ascii="IRNazanin" w:hAnsi="IRNazanin" w:eastAsia="IRNazanin" w:cs="IRNazanin"/>
          <w:lang w:bidi="fa-IR"/>
          <w:color w:val="111111"/>
          <w:sz w:val="28"/>
          <w:szCs w:val="28"/>
          <w:rtl/>
        </w:rPr>
        <w:t xml:space="preserve">بالتبرّی.و لیس هذا کاشتراط عدم المبیع فی عقد البیع؛إذ المثمن متحقّق </w:t>
      </w:r>
      <w:r>
        <w:rPr>
          <w:rStyle w:val="FootnoteReference"/>
        </w:rPr>
        <w:footnoteReference w:id="2061"/>
      </w:r>
      <w:r>
        <w:rPr>
          <w:rFonts w:ascii="IRNazanin" w:hAnsi="IRNazanin" w:eastAsia="IRNazanin" w:cs="IRNazanin"/>
          <w:lang w:bidi="fa-IR"/>
          <w:color w:val="111111"/>
          <w:sz w:val="28"/>
          <w:szCs w:val="28"/>
          <w:rtl/>
        </w:rPr>
        <w:t xml:space="preserve">علی حسب معاملة العقلاء،و لم یعلم اعتبار أزید من ذلک فی</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البیع،فمع فرض رضاه بذلک یکون قادماً علی بذل ماله علی هذا النحو.نعم،لو لم یشترط استحقّ الرجوع بالأرش المستوعب.و لعلّه لذا لم یعبّروا بالبطلان و إن ذکر المحقّق و غیره الرجوع بالثمن و فهم منه جماعةٌ بطلان البیع.لکنّه قد یمنع بعدم خروجه عن المالیّة و إن لم یکن له قیمةٌ،و هو أعمّ من بطلان البیع </w:t>
      </w:r>
      <w:r>
        <w:rPr>
          <w:rStyle w:val="FootnoteReference"/>
        </w:rPr>
        <w:footnoteReference w:id="2062"/>
      </w:r>
      <w:r>
        <w:rPr>
          <w:rFonts w:ascii="IRNazanin" w:hAnsi="IRNazanin" w:eastAsia="IRNazanin" w:cs="IRNazanin"/>
          <w:lang w:bidi="fa-IR"/>
          <w:color w:val="111111"/>
          <w:sz w:val="28"/>
          <w:szCs w:val="28"/>
          <w:rtl/>
        </w:rPr>
        <w:t xml:space="preserve">،انتهی محصّله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فیه مواقع النظر </w:t>
      </w:r>
      <w:r>
        <w:rPr>
          <w:rStyle w:val="FootnoteReference"/>
        </w:rPr>
        <w:footnoteReference w:id="2064"/>
      </w:r>
      <w:r>
        <w:rPr>
          <w:rFonts w:ascii="IRNazanin" w:hAnsi="IRNazanin" w:eastAsia="IRNazanin" w:cs="IRNazanin"/>
          <w:lang w:bidi="fa-IR"/>
          <w:color w:val="111111"/>
          <w:sz w:val="28"/>
          <w:szCs w:val="28"/>
          <w:rtl/>
        </w:rPr>
        <w:t xml:space="preserve">فإنّ المتعرّضین للمسألة بین مصرّحٍ ببطلان البیع کالشیخ فی المبسوط </w:t>
      </w:r>
      <w:r>
        <w:rPr>
          <w:rStyle w:val="FootnoteReference"/>
        </w:rPr>
        <w:footnoteReference w:id="2065"/>
      </w:r>
      <w:r>
        <w:rPr>
          <w:rFonts w:ascii="IRNazanin" w:hAnsi="IRNazanin" w:eastAsia="IRNazanin" w:cs="IRNazanin"/>
          <w:lang w:bidi="fa-IR"/>
          <w:color w:val="111111"/>
          <w:sz w:val="28"/>
          <w:szCs w:val="28"/>
          <w:rtl/>
        </w:rPr>
        <w:t xml:space="preserve">،و الحلّی فی السرائر </w:t>
      </w:r>
      <w:r>
        <w:rPr>
          <w:rStyle w:val="FootnoteReference"/>
        </w:rPr>
        <w:footnoteReference w:id="2066"/>
      </w:r>
      <w:r>
        <w:rPr>
          <w:rFonts w:ascii="IRNazanin" w:hAnsi="IRNazanin" w:eastAsia="IRNazanin" w:cs="IRNazanin"/>
          <w:lang w:bidi="fa-IR"/>
          <w:color w:val="111111"/>
          <w:sz w:val="28"/>
          <w:szCs w:val="28"/>
          <w:rtl/>
        </w:rPr>
        <w:t xml:space="preserve">،و العلّامة فی التذکرة </w:t>
      </w:r>
      <w:r>
        <w:rPr>
          <w:rStyle w:val="FootnoteReference"/>
        </w:rPr>
        <w:footnoteReference w:id="2067"/>
      </w:r>
      <w:r>
        <w:rPr>
          <w:rFonts w:ascii="IRNazanin" w:hAnsi="IRNazanin" w:eastAsia="IRNazanin" w:cs="IRNazanin"/>
          <w:lang w:bidi="fa-IR"/>
          <w:color w:val="111111"/>
          <w:sz w:val="28"/>
          <w:szCs w:val="28"/>
          <w:rtl/>
        </w:rPr>
        <w:t xml:space="preserve">معلّلین ذلک بأنّه لا یجوز بیع ما لا قیمة له و بین من صرّح برجوع المشتری بتمام الثمن،الظاهر فی البطلان </w:t>
      </w:r>
      <w:r>
        <w:rPr>
          <w:rStyle w:val="FootnoteReference"/>
        </w:rPr>
        <w:footnoteReference w:id="2068"/>
      </w:r>
      <w:r>
        <w:rPr>
          <w:rFonts w:ascii="IRNazanin" w:hAnsi="IRNazanin" w:eastAsia="IRNazanin" w:cs="IRNazanin"/>
          <w:lang w:bidi="fa-IR"/>
          <w:color w:val="111111"/>
          <w:sz w:val="28"/>
          <w:szCs w:val="28"/>
          <w:rtl/>
        </w:rPr>
        <w:t xml:space="preserve">،فإنّ الرجوع بعین الثمن لا یعقل من دون البطلان.و یکفی فی ذلک ما تقدّم </w:t>
      </w:r>
      <w:r>
        <w:rPr>
          <w:rStyle w:val="FootnoteReference"/>
        </w:rPr>
        <w:footnoteReference w:id="2069"/>
      </w:r>
      <w:r>
        <w:rPr>
          <w:rFonts w:ascii="IRNazanin" w:hAnsi="IRNazanin" w:eastAsia="IRNazanin" w:cs="IRNazanin"/>
          <w:lang w:bidi="fa-IR"/>
          <w:color w:val="111111"/>
          <w:sz w:val="28"/>
          <w:szCs w:val="28"/>
          <w:rtl/>
        </w:rPr>
        <w:t xml:space="preserve">من الدروس:من أنّ ظاهر الجماعة البطلان من أوّل الأمر،و اختیاره </w:t>
      </w:r>
      <w:r>
        <w:rPr>
          <w:rStyle w:val="FootnoteReference"/>
        </w:rPr>
        <w:footnoteReference w:id="2070"/>
      </w:r>
      <w:r>
        <w:rPr>
          <w:rFonts w:ascii="Amiri" w:hAnsi="Amiri" w:eastAsia="Amiri" w:cs="Amiri"/>
          <w:lang w:bidi="ar-SA"/>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الانفساخ من حیث تبیّن الفساد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أن لا قول بالصحّة مع الأرش،بل ظاهر العلّامة رحمه اللّٰه فی التذکرة عدم هذا القول بین المسلمین،حیث إنّه بعد حکمه بفساد البیع،معلّلاً بوقوع العقد علی ما لا قیمة له،و حکایة ذلک عن بعض الشافعیّة قال:و قال بعضهم بفساد البیع لا لهذه العلّة،بل لأنّ الردّ ثبت علی سبیل استدراک الظلامة،و کما یرجع بجزءٍ من الثمن عند انتقاص جزءٍ من المبیع،کذلک یرجع بکلّ الثمن عند فوات کلّ المبیع.</w:t>
      </w:r>
    </w:p>
    <w:p>
      <w:pPr>
        <w:pStyle w:val="BookText"/>
      </w:pPr>
      <w:r>
        <w:rPr>
          <w:rFonts w:ascii="IRNazanin" w:hAnsi="IRNazanin" w:eastAsia="IRNazanin" w:cs="IRNazanin"/>
          <w:lang w:bidi="fa-IR"/>
          <w:color w:val="111111"/>
          <w:sz w:val="28"/>
          <w:szCs w:val="28"/>
          <w:rtl/>
        </w:rPr>
        <w:t xml:space="preserve">و یظهر فائدة الخلاف فی أنّ القشور الباقیة بمن تختصّ حتّی یجب علیه تطهیر الموضع عنها </w:t>
      </w:r>
      <w:r>
        <w:rPr>
          <w:rStyle w:val="FootnoteReference"/>
        </w:rPr>
        <w:footnoteReference w:id="2072"/>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هذا،مع أنّه لا مجال للتأمّل فی البطلان؛بناءً علی ما ذکرنا من القطع بأنّ الحکم بمالیّة المبیع هنا شرعاً و عرفاً حکمٌ ظاهریٌّ،و تموّل العوضین واقعاً شرطٌ واقعیٌّ لا علمیٌّ؛و لذا لم یتأمّل ذو مُسْکةٍ فی بطلان بیع من بان حرّا أو </w:t>
      </w:r>
      <w:r>
        <w:rPr>
          <w:rStyle w:val="FootnoteReference"/>
        </w:rPr>
        <w:footnoteReference w:id="2073"/>
      </w:r>
      <w:r>
        <w:rPr>
          <w:rFonts w:ascii="IRNazanin" w:hAnsi="IRNazanin" w:eastAsia="IRNazanin" w:cs="IRNazanin"/>
          <w:lang w:bidi="fa-IR"/>
          <w:color w:val="111111"/>
          <w:sz w:val="28"/>
          <w:szCs w:val="28"/>
          <w:rtl/>
        </w:rPr>
        <w:t xml:space="preserve">ما بان خمراً،و غیر ذلک؛إذ انکشاف فقد العوض مشترکٌ بینهما.</w:t>
      </w:r>
    </w:p>
    <w:p>
      <w:pPr>
        <w:pStyle w:val="BookText"/>
      </w:pPr>
      <w:r>
        <w:rPr>
          <w:rFonts w:ascii="IRNazanin" w:hAnsi="IRNazanin" w:eastAsia="IRNazanin" w:cs="IRNazanin"/>
          <w:lang w:bidi="fa-IR"/>
          <w:color w:val="111111"/>
          <w:sz w:val="28"/>
          <w:szCs w:val="28"/>
          <w:rtl/>
        </w:rPr>
        <w:t xml:space="preserve">ثمّ إنّ الجمع بین عدم خروجه عن المالیّة،و بین عدم القیمة لمکسوره ممّا لم یُفهم؛فلعلّه أراد الملکیّة.</w:t>
      </w:r>
    </w:p>
    <w:p>
      <w:pPr>
        <w:pStyle w:val="BookText"/>
      </w:pPr>
      <w:r>
        <w:rPr>
          <w:rFonts w:ascii="IRNazanin" w:hAnsi="IRNazanin" w:eastAsia="IRNazanin" w:cs="IRNazanin"/>
          <w:lang w:bidi="fa-IR"/>
          <w:color w:val="111111"/>
          <w:sz w:val="28"/>
          <w:szCs w:val="28"/>
          <w:rtl/>
        </w:rPr>
        <w:t xml:space="preserve">مضافاً إلی أنّ الأرش المستوعب للثمن لا یخلو تصوّره عن إشکالٍ،لأنّ الأرش کما صرّحوا به تفاوت ما بین قیمتی الصحیح</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المعیب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نعم،ذکر العلّامة فی التذکرة </w:t>
      </w:r>
      <w:r>
        <w:rPr>
          <w:rStyle w:val="FootnoteReference"/>
        </w:rPr>
        <w:footnoteReference w:id="2075"/>
      </w:r>
      <w:r>
        <w:rPr>
          <w:rFonts w:ascii="IRNazanin" w:hAnsi="IRNazanin" w:eastAsia="IRNazanin" w:cs="IRNazanin"/>
          <w:lang w:bidi="fa-IR"/>
          <w:color w:val="111111"/>
          <w:sz w:val="28"/>
          <w:szCs w:val="28"/>
          <w:rtl/>
        </w:rPr>
        <w:t xml:space="preserve">و التحریر </w:t>
      </w:r>
      <w:r>
        <w:rPr>
          <w:rStyle w:val="FootnoteReference"/>
        </w:rPr>
        <w:footnoteReference w:id="2076"/>
      </w:r>
      <w:r>
        <w:rPr>
          <w:rFonts w:ascii="IRNazanin" w:hAnsi="IRNazanin" w:eastAsia="IRNazanin" w:cs="IRNazanin"/>
          <w:lang w:bidi="fa-IR"/>
          <w:color w:val="111111"/>
          <w:sz w:val="28"/>
          <w:szCs w:val="28"/>
          <w:rtl/>
        </w:rPr>
        <w:t xml:space="preserve">و القواعد </w:t>
      </w:r>
      <w:r>
        <w:rPr>
          <w:rStyle w:val="FootnoteReference"/>
        </w:rPr>
        <w:footnoteReference w:id="2077"/>
      </w:r>
      <w:r>
        <w:rPr>
          <w:rFonts w:ascii="IRNazanin" w:hAnsi="IRNazanin" w:eastAsia="IRNazanin" w:cs="IRNazanin"/>
          <w:lang w:bidi="fa-IR"/>
          <w:color w:val="111111"/>
          <w:sz w:val="28"/>
          <w:szCs w:val="28"/>
          <w:rtl/>
        </w:rPr>
        <w:t xml:space="preserve">:أنّ المشتری للعبد الجانی عمداً،یتخیّر مع الجهل بین الفسخ فیستردّ الثمن، أو </w:t>
      </w:r>
      <w:r>
        <w:rPr>
          <w:rStyle w:val="FootnoteReference"/>
        </w:rPr>
        <w:footnoteReference w:id="2078"/>
      </w:r>
      <w:r>
        <w:rPr>
          <w:rFonts w:ascii="IRNazanin" w:hAnsi="IRNazanin" w:eastAsia="IRNazanin" w:cs="IRNazanin"/>
          <w:lang w:bidi="fa-IR"/>
          <w:color w:val="111111"/>
          <w:sz w:val="28"/>
          <w:szCs w:val="28"/>
          <w:rtl/>
        </w:rPr>
        <w:t xml:space="preserve">طلب الأرش،فإن استوعب الجنایة القیمة کان الأرش جمیع الثمن أیضاً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تصدّی جامع المقاصد لتوجیه عبارة القواعد فی هذا المقام بما لا یخلو عن بُعد،فراجع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کان،فلا أجد وجهاً لما ذکره.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أضعف من ذلک ما ذکره بعض آخر </w:t>
      </w:r>
      <w:r>
        <w:rPr>
          <w:rStyle w:val="FootnoteReference"/>
        </w:rPr>
        <w:footnoteReference w:id="2081"/>
      </w:r>
      <w:r>
        <w:rPr>
          <w:rFonts w:ascii="IRNazanin" w:hAnsi="IRNazanin" w:eastAsia="IRNazanin" w:cs="IRNazanin"/>
          <w:lang w:bidi="fa-IR"/>
          <w:color w:val="111111"/>
          <w:sz w:val="28"/>
          <w:szCs w:val="28"/>
          <w:rtl/>
        </w:rPr>
        <w:t xml:space="preserve">:من منع حکم الشیخ و أتباعه </w:t>
      </w:r>
      <w:r>
        <w:rPr>
          <w:rStyle w:val="FootnoteReference"/>
        </w:rPr>
        <w:footnoteReference w:id="2082"/>
      </w:r>
      <w:r>
        <w:rPr>
          <w:rFonts w:ascii="IRNazanin" w:hAnsi="IRNazanin" w:eastAsia="IRNazanin" w:cs="IRNazanin"/>
          <w:lang w:bidi="fa-IR"/>
          <w:color w:val="111111"/>
          <w:sz w:val="28"/>
          <w:szCs w:val="28"/>
          <w:rtl/>
        </w:rPr>
        <w:t xml:space="preserve">بصحّة البیع،و </w:t>
      </w:r>
      <w:r>
        <w:rPr>
          <w:rStyle w:val="FootnoteReference"/>
        </w:rPr>
        <w:footnoteReference w:id="2083"/>
      </w:r>
      <w:r>
        <w:rPr>
          <w:rFonts w:ascii="IRNazanin" w:hAnsi="IRNazanin" w:eastAsia="IRNazanin" w:cs="IRNazanin"/>
          <w:lang w:bidi="fa-IR"/>
          <w:color w:val="111111"/>
          <w:sz w:val="28"/>
          <w:szCs w:val="28"/>
          <w:rtl/>
        </w:rPr>
        <w:t xml:space="preserve">اشتراط البائع علی المشتری البراءة من</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العیوب </w:t>
      </w:r>
      <w:r>
        <w:rPr>
          <w:rStyle w:val="FootnoteReference"/>
        </w:rPr>
        <w:footnoteReference w:id="2084"/>
      </w:r>
      <w:r>
        <w:rPr>
          <w:rFonts w:ascii="IRNazanin" w:hAnsi="IRNazanin" w:eastAsia="IRNazanin" w:cs="IRNazanin"/>
          <w:lang w:bidi="fa-IR"/>
          <w:color w:val="111111"/>
          <w:sz w:val="28"/>
          <w:szCs w:val="28"/>
          <w:rtl/>
        </w:rPr>
        <w:t xml:space="preserve">،و زعم:أنّ معنی اشتراط البراءة فی کلامهم:اشتراط المشتری علی البائع البراءة من العیوب،فیکون مرادفاً لاشتراط الصحّة.و أنت خبیر بفساد ذلک بعد ملاحظة عبارة الشیخ و الأتباع، فإنّ کلامهم ظاهر أو صریح فی أنّ المراد براءة البائع من العیوب،لا المشتری.</w:t>
      </w:r>
    </w:p>
    <w:p>
      <w:pPr>
        <w:pStyle w:val="BookText"/>
      </w:pPr>
      <w:r>
        <w:rPr>
          <w:rFonts w:ascii="IRNazanin" w:hAnsi="IRNazanin" w:eastAsia="IRNazanin" w:cs="IRNazanin"/>
          <w:lang w:bidi="fa-IR"/>
          <w:color w:val="111111"/>
          <w:sz w:val="28"/>
          <w:szCs w:val="28"/>
          <w:rtl/>
        </w:rPr>
        <w:t xml:space="preserve">نعم،لم أجد فی کلام الشیخین و المحکیّ عن غیرهما تعرّضٌ لذکر هذا الشرط فی خصوص ما لا قیمة لمکسوره.</w:t>
      </w:r>
    </w:p>
    <w:p>
      <w:pPr>
        <w:pStyle w:val="BookText"/>
      </w:pPr>
      <w:r>
        <w:rPr>
          <w:rFonts w:ascii="IRNazanin" w:hAnsi="IRNazanin" w:eastAsia="IRNazanin" w:cs="IRNazanin"/>
          <w:lang w:bidi="fa-IR"/>
          <w:color w:val="111111"/>
          <w:sz w:val="28"/>
          <w:szCs w:val="28"/>
          <w:rtl/>
        </w:rPr>
        <w:t xml:space="preserve">ثمّ إنّه ربما یستشکل فی جواز اشتراط البراءة من العیوب الغیر المخرجة عن المالیّة أیضاً بلزوم الغرر،فإنّ بیع ما لا یعلم صحّته و فساده لا یجوز إلّا بناءً علی أصالة الصحّة،فإذا اشترط </w:t>
      </w:r>
      <w:r>
        <w:rPr>
          <w:rStyle w:val="FootnoteReference"/>
        </w:rPr>
        <w:footnoteReference w:id="2085"/>
      </w:r>
      <w:r>
        <w:rPr>
          <w:rFonts w:ascii="IRNazanin" w:hAnsi="IRNazanin" w:eastAsia="IRNazanin" w:cs="IRNazanin"/>
          <w:lang w:bidi="fa-IR"/>
          <w:color w:val="111111"/>
          <w:sz w:val="28"/>
          <w:szCs w:val="28"/>
          <w:rtl/>
        </w:rPr>
        <w:t xml:space="preserve">البراءة کان بمنزلة البیع من غیر اعتدادٍ بوجود العیوب و عدمها.</w:t>
      </w:r>
    </w:p>
    <w:p>
      <w:pPr>
        <w:pStyle w:val="BookText"/>
      </w:pPr>
      <w:r>
        <w:rPr>
          <w:rFonts w:ascii="IRNazanin" w:hAnsi="IRNazanin" w:eastAsia="IRNazanin" w:cs="IRNazanin"/>
          <w:lang w:bidi="fa-IR"/>
          <w:color w:val="111111"/>
          <w:sz w:val="28"/>
          <w:szCs w:val="28"/>
          <w:rtl/>
        </w:rPr>
        <w:t xml:space="preserve">و قد صرّح العلّامة و جماعة بفساد العقد لو اشترط سقوط خیار الرؤیة فی العین الغائبة </w:t>
      </w:r>
      <w:r>
        <w:rPr>
          <w:rStyle w:val="FootnoteReference"/>
        </w:rPr>
        <w:footnoteReference w:id="2086"/>
      </w:r>
      <w:r>
        <w:rPr>
          <w:rFonts w:ascii="IRNazanin" w:hAnsi="IRNazanin" w:eastAsia="IRNazanin" w:cs="IRNazanin"/>
          <w:lang w:bidi="fa-IR"/>
          <w:color w:val="111111"/>
          <w:sz w:val="28"/>
          <w:szCs w:val="28"/>
          <w:rtl/>
        </w:rPr>
        <w:t xml:space="preserve">.و سیجیء توضیحه فی باب الخیارات إن شاء اللّٰه تعالی.</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68" w:name="pg14419_167208"/>
    <w:bookmarkEnd w:id="268"/>
    <w:p>
      <w:pPr>
        <w:pStyle w:val="Heading6"/>
      </w:pPr>
      <w:bookmarkStart w:id="1109" w:name="_Toc549"/>
      <w:r>
        <w:t>مسألة المشهور من غیر خلاف یذکر جواز بیع المسک فی فأره</w:t>
      </w:r>
      <w:bookmarkEnd w:id="1109"/>
    </w:p>
    <w:p>
      <w:pPr>
        <w:pStyle w:val="BookText"/>
      </w:pPr>
      <w:r>
        <w:rPr>
          <w:rFonts w:ascii="IRNazanin" w:hAnsi="IRNazanin" w:eastAsia="IRNazanin" w:cs="IRNazanin"/>
          <w:lang w:bidi="fa-IR"/>
          <w:color w:val="111111"/>
          <w:sz w:val="28"/>
          <w:szCs w:val="28"/>
          <w:rtl/>
        </w:rPr>
        <w:t xml:space="preserve">و الفأر بالهمزة قیل:جمع فأرة،کتمر و تمرة </w:t>
      </w:r>
      <w:r>
        <w:rPr>
          <w:rStyle w:val="FootnoteReference"/>
        </w:rPr>
        <w:footnoteReference w:id="2087"/>
      </w:r>
      <w:r>
        <w:rPr>
          <w:rFonts w:ascii="IRNazanin" w:hAnsi="IRNazanin" w:eastAsia="IRNazanin" w:cs="IRNazanin"/>
          <w:lang w:bidi="fa-IR"/>
          <w:color w:val="111111"/>
          <w:sz w:val="28"/>
          <w:szCs w:val="28"/>
          <w:rtl/>
        </w:rPr>
        <w:t xml:space="preserve">.و عن النهایة:أنّه قد لا یهمز تخفیفاً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مستند الحکم:العمومات الغیر المزاحمة بما یصلح للتخصیص،عدا توهّم النجاسة المندفع فی باب النجاسات بالنصّ </w:t>
      </w:r>
      <w:r>
        <w:rPr>
          <w:rStyle w:val="FootnoteReference"/>
        </w:rPr>
        <w:footnoteReference w:id="2089"/>
      </w:r>
      <w:r>
        <w:rPr>
          <w:rFonts w:ascii="IRNazanin" w:hAnsi="IRNazanin" w:eastAsia="IRNazanin" w:cs="IRNazanin"/>
          <w:lang w:bidi="fa-IR"/>
          <w:color w:val="111111"/>
          <w:sz w:val="28"/>
          <w:szCs w:val="28"/>
          <w:rtl/>
        </w:rPr>
        <w:t xml:space="preserve">و الإجماع </w:t>
      </w:r>
      <w:r>
        <w:rPr>
          <w:rStyle w:val="FootnoteReference"/>
        </w:rPr>
        <w:footnoteReference w:id="2090"/>
      </w:r>
      <w:r>
        <w:rPr>
          <w:rFonts w:ascii="Amiri" w:hAnsi="Amiri" w:eastAsia="Amiri" w:cs="Amiri"/>
          <w:lang w:bidi="ar-SA"/>
          <w:color w:val="111111"/>
          <w:sz w:val="28"/>
          <w:szCs w:val="28"/>
          <w:rtl/>
        </w:rPr>
        <w:t xml:space="preserve">،أو توهّم جهالته؛ بناءً علی ما تقدّم </w:t>
      </w:r>
      <w:r>
        <w:rPr>
          <w:rStyle w:val="FootnoteReference"/>
        </w:rPr>
        <w:footnoteReference w:id="2091"/>
      </w:r>
      <w:r>
        <w:rPr>
          <w:rFonts w:ascii="IRNazanin" w:hAnsi="IRNazanin" w:eastAsia="IRNazanin" w:cs="IRNazanin"/>
          <w:lang w:bidi="fa-IR"/>
          <w:color w:val="111111"/>
          <w:sz w:val="28"/>
          <w:szCs w:val="28"/>
          <w:rtl/>
        </w:rPr>
        <w:t xml:space="preserve">من احتمال عدم العبرة بأصالة الصحّة فی دفع </w:t>
      </w:r>
      <w:r>
        <w:rPr>
          <w:rStyle w:val="FootnoteReference"/>
        </w:rPr>
        <w:footnoteReference w:id="2092"/>
      </w:r>
      <w:r>
        <w:rPr>
          <w:rFonts w:ascii="IRNazanin" w:hAnsi="IRNazanin" w:eastAsia="IRNazanin" w:cs="IRNazanin"/>
          <w:lang w:bidi="fa-IR"/>
          <w:color w:val="111111"/>
          <w:sz w:val="28"/>
          <w:szCs w:val="28"/>
          <w:rtl/>
        </w:rPr>
        <w:t xml:space="preserve">الغرر.</w:t>
      </w:r>
    </w:p>
    <w:p>
      <w:pPr>
        <w:pStyle w:val="BookText"/>
      </w:pPr>
      <w:r>
        <w:rPr>
          <w:rFonts w:ascii="IRNazanin" w:hAnsi="IRNazanin" w:eastAsia="IRNazanin" w:cs="IRNazanin"/>
          <w:lang w:bidi="fa-IR"/>
          <w:color w:val="111111"/>
          <w:sz w:val="28"/>
          <w:szCs w:val="28"/>
          <w:rtl/>
        </w:rPr>
        <w:t xml:space="preserve">و یندفع بما تقدّم </w:t>
      </w:r>
      <w:r>
        <w:rPr>
          <w:rStyle w:val="FootnoteReference"/>
        </w:rPr>
        <w:footnoteReference w:id="2093"/>
      </w:r>
      <w:r>
        <w:rPr>
          <w:rFonts w:ascii="IRNazanin" w:hAnsi="IRNazanin" w:eastAsia="IRNazanin" w:cs="IRNazanin"/>
          <w:lang w:bidi="fa-IR"/>
          <w:color w:val="111111"/>
          <w:sz w:val="28"/>
          <w:szCs w:val="28"/>
          <w:rtl/>
        </w:rPr>
        <w:t xml:space="preserve">:من بناء العرف علی الأصل فی نفی الفساد،و بناء الأصحاب علی عدم التزام الاختبار فی الأوصاف التی تدور معها الصحّة.</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لکنّک خبیر بأنّ هذا کلّه حسنٌ لدفع الغرر الحاصل من احتمال الفساد.و أمّا الغرر من جهة تفاوت أفراد الصحیح الذی لا یعلم إلّا بالاختبار،فلا رافع له.</w:t>
      </w:r>
    </w:p>
    <w:p>
      <w:pPr>
        <w:pStyle w:val="BookText"/>
      </w:pPr>
      <w:r>
        <w:rPr>
          <w:rFonts w:ascii="IRNazanin" w:hAnsi="IRNazanin" w:eastAsia="IRNazanin" w:cs="IRNazanin"/>
          <w:lang w:bidi="fa-IR"/>
          <w:color w:val="111111"/>
          <w:sz w:val="28"/>
          <w:szCs w:val="28"/>
          <w:rtl/>
        </w:rPr>
        <w:t xml:space="preserve">نعم،قد روی فی التذکرة مرسلاً عن الصادق علیه السلام جواز بیعه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لم یعلم </w:t>
      </w:r>
      <w:r>
        <w:rPr>
          <w:rStyle w:val="FootnoteReference"/>
        </w:rPr>
        <w:footnoteReference w:id="2095"/>
      </w:r>
      <w:r>
        <w:rPr>
          <w:rFonts w:ascii="IRNazanin" w:hAnsi="IRNazanin" w:eastAsia="IRNazanin" w:cs="IRNazanin"/>
          <w:lang w:bidi="fa-IR"/>
          <w:color w:val="111111"/>
          <w:sz w:val="28"/>
          <w:szCs w:val="28"/>
          <w:rtl/>
        </w:rPr>
        <w:t xml:space="preserve">إرادة ما فی الفأرة.</w:t>
      </w:r>
    </w:p>
    <w:p>
      <w:pPr>
        <w:pStyle w:val="BookText"/>
      </w:pPr>
      <w:r>
        <w:rPr>
          <w:rFonts w:ascii="IRNazanin" w:hAnsi="IRNazanin" w:eastAsia="IRNazanin" w:cs="IRNazanin"/>
          <w:lang w:bidi="fa-IR"/>
          <w:color w:val="111111"/>
          <w:sz w:val="28"/>
          <w:szCs w:val="28"/>
          <w:rtl/>
        </w:rPr>
        <w:t xml:space="preserve">و کیف کان،فإذا فرض أنّه لیس له أوصاف خارجیّة یعرف بها الوصف الذی له دخلٌ فی القیمة،فالأحوط ما ذکروه من فتقه بإدخال خیطٍ فیها بإبرةٍ،ثمّ إخراجه و شمّه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شمّه و لم یرضَ به </w:t>
      </w:r>
      <w:r>
        <w:rPr>
          <w:rStyle w:val="FootnoteReference"/>
        </w:rPr>
        <w:footnoteReference w:id="2097"/>
      </w:r>
      <w:r>
        <w:rPr>
          <w:rFonts w:ascii="IRNazanin" w:hAnsi="IRNazanin" w:eastAsia="IRNazanin" w:cs="IRNazanin"/>
          <w:lang w:bidi="fa-IR"/>
          <w:color w:val="111111"/>
          <w:sz w:val="28"/>
          <w:szCs w:val="28"/>
          <w:rtl/>
        </w:rPr>
        <w:t xml:space="preserve">فهل یضمن هذا النقص الداخل علیه من جهة الفتق لو فرض حصوله فیه و لو بکونه جزءاً أخیراً لسبب </w:t>
      </w:r>
      <w:r>
        <w:rPr>
          <w:rStyle w:val="FootnoteReference"/>
        </w:rPr>
        <w:footnoteReference w:id="2098"/>
      </w:r>
      <w:r>
        <w:rPr>
          <w:rFonts w:ascii="IRNazanin" w:hAnsi="IRNazanin" w:eastAsia="IRNazanin" w:cs="IRNazanin"/>
          <w:lang w:bidi="fa-IR"/>
          <w:color w:val="111111"/>
          <w:sz w:val="28"/>
          <w:szCs w:val="28"/>
          <w:rtl/>
        </w:rPr>
        <w:t xml:space="preserve">النقص،بأن فتق قبله بإدخال الخیط و الإبرة مراراً؟وجهٌ مبنیٌّ علی ضمان النقص فی المقبوض بالسوم،فالأولی أن یباشر البائع ذلک فیشمّ المشتری الخیط.</w:t>
      </w:r>
    </w:p>
    <w:p>
      <w:pPr>
        <w:pStyle w:val="BookText"/>
      </w:pPr>
      <w:r>
        <w:rPr>
          <w:rFonts w:ascii="IRNazanin" w:hAnsi="IRNazanin" w:eastAsia="IRNazanin" w:cs="IRNazanin"/>
          <w:lang w:bidi="fa-IR"/>
          <w:color w:val="111111"/>
          <w:sz w:val="28"/>
          <w:szCs w:val="28"/>
          <w:rtl/>
        </w:rPr>
        <w:t xml:space="preserve">ثمّ إنّ الظاهر من العلّامة عدم جواز بیع اللؤلؤ فی الصدف </w:t>
      </w:r>
      <w:r>
        <w:rPr>
          <w:rStyle w:val="FootnoteReference"/>
        </w:rPr>
        <w:footnoteReference w:id="2099"/>
      </w:r>
      <w:r>
        <w:rPr>
          <w:rFonts w:ascii="IRNazanin" w:hAnsi="IRNazanin" w:eastAsia="IRNazanin" w:cs="IRNazanin"/>
          <w:lang w:bidi="fa-IR"/>
          <w:color w:val="111111"/>
          <w:sz w:val="28"/>
          <w:szCs w:val="28"/>
          <w:rtl/>
        </w:rPr>
        <w:t xml:space="preserve">،و هو کذلک.</w:t>
      </w:r>
    </w:p>
    <w:p>
      <w:pPr>
        <w:pStyle w:val="BookText"/>
      </w:pPr>
      <w:r>
        <w:rPr>
          <w:rFonts w:ascii="IRNazanin" w:hAnsi="IRNazanin" w:eastAsia="IRNazanin" w:cs="IRNazanin"/>
          <w:lang w:bidi="fa-IR"/>
          <w:color w:val="111111"/>
          <w:sz w:val="28"/>
          <w:szCs w:val="28"/>
          <w:rtl/>
        </w:rPr>
        <w:t xml:space="preserve">و صرّح بعدم جواز بیع البیض فی بطن الدجاج للجهالة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،و هو حسنٌ إذا لم یعرف لذلک الدجاج فردٌ معتادٌ من البیض من حیث الکبر و الصغر.</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69" w:name="pg14419_167210"/>
    <w:bookmarkEnd w:id="269"/>
    <w:p>
      <w:pPr>
        <w:pStyle w:val="Heading6"/>
      </w:pPr>
      <w:bookmarkStart w:id="1110" w:name="_Toc550"/>
      <w:r>
        <w:t>مسألة لا فرق فی عدم جواز بیع المجهول بین ضمّ معلومٍ إلیه و عدمه</w:t>
      </w:r>
      <w:bookmarkEnd w:id="1110"/>
    </w:p>
    <w:p>
      <w:pPr>
        <w:pStyle w:val="BookText"/>
      </w:pPr>
      <w:r>
        <w:rPr>
          <w:rFonts w:ascii="IRNazanin" w:hAnsi="IRNazanin" w:eastAsia="IRNazanin" w:cs="IRNazanin"/>
          <w:lang w:bidi="fa-IR"/>
          <w:color w:val="111111"/>
          <w:sz w:val="28"/>
          <w:szCs w:val="28"/>
          <w:rtl/>
        </w:rPr>
        <w:t xml:space="preserve">لأنّ ضمّ المعلوم إلیه لا یخرجه عن الجهالة فیکون المجموع مجهولاً؛إذ لا یُعنی </w:t>
      </w:r>
      <w:r>
        <w:rPr>
          <w:rStyle w:val="FootnoteReference"/>
        </w:rPr>
        <w:footnoteReference w:id="2100"/>
      </w:r>
      <w:r>
        <w:rPr>
          <w:rFonts w:ascii="Amiri" w:hAnsi="Amiri" w:eastAsia="Amiri" w:cs="Amiri"/>
          <w:lang w:bidi="ar-SA"/>
          <w:color w:val="111111"/>
          <w:sz w:val="28"/>
          <w:szCs w:val="28"/>
          <w:rtl/>
        </w:rPr>
        <w:t xml:space="preserve">بالمجهول ما کان کلّ جزءٍ جزءٍ منه مجهولاً.و یتفرّع علی ذلک:</w:t>
      </w:r>
    </w:p>
    <w:p>
      <w:pPr>
        <w:pStyle w:val="BookText"/>
      </w:pPr>
      <w:r>
        <w:rPr>
          <w:rFonts w:ascii="IRNazanin" w:hAnsi="IRNazanin" w:eastAsia="IRNazanin" w:cs="IRNazanin"/>
          <w:lang w:bidi="fa-IR"/>
          <w:color w:val="111111"/>
          <w:sz w:val="28"/>
          <w:szCs w:val="28"/>
          <w:rtl/>
        </w:rPr>
        <w:t xml:space="preserve">أنّه لا یجوز بیع سمک الآجام و لو کان مملوکاً؛لجهالته و إن ضمّ إلیه القصب أو غیره.و لا اللبن فی الضرع و لو ضمّ إلیه ما یحلب منه،أو غیره،علی المشهور کما فی الروضة </w:t>
      </w:r>
      <w:r>
        <w:rPr>
          <w:rStyle w:val="FootnoteReference"/>
        </w:rPr>
        <w:footnoteReference w:id="2101"/>
      </w:r>
      <w:r>
        <w:rPr>
          <w:rFonts w:ascii="IRNazanin" w:hAnsi="IRNazanin" w:eastAsia="IRNazanin" w:cs="IRNazanin"/>
          <w:lang w:bidi="fa-IR"/>
          <w:color w:val="111111"/>
          <w:sz w:val="28"/>
          <w:szCs w:val="28"/>
          <w:rtl/>
        </w:rPr>
        <w:t xml:space="preserve">و عن الحدائق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خصّ المنع جماعة بما إذا کان المجهول مقصوداً بالاستقلال أو منضمّاً إلی المعلوم،و جوّزوا بیعه إذا کان تابعاً للمعلوم،و هو المحکیّ </w:t>
      </w:r>
      <w:r>
        <w:rPr>
          <w:rStyle w:val="FootnoteReference"/>
        </w:rPr>
        <w:footnoteReference w:id="2103"/>
      </w:r>
      <w:r>
        <w:rPr>
          <w:rFonts w:ascii="IRNazanin" w:hAnsi="IRNazanin" w:eastAsia="IRNazanin" w:cs="IRNazanin"/>
          <w:lang w:bidi="fa-IR"/>
          <w:color w:val="111111"/>
          <w:sz w:val="28"/>
          <w:szCs w:val="28"/>
          <w:rtl/>
        </w:rPr>
        <w:t xml:space="preserve">عن المختلف </w:t>
      </w:r>
      <w:r>
        <w:rPr>
          <w:rStyle w:val="FootnoteReference"/>
        </w:rPr>
        <w:footnoteReference w:id="2104"/>
      </w:r>
      <w:r>
        <w:rPr>
          <w:rFonts w:ascii="IRNazanin" w:hAnsi="IRNazanin" w:eastAsia="IRNazanin" w:cs="IRNazanin"/>
          <w:lang w:bidi="fa-IR"/>
          <w:color w:val="111111"/>
          <w:sz w:val="28"/>
          <w:szCs w:val="28"/>
          <w:rtl/>
        </w:rPr>
        <w:t xml:space="preserve">و شرح الإرشاد لفخر الإسلام </w:t>
      </w:r>
      <w:r>
        <w:rPr>
          <w:rStyle w:val="FootnoteReference"/>
        </w:rPr>
        <w:footnoteReference w:id="2105"/>
      </w:r>
      <w:r>
        <w:rPr>
          <w:rFonts w:ascii="IRNazanin" w:hAnsi="IRNazanin" w:eastAsia="IRNazanin" w:cs="IRNazanin"/>
          <w:lang w:bidi="fa-IR"/>
          <w:color w:val="111111"/>
          <w:sz w:val="28"/>
          <w:szCs w:val="28"/>
          <w:rtl/>
        </w:rPr>
        <w:t xml:space="preserve">و المقتصر </w:t>
      </w:r>
      <w:r>
        <w:rPr>
          <w:rStyle w:val="FootnoteReference"/>
        </w:rPr>
        <w:footnoteReference w:id="2106"/>
      </w:r>
      <w:r>
        <w:rPr>
          <w:rFonts w:ascii="IRNazanin" w:hAnsi="IRNazanin" w:eastAsia="IRNazanin" w:cs="IRNazanin"/>
          <w:lang w:bidi="fa-IR"/>
          <w:color w:val="111111"/>
          <w:sz w:val="28"/>
          <w:szCs w:val="28"/>
          <w:rtl/>
        </w:rPr>
        <w:t xml:space="preserve">،و استحسنه</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و الشهید الثانیان </w:t>
      </w:r>
      <w:r>
        <w:rPr>
          <w:rStyle w:val="FootnoteReference"/>
        </w:rPr>
        <w:footnoteReference w:id="2107"/>
      </w:r>
      <w:r>
        <w:rPr>
          <w:rFonts w:ascii="IRNazanin" w:hAnsi="IRNazanin" w:eastAsia="IRNazanin" w:cs="IRNazanin"/>
          <w:lang w:bidi="fa-IR"/>
          <w:color w:val="111111"/>
          <w:sz w:val="28"/>
          <w:szCs w:val="28"/>
          <w:rtl/>
        </w:rPr>
        <w:t xml:space="preserve">.و لعلّ المانعین لا یریدون إلّا ذلک؛نظراً إلی أنّ جهالة التابع لا توجب الغرر و لا صدق اسم«المجهول»علی المبیع عرفاً حتّی یندرج فی إطلاق ما دلّ من الإجماع علی عدم جواز بیع المجهول؛فإنّ أکثر المعلومات بعض أجزائها مجهول.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خلافاً للشیخ فی النهایة </w:t>
      </w:r>
      <w:r>
        <w:rPr>
          <w:rStyle w:val="FootnoteReference"/>
        </w:rPr>
        <w:footnoteReference w:id="2108"/>
      </w:r>
      <w:r>
        <w:rPr>
          <w:rFonts w:ascii="IRNazanin" w:hAnsi="IRNazanin" w:eastAsia="IRNazanin" w:cs="IRNazanin"/>
          <w:lang w:bidi="fa-IR"/>
          <w:color w:val="111111"/>
          <w:sz w:val="28"/>
          <w:szCs w:val="28"/>
          <w:rtl/>
        </w:rPr>
        <w:t xml:space="preserve">و ابن حمزة فی الوسیلة </w:t>
      </w:r>
      <w:r>
        <w:rPr>
          <w:rStyle w:val="FootnoteReference"/>
        </w:rPr>
        <w:footnoteReference w:id="2109"/>
      </w:r>
      <w:r>
        <w:rPr>
          <w:rFonts w:ascii="IRNazanin" w:hAnsi="IRNazanin" w:eastAsia="IRNazanin" w:cs="IRNazanin"/>
          <w:lang w:bidi="fa-IR"/>
          <w:color w:val="111111"/>
          <w:sz w:val="28"/>
          <w:szCs w:val="28"/>
          <w:rtl/>
        </w:rPr>
        <w:t xml:space="preserve">.و المحکیّ عن الإسکافی </w:t>
      </w:r>
      <w:r>
        <w:rPr>
          <w:rStyle w:val="FootnoteReference"/>
        </w:rPr>
        <w:footnoteReference w:id="2110"/>
      </w:r>
      <w:r>
        <w:rPr>
          <w:rFonts w:ascii="IRNazanin" w:hAnsi="IRNazanin" w:eastAsia="IRNazanin" w:cs="IRNazanin"/>
          <w:lang w:bidi="fa-IR"/>
          <w:color w:val="111111"/>
          <w:sz w:val="28"/>
          <w:szCs w:val="28"/>
          <w:rtl/>
        </w:rPr>
        <w:t xml:space="preserve">و القاضی </w:t>
      </w:r>
      <w:r>
        <w:rPr>
          <w:rStyle w:val="FootnoteReference"/>
        </w:rPr>
        <w:footnoteReference w:id="2111"/>
      </w:r>
      <w:r>
        <w:rPr>
          <w:rFonts w:ascii="IRNazanin" w:hAnsi="IRNazanin" w:eastAsia="IRNazanin" w:cs="IRNazanin"/>
          <w:lang w:bidi="fa-IR"/>
          <w:color w:val="111111"/>
          <w:sz w:val="28"/>
          <w:szCs w:val="28"/>
          <w:rtl/>
        </w:rPr>
        <w:t xml:space="preserve">،بل فی مفتاح الکرامة:أنّ الحاصل من التتبّع أنّ المشهور بین المتقدّمین هو الصحّة </w:t>
      </w:r>
      <w:r>
        <w:rPr>
          <w:rStyle w:val="FootnoteReference"/>
        </w:rPr>
        <w:footnoteReference w:id="2112"/>
      </w:r>
      <w:r>
        <w:rPr>
          <w:rFonts w:ascii="IRNazanin" w:hAnsi="IRNazanin" w:eastAsia="IRNazanin" w:cs="IRNazanin"/>
          <w:lang w:bidi="fa-IR"/>
          <w:color w:val="111111"/>
          <w:sz w:val="28"/>
          <w:szCs w:val="28"/>
          <w:rtl/>
        </w:rPr>
        <w:t xml:space="preserve">،بل عن الخلاف </w:t>
      </w:r>
      <w:r>
        <w:rPr>
          <w:rStyle w:val="FootnoteReference"/>
        </w:rPr>
        <w:footnoteReference w:id="2113"/>
      </w:r>
      <w:r>
        <w:rPr>
          <w:rFonts w:ascii="IRNazanin" w:hAnsi="IRNazanin" w:eastAsia="IRNazanin" w:cs="IRNazanin"/>
          <w:lang w:bidi="fa-IR"/>
          <w:color w:val="111111"/>
          <w:sz w:val="28"/>
          <w:szCs w:val="28"/>
          <w:rtl/>
        </w:rPr>
        <w:t xml:space="preserve">و الغنیة </w:t>
      </w:r>
      <w:r>
        <w:rPr>
          <w:rStyle w:val="FootnoteReference"/>
        </w:rPr>
        <w:footnoteReference w:id="2114"/>
      </w:r>
      <w:r>
        <w:rPr>
          <w:rFonts w:ascii="IRNazanin" w:hAnsi="IRNazanin" w:eastAsia="IRNazanin" w:cs="IRNazanin"/>
          <w:lang w:bidi="fa-IR"/>
          <w:color w:val="111111"/>
          <w:sz w:val="28"/>
          <w:szCs w:val="28"/>
          <w:rtl/>
        </w:rPr>
        <w:t xml:space="preserve">:الإجماع فی مسألة السمک.و اختاره من المتأخّرین المحقّق الأردبیلی </w:t>
      </w:r>
      <w:r>
        <w:rPr>
          <w:rStyle w:val="FootnoteReference"/>
        </w:rPr>
        <w:footnoteReference w:id="2115"/>
      </w:r>
      <w:r>
        <w:rPr>
          <w:rFonts w:ascii="IRNazanin" w:hAnsi="IRNazanin" w:eastAsia="IRNazanin" w:cs="IRNazanin"/>
          <w:lang w:bidi="fa-IR"/>
          <w:color w:val="111111"/>
          <w:sz w:val="28"/>
          <w:szCs w:val="28"/>
          <w:rtl/>
        </w:rPr>
        <w:t xml:space="preserve">و صاحب الکفایة </w:t>
      </w:r>
      <w:r>
        <w:rPr>
          <w:rStyle w:val="FootnoteReference"/>
        </w:rPr>
        <w:footnoteReference w:id="2116"/>
      </w:r>
      <w:r>
        <w:rPr>
          <w:rFonts w:ascii="IRNazanin" w:hAnsi="IRNazanin" w:eastAsia="IRNazanin" w:cs="IRNazanin"/>
          <w:lang w:bidi="fa-IR"/>
          <w:color w:val="111111"/>
          <w:sz w:val="28"/>
          <w:szCs w:val="28"/>
          <w:rtl/>
        </w:rPr>
        <w:t xml:space="preserve">و المحدّث العاملی </w:t>
      </w:r>
      <w:r>
        <w:rPr>
          <w:rStyle w:val="FootnoteReference"/>
        </w:rPr>
        <w:footnoteReference w:id="2117"/>
      </w:r>
      <w:r>
        <w:rPr>
          <w:rFonts w:ascii="IRNazanin" w:hAnsi="IRNazanin" w:eastAsia="IRNazanin" w:cs="IRNazanin"/>
          <w:lang w:bidi="fa-IR"/>
          <w:color w:val="111111"/>
          <w:sz w:val="28"/>
          <w:szCs w:val="28"/>
          <w:rtl/>
        </w:rPr>
        <w:t xml:space="preserve">و المحدّث الکاشانی </w:t>
      </w:r>
      <w:r>
        <w:rPr>
          <w:rStyle w:val="FootnoteReference"/>
        </w:rPr>
        <w:footnoteReference w:id="2118"/>
      </w:r>
      <w:r>
        <w:rPr>
          <w:rFonts w:ascii="IRNazanin" w:hAnsi="IRNazanin" w:eastAsia="IRNazanin" w:cs="IRNazanin"/>
          <w:lang w:bidi="fa-IR"/>
          <w:color w:val="111111"/>
          <w:sz w:val="28"/>
          <w:szCs w:val="28"/>
          <w:rtl/>
        </w:rPr>
        <w:t xml:space="preserve">،و حکی عن ظاهر غایة المراد </w:t>
      </w:r>
      <w:r>
        <w:rPr>
          <w:rStyle w:val="FootnoteReference"/>
        </w:rPr>
        <w:footnoteReference w:id="21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صریح حواشیه علی القواعد </w:t>
      </w:r>
      <w:r>
        <w:rPr>
          <w:rStyle w:val="FootnoteReference"/>
        </w:rPr>
        <w:footnoteReference w:id="2120"/>
      </w:r>
      <w:r>
        <w:rPr>
          <w:rFonts w:ascii="IRNazanin" w:hAnsi="IRNazanin" w:eastAsia="IRNazanin" w:cs="IRNazanin"/>
          <w:lang w:bidi="fa-IR"/>
          <w:color w:val="111111"/>
          <w:sz w:val="28"/>
          <w:szCs w:val="28"/>
          <w:rtl/>
        </w:rPr>
        <w:t xml:space="preserve">.و حجّتهم علی ذلک الأخبار المستفیضة الواردة فی مسألتی السمک و اللبن و غیرهما.</w:t>
      </w:r>
    </w:p>
    <w:p>
      <w:pPr>
        <w:pStyle w:val="BookText"/>
      </w:pPr>
      <w:r>
        <w:rPr>
          <w:rFonts w:ascii="IRNazanin" w:hAnsi="IRNazanin" w:eastAsia="IRNazanin" w:cs="IRNazanin"/>
          <w:lang w:bidi="fa-IR"/>
          <w:color w:val="111111"/>
          <w:sz w:val="28"/>
          <w:szCs w:val="28"/>
          <w:rtl/>
        </w:rPr>
        <w:t xml:space="preserve">ففی مرسلة البزنطی التی إرسالها،کوجود سهلٍ فیها،سهلٌ عن أبی عبد اللّٰه علیه السلام،قال:«إذا کانت أجَمَةٌ لیس فیها قصبٌ،أخرج شیئاً من سمکٍ فباع </w:t>
      </w:r>
      <w:r>
        <w:rPr>
          <w:rStyle w:val="FootnoteReference"/>
        </w:rPr>
        <w:footnoteReference w:id="2121"/>
      </w:r>
      <w:r>
        <w:rPr>
          <w:rFonts w:ascii="IRNazanin" w:hAnsi="IRNazanin" w:eastAsia="IRNazanin" w:cs="IRNazanin"/>
          <w:lang w:bidi="fa-IR"/>
          <w:color w:val="111111"/>
          <w:sz w:val="28"/>
          <w:szCs w:val="28"/>
          <w:rtl/>
        </w:rPr>
        <w:t xml:space="preserve">و ما فی الأجمة»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w:t>
      </w:r>
      <w:r>
        <w:rPr>
          <w:rStyle w:val="FootnoteReference"/>
        </w:rPr>
        <w:footnoteReference w:id="2123"/>
      </w:r>
      <w:r>
        <w:rPr>
          <w:rFonts w:ascii="IRNazanin" w:hAnsi="IRNazanin" w:eastAsia="IRNazanin" w:cs="IRNazanin"/>
          <w:lang w:bidi="fa-IR"/>
          <w:color w:val="111111"/>
          <w:sz w:val="28"/>
          <w:szCs w:val="28"/>
          <w:rtl/>
        </w:rPr>
        <w:t xml:space="preserve">معاویة بن عمّار عن أبی عبد اللّٰه علیه السلام </w:t>
      </w:r>
      <w:r>
        <w:rPr>
          <w:rStyle w:val="FootnoteReference"/>
        </w:rPr>
        <w:footnoteReference w:id="2124"/>
      </w:r>
      <w:r>
        <w:rPr>
          <w:rFonts w:ascii="IRNazanin" w:hAnsi="IRNazanin" w:eastAsia="IRNazanin" w:cs="IRNazanin"/>
          <w:lang w:bidi="fa-IR"/>
          <w:color w:val="111111"/>
          <w:sz w:val="28"/>
          <w:szCs w:val="28"/>
          <w:rtl/>
        </w:rPr>
        <w:t xml:space="preserve">:«لا بأس بأن یشتری الآجام إذا کان فیها قصب» </w:t>
      </w:r>
      <w:r>
        <w:rPr>
          <w:rStyle w:val="FootnoteReference"/>
        </w:rPr>
        <w:footnoteReference w:id="2125"/>
      </w:r>
      <w:r>
        <w:rPr>
          <w:rFonts w:ascii="IRNazanin" w:hAnsi="IRNazanin" w:eastAsia="IRNazanin" w:cs="IRNazanin"/>
          <w:lang w:bidi="fa-IR"/>
          <w:color w:val="111111"/>
          <w:sz w:val="28"/>
          <w:szCs w:val="28"/>
          <w:rtl/>
        </w:rPr>
        <w:t xml:space="preserve">.و المراد شراء ما فیها بقرینة الروایة السابقة و اللاحقة.</w:t>
      </w:r>
    </w:p>
    <w:p>
      <w:pPr>
        <w:pStyle w:val="BookText"/>
      </w:pPr>
      <w:r>
        <w:rPr>
          <w:rFonts w:ascii="IRNazanin" w:hAnsi="IRNazanin" w:eastAsia="IRNazanin" w:cs="IRNazanin"/>
          <w:lang w:bidi="fa-IR"/>
          <w:color w:val="111111"/>
          <w:sz w:val="28"/>
          <w:szCs w:val="28"/>
          <w:rtl/>
        </w:rPr>
        <w:t xml:space="preserve">و روایة أبی بصیر عن أبی عبد اللّٰه علیه السلام فی شراء الأجَمَة لیس فیها قصبٌ إنّما هی ماء،قال:«تصید </w:t>
      </w:r>
      <w:r>
        <w:rPr>
          <w:rStyle w:val="FootnoteReference"/>
        </w:rPr>
        <w:footnoteReference w:id="2126"/>
      </w:r>
      <w:r>
        <w:rPr>
          <w:rFonts w:ascii="IRNazanin" w:hAnsi="IRNazanin" w:eastAsia="IRNazanin" w:cs="IRNazanin"/>
          <w:lang w:bidi="fa-IR"/>
          <w:color w:val="111111"/>
          <w:sz w:val="28"/>
          <w:szCs w:val="28"/>
          <w:rtl/>
        </w:rPr>
        <w:t xml:space="preserve">کفّاً من سمکٍ تقول:أشتری منک هذا السمک و ما فی هذه الأجَمَة بکذا و کذا»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سماعة عن أبی عبد اللّٰه علیه السلام کما فی الفقیه قال:</w:t>
      </w:r>
    </w:p>
    <w:p>
      <w:pPr>
        <w:pStyle w:val="BookText"/>
      </w:pPr>
      <w:r>
        <w:rPr>
          <w:rFonts w:ascii="IRNazanin" w:hAnsi="IRNazanin" w:eastAsia="IRNazanin" w:cs="IRNazanin"/>
          <w:lang w:bidi="fa-IR"/>
          <w:color w:val="111111"/>
          <w:sz w:val="28"/>
          <w:szCs w:val="28"/>
          <w:rtl/>
        </w:rPr>
        <w:t xml:space="preserve">«سألته عن اللبن یشتری و هو فی الضرع؟قال:لا،إلّا أن یَحلب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سُکُرُّجة </w:t>
      </w:r>
      <w:r>
        <w:rPr>
          <w:rStyle w:val="FootnoteReference"/>
        </w:rPr>
        <w:footnoteReference w:id="2129"/>
      </w:r>
      <w:r>
        <w:rPr>
          <w:rFonts w:ascii="IRNazanin" w:hAnsi="IRNazanin" w:eastAsia="IRNazanin" w:cs="IRNazanin"/>
          <w:lang w:bidi="fa-IR"/>
          <w:color w:val="111111"/>
          <w:sz w:val="28"/>
          <w:szCs w:val="28"/>
          <w:rtl/>
        </w:rPr>
        <w:t xml:space="preserve">فیقول:اشتر منّی </w:t>
      </w:r>
      <w:r>
        <w:rPr>
          <w:rStyle w:val="FootnoteReference"/>
        </w:rPr>
        <w:footnoteReference w:id="2130"/>
      </w:r>
      <w:r>
        <w:rPr>
          <w:rFonts w:ascii="IRNazanin" w:hAnsi="IRNazanin" w:eastAsia="IRNazanin" w:cs="IRNazanin"/>
          <w:lang w:bidi="fa-IR"/>
          <w:color w:val="111111"/>
          <w:sz w:val="28"/>
          <w:szCs w:val="28"/>
          <w:rtl/>
        </w:rPr>
        <w:t xml:space="preserve">هذا اللبن الذی فی السکرجة </w:t>
      </w:r>
      <w:r>
        <w:rPr>
          <w:rStyle w:val="FootnoteReference"/>
        </w:rPr>
        <w:footnoteReference w:id="2131"/>
      </w:r>
      <w:r>
        <w:rPr>
          <w:rFonts w:ascii="Amiri" w:hAnsi="Amiri" w:eastAsia="Amiri" w:cs="Amiri"/>
          <w:lang w:bidi="ar-SA"/>
          <w:color w:val="111111"/>
          <w:sz w:val="28"/>
          <w:szCs w:val="28"/>
          <w:rtl/>
        </w:rPr>
        <w:t xml:space="preserve">و ما فی ضروعها بثمنٍ مسمّی،فإن لم یکن فی الضرع شیءٌ کان ما فی السکُرُّجة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علیها تحمل صحیحة العیص بن القاسم قال:«سألت أبا عبد اللّٰه علیه السلام عن رجلٍ له نَعَمٌ یبیع ألبانها بغیر کیل؟قال:نعم،حتّی تنقطع </w:t>
      </w:r>
      <w:r>
        <w:rPr>
          <w:rStyle w:val="FootnoteReference"/>
        </w:rPr>
        <w:footnoteReference w:id="2134"/>
      </w:r>
      <w:r>
        <w:rPr>
          <w:rFonts w:ascii="Amiri" w:hAnsi="Amiri" w:eastAsia="Amiri" w:cs="Amiri"/>
          <w:lang w:bidi="ar-SA"/>
          <w:color w:val="111111"/>
          <w:sz w:val="28"/>
          <w:szCs w:val="28"/>
          <w:rtl/>
        </w:rPr>
        <w:t xml:space="preserve">أو شیءٌ منها» </w:t>
      </w:r>
      <w:r>
        <w:rPr>
          <w:rStyle w:val="FootnoteReference"/>
        </w:rPr>
        <w:footnoteReference w:id="2135"/>
      </w:r>
      <w:r>
        <w:rPr>
          <w:rFonts w:ascii="IRNazanin" w:hAnsi="IRNazanin" w:eastAsia="IRNazanin" w:cs="IRNazanin"/>
          <w:lang w:bidi="fa-IR"/>
          <w:color w:val="111111"/>
          <w:sz w:val="28"/>
          <w:szCs w:val="28"/>
          <w:rtl/>
        </w:rPr>
        <w:t xml:space="preserve">،بناءً علی أنّ المراد:بیع اللبن الذی فی الضرع بتمامه،أو بیع شیءٍ منه محلوب فی الخارج و </w:t>
      </w:r>
      <w:r>
        <w:rPr>
          <w:rStyle w:val="FootnoteReference"/>
        </w:rPr>
        <w:footnoteReference w:id="2136"/>
      </w:r>
      <w:r>
        <w:rPr>
          <w:rFonts w:ascii="IRNazanin" w:hAnsi="IRNazanin" w:eastAsia="IRNazanin" w:cs="IRNazanin"/>
          <w:lang w:bidi="fa-IR"/>
          <w:color w:val="111111"/>
          <w:sz w:val="28"/>
          <w:szCs w:val="28"/>
          <w:rtl/>
        </w:rPr>
        <w:t xml:space="preserve">ما بقی فی الضرع بعد حلب شیءٍ منه.</w:t>
      </w:r>
    </w:p>
    <w:p>
      <w:pPr>
        <w:pStyle w:val="BookText"/>
      </w:pPr>
      <w:r>
        <w:rPr>
          <w:rFonts w:ascii="IRNazanin" w:hAnsi="IRNazanin" w:eastAsia="IRNazanin" w:cs="IRNazanin"/>
          <w:lang w:bidi="fa-IR"/>
          <w:color w:val="111111"/>
          <w:sz w:val="28"/>
          <w:szCs w:val="28"/>
          <w:rtl/>
        </w:rPr>
        <w:t xml:space="preserve">و فی الصحیح إلی ابن محبوب،عن إبراهیم الکرخی قال:«قلت لأبی عبد اللّٰه علیه السلام:ما تقول فی رجلٍ اشتری من رجلٍ أصواف مائة نعجة و ما فی بطونها من حملٍ بکذا و کذا درهماً؟قال:لا بأس،إن لم یکن فی بطونها حملٌ کان رأس ماله فی الصوف»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موثّقة إسماعیل بن الفضل الهاشمی عن أبی عبد اللّٰه علیه السلام:«فی الرجل یتقبّل بخراج الرجال و جزیة رؤوسهم و خراج النخل و الشجر و الآجام و المصائد و السمک و الطیر،و هو لا یدری لعلّه لا یکون شیءٌ من هذا أبداً أو یکون،أ یشتریه </w:t>
      </w:r>
      <w:r>
        <w:rPr>
          <w:rStyle w:val="FootnoteReference"/>
        </w:rPr>
        <w:footnoteReference w:id="2138"/>
      </w:r>
      <w:r>
        <w:rPr>
          <w:rFonts w:ascii="IRNazanin" w:hAnsi="IRNazanin" w:eastAsia="IRNazanin" w:cs="IRNazanin"/>
          <w:lang w:bidi="fa-IR"/>
          <w:color w:val="111111"/>
          <w:sz w:val="28"/>
          <w:szCs w:val="28"/>
          <w:rtl/>
        </w:rPr>
        <w:t xml:space="preserve">؟و فی أیّ زمان یشتریه و یتقبّل به </w:t>
      </w:r>
      <w:r>
        <w:rPr>
          <w:rStyle w:val="FootnoteReference"/>
        </w:rPr>
        <w:footnoteReference w:id="2139"/>
      </w:r>
      <w:r>
        <w:rPr>
          <w:rFonts w:ascii="IRNazanin" w:hAnsi="IRNazanin" w:eastAsia="IRNazanin" w:cs="IRNazanin"/>
          <w:lang w:bidi="fa-IR"/>
          <w:color w:val="111111"/>
          <w:sz w:val="28"/>
          <w:szCs w:val="28"/>
          <w:rtl/>
        </w:rPr>
        <w:t xml:space="preserve">؟قال علیه السلام:إذا علمت </w:t>
      </w:r>
      <w:r>
        <w:rPr>
          <w:rStyle w:val="FootnoteReference"/>
        </w:rPr>
        <w:footnoteReference w:id="2140"/>
      </w:r>
      <w:r>
        <w:rPr>
          <w:rFonts w:ascii="Amiri" w:hAnsi="Amiri" w:eastAsia="Amiri" w:cs="Amiri"/>
          <w:lang w:bidi="ar-SA"/>
          <w:color w:val="111111"/>
          <w:sz w:val="28"/>
          <w:szCs w:val="28"/>
          <w:rtl/>
        </w:rPr>
        <w:t xml:space="preserve">من ذلک شیئاً واحداً أنّه قد أدرک فاشتره و تقبّل به»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الأخیرین کموثّقة سماعة أنّ الضمیمة المعلومة إنّما تنفع من حیث عدم الوثوق بحصول المبیع،لا من حیث جهالته،فإنّ ما فی السُّکُرُّجَة </w:t>
      </w:r>
      <w:r>
        <w:rPr>
          <w:rStyle w:val="FootnoteReference"/>
        </w:rPr>
        <w:footnoteReference w:id="2142"/>
      </w:r>
      <w:r>
        <w:rPr>
          <w:rFonts w:ascii="IRNazanin" w:hAnsi="IRNazanin" w:eastAsia="IRNazanin" w:cs="IRNazanin"/>
          <w:lang w:bidi="fa-IR"/>
          <w:color w:val="111111"/>
          <w:sz w:val="28"/>
          <w:szCs w:val="28"/>
          <w:rtl/>
        </w:rPr>
        <w:t xml:space="preserve">غیر معلوم بالوزن و الکیل،و کذا المعلوم الحصول من الأشیاء المذکورة فی روایة الهاشمی.</w:t>
      </w:r>
    </w:p>
    <w:p>
      <w:pPr>
        <w:pStyle w:val="BookText"/>
      </w:pPr>
      <w:r>
        <w:rPr>
          <w:rFonts w:ascii="IRNazanin" w:hAnsi="IRNazanin" w:eastAsia="IRNazanin" w:cs="IRNazanin"/>
          <w:lang w:bidi="fa-IR"/>
          <w:color w:val="111111"/>
          <w:sz w:val="28"/>
          <w:szCs w:val="28"/>
          <w:rtl/>
        </w:rPr>
        <w:t xml:space="preserve">مع أنّ المشهور کما عن الحدائق </w:t>
      </w:r>
      <w:r>
        <w:rPr>
          <w:rStyle w:val="FootnoteReference"/>
        </w:rPr>
        <w:footnoteReference w:id="2143"/>
      </w:r>
      <w:r>
        <w:rPr>
          <w:rFonts w:ascii="IRNazanin" w:hAnsi="IRNazanin" w:eastAsia="IRNazanin" w:cs="IRNazanin"/>
          <w:lang w:bidi="fa-IR"/>
          <w:color w:val="111111"/>
          <w:sz w:val="28"/>
          <w:szCs w:val="28"/>
          <w:rtl/>
        </w:rPr>
        <w:t xml:space="preserve">المنع عن بیع الأصواف علی ظهور الغنم،بل عن الخلاف علیه الإجماع </w:t>
      </w:r>
      <w:r>
        <w:rPr>
          <w:rStyle w:val="FootnoteReference"/>
        </w:rPr>
        <w:footnoteReference w:id="2144"/>
      </w:r>
      <w:r>
        <w:rPr>
          <w:rFonts w:ascii="IRNazanin" w:hAnsi="IRNazanin" w:eastAsia="IRNazanin" w:cs="IRNazanin"/>
          <w:lang w:bidi="fa-IR"/>
          <w:color w:val="111111"/>
          <w:sz w:val="28"/>
          <w:szCs w:val="28"/>
          <w:rtl/>
        </w:rPr>
        <w:t xml:space="preserve">.و القائلون بجوازه </w:t>
      </w:r>
      <w:r>
        <w:rPr>
          <w:rStyle w:val="FootnoteReference"/>
        </w:rPr>
        <w:footnoteReference w:id="2145"/>
      </w:r>
      <w:r>
        <w:rPr>
          <w:rFonts w:ascii="Amiri" w:hAnsi="Amiri" w:eastAsia="Amiri" w:cs="Amiri"/>
          <w:lang w:bidi="ar-SA"/>
          <w:color w:val="111111"/>
          <w:sz w:val="28"/>
          <w:szCs w:val="28"/>
          <w:rtl/>
        </w:rPr>
        <w:t xml:space="preserve">استدلّوا</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بروایة الکرخی </w:t>
      </w:r>
      <w:r>
        <w:rPr>
          <w:rStyle w:val="FootnoteReference"/>
        </w:rPr>
        <w:footnoteReference w:id="2146"/>
      </w:r>
      <w:r>
        <w:rPr>
          <w:rFonts w:ascii="IRNazanin" w:hAnsi="IRNazanin" w:eastAsia="IRNazanin" w:cs="IRNazanin"/>
          <w:lang w:bidi="fa-IR"/>
          <w:color w:val="111111"/>
          <w:sz w:val="28"/>
          <w:szCs w:val="28"/>
          <w:rtl/>
        </w:rPr>
        <w:t xml:space="preserve">مع منعهم عن مضمونها </w:t>
      </w:r>
      <w:r>
        <w:rPr>
          <w:rStyle w:val="FootnoteReference"/>
        </w:rPr>
        <w:footnoteReference w:id="2147"/>
      </w:r>
      <w:r>
        <w:rPr>
          <w:rFonts w:ascii="IRNazanin" w:hAnsi="IRNazanin" w:eastAsia="IRNazanin" w:cs="IRNazanin"/>
          <w:lang w:bidi="fa-IR"/>
          <w:color w:val="111111"/>
          <w:sz w:val="28"/>
          <w:szCs w:val="28"/>
          <w:rtl/>
        </w:rPr>
        <w:t xml:space="preserve">من حیث </w:t>
      </w:r>
      <w:r>
        <w:rPr>
          <w:rStyle w:val="FootnoteReference"/>
        </w:rPr>
        <w:footnoteReference w:id="2148"/>
      </w:r>
      <w:r>
        <w:rPr>
          <w:rFonts w:ascii="IRNazanin" w:hAnsi="IRNazanin" w:eastAsia="IRNazanin" w:cs="IRNazanin"/>
          <w:lang w:bidi="fa-IR"/>
          <w:color w:val="111111"/>
          <w:sz w:val="28"/>
          <w:szCs w:val="28"/>
          <w:rtl/>
        </w:rPr>
        <w:t xml:space="preserve">ضمّ ما فی البطون إلی الأصواف.فتبیّن أنّ الروایة لم یقل أحد بظاهرها.</w:t>
      </w:r>
    </w:p>
    <w:p>
      <w:pPr>
        <w:pStyle w:val="BookText"/>
      </w:pPr>
      <w:r>
        <w:rPr>
          <w:rFonts w:ascii="IRNazanin" w:hAnsi="IRNazanin" w:eastAsia="IRNazanin" w:cs="IRNazanin"/>
          <w:lang w:bidi="fa-IR"/>
          <w:color w:val="111111"/>
          <w:sz w:val="28"/>
          <w:szCs w:val="28"/>
          <w:rtl/>
        </w:rPr>
        <w:t xml:space="preserve">و مثلها فی الخروج عن مسألة ضمّ المعلوم إلی المجهول روایتا أبی بصیر و البزنطی </w:t>
      </w:r>
      <w:r>
        <w:rPr>
          <w:rStyle w:val="FootnoteReference"/>
        </w:rPr>
        <w:footnoteReference w:id="2149"/>
      </w:r>
      <w:r>
        <w:rPr>
          <w:rFonts w:ascii="IRNazanin" w:hAnsi="IRNazanin" w:eastAsia="IRNazanin" w:cs="IRNazanin"/>
          <w:lang w:bidi="fa-IR"/>
          <w:color w:val="111111"/>
          <w:sz w:val="28"/>
          <w:szCs w:val="28"/>
          <w:rtl/>
        </w:rPr>
        <w:t xml:space="preserve">فإنّ الکفّ من السمک لا یجوز بیعه،لکونه من الموزون؛و لذا جعلوه من الربویّات </w:t>
      </w:r>
      <w:r>
        <w:rPr>
          <w:rStyle w:val="FootnoteReference"/>
        </w:rPr>
        <w:footnoteReference w:id="2150"/>
      </w:r>
      <w:r>
        <w:rPr>
          <w:rFonts w:ascii="IRNazanin" w:hAnsi="IRNazanin" w:eastAsia="IRNazanin" w:cs="IRNazanin"/>
          <w:lang w:bidi="fa-IR"/>
          <w:color w:val="111111"/>
          <w:sz w:val="28"/>
          <w:szCs w:val="28"/>
          <w:rtl/>
        </w:rPr>
        <w:t xml:space="preserve">،و لا ینافی ذلک تجویز بیع سمک الآجام إذا کانت مشاهدة،لاحتمال أن لا یعتبر الوزن فی بیع الکثیر منه،کالذی لا یدخل فی الوزن لکثرته کزُبْرَةِ الحدید،بخلاف القلیل منه.</w:t>
      </w:r>
    </w:p>
    <w:p>
      <w:pPr>
        <w:pStyle w:val="BookText"/>
      </w:pPr>
      <w:r>
        <w:rPr>
          <w:rFonts w:ascii="IRNazanin" w:hAnsi="IRNazanin" w:eastAsia="IRNazanin" w:cs="IRNazanin"/>
          <w:lang w:bidi="fa-IR"/>
          <w:color w:val="111111"/>
          <w:sz w:val="28"/>
          <w:szCs w:val="28"/>
          <w:rtl/>
        </w:rPr>
        <w:t xml:space="preserve">و أمّا روایة معاویة بن عمّار،فلا دلالة فیها علی بیع السمک، إلّا بقرینة روایتی أبی بصیر و البزنطی اللّتین عرفت حالهما،فتأمّل.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علی تقدیر الدلالة:</w:t>
      </w:r>
    </w:p>
    <w:p>
      <w:pPr>
        <w:pStyle w:val="BookText"/>
      </w:pPr>
      <w:r>
        <w:rPr>
          <w:rFonts w:ascii="IRNazanin" w:hAnsi="IRNazanin" w:eastAsia="IRNazanin" w:cs="IRNazanin"/>
          <w:lang w:bidi="fa-IR"/>
          <w:color w:val="111111"/>
          <w:sz w:val="28"/>
          <w:szCs w:val="28"/>
          <w:rtl/>
        </w:rPr>
        <w:t xml:space="preserve">إن أُرید انتزاع قاعدة منها و هی جواز ضمّ المجهول إلی المعلوم و إن کان المعلوم غیر مقصود بالبیع إلّا حیلة لجواز نقل المجهول فلا دلالة فیها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ذلک،و لم یظهر من العاملین بها </w:t>
      </w:r>
      <w:r>
        <w:rPr>
          <w:rStyle w:val="FootnoteReference"/>
        </w:rPr>
        <w:footnoteReference w:id="2152"/>
      </w:r>
      <w:r>
        <w:rPr>
          <w:rFonts w:ascii="IRNazanin" w:hAnsi="IRNazanin" w:eastAsia="IRNazanin" w:cs="IRNazanin"/>
          <w:lang w:bidi="fa-IR"/>
          <w:color w:val="111111"/>
          <w:sz w:val="28"/>
          <w:szCs w:val="28"/>
          <w:rtl/>
        </w:rPr>
        <w:t xml:space="preserve">التزام هذه القاعدة،بل المعلوم من بعضهم،بل کلّهم خلافه؛فإنّا نعلم من فتاویهم عدم التزامهم لجواز بیع کلّ مجهول من حیث الوصف أو التقدیر بمجرّد ضمّ شیءٍ معلوم إلیه، کما یشهد به تتبّع کلماتهم.</w:t>
      </w:r>
    </w:p>
    <w:p>
      <w:pPr>
        <w:pStyle w:val="BookText"/>
      </w:pPr>
      <w:r>
        <w:rPr>
          <w:rFonts w:ascii="IRNazanin" w:hAnsi="IRNazanin" w:eastAsia="IRNazanin" w:cs="IRNazanin"/>
          <w:lang w:bidi="fa-IR"/>
          <w:color w:val="111111"/>
          <w:sz w:val="28"/>
          <w:szCs w:val="28"/>
          <w:rtl/>
        </w:rPr>
        <w:t xml:space="preserve">و إن أُرید الاقتصار علی مورد النصوص و هو بیع سمک الآجام، و لبن الضرع،و ما فی البطون مع الأصواف فالأمر سهل علی تقدیر الإغماض عن مخالفة هذه النصوص للقاعدة المجمع علیها بین الکلّ:</w:t>
      </w:r>
    </w:p>
    <w:p>
      <w:pPr>
        <w:pStyle w:val="BookText"/>
      </w:pPr>
      <w:r>
        <w:rPr>
          <w:rFonts w:ascii="IRNazanin" w:hAnsi="IRNazanin" w:eastAsia="IRNazanin" w:cs="IRNazanin"/>
          <w:lang w:bidi="fa-IR"/>
          <w:color w:val="111111"/>
          <w:sz w:val="28"/>
          <w:szCs w:val="28"/>
          <w:rtl/>
        </w:rPr>
        <w:t xml:space="preserve">من عدم جواز بیع المجهول مطلقاً.</w:t>
      </w:r>
    </w:p>
    <w:p>
      <w:pPr>
        <w:pStyle w:val="BookText"/>
      </w:pPr>
      <w:r>
        <w:rPr>
          <w:rFonts w:ascii="IRNazanin" w:hAnsi="IRNazanin" w:eastAsia="IRNazanin" w:cs="IRNazanin"/>
          <w:lang w:bidi="fa-IR"/>
          <w:color w:val="111111"/>
          <w:sz w:val="28"/>
          <w:szCs w:val="28"/>
          <w:rtl/>
        </w:rPr>
        <w:t xml:space="preserve">بقی الکلام فی توضیح التفصیل المتقدّم،واصلة من العلّامة:</w:t>
      </w:r>
    </w:p>
    <w:p>
      <w:pPr>
        <w:pStyle w:val="BookText"/>
      </w:pPr>
      <w:r>
        <w:rPr>
          <w:rFonts w:ascii="IRNazanin" w:hAnsi="IRNazanin" w:eastAsia="IRNazanin" w:cs="IRNazanin"/>
          <w:lang w:bidi="fa-IR"/>
          <w:color w:val="111111"/>
          <w:sz w:val="28"/>
          <w:szCs w:val="28"/>
          <w:rtl/>
        </w:rPr>
        <w:t xml:space="preserve">قال فی القواعد فی باب شرط العوضین:کلُّ مجهولٍ مقصودٍ بالبیع لا یصحّ بیعه و إن انضمّ إلی معلوم،و یجوز مع الانضمام إلی معلوم إذا کان تابعاً </w:t>
      </w:r>
      <w:r>
        <w:rPr>
          <w:rStyle w:val="FootnoteReference"/>
        </w:rPr>
        <w:footnoteReference w:id="215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ارتضی هذا التفصیل جماعة ممّن تأخّر عنه </w:t>
      </w:r>
      <w:r>
        <w:rPr>
          <w:rStyle w:val="FootnoteReference"/>
        </w:rPr>
        <w:footnoteReference w:id="2154"/>
      </w:r>
      <w:r>
        <w:rPr>
          <w:rFonts w:ascii="IRNazanin" w:hAnsi="IRNazanin" w:eastAsia="IRNazanin" w:cs="IRNazanin"/>
          <w:lang w:bidi="fa-IR"/>
          <w:color w:val="111111"/>
          <w:sz w:val="28"/>
          <w:szCs w:val="28"/>
          <w:rtl/>
        </w:rPr>
        <w:t xml:space="preserve">،إلّا أنّ مرادهم من «المقصود»و«التابع»غیر واضح.و الذی یظهر من مواضعَ من القواعد و التذکرة:أنّ مراده بالتابع:ما یشترط دخوله فی البیع،و بالمقصود:</w:t>
      </w:r>
    </w:p>
    <w:p>
      <w:pPr>
        <w:pStyle w:val="BookText"/>
      </w:pPr>
      <w:r>
        <w:rPr>
          <w:rFonts w:ascii="Amiri" w:hAnsi="Amiri" w:eastAsia="Amiri" w:cs="Amiri"/>
          <w:lang w:bidi="ar-SA"/>
          <w:color w:val="111111"/>
          <w:sz w:val="28"/>
          <w:szCs w:val="28"/>
          <w:rtl/>
        </w:rPr>
        <w:t xml:space="preserve">ما کان جزءاً.</w:t>
      </w:r>
    </w:p>
    <w:p>
      <w:pPr>
        <w:pStyle w:val="BookText"/>
      </w:pPr>
      <w:r>
        <w:rPr>
          <w:rFonts w:ascii="IRNazanin" w:hAnsi="IRNazanin" w:eastAsia="IRNazanin" w:cs="IRNazanin"/>
          <w:lang w:bidi="fa-IR"/>
          <w:color w:val="111111"/>
          <w:sz w:val="28"/>
          <w:szCs w:val="28"/>
          <w:rtl/>
        </w:rPr>
        <w:t xml:space="preserve">قال فی القواعد فی باب الشرط فی ضمن البیع:لو شرط أنّ الأمة حامل أو الدابّة کذلک صحّ.أمّا لو باع الدابّة و حملها أو الجاریة</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حملها بطل؛لأنّ </w:t>
      </w:r>
      <w:r>
        <w:rPr>
          <w:rStyle w:val="FootnoteReference"/>
        </w:rPr>
        <w:footnoteReference w:id="2155"/>
      </w:r>
      <w:r>
        <w:rPr>
          <w:rFonts w:ascii="Amiri" w:hAnsi="Amiri" w:eastAsia="Amiri" w:cs="Amiri"/>
          <w:lang w:bidi="ar-SA"/>
          <w:color w:val="111111"/>
          <w:sz w:val="28"/>
          <w:szCs w:val="28"/>
          <w:rtl/>
        </w:rPr>
        <w:t xml:space="preserve">کلّ ما لا یصحّ بیعه منفرداً لا یصحّ جزءاً من المقصود،و یصحّ تابعاً </w:t>
      </w:r>
      <w:r>
        <w:rPr>
          <w:rStyle w:val="FootnoteReference"/>
        </w:rPr>
        <w:footnoteReference w:id="215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باب ما یندرج فی المبیع قال:السادس:العبد،و لا یتناول ماله الذی ملّکه </w:t>
      </w:r>
      <w:r>
        <w:rPr>
          <w:rStyle w:val="FootnoteReference"/>
        </w:rPr>
        <w:footnoteReference w:id="2157"/>
      </w:r>
      <w:r>
        <w:rPr>
          <w:rFonts w:ascii="IRNazanin" w:hAnsi="IRNazanin" w:eastAsia="IRNazanin" w:cs="IRNazanin"/>
          <w:lang w:bidi="fa-IR"/>
          <w:color w:val="111111"/>
          <w:sz w:val="28"/>
          <w:szCs w:val="28"/>
          <w:rtl/>
        </w:rPr>
        <w:t xml:space="preserve">مولاه،إلّا أن یستثنیه المشتری إن قلنا:إنّ العبد یملک،فینتقل إلی المشتری مع العبد،و کان جعله للمشتری إبقاءً له </w:t>
      </w:r>
      <w:r>
        <w:rPr>
          <w:rStyle w:val="FootnoteReference"/>
        </w:rPr>
        <w:footnoteReference w:id="2158"/>
      </w:r>
      <w:r>
        <w:rPr>
          <w:rFonts w:ascii="IRNazanin" w:hAnsi="IRNazanin" w:eastAsia="IRNazanin" w:cs="IRNazanin"/>
          <w:lang w:bidi="fa-IR"/>
          <w:color w:val="111111"/>
          <w:sz w:val="28"/>
          <w:szCs w:val="28"/>
          <w:rtl/>
        </w:rPr>
        <w:t xml:space="preserve">علی العبد،فیجوز أن یکون مجهولاً أو غائباً.أمّا إذا أحلنا تملّکه و ما معه صار جزءاً من المبیع،فیعتبر فیه شرائط البیع </w:t>
      </w:r>
      <w:r>
        <w:rPr>
          <w:rStyle w:val="FootnoteReference"/>
        </w:rPr>
        <w:footnoteReference w:id="215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بمثل ذلک فی الفرق بین جعل المال شرطاً و بین جعله جزءً صرّح فی التذکرة فی فروع مسألة تملّک العبد و عدمه؛معلّلاً بکونه مع الشرط کماء الآبار و أخشاب السقوف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التذکرة أیضاً فی باب شروط العوضین:لو باع الحمل مع امّه جاز إجماعاً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من باب الشروط </w:t>
      </w:r>
      <w:r>
        <w:rPr>
          <w:rStyle w:val="FootnoteReference"/>
        </w:rPr>
        <w:footnoteReference w:id="2162"/>
      </w:r>
      <w:r>
        <w:rPr>
          <w:rFonts w:ascii="IRNazanin" w:hAnsi="IRNazanin" w:eastAsia="IRNazanin" w:cs="IRNazanin"/>
          <w:lang w:bidi="fa-IR"/>
          <w:color w:val="111111"/>
          <w:sz w:val="28"/>
          <w:szCs w:val="28"/>
          <w:rtl/>
        </w:rPr>
        <w:t xml:space="preserve">فی العقد:لو قال:بعتک هذه الدابّة و حملها لم یصحّ عندنا،لما تقدّم من أنّ الحمل لا یصحّ جعله</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مستقلا بالشراء و لا جزءاً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أیضاً:و لو باع الحامل و شرط </w:t>
      </w:r>
      <w:r>
        <w:rPr>
          <w:rStyle w:val="FootnoteReference"/>
        </w:rPr>
        <w:footnoteReference w:id="2164"/>
      </w:r>
      <w:r>
        <w:rPr>
          <w:rFonts w:ascii="IRNazanin" w:hAnsi="IRNazanin" w:eastAsia="IRNazanin" w:cs="IRNazanin"/>
          <w:lang w:bidi="fa-IR"/>
          <w:color w:val="111111"/>
          <w:sz w:val="28"/>
          <w:szCs w:val="28"/>
          <w:rtl/>
        </w:rPr>
        <w:t xml:space="preserve">للمشتری </w:t>
      </w:r>
      <w:r>
        <w:rPr>
          <w:rStyle w:val="FootnoteReference"/>
        </w:rPr>
        <w:footnoteReference w:id="2165"/>
      </w:r>
      <w:r>
        <w:rPr>
          <w:rFonts w:ascii="IRNazanin" w:hAnsi="IRNazanin" w:eastAsia="IRNazanin" w:cs="IRNazanin"/>
          <w:lang w:bidi="fa-IR"/>
          <w:color w:val="111111"/>
          <w:sz w:val="28"/>
          <w:szCs w:val="28"/>
          <w:rtl/>
        </w:rPr>
        <w:t xml:space="preserve">الحمل صحّ؛ لأنّه تابعٌ،کأساس الحیطان و إن لم یصحّ ضمّه فی البیع مع الاُمّ؛للفرق بین الجزء و التابع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آخر:لو قال:بعتک هذه الشیاه و ما فی ضرعها من اللبن،لم یجز عندنا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 </w:t>
      </w:r>
      <w:r>
        <w:rPr>
          <w:rStyle w:val="FootnoteReference"/>
        </w:rPr>
        <w:footnoteReference w:id="2168"/>
      </w:r>
      <w:r>
        <w:rPr>
          <w:rFonts w:ascii="Amiri" w:hAnsi="Amiri" w:eastAsia="Amiri" w:cs="Amiri"/>
          <w:lang w:bidi="ar-SA"/>
          <w:color w:val="111111"/>
          <w:sz w:val="28"/>
          <w:szCs w:val="28"/>
          <w:rtl/>
        </w:rPr>
        <w:t xml:space="preserve">:لو باع دجاجةً ذاتَ بیضةٍ و شَرَطَها صحّ،و إن جعلها جزءاً من المبیع لم یصحّ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کلّها صریحةٌ فی عدم جواز ضمّ المجهول علی وجه الجزئیة، من غیر فرقٍ بین تعلّق الغرض الداعی بالمعلوم أو المجهول.و قد ذکر هذا،المحقّق الثانی فی جامع المقاصد </w:t>
      </w:r>
      <w:r>
        <w:rPr>
          <w:rStyle w:val="FootnoteReference"/>
        </w:rPr>
        <w:footnoteReference w:id="2170"/>
      </w:r>
      <w:r>
        <w:rPr>
          <w:rFonts w:ascii="IRNazanin" w:hAnsi="IRNazanin" w:eastAsia="IRNazanin" w:cs="IRNazanin"/>
          <w:lang w:bidi="fa-IR"/>
          <w:color w:val="111111"/>
          <w:sz w:val="28"/>
          <w:szCs w:val="28"/>
          <w:rtl/>
        </w:rPr>
        <w:t xml:space="preserve">فی مسألة اشتراط دخول الزرع فی بیع الأرض،قال:و ما قد یوجد فی بعض الکلام،من أنّ المجهول إن جُعل جزءاً من المبیع لا یصحّ،و إن اشترط صحّ و نحو ذلک فلیس بشیءٍ؛لأنّ العبارة لا أثر لها،و المشروط </w:t>
      </w:r>
      <w:r>
        <w:rPr>
          <w:rStyle w:val="FootnoteReference"/>
        </w:rPr>
        <w:footnoteReference w:id="2171"/>
      </w:r>
      <w:r>
        <w:rPr>
          <w:rFonts w:ascii="Amiri" w:hAnsi="Amiri" w:eastAsia="Amiri" w:cs="Amiri"/>
          <w:lang w:bidi="ar-SA"/>
          <w:color w:val="111111"/>
          <w:sz w:val="28"/>
          <w:szCs w:val="28"/>
          <w:rtl/>
        </w:rPr>
        <w:t xml:space="preserve">محسوب من جملة</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المبیع،و لأنه لو باع الحمل و الأُمّ صحّ البیع و لا یتوقّف علی بیعها و اشتراطه </w:t>
      </w:r>
      <w:r>
        <w:rPr>
          <w:rStyle w:val="FootnoteReference"/>
        </w:rPr>
        <w:footnoteReference w:id="217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الظاهر من الشهیدین فی اللّمعة و الروضة </w:t>
      </w:r>
      <w:r>
        <w:rPr>
          <w:rStyle w:val="FootnoteReference"/>
        </w:rPr>
        <w:footnoteReference w:id="2173"/>
      </w:r>
      <w:r>
        <w:rPr>
          <w:rFonts w:ascii="IRNazanin" w:hAnsi="IRNazanin" w:eastAsia="IRNazanin" w:cs="IRNazanin"/>
          <w:lang w:bidi="fa-IR"/>
          <w:color w:val="111111"/>
          <w:sz w:val="28"/>
          <w:szCs w:val="28"/>
          <w:rtl/>
        </w:rPr>
        <w:t xml:space="preserve">حیث اشترطا فی مال العبد المشروط دخوله فی بیعه استجماعه لشروط البیع.</w:t>
      </w:r>
    </w:p>
    <w:p>
      <w:pPr>
        <w:pStyle w:val="BookText"/>
      </w:pPr>
      <w:r>
        <w:rPr>
          <w:rFonts w:ascii="IRNazanin" w:hAnsi="IRNazanin" w:eastAsia="IRNazanin" w:cs="IRNazanin"/>
          <w:lang w:bidi="fa-IR"/>
          <w:color w:val="111111"/>
          <w:sz w:val="28"/>
          <w:szCs w:val="28"/>
          <w:rtl/>
        </w:rPr>
        <w:t xml:space="preserve">و قد صرّح الشیخ فی مسألة اشتراط مال العبد باعتبار </w:t>
      </w:r>
      <w:r>
        <w:rPr>
          <w:rStyle w:val="FootnoteReference"/>
        </w:rPr>
        <w:footnoteReference w:id="2174"/>
      </w:r>
      <w:r>
        <w:rPr>
          <w:rFonts w:ascii="IRNazanin" w:hAnsi="IRNazanin" w:eastAsia="IRNazanin" w:cs="IRNazanin"/>
          <w:lang w:bidi="fa-IR"/>
          <w:color w:val="111111"/>
          <w:sz w:val="28"/>
          <w:szCs w:val="28"/>
          <w:rtl/>
        </w:rPr>
        <w:t xml:space="preserve">العلم بمقدار المال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الشهید:لو اشتراه و ما لَه صحّ،و لم یشترط علمَه و لا التفصّی من الربا إن قلنا:إنّه یملک،و إن أحلنا ملکه اشترط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الدروس:لو جعل الحمل جزءاً من المبیع فالأقوی الصحّة،لأنّه بمنزلة الاشتراط،و لا یضرّ الجهالة؛لأنّه تابع </w:t>
      </w:r>
      <w:r>
        <w:rPr>
          <w:rStyle w:val="FootnoteReference"/>
        </w:rPr>
        <w:footnoteReference w:id="21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اختاره جامع المقاصد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ثمّ«التابع»فی کلام هؤلاء یحتمل أن یراد به </w:t>
      </w:r>
      <w:r>
        <w:rPr>
          <w:rStyle w:val="FootnoteReference"/>
        </w:rPr>
        <w:footnoteReference w:id="2179"/>
      </w:r>
      <w:r>
        <w:rPr>
          <w:rFonts w:ascii="IRNazanin" w:hAnsi="IRNazanin" w:eastAsia="IRNazanin" w:cs="IRNazanin"/>
          <w:lang w:bidi="fa-IR"/>
          <w:color w:val="111111"/>
          <w:sz w:val="28"/>
          <w:szCs w:val="28"/>
          <w:rtl/>
        </w:rPr>
        <w:t xml:space="preserve">:ما یعدّ فی العرف تابعاً کالحمل مع الاُمّ،و اللبن مع الشاة،و البیض مع الدجاج،</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 العبد معه،و الباغ </w:t>
      </w:r>
      <w:r>
        <w:rPr>
          <w:rStyle w:val="FootnoteReference"/>
        </w:rPr>
        <w:footnoteReference w:id="2180"/>
      </w:r>
      <w:r>
        <w:rPr>
          <w:rFonts w:ascii="IRNazanin" w:hAnsi="IRNazanin" w:eastAsia="IRNazanin" w:cs="IRNazanin"/>
          <w:lang w:bidi="fa-IR"/>
          <w:color w:val="111111"/>
          <w:sz w:val="28"/>
          <w:szCs w:val="28"/>
          <w:rtl/>
        </w:rPr>
        <w:t xml:space="preserve">فی الدار،و القصر فی البستان،و نحو ذلک ممّا نسب البیع عرفاً إلی المتبوع لا إلیهما معاً،و إن فرض تعلّق الغرض الشخصی بکلیهما فی بعض الأحیان،بل بالتابع خاصّة،کما قد یتّفق فی حمل بعض أفراد الخیل.</w:t>
      </w:r>
    </w:p>
    <w:p>
      <w:pPr>
        <w:pStyle w:val="BookText"/>
      </w:pPr>
      <w:r>
        <w:rPr>
          <w:rFonts w:ascii="IRNazanin" w:hAnsi="IRNazanin" w:eastAsia="IRNazanin" w:cs="IRNazanin"/>
          <w:lang w:bidi="fa-IR"/>
          <w:color w:val="111111"/>
          <w:sz w:val="28"/>
          <w:szCs w:val="28"/>
          <w:rtl/>
        </w:rPr>
        <w:t xml:space="preserve">و هذا هو الظاهر من کلماتهم فی بعض المقامات کما تقدّم عن الدروس و جامع المقاصد من صحّة بیع الاُمّ و حملها؛لأنّ الحمل تابع.</w:t>
      </w:r>
    </w:p>
    <w:p>
      <w:pPr>
        <w:pStyle w:val="BookText"/>
      </w:pPr>
      <w:r>
        <w:rPr>
          <w:rFonts w:ascii="IRNazanin" w:hAnsi="IRNazanin" w:eastAsia="IRNazanin" w:cs="IRNazanin"/>
          <w:lang w:bidi="fa-IR"/>
          <w:color w:val="111111"/>
          <w:sz w:val="28"/>
          <w:szCs w:val="28"/>
          <w:rtl/>
        </w:rPr>
        <w:t xml:space="preserve">قال فی جامع المقاصد فی شرح قوله المتقدّم فی القواعد:</w:t>
      </w:r>
    </w:p>
    <w:p>
      <w:pPr>
        <w:pStyle w:val="BookText"/>
      </w:pPr>
      <w:r>
        <w:rPr>
          <w:rFonts w:ascii="IRNazanin" w:hAnsi="IRNazanin" w:eastAsia="IRNazanin" w:cs="IRNazanin"/>
          <w:lang w:bidi="fa-IR"/>
          <w:color w:val="111111"/>
          <w:sz w:val="28"/>
          <w:szCs w:val="28"/>
          <w:rtl/>
        </w:rPr>
        <w:t xml:space="preserve">«و یجوز مع الانضمام إلی معلوم إذا کان تابعاً»:إنّ إطلاق العبارة یشمل ما إذا شرط حمل دابّة فی بیع دابّة أُخری،إلّا أن یقال:التبعیّة إنّما تتحقّق مع الاُمّ؛لأنّه حینئذٍ بمنزلة بعض أجزائها،و مثله زخرفة جدران البیت </w:t>
      </w:r>
      <w:r>
        <w:rPr>
          <w:rStyle w:val="FootnoteReference"/>
        </w:rPr>
        <w:footnoteReference w:id="218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التمثیل نظر؛لخروج زخرفة الجدران من محلّ الکلام فی المقام، إلّا أن یرید مثال الأجزاء،لا مثال التابع،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هذا ینافی ما تقدّم من</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اعتبارهم العلم فی مال العبد </w:t>
      </w:r>
      <w:r>
        <w:rPr>
          <w:rStyle w:val="FootnoteReference"/>
        </w:rPr>
        <w:footnoteReference w:id="2182"/>
      </w:r>
      <w:r>
        <w:rPr>
          <w:rFonts w:ascii="IRNazanin" w:hAnsi="IRNazanin" w:eastAsia="IRNazanin" w:cs="IRNazanin"/>
          <w:lang w:bidi="fa-IR"/>
          <w:color w:val="111111"/>
          <w:sz w:val="28"/>
          <w:szCs w:val="28"/>
          <w:rtl/>
        </w:rPr>
        <w:t xml:space="preserve">وفاقاً للشیخ قدّس سرّه مع أنّ مال العبد تابع عرفیّ،کما صرّح به فی المختلف فی مسألة بیع العبد و اشتراط ماله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مرادهم:التابع بحسب قصد المتبایعین،و هو ما یکون المقصود بالبیع غیره و إن لم یکن تابعاً عرفیّاً کمن اشتری قصب الآجام و کان فیها قلیل من السمک،أو اشتری سمک الآجام و کان فیها قلیل من القصب،و هذا أیضاً قد یکون کذلک بحسب النوع، و قد یکون کذلک بحسب الشخص،کمن أراد السمک القلیل لأجل حاجة،لکن لم یتهیّأ له شراؤه إلّا فی ضمن قصب </w:t>
      </w:r>
      <w:r>
        <w:rPr>
          <w:rStyle w:val="FootnoteReference"/>
        </w:rPr>
        <w:footnoteReference w:id="2184"/>
      </w:r>
      <w:r>
        <w:rPr>
          <w:rFonts w:ascii="Amiri" w:hAnsi="Amiri" w:eastAsia="Amiri" w:cs="Amiri"/>
          <w:lang w:bidi="ar-SA"/>
          <w:color w:val="111111"/>
          <w:sz w:val="28"/>
          <w:szCs w:val="28"/>
          <w:rtl/>
        </w:rPr>
        <w:t xml:space="preserve">الأجَمَة.</w:t>
      </w:r>
    </w:p>
    <w:p>
      <w:pPr>
        <w:pStyle w:val="BookText"/>
      </w:pPr>
      <w:r>
        <w:rPr>
          <w:rFonts w:ascii="IRNazanin" w:hAnsi="IRNazanin" w:eastAsia="IRNazanin" w:cs="IRNazanin"/>
          <w:lang w:bidi="fa-IR"/>
          <w:color w:val="111111"/>
          <w:sz w:val="28"/>
          <w:szCs w:val="28"/>
          <w:rtl/>
        </w:rPr>
        <w:t xml:space="preserve">و الأوّل هو الظاهر من مواضع من المختلف،منها:فی بیع اللبن فی الضرع مع المحلوب منه،حیث حمل روایة سماعة المتقدّمة </w:t>
      </w:r>
      <w:r>
        <w:rPr>
          <w:rStyle w:val="FootnoteReference"/>
        </w:rPr>
        <w:footnoteReference w:id="2185"/>
      </w:r>
      <w:r>
        <w:rPr>
          <w:rFonts w:ascii="IRNazanin" w:hAnsi="IRNazanin" w:eastAsia="IRNazanin" w:cs="IRNazanin"/>
          <w:lang w:bidi="fa-IR"/>
          <w:color w:val="111111"/>
          <w:sz w:val="28"/>
          <w:szCs w:val="28"/>
          <w:rtl/>
        </w:rPr>
        <w:t xml:space="preserve">علی ما إذا کان المحلوب یقارب الثمن و یصیر أصلاً،و الذی فی الضرع تابعاً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مسألة بیع ما فی بطون الأنعام مع الضمیمة:و المعتمد أن نقول:إن کان الحمل تابعاً صحّ البیع،کما لو باعه الاُمّ و حملها أو باعه ما یقصد مثله بمثل الثمن و ضمّ الحمل،فهذا لا بأس به،و إلّا کان باطلاً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الاحتمال الثانی أعنی مراعاة الغرض الشخصی للمتبایعین فلم نجد علیه شاهداً،إلّا ثبوت الغرر علی تقدیر تعلّق الغرض الشخصی بالمجهول،و انتفاءه علی تقدیر تعلّقه بالمعلوم.و یمکن تنزیل إطلاقات عبارات المختلف علیه،کما لا یخفی.</w:t>
      </w:r>
    </w:p>
    <w:p>
      <w:pPr>
        <w:pStyle w:val="BookText"/>
      </w:pPr>
      <w:r>
        <w:rPr>
          <w:rFonts w:ascii="IRNazanin" w:hAnsi="IRNazanin" w:eastAsia="IRNazanin" w:cs="IRNazanin"/>
          <w:lang w:bidi="fa-IR"/>
          <w:color w:val="111111"/>
          <w:sz w:val="28"/>
          <w:szCs w:val="28"/>
          <w:rtl/>
        </w:rPr>
        <w:t xml:space="preserve">و ربما احتمل بعض </w:t>
      </w:r>
      <w:r>
        <w:rPr>
          <w:rStyle w:val="FootnoteReference"/>
        </w:rPr>
        <w:footnoteReference w:id="2188"/>
      </w:r>
      <w:r>
        <w:rPr>
          <w:rFonts w:ascii="IRNazanin" w:hAnsi="IRNazanin" w:eastAsia="IRNazanin" w:cs="IRNazanin"/>
          <w:lang w:bidi="fa-IR"/>
          <w:color w:val="111111"/>
          <w:sz w:val="28"/>
          <w:szCs w:val="28"/>
          <w:rtl/>
        </w:rPr>
        <w:t xml:space="preserve">،بل استظهر أنّ مرادهم بکون المعلوم مقصوداً و المجهول تابعاً:کون المقصود بالبیع ذلک المعلوم،بمعنی الإقدام منهما و لو لتصحیح البیع علی أنّ المبیع المقابل بالثمن هذا المعلوم الذی هو و إن سُمّی ضمیمة لکنّه المقصود فی تصحیح البیع،قال:و لا ینافیه کون المقصود بالنسبة إلی الغرض ما فیه الغرر،نظیر ما یستعمله بعض الناس فی التخلّص من المخاصمة بعد ذلک فی الذی یراد بیعه لعارض من العوارض بإیقاع العقد علی شیءٍ معیّنٍ معلومٍ لا نزاع فیه،و جعل ذلک من التوابع و اللواحق لما عقد علیه البیع،فلا یقدح حصوله و عدم حصوله کما أُومی إلیه فی ضمیمة الآبق،و ضمیمة الثمر علی الشجر، و ضمیمة ما فی الضروع و ما فی الآجام </w:t>
      </w:r>
      <w:r>
        <w:rPr>
          <w:rStyle w:val="FootnoteReference"/>
        </w:rPr>
        <w:footnoteReference w:id="21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یخفی أنّه لم توجد عبارة من عبائرهم تقبل </w:t>
      </w:r>
      <w:r>
        <w:rPr>
          <w:rStyle w:val="FootnoteReference"/>
        </w:rPr>
        <w:footnoteReference w:id="2190"/>
      </w:r>
      <w:r>
        <w:rPr>
          <w:rFonts w:ascii="IRNazanin" w:hAnsi="IRNazanin" w:eastAsia="IRNazanin" w:cs="IRNazanin"/>
          <w:lang w:bidi="fa-IR"/>
          <w:color w:val="111111"/>
          <w:sz w:val="28"/>
          <w:szCs w:val="28"/>
          <w:rtl/>
        </w:rPr>
        <w:t xml:space="preserve">هذا الحمل، إلّا أن یرید ب«التابع»جعل المجهول شرطاً و المعلوم مشروطاً،فیرید ما تقدّم عن القواعد و التذکرة </w:t>
      </w:r>
      <w:r>
        <w:rPr>
          <w:rStyle w:val="FootnoteReference"/>
        </w:rPr>
        <w:footnoteReference w:id="2191"/>
      </w:r>
      <w:r>
        <w:rPr>
          <w:rFonts w:ascii="IRNazanin" w:hAnsi="IRNazanin" w:eastAsia="IRNazanin" w:cs="IRNazanin"/>
          <w:lang w:bidi="fa-IR"/>
          <w:color w:val="111111"/>
          <w:sz w:val="28"/>
          <w:szCs w:val="28"/>
          <w:rtl/>
        </w:rPr>
        <w:t xml:space="preserve">،و لا أظنّ إرادة ذلک من کلامه؛بقرینة استشهاده بأخبار الضمیمة فی الموارد المتفرّقة.</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الأوفق بالقواعد أن یقال:أمّا الشرط و الجزء،فلا فرق بینهما من حیث لزوم الغرر بالجهالة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قصد المتبایعین بحسب الشخص،فالظاهر أنّه غیر مؤثّر فی الغرر وجوداً و عدماً؛لأنّ الظاهر من حدیث الغرر من کلماتهم:عدم مدخلیّة قصد المتبایعین فی الموارد الشخصیّة،بل و کذلک قصدهما بحسب النوع علی الوجه الذی ذکره فی المختلف:من کون قیمة المعلوم تقارب الثمن المدفوع له و للمجهول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التابع العرفی،فالمجهول منه و إن خرج عن الغرر عرفاً،إلّا أنّ المجهول منه جزءاً داخلٌ ظاهراً فی معقد الإجماع علی اشتراط العلم بالمبیع المتوقّف علی العلم بالمجموع.نعم،لو کان الشرط تابعاً عرفیّاً خرج عن بیع الغرر و عن معقد الإجماع علی اشتراط کون المبیع معلوماً فیقتصر علیه.</w:t>
      </w:r>
    </w:p>
    <w:p>
      <w:pPr>
        <w:pStyle w:val="BookText"/>
      </w:pPr>
      <w:r>
        <w:rPr>
          <w:rFonts w:ascii="IRNazanin" w:hAnsi="IRNazanin" w:eastAsia="IRNazanin" w:cs="IRNazanin"/>
          <w:lang w:bidi="fa-IR"/>
          <w:color w:val="111111"/>
          <w:sz w:val="28"/>
          <w:szCs w:val="28"/>
          <w:rtl/>
        </w:rPr>
        <w:t xml:space="preserve">هذا کلّه فی التابع من حیث جعل المتبایعین.</w:t>
      </w:r>
    </w:p>
    <w:p>
      <w:pPr>
        <w:pStyle w:val="BookText"/>
      </w:pPr>
      <w:r>
        <w:rPr>
          <w:rFonts w:ascii="IRNazanin" w:hAnsi="IRNazanin" w:eastAsia="IRNazanin" w:cs="IRNazanin"/>
          <w:lang w:bidi="fa-IR"/>
          <w:color w:val="111111"/>
          <w:sz w:val="28"/>
          <w:szCs w:val="28"/>
          <w:rtl/>
        </w:rPr>
        <w:t xml:space="preserve">و أمّا التابع للمبیع الذی یندرج فی المبیع و إن لم ینضمّ إلیه حین العقد و لم یخطر ببال المتبایعین،فالظاهر عدم الخلاف و الإشکال فی عدم اعتبار العلم به،إلّا إذا استلزم </w:t>
      </w:r>
      <w:r>
        <w:rPr>
          <w:rStyle w:val="FootnoteReference"/>
        </w:rPr>
        <w:footnoteReference w:id="2194"/>
      </w:r>
      <w:r>
        <w:rPr>
          <w:rFonts w:ascii="IRNazanin" w:hAnsi="IRNazanin" w:eastAsia="IRNazanin" w:cs="IRNazanin"/>
          <w:lang w:bidi="fa-IR"/>
          <w:color w:val="111111"/>
          <w:sz w:val="28"/>
          <w:szCs w:val="28"/>
          <w:rtl/>
        </w:rPr>
        <w:t xml:space="preserve">غرراً فی نفس المبیع؛إذ الکلام فی مسألة الضمیمة من حیث الغرر الحاصل فی المجموع،لا الساری من المجهول إلی المعلوم،فافهم.</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70" w:name="pg14419_167224"/>
    <w:bookmarkEnd w:id="270"/>
    <w:p>
      <w:pPr>
        <w:pStyle w:val="Heading6"/>
      </w:pPr>
      <w:bookmarkStart w:id="1111" w:name="_Toc551"/>
      <w:r>
        <w:t>مسألة یجوز أن یُندر لظرفٍ ما یوزن مع ظرفه مقدارٌ یحتمل الزیادة و النقیصة</w:t>
      </w:r>
      <w:bookmarkEnd w:id="11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علی المشهور،بل لا خلاف فیه فی الجملة،بل عن فخر الإسلام التصریح بدعوی الإجماع،قال فیما حکی عنه:نصّ الأصحاب علی أنّه یجوز الإندار للظروف بما یحتمل الزیادة و النقیصة،فقد استثنی من المبیع أمرٌ مجهولٌ،و استثناء المجهول مبطل للبیع،إلّا فی هذه الصورة؛ فإنّه لا یبطل إجماعاً </w:t>
      </w:r>
      <w:r>
        <w:rPr>
          <w:rStyle w:val="FootnoteReference"/>
        </w:rPr>
        <w:footnoteReference w:id="219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الظاهر أنّ إطلاق الاستثناء باعتبار خروجه عن المبیع و لو من أوّل الأمر،بل الاستثناء الحقیقی من المبیع یرجع إلی هذا أیضاً.</w:t>
      </w:r>
    </w:p>
    <w:p>
      <w:pPr>
        <w:pStyle w:val="BookText"/>
      </w:pPr>
      <w:r>
        <w:rPr>
          <w:rFonts w:ascii="IRNazanin" w:hAnsi="IRNazanin" w:eastAsia="IRNazanin" w:cs="IRNazanin"/>
          <w:lang w:bidi="fa-IR"/>
          <w:color w:val="111111"/>
          <w:sz w:val="28"/>
          <w:szCs w:val="28"/>
          <w:rtl/>
        </w:rPr>
        <w:t xml:space="preserve">ثمّ إنّ الأقوال فی تفصیل المسألة ستّة:</w:t>
      </w:r>
    </w:p>
    <w:p>
      <w:pPr>
        <w:pStyle w:val="BookText"/>
      </w:pPr>
      <w:r>
        <w:rPr>
          <w:rFonts w:ascii="IRNazanin" w:hAnsi="IRNazanin" w:eastAsia="IRNazanin" w:cs="IRNazanin"/>
          <w:lang w:bidi="fa-IR"/>
          <w:color w:val="111111"/>
          <w:sz w:val="28"/>
          <w:szCs w:val="28"/>
          <w:rtl/>
        </w:rPr>
        <w:t xml:space="preserve">الأوّل:جواز الإندار بشرطین:کون المندَر متعارف الإندار عند التجار،و عدم العلم بزیادة ما یندره.و هو للنهایة </w:t>
      </w:r>
      <w:r>
        <w:rPr>
          <w:rStyle w:val="FootnoteReference"/>
        </w:rPr>
        <w:footnoteReference w:id="2196"/>
      </w:r>
      <w:r>
        <w:rPr>
          <w:rFonts w:ascii="IRNazanin" w:hAnsi="IRNazanin" w:eastAsia="IRNazanin" w:cs="IRNazanin"/>
          <w:lang w:bidi="fa-IR"/>
          <w:color w:val="111111"/>
          <w:sz w:val="28"/>
          <w:szCs w:val="28"/>
          <w:rtl/>
        </w:rPr>
        <w:t xml:space="preserve">و الوسیلة </w:t>
      </w:r>
      <w:r>
        <w:rPr>
          <w:rStyle w:val="FootnoteReference"/>
        </w:rPr>
        <w:footnoteReference w:id="2197"/>
      </w:r>
      <w:r>
        <w:rPr>
          <w:rFonts w:ascii="IRNazanin" w:hAnsi="IRNazanin" w:eastAsia="IRNazanin" w:cs="IRNazanin"/>
          <w:lang w:bidi="fa-IR"/>
          <w:color w:val="111111"/>
          <w:sz w:val="28"/>
          <w:szCs w:val="28"/>
          <w:rtl/>
        </w:rPr>
        <w:t xml:space="preserve">و عن</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غیرهما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الثانی:عطف النقیصة علی الزیادة فی اعتبار عدم العلم بها.و هو للتحریر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الثالث:اعتبار العادة مطلقاً و لو علم الزیادة أو النقیصة،و مع عدم العادة فیما یحتملهما.و هو لظاهر اللمعة و صریح الروضة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الرابع:التفصیل بین ما یحتمل الزیادة و النقیصة فیجوز مطلقاً،و ما علم الزیادة </w:t>
      </w:r>
      <w:r>
        <w:rPr>
          <w:rStyle w:val="FootnoteReference"/>
        </w:rPr>
        <w:footnoteReference w:id="2201"/>
      </w:r>
      <w:r>
        <w:rPr>
          <w:rFonts w:ascii="IRNazanin" w:hAnsi="IRNazanin" w:eastAsia="IRNazanin" w:cs="IRNazanin"/>
          <w:lang w:bidi="fa-IR"/>
          <w:color w:val="111111"/>
          <w:sz w:val="28"/>
          <w:szCs w:val="28"/>
          <w:rtl/>
        </w:rPr>
        <w:t xml:space="preserve">فالجواز بشرط التراضی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الخامس:عطف العلم بالنقیصة علی الزیادة،و هو للمحقّق الثانی ناسباً له إلی کلّ من لم یذکر النقیصة.</w:t>
      </w:r>
    </w:p>
    <w:p>
      <w:pPr>
        <w:pStyle w:val="BookText"/>
      </w:pPr>
      <w:r>
        <w:rPr>
          <w:rFonts w:ascii="IRNazanin" w:hAnsi="IRNazanin" w:eastAsia="IRNazanin" w:cs="IRNazanin"/>
          <w:lang w:bidi="fa-IR"/>
          <w:color w:val="111111"/>
          <w:sz w:val="28"/>
          <w:szCs w:val="28"/>
          <w:rtl/>
        </w:rPr>
        <w:t xml:space="preserve">السادس:إناطة الحکم بالغرر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صورة </w:t>
      </w:r>
      <w:r>
        <w:rPr>
          <w:rStyle w:val="FootnoteReference"/>
        </w:rPr>
        <w:footnoteReference w:id="2204"/>
      </w:r>
      <w:r>
        <w:rPr>
          <w:rFonts w:ascii="IRNazanin" w:hAnsi="IRNazanin" w:eastAsia="IRNazanin" w:cs="IRNazanin"/>
          <w:lang w:bidi="fa-IR"/>
          <w:color w:val="111111"/>
          <w:sz w:val="28"/>
          <w:szCs w:val="28"/>
          <w:rtl/>
        </w:rPr>
        <w:t xml:space="preserve">المسألة:أن یوزن مظروفٌ مع ظرفه فیعلم أنّه عشرة أرطال،فإذا أُرید بیع المظروف فقط کما هو المفروض و قلنا</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بکفایة العلم بوزن المجموع و عدم اعتبار العلم بوزن المبیع منفرداً،علی ما هو مفروض المسألة و معقد الإجماع المتقدّم:</w:t>
      </w:r>
    </w:p>
    <w:p>
      <w:pPr>
        <w:pStyle w:val="BookText"/>
      </w:pPr>
      <w:r>
        <w:rPr>
          <w:rFonts w:ascii="IRNazanin" w:hAnsi="IRNazanin" w:eastAsia="IRNazanin" w:cs="IRNazanin"/>
          <w:lang w:bidi="fa-IR"/>
          <w:color w:val="111111"/>
          <w:sz w:val="28"/>
          <w:szCs w:val="28"/>
          <w:rtl/>
        </w:rPr>
        <w:t xml:space="preserve">فتارة:یباع المظروف المذکور جملةً بکذا،و حینئذٍ فلا یحتاج إلی الإندار؛لأنّ الثمن و المثمن معلومان بالفرض.</w:t>
      </w:r>
    </w:p>
    <w:p>
      <w:pPr>
        <w:pStyle w:val="BookText"/>
      </w:pPr>
      <w:r>
        <w:rPr>
          <w:rFonts w:ascii="IRNazanin" w:hAnsi="IRNazanin" w:eastAsia="IRNazanin" w:cs="IRNazanin"/>
          <w:lang w:bidi="fa-IR"/>
          <w:color w:val="111111"/>
          <w:sz w:val="28"/>
          <w:szCs w:val="28"/>
          <w:rtl/>
        </w:rPr>
        <w:t xml:space="preserve">و أُخری:یباع علی وجه التسعیر بأن یقول:«بعتُکَه کلَّ رَطْلٍ بدرهم» فیجیء مسألة الإندار؛للحاجة إلی تعیین ما یستحقّه البائع من الدراهم.</w:t>
      </w:r>
    </w:p>
    <w:p>
      <w:pPr>
        <w:pStyle w:val="BookText"/>
      </w:pPr>
      <w:r>
        <w:rPr>
          <w:rFonts w:ascii="IRNazanin" w:hAnsi="IRNazanin" w:eastAsia="IRNazanin" w:cs="IRNazanin"/>
          <w:lang w:bidi="fa-IR"/>
          <w:color w:val="111111"/>
          <w:sz w:val="28"/>
          <w:szCs w:val="28"/>
          <w:rtl/>
        </w:rPr>
        <w:t xml:space="preserve">و یمکن أن تحرّر المسألة علی وجه آخر،و هو:أنّه بعد ما علم وزن الظرف و المظروف،و قلنا بعدم لزوم العلم بوزن المظروف منفرداً فإندار أیّ مقدار للظرف یجعل وزن المظروف فی حکم المعلوم،و هل هو منوط بالمعتاد بین التجار،أو التراضی،أو بغیر ذلک؟ فالکلام فی تعیین المقدار المندَر لأجل إحراز شرط صحّة بیع المظروف،بعد قیام الإجماع علی عدم لزوم العلم بوزنه بالتقدیر أو بإخبار البائع.</w:t>
      </w:r>
    </w:p>
    <w:p>
      <w:pPr>
        <w:pStyle w:val="BookText"/>
      </w:pPr>
      <w:r>
        <w:rPr>
          <w:rFonts w:ascii="IRNazanin" w:hAnsi="IRNazanin" w:eastAsia="IRNazanin" w:cs="IRNazanin"/>
          <w:lang w:bidi="fa-IR"/>
          <w:color w:val="111111"/>
          <w:sz w:val="28"/>
          <w:szCs w:val="28"/>
          <w:rtl/>
        </w:rPr>
        <w:t xml:space="preserve">و إلی هذا الوجه ینظر بعض الأساطین </w:t>
      </w:r>
      <w:r>
        <w:rPr>
          <w:rStyle w:val="FootnoteReference"/>
        </w:rPr>
        <w:footnoteReference w:id="2205"/>
      </w:r>
      <w:r>
        <w:rPr>
          <w:rFonts w:ascii="IRNazanin" w:hAnsi="IRNazanin" w:eastAsia="IRNazanin" w:cs="IRNazanin"/>
          <w:lang w:bidi="fa-IR"/>
          <w:color w:val="111111"/>
          <w:sz w:val="28"/>
          <w:szCs w:val="28"/>
          <w:rtl/>
        </w:rPr>
        <w:t xml:space="preserve">حیث أناط المقدار المندَر بما لا یحصل معه غرر،و اعترض علی ما فی القواعد و مثلها:من اعتبار التراضی فی جواز إندار ما یعلم زیادته بأنّ التراضی لا یدفع غرراً و لا یصحّح عقداً.و تبعه فی ذلک بعض أتباعه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یستظهر هذا الوجه من عبارة الفخر المتقدّمة </w:t>
      </w:r>
      <w:r>
        <w:rPr>
          <w:rStyle w:val="FootnoteReference"/>
        </w:rPr>
        <w:footnoteReference w:id="2207"/>
      </w:r>
      <w:r>
        <w:rPr>
          <w:rFonts w:ascii="IRNazanin" w:hAnsi="IRNazanin" w:eastAsia="IRNazanin" w:cs="IRNazanin"/>
          <w:lang w:bidi="fa-IR"/>
          <w:color w:val="111111"/>
          <w:sz w:val="28"/>
          <w:szCs w:val="28"/>
          <w:rtl/>
        </w:rPr>
        <w:t xml:space="preserve">حیث</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استثناء المجهول من المبیع علی جواز الإندار،إذ علی الوجه الأوّل یکون استثناء </w:t>
      </w:r>
      <w:r>
        <w:rPr>
          <w:rStyle w:val="FootnoteReference"/>
        </w:rPr>
        <w:footnoteReference w:id="2208"/>
      </w:r>
      <w:r>
        <w:rPr>
          <w:rFonts w:ascii="IRNazanin" w:hAnsi="IRNazanin" w:eastAsia="IRNazanin" w:cs="IRNazanin"/>
          <w:lang w:bidi="fa-IR"/>
          <w:color w:val="111111"/>
          <w:sz w:val="28"/>
          <w:szCs w:val="28"/>
          <w:rtl/>
        </w:rPr>
        <w:t xml:space="preserve">المجهول متفرّعاً علی جواز بیع المظروف بدون الظرف المجهول،لا علی جواز إندار مقدارٍ معیّن؛إذ الإندار حینئذٍ لتعیین الثمن، فتأمّل.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کان،فهذا الوجه مخالفٌ لظاهر کلمات الباقین،فإنّ جماعةً منهم کما عرفت من الفاضلین </w:t>
      </w:r>
      <w:r>
        <w:rPr>
          <w:rStyle w:val="FootnoteReference"/>
        </w:rPr>
        <w:footnoteReference w:id="2209"/>
      </w:r>
      <w:r>
        <w:rPr>
          <w:rFonts w:ascii="IRNazanin" w:hAnsi="IRNazanin" w:eastAsia="IRNazanin" w:cs="IRNazanin"/>
          <w:lang w:bidi="fa-IR"/>
          <w:color w:val="111111"/>
          <w:sz w:val="28"/>
          <w:szCs w:val="28"/>
          <w:rtl/>
        </w:rPr>
        <w:t xml:space="preserve">و غیرهما خصّوا اعتبار التراضی بصورة العلم بالمخالفة،فلو کان الإندار لإحراز وزن المبیع و تصحیح العقد لکان معتبراً مطلقاً؛إذ لا معنی لإیقاع العقد علی وزنٍ مخصوصٍ بثمنٍ مخصوصٍ من دون تراضٍ.</w:t>
      </w:r>
    </w:p>
    <w:p>
      <w:pPr>
        <w:pStyle w:val="BookText"/>
      </w:pPr>
      <w:r>
        <w:rPr>
          <w:rFonts w:ascii="IRNazanin" w:hAnsi="IRNazanin" w:eastAsia="IRNazanin" w:cs="IRNazanin"/>
          <w:lang w:bidi="fa-IR"/>
          <w:color w:val="111111"/>
          <w:sz w:val="28"/>
          <w:szCs w:val="28"/>
          <w:rtl/>
        </w:rPr>
        <w:t xml:space="preserve">و قد صرّح المحقّق و الشهید الثانیان فی وجه اعتبار التراضی مع العلم بالزیادة أو النقیصة بأنّ فی الإندار من دون التراضی تضییعاً لمال أحدهما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 اعتبار الإندار قبل العقد لتصحیحه لم یتحقّق تضییع المال؛لأنّ الثمن وقع فی العقد فی مقابل المظروف،سواء فرض زائداً أو ناقصاً.</w:t>
      </w:r>
    </w:p>
    <w:p>
      <w:pPr>
        <w:pStyle w:val="BookText"/>
      </w:pPr>
      <w:r>
        <w:rPr>
          <w:rFonts w:ascii="IRNazanin" w:hAnsi="IRNazanin" w:eastAsia="IRNazanin" w:cs="IRNazanin"/>
          <w:lang w:bidi="fa-IR"/>
          <w:color w:val="111111"/>
          <w:sz w:val="28"/>
          <w:szCs w:val="28"/>
          <w:rtl/>
        </w:rPr>
        <w:t xml:space="preserve">هذا،مع أنّه إذا فرض کون استقرار العادة علی إندار مقدارٍ معیّنٍ</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الزیادة و النقیصة،فالتراضی علی الزائد علیه أو الناقص عنه یقیناً لا یوجب غرراً،بل یکون کاشتراط زیادة مقدارٍ علی المقدار المعلوم غیر قادحٍ فی صحّة البیع.</w:t>
      </w:r>
    </w:p>
    <w:p>
      <w:pPr>
        <w:pStyle w:val="BookText"/>
      </w:pPr>
      <w:r>
        <w:rPr>
          <w:rFonts w:ascii="IRNazanin" w:hAnsi="IRNazanin" w:eastAsia="IRNazanin" w:cs="IRNazanin"/>
          <w:lang w:bidi="fa-IR"/>
          <w:color w:val="111111"/>
          <w:sz w:val="28"/>
          <w:szCs w:val="28"/>
          <w:rtl/>
        </w:rPr>
        <w:t xml:space="preserve">مثلاً:لو کان المجموع عشرة أرطال و کان المعتاد إسقاط رطل للظرف،فإذا تراضیا علی أن یُندَر للظرف رطلان </w:t>
      </w:r>
      <w:r>
        <w:rPr>
          <w:rStyle w:val="FootnoteReference"/>
        </w:rPr>
        <w:footnoteReference w:id="2211"/>
      </w:r>
      <w:r>
        <w:rPr>
          <w:rFonts w:ascii="IRNazanin" w:hAnsi="IRNazanin" w:eastAsia="IRNazanin" w:cs="IRNazanin"/>
          <w:lang w:bidi="fa-IR"/>
          <w:color w:val="111111"/>
          <w:sz w:val="28"/>
          <w:szCs w:val="28"/>
          <w:rtl/>
        </w:rPr>
        <w:t xml:space="preserve">فکأنه شرط للمشتری أن لا یحسب علیه رطلاً.و لو تراضیا علی إندار نصف رطلٍ فقد اشترط المشتری جَعْلَ ثَمَنِ تسعة أرطالٍ و نصفٍ ثَمَناً للتسعة، فلا معنی للاعتراض علی من قال باعتبار التراضی فی إندار ما علم زیادته أو نقیصته:بأنّ التراضی لا یدفع غرراً و لا یصحّح عقداً.</w:t>
      </w:r>
    </w:p>
    <w:p>
      <w:pPr>
        <w:pStyle w:val="BookText"/>
      </w:pPr>
      <w:r>
        <w:rPr>
          <w:rFonts w:ascii="IRNazanin" w:hAnsi="IRNazanin" w:eastAsia="IRNazanin" w:cs="IRNazanin"/>
          <w:lang w:bidi="fa-IR"/>
          <w:color w:val="111111"/>
          <w:sz w:val="28"/>
          <w:szCs w:val="28"/>
          <w:rtl/>
        </w:rPr>
        <w:t xml:space="preserve">و کیف کان،فالأظهر </w:t>
      </w:r>
      <w:r>
        <w:rPr>
          <w:rStyle w:val="FootnoteReference"/>
        </w:rPr>
        <w:footnoteReference w:id="2212"/>
      </w:r>
      <w:r>
        <w:rPr>
          <w:rFonts w:ascii="IRNazanin" w:hAnsi="IRNazanin" w:eastAsia="IRNazanin" w:cs="IRNazanin"/>
          <w:lang w:bidi="fa-IR"/>
          <w:color w:val="111111"/>
          <w:sz w:val="28"/>
          <w:szCs w:val="28"/>
          <w:rtl/>
        </w:rPr>
        <w:t xml:space="preserve">هو الوجه الأوّل،فیکون دخول هذه المسألة فی فروع مسألة تعیین العوضین من حیث تجویز بیع المظروف بدون ظرفه المجهول کما عنون المسألة بذلک فی اللمعة </w:t>
      </w:r>
      <w:r>
        <w:rPr>
          <w:rStyle w:val="FootnoteReference"/>
        </w:rPr>
        <w:footnoteReference w:id="2213"/>
      </w:r>
      <w:r>
        <w:rPr>
          <w:rFonts w:ascii="IRNazanin" w:hAnsi="IRNazanin" w:eastAsia="IRNazanin" w:cs="IRNazanin"/>
          <w:lang w:bidi="fa-IR"/>
          <w:color w:val="111111"/>
          <w:sz w:val="28"/>
          <w:szCs w:val="28"/>
          <w:rtl/>
        </w:rPr>
        <w:t xml:space="preserve">،بل نسبه فی الحدائق إلیهم </w:t>
      </w:r>
      <w:r>
        <w:rPr>
          <w:rStyle w:val="FootnoteReference"/>
        </w:rPr>
        <w:footnoteReference w:id="2214"/>
      </w:r>
      <w:r>
        <w:rPr>
          <w:rFonts w:ascii="IRNazanin" w:hAnsi="IRNazanin" w:eastAsia="IRNazanin" w:cs="IRNazanin"/>
          <w:lang w:bidi="fa-IR"/>
          <w:color w:val="111111"/>
          <w:sz w:val="28"/>
          <w:szCs w:val="28"/>
          <w:rtl/>
        </w:rPr>
        <w:t xml:space="preserve">لا من حیث إندار مقدارٍ معیّنٍ للظرف المجهول وقت العقد،و التواطؤ علی إیقاع العقد علی الباقی بعد الإندار.</w:t>
      </w:r>
    </w:p>
    <w:p>
      <w:pPr>
        <w:pStyle w:val="BookText"/>
      </w:pPr>
      <w:r>
        <w:rPr>
          <w:rFonts w:ascii="IRNazanin" w:hAnsi="IRNazanin" w:eastAsia="IRNazanin" w:cs="IRNazanin"/>
          <w:lang w:bidi="fa-IR"/>
          <w:color w:val="111111"/>
          <w:sz w:val="28"/>
          <w:szCs w:val="28"/>
          <w:rtl/>
        </w:rPr>
        <w:t xml:space="preserve">و ذکر المحقّق الأردبیلی رحمه اللّٰه فی تفسیر عنوان المسألة:أنّ المراد أنّه یجوز بیع الموزون بأن یوزن مع ظرفه ثمّ یُسقط من المجموع مقدار الظرف تخمیناً بحیث یحتمل کونه مقدار الظرف لا أزید و لا أنقص،بل</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تفاوت لا یکون إلّا بشیءٍ یسیر یتساهل </w:t>
      </w:r>
      <w:r>
        <w:rPr>
          <w:rStyle w:val="FootnoteReference"/>
        </w:rPr>
        <w:footnoteReference w:id="2215"/>
      </w:r>
      <w:r>
        <w:rPr>
          <w:rFonts w:ascii="IRNazanin" w:hAnsi="IRNazanin" w:eastAsia="IRNazanin" w:cs="IRNazanin"/>
          <w:lang w:bidi="fa-IR"/>
          <w:color w:val="111111"/>
          <w:sz w:val="28"/>
          <w:szCs w:val="28"/>
          <w:rtl/>
        </w:rPr>
        <w:t xml:space="preserve">به </w:t>
      </w:r>
      <w:r>
        <w:rPr>
          <w:rStyle w:val="FootnoteReference"/>
        </w:rPr>
        <w:footnoteReference w:id="2216"/>
      </w:r>
      <w:r>
        <w:rPr>
          <w:rFonts w:ascii="Amiri" w:hAnsi="Amiri" w:eastAsia="Amiri" w:cs="Amiri"/>
          <w:lang w:bidi="ar-SA"/>
          <w:color w:val="111111"/>
          <w:sz w:val="28"/>
          <w:szCs w:val="28"/>
          <w:rtl/>
        </w:rPr>
        <w:t xml:space="preserve">عادةً،ثمّ دفع </w:t>
      </w:r>
      <w:r>
        <w:rPr>
          <w:rStyle w:val="FootnoteReference"/>
        </w:rPr>
        <w:footnoteReference w:id="2217"/>
      </w:r>
      <w:r>
        <w:rPr>
          <w:rFonts w:ascii="IRNazanin" w:hAnsi="IRNazanin" w:eastAsia="IRNazanin" w:cs="IRNazanin"/>
          <w:lang w:bidi="fa-IR"/>
          <w:color w:val="111111"/>
          <w:sz w:val="28"/>
          <w:szCs w:val="28"/>
          <w:rtl/>
        </w:rPr>
        <w:t xml:space="preserve">ثمن الباقی مع الظرف إلی البائع </w:t>
      </w:r>
      <w:r>
        <w:rPr>
          <w:rStyle w:val="FootnoteReference"/>
        </w:rPr>
        <w:footnoteReference w:id="221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فظاهره الوجه الأوّل الذی ذکرنا،حیث جوّز البیع بمجرّد وزن المظروف مع الظرف،و جَعَل الإندار لأجل تعیین الباقی الذی یجب علیه دفع ثمنه.</w:t>
      </w:r>
    </w:p>
    <w:p>
      <w:pPr>
        <w:pStyle w:val="BookText"/>
      </w:pPr>
      <w:r>
        <w:rPr>
          <w:rFonts w:ascii="IRNazanin" w:hAnsi="IRNazanin" w:eastAsia="IRNazanin" w:cs="IRNazanin"/>
          <w:lang w:bidi="fa-IR"/>
          <w:color w:val="111111"/>
          <w:sz w:val="28"/>
          <w:szCs w:val="28"/>
          <w:rtl/>
        </w:rPr>
        <w:t xml:space="preserve">و فی الحدائق فی مقام الردّ علی من ألحق النقیصة بالزیادة فی اعتبار عدم العلم بها قال:إنّ الإندار حقٌّ للمشتری؛لأنّه قد اشتریٰ مثلاً مائة منٍّ من السمن فی هذه الظروف،فالواجب قیمة المائة المذکورة،و له إسقاط ما یقابل الظروف من هذا الوزن </w:t>
      </w:r>
      <w:r>
        <w:rPr>
          <w:rStyle w:val="FootnoteReference"/>
        </w:rPr>
        <w:footnoteReference w:id="221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الکلام و إن کان مؤیّداً لما استقربناه فی تحریر المسألة،إلّا أنّ جَعْلَ الإندار حقّا للمشتری و التمثیل بما ذکره لا یخلو عن </w:t>
      </w:r>
      <w:r>
        <w:rPr>
          <w:rStyle w:val="FootnoteReference"/>
        </w:rPr>
        <w:footnoteReference w:id="2220"/>
      </w:r>
      <w:r>
        <w:rPr>
          <w:rFonts w:ascii="IRNazanin" w:hAnsi="IRNazanin" w:eastAsia="IRNazanin" w:cs="IRNazanin"/>
          <w:lang w:bidi="fa-IR"/>
          <w:color w:val="111111"/>
          <w:sz w:val="28"/>
          <w:szCs w:val="28"/>
          <w:rtl/>
        </w:rPr>
        <w:t xml:space="preserve">نظر؛ فإنّ المشتری لم یشترِ مائة منٍّ من السمن فی هذه الظروف؛لأنّ التعبیر بهذا مع العلم بعدم کون ما فی هذه الظروف مائة منٍّ لغو،بل المبیع فی الحقیقة ما فی هذه الظروف التی هی مع المظروف مائة منٍّ،فإن باعه بثمن معیّنٍ فلا حاجة إلی الإندار،و لا حقّ للمشتری.و إن اشتراه علی وجه التسعیر بقوله:«کلّ منٍّ بکذا»فالإندار:إنّما یحتاج إلیه لتعیین</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یستحقّه البائع علی المشتری من الثمن،فکیف یکون الواجب قیمة المائة کما ذکره المحدّث؟! و قد علم ممّا ذکرنا:أنّ الإندار الذی هو عبارة عن تخمین الظرف الخارج عن المبیع بوزن إنّما هو لتعیین حقّ البائع،و لیس حقّا للمشتری.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الأخبار:فمنها موثّقة حنان قال:«سمعت معمّر الزیّات قال لأبی عبد اللّٰه علیه السلام:إنّا نشتری الزیت فی زقاقه،فیحسب لنا النقصان لمکان الزقاق؟فقال له:إن کان یزید و ینقص فلا بأس،و إن کان یزید و لا ینقص فلا تقربه»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w:t>
      </w:r>
      <w:r>
        <w:rPr>
          <w:rStyle w:val="FootnoteReference"/>
        </w:rPr>
        <w:footnoteReference w:id="2222"/>
      </w:r>
      <w:r>
        <w:rPr>
          <w:rFonts w:ascii="IRNazanin" w:hAnsi="IRNazanin" w:eastAsia="IRNazanin" w:cs="IRNazanin"/>
          <w:lang w:bidi="fa-IR"/>
          <w:color w:val="111111"/>
          <w:sz w:val="28"/>
          <w:szCs w:val="28"/>
          <w:rtl/>
        </w:rPr>
        <w:t xml:space="preserve">:و ظاهره عدم اعتبار التراضی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أقول:المفروض فی السؤال هو التراضی؛لأنّ الحاسب هو البائع أو وکیله و هما مختاران،و المحسوب له هو المشتری.</w:t>
      </w:r>
    </w:p>
    <w:p>
      <w:pPr>
        <w:pStyle w:val="BookText"/>
      </w:pPr>
      <w:r>
        <w:rPr>
          <w:rFonts w:ascii="IRNazanin" w:hAnsi="IRNazanin" w:eastAsia="IRNazanin" w:cs="IRNazanin"/>
          <w:lang w:bidi="fa-IR"/>
          <w:color w:val="111111"/>
          <w:sz w:val="28"/>
          <w:szCs w:val="28"/>
          <w:rtl/>
        </w:rPr>
        <w:t xml:space="preserve">و التحقیق:أنّ مورد السؤال صحّة الإندار مع إبقاء الزقاق للمشتری بلا ثمن أو بثمنٍ مغایرٍ للمظروف،أو مع ردّها إلی البائع من دون وزن لها،فإنّ السؤال عن صحّة جمیع </w:t>
      </w:r>
      <w:r>
        <w:rPr>
          <w:rStyle w:val="FootnoteReference"/>
        </w:rPr>
        <w:footnoteReference w:id="2224"/>
      </w:r>
      <w:r>
        <w:rPr>
          <w:rFonts w:ascii="IRNazanin" w:hAnsi="IRNazanin" w:eastAsia="IRNazanin" w:cs="IRNazanin"/>
          <w:lang w:bidi="fa-IR"/>
          <w:color w:val="111111"/>
          <w:sz w:val="28"/>
          <w:szCs w:val="28"/>
          <w:rtl/>
        </w:rPr>
        <w:t xml:space="preserve">ذلک بعد الفراغ عن تراضی المتبایعین علیه،فلا إطلاق فیه یعمّ صورة عدم التراضی.و یؤیّده النهی عن ارتکابه مع العلم بالزیادة؛فإنّ النهی </w:t>
      </w:r>
      <w:r>
        <w:rPr>
          <w:rStyle w:val="FootnoteReference"/>
        </w:rPr>
        <w:footnoteReference w:id="2225"/>
      </w:r>
      <w:r>
        <w:rPr>
          <w:rFonts w:ascii="IRNazanin" w:hAnsi="IRNazanin" w:eastAsia="IRNazanin" w:cs="IRNazanin"/>
          <w:lang w:bidi="fa-IR"/>
          <w:color w:val="111111"/>
          <w:sz w:val="28"/>
          <w:szCs w:val="28"/>
          <w:rtl/>
        </w:rPr>
        <w:t xml:space="preserve">عنه لیس عن </w:t>
      </w:r>
      <w:r>
        <w:rPr>
          <w:rStyle w:val="FootnoteReference"/>
        </w:rPr>
        <w:footnoteReference w:id="2226"/>
      </w:r>
      <w:r>
        <w:rPr>
          <w:rFonts w:ascii="IRNazanin" w:hAnsi="IRNazanin" w:eastAsia="IRNazanin" w:cs="IRNazanin"/>
          <w:lang w:bidi="fa-IR"/>
          <w:color w:val="111111"/>
          <w:sz w:val="28"/>
          <w:szCs w:val="28"/>
          <w:rtl/>
        </w:rPr>
        <w:t xml:space="preserve">ارتکابه</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تراضٍ،فافهم.</w:t>
      </w:r>
    </w:p>
    <w:p>
      <w:pPr>
        <w:pStyle w:val="BookText"/>
      </w:pPr>
      <w:r>
        <w:rPr>
          <w:rFonts w:ascii="IRNazanin" w:hAnsi="IRNazanin" w:eastAsia="IRNazanin" w:cs="IRNazanin"/>
          <w:lang w:bidi="fa-IR"/>
          <w:color w:val="111111"/>
          <w:sz w:val="28"/>
          <w:szCs w:val="28"/>
          <w:rtl/>
        </w:rPr>
        <w:t xml:space="preserve">فحینئذٍ لا یعارضها ما دلّ علی صحّة ذلک مع التراضی،مثل روایة علیّ بن أبی حمزة،قال:«سمعت معمّر الزیّات یسأل أبا عبد اللّٰه علیه السلام،قال:جعلت فداک!نطرح ظروف السمن و الزیت کلّ ظرف کذا و کذا رطلاً فربما زاد و ربما نقص؟قال:إذا کان ذلک عن تراضٍ منکم فلا بأس»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الشرط فیه مسوق لبیان کفایة التراضی فی ذلک و عدم المانع منه شرعاً،فیشبه التراضی العلّة التامّة الغیر المتوقّفة علی شیء.</w:t>
      </w:r>
    </w:p>
    <w:p>
      <w:pPr>
        <w:pStyle w:val="BookText"/>
      </w:pPr>
      <w:r>
        <w:rPr>
          <w:rFonts w:ascii="IRNazanin" w:hAnsi="IRNazanin" w:eastAsia="IRNazanin" w:cs="IRNazanin"/>
          <w:lang w:bidi="fa-IR"/>
          <w:color w:val="111111"/>
          <w:sz w:val="28"/>
          <w:szCs w:val="28"/>
          <w:rtl/>
        </w:rPr>
        <w:t xml:space="preserve">و نحوه اشتراط التراضی فی خبر علیّ بن جعفر المحکیّ عن قرب الإسناد عن أخیه موسی علیه السلام:«عن الرجل یشتری المتاع وزناً فی الناسیة و الجوالق،فیقول:ادفع للناسیة رطلاً أو أکثر من ذلک،أ یحلّ ذلک البیع؟قال:إذا لم یعلم وزن الناسیة و الجوالق فلا بأس إذا تراضیا»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قوله:«إن کان یزید و ینقص»فی الروایة الأُولی،یحتمل أن یراد به:الزیادة و النقیصة فی هذا المقدار المندَر فی شخص المعاملة، بمعنی زیادة مجموع ما أُندر لمجموع الزقاق أو نقصانه عنه.أو بمعنی:أنّه یزید فی بعض الزقاق،و ینقص </w:t>
      </w:r>
      <w:r>
        <w:rPr>
          <w:rStyle w:val="FootnoteReference"/>
        </w:rPr>
        <w:footnoteReference w:id="2229"/>
      </w:r>
      <w:r>
        <w:rPr>
          <w:rFonts w:ascii="IRNazanin" w:hAnsi="IRNazanin" w:eastAsia="IRNazanin" w:cs="IRNazanin"/>
          <w:lang w:bidi="fa-IR"/>
          <w:color w:val="111111"/>
          <w:sz w:val="28"/>
          <w:szCs w:val="28"/>
          <w:rtl/>
        </w:rPr>
        <w:t xml:space="preserve">فی بعض آخر.</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یراد به:الزیادة و النقیصة فی نوع المقدار المُندَر فی نوع هذه المعاملة بحیث قد یتّفق فی بعض المعاملات الزیادة و فی بعض أُخری النقیصة.و هذا هو الذی فهمه فی النهایة </w:t>
      </w:r>
      <w:r>
        <w:rPr>
          <w:rStyle w:val="FootnoteReference"/>
        </w:rPr>
        <w:footnoteReference w:id="2230"/>
      </w:r>
      <w:r>
        <w:rPr>
          <w:rFonts w:ascii="IRNazanin" w:hAnsi="IRNazanin" w:eastAsia="IRNazanin" w:cs="IRNazanin"/>
          <w:lang w:bidi="fa-IR"/>
          <w:color w:val="111111"/>
          <w:sz w:val="28"/>
          <w:szCs w:val="28"/>
          <w:rtl/>
        </w:rPr>
        <w:t xml:space="preserve">حیث اعتبر أن یکون ما یندر للظروف ممّا یزید تارة و ینقص اخری،و نحوه فی الوسیلة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یشهد للاحتمال الأوّل رجوع ضمیر«یزید»و«ینقص»إلی مجموع النقصان المحسوب لمکان الزقاق،و للثانی عطف النقیصة علی الزیادة بالواو الظاهر فی اجتماع نفس المتعاطفین لا احتمالهما،و للثالث ما ورد فی بعض الروایات:«من أنّه ربما یشتری الطعام من أهل السفینة ثمّ یکیله فیزید؟قال علیه السلام:و ربما نقص؟قلت:و ربما نقص.</w:t>
      </w:r>
    </w:p>
    <w:p>
      <w:pPr>
        <w:pStyle w:val="BookText"/>
      </w:pPr>
      <w:r>
        <w:rPr>
          <w:rFonts w:ascii="IRNazanin" w:hAnsi="IRNazanin" w:eastAsia="IRNazanin" w:cs="IRNazanin"/>
          <w:lang w:bidi="fa-IR"/>
          <w:color w:val="111111"/>
          <w:sz w:val="28"/>
          <w:szCs w:val="28"/>
          <w:rtl/>
        </w:rPr>
        <w:t xml:space="preserve">قال:فإذا نقص ردّوا علیکم؟قلت:لا.قال:لا بأس»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معنی الروایة </w:t>
      </w:r>
      <w:r>
        <w:rPr>
          <w:rStyle w:val="FootnoteReference"/>
        </w:rPr>
        <w:footnoteReference w:id="2233"/>
      </w:r>
      <w:r>
        <w:rPr>
          <w:rFonts w:ascii="IRNazanin" w:hAnsi="IRNazanin" w:eastAsia="IRNazanin" w:cs="IRNazanin"/>
          <w:lang w:bidi="fa-IR"/>
          <w:color w:val="111111"/>
          <w:sz w:val="28"/>
          <w:szCs w:val="28"/>
          <w:rtl/>
        </w:rPr>
        <w:t xml:space="preserve">:أنّه إذا کان الذی یحسب لکم </w:t>
      </w:r>
      <w:r>
        <w:rPr>
          <w:rStyle w:val="FootnoteReference"/>
        </w:rPr>
        <w:footnoteReference w:id="2234"/>
      </w:r>
      <w:r>
        <w:rPr>
          <w:rFonts w:ascii="IRNazanin" w:hAnsi="IRNazanin" w:eastAsia="IRNazanin" w:cs="IRNazanin"/>
          <w:lang w:bidi="fa-IR"/>
          <w:color w:val="111111"/>
          <w:sz w:val="28"/>
          <w:szCs w:val="28"/>
          <w:rtl/>
        </w:rPr>
        <w:t xml:space="preserve">زائداً مرّة و ناقصاً اخری،فلا بأس بما یحسب و إن بلغ ما بلغ،و إن زاد دائماً، فلا یجوز إلّا بهبة أو إبراء من الثمن أو مع التراضی،بناءً علی عدم توقّف الشقّ الأوّل علیه،و وقوع المحاسبة من السمسار بمقتضی العادة من غیر اطّلاع صاحب الزیت.</w:t>
      </w:r>
    </w:p>
    <w:p>
      <w:pPr>
        <w:pStyle w:val="BookText"/>
      </w:pPr>
      <w:r>
        <w:rPr>
          <w:rFonts w:ascii="IRNazanin" w:hAnsi="IRNazanin" w:eastAsia="IRNazanin" w:cs="IRNazanin"/>
          <w:lang w:bidi="fa-IR"/>
          <w:color w:val="111111"/>
          <w:sz w:val="28"/>
          <w:szCs w:val="28"/>
          <w:rtl/>
        </w:rPr>
        <w:t xml:space="preserve">و کیف کان،فالذی یقوی فی النظر،هو المشهور بین المتأخّرین</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جواز إندار ما یحتمل الزیادة و النقیصة؛لأصالة عدم زیادة المبیع علیه و عدم استحقاق البائع أزید ممّا یعطیه المشتری من الثمن.لکن العمل بالأصل لا یوجب ذهاب حقّ أحدهما عند انکشاف الحال.</w:t>
      </w:r>
    </w:p>
    <w:p>
      <w:pPr>
        <w:pStyle w:val="BookText"/>
      </w:pPr>
      <w:r>
        <w:rPr>
          <w:rFonts w:ascii="IRNazanin" w:hAnsi="IRNazanin" w:eastAsia="IRNazanin" w:cs="IRNazanin"/>
          <w:lang w:bidi="fa-IR"/>
          <w:color w:val="111111"/>
          <w:sz w:val="28"/>
          <w:szCs w:val="28"/>
          <w:rtl/>
        </w:rPr>
        <w:t xml:space="preserve">و أمّا مع العلم بالزیادة أو النقیصة،فإن کان هنا عادةٌ تقتضیه، کان العقد واقعاً علیها مع علم المتبایعین بها.و لعلّه مراد من لم یقیّد بالعلم.</w:t>
      </w:r>
    </w:p>
    <w:p>
      <w:pPr>
        <w:pStyle w:val="BookText"/>
      </w:pPr>
      <w:r>
        <w:rPr>
          <w:rFonts w:ascii="IRNazanin" w:hAnsi="IRNazanin" w:eastAsia="IRNazanin" w:cs="IRNazanin"/>
          <w:lang w:bidi="fa-IR"/>
          <w:color w:val="111111"/>
          <w:sz w:val="28"/>
          <w:szCs w:val="28"/>
          <w:rtl/>
        </w:rPr>
        <w:t xml:space="preserve">و مع الجهل بها أو عدمها فلا یجوز إلّا مع التراضی لسقوط حقّ من له الحقّ،سواء تواطئا علی ذلک فی متن العقد،بأن قال:«بعتک ما فی هذه الظروف کلّ رطلٍ بدرهمٍ علی أن یسقط لکلّ ظرفٍ کذا» فهو هبةٌ له </w:t>
      </w:r>
      <w:r>
        <w:rPr>
          <w:rStyle w:val="FootnoteReference"/>
        </w:rPr>
        <w:footnoteReference w:id="2235"/>
      </w:r>
      <w:r>
        <w:rPr>
          <w:rFonts w:ascii="IRNazanin" w:hAnsi="IRNazanin" w:eastAsia="IRNazanin" w:cs="IRNazanin"/>
          <w:lang w:bidi="fa-IR"/>
          <w:color w:val="111111"/>
          <w:sz w:val="28"/>
          <w:szCs w:val="28"/>
          <w:rtl/>
        </w:rPr>
        <w:t xml:space="preserve">،أو تراضیا علیه بعده بإسقاطٍ من الذمّة أو هبةٍ للعین.</w:t>
      </w:r>
    </w:p>
    <w:p>
      <w:pPr>
        <w:pStyle w:val="BookText"/>
      </w:pPr>
      <w:r>
        <w:rPr>
          <w:rFonts w:ascii="IRNazanin" w:hAnsi="IRNazanin" w:eastAsia="IRNazanin" w:cs="IRNazanin"/>
          <w:lang w:bidi="fa-IR"/>
          <w:color w:val="111111"/>
          <w:sz w:val="28"/>
          <w:szCs w:val="28"/>
          <w:rtl/>
        </w:rPr>
        <w:t xml:space="preserve">هذا کلّه مع قطع النظر عن النصوص،و أمّا مع ملاحظتها فالمعوّل علیه روایة حنّان المتقدّمة </w:t>
      </w:r>
      <w:r>
        <w:rPr>
          <w:rStyle w:val="FootnoteReference"/>
        </w:rPr>
        <w:footnoteReference w:id="2236"/>
      </w:r>
      <w:r>
        <w:rPr>
          <w:rFonts w:ascii="IRNazanin" w:hAnsi="IRNazanin" w:eastAsia="IRNazanin" w:cs="IRNazanin"/>
          <w:lang w:bidi="fa-IR"/>
          <w:color w:val="111111"/>
          <w:sz w:val="28"/>
          <w:szCs w:val="28"/>
          <w:rtl/>
        </w:rPr>
        <w:t xml:space="preserve">الظاهرة فی اعتبار الاعتیاد،من حیث ظهورها فی کون حساب المقدار الخاصّ متعارفاً،و اعتبار عدم العلم بزیادة المحسوب عن الظروف بما لا یتسامح به فی بیع کلّ مظروفٍ بحسب حاله.و کأنّ الشیخ رحمه اللّٰه فی النهایة فهم ذلک من الروایة فعبّر بمضمونها کما هو دأبه فی ذلک الکتاب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إنّ ظاهر الروایة جواز الإندار واقعاً،بمعنی عدم وقوعه مراعی بانکشاف الزیادة و النقیصة،عملنا </w:t>
      </w:r>
      <w:r>
        <w:rPr>
          <w:rStyle w:val="FootnoteReference"/>
        </w:rPr>
        <w:footnoteReference w:id="2238"/>
      </w:r>
      <w:r>
        <w:rPr>
          <w:rFonts w:ascii="IRNazanin" w:hAnsi="IRNazanin" w:eastAsia="IRNazanin" w:cs="IRNazanin"/>
          <w:lang w:bidi="fa-IR"/>
          <w:color w:val="111111"/>
          <w:sz w:val="28"/>
          <w:szCs w:val="28"/>
          <w:rtl/>
        </w:rPr>
        <w:t xml:space="preserve">بها کذلک،فیکون مرجع النهی عن ارتکاب ما علم بزیادته نظیر ما ورد من النهی عن الشراء بالموازین الزائدة عمّا یتسامح به،فإنّ ذلک یحتاج إلی هبةٍ جدیدةٍ،و لا یکفی إقباضها من حیث کونها حقّا للمشتری.</w:t>
      </w:r>
    </w:p>
    <w:p>
      <w:pPr>
        <w:pStyle w:val="BookText"/>
      </w:pPr>
      <w:r>
        <w:rPr>
          <w:rFonts w:ascii="IRNazanin" w:hAnsi="IRNazanin" w:eastAsia="IRNazanin" w:cs="IRNazanin"/>
          <w:lang w:bidi="fa-IR"/>
          <w:color w:val="111111"/>
          <w:sz w:val="28"/>
          <w:szCs w:val="28"/>
          <w:rtl/>
        </w:rPr>
        <w:t xml:space="preserve">هذا کلّه مع تعارف إندار ذلک المقدار و عدم العلم بالزیادة.و أمّا مع عدم </w:t>
      </w:r>
      <w:r>
        <w:rPr>
          <w:rStyle w:val="FootnoteReference"/>
        </w:rPr>
        <w:footnoteReference w:id="2239"/>
      </w:r>
      <w:r>
        <w:rPr>
          <w:rFonts w:ascii="IRNazanin" w:hAnsi="IRNazanin" w:eastAsia="IRNazanin" w:cs="IRNazanin"/>
          <w:lang w:bidi="fa-IR"/>
          <w:color w:val="111111"/>
          <w:sz w:val="28"/>
          <w:szCs w:val="28"/>
          <w:rtl/>
        </w:rPr>
        <w:t xml:space="preserve">القیدین،فمع الشکّ فی الزیادة و النقیصة و عدم العادة یجوز الإندار،لکن مراعی بعدم انکشاف أحد الأمرین.و معها </w:t>
      </w:r>
      <w:r>
        <w:rPr>
          <w:rStyle w:val="FootnoteReference"/>
        </w:rPr>
        <w:footnoteReference w:id="2240"/>
      </w:r>
      <w:r>
        <w:rPr>
          <w:rFonts w:ascii="IRNazanin" w:hAnsi="IRNazanin" w:eastAsia="IRNazanin" w:cs="IRNazanin"/>
          <w:lang w:bidi="fa-IR"/>
          <w:color w:val="111111"/>
          <w:sz w:val="28"/>
          <w:szCs w:val="28"/>
          <w:rtl/>
        </w:rPr>
        <w:t xml:space="preserve">یجوز بناءً علی انصراف العقد إلیها </w:t>
      </w:r>
      <w:r>
        <w:rPr>
          <w:rStyle w:val="FootnoteReference"/>
        </w:rPr>
        <w:footnoteReference w:id="2241"/>
      </w:r>
      <w:r>
        <w:rPr>
          <w:rFonts w:ascii="IRNazanin" w:hAnsi="IRNazanin" w:eastAsia="IRNazanin" w:cs="IRNazanin"/>
          <w:lang w:bidi="fa-IR"/>
          <w:color w:val="111111"/>
          <w:sz w:val="28"/>
          <w:szCs w:val="28"/>
          <w:rtl/>
        </w:rPr>
        <w:t xml:space="preserve">.لکن فیه تأمّلٌ لو لم یبلغ حدّا یکون کالشرط فی ضمن العقد؛لأنّ هذا لیس من أفراد المطلق حتّی ینصرف بکون العادة صارفةً له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الظاهر:أنّ الحکم المذکور غیر مختصٍّ بظروف السمن و الزیت، بل یعمّ کلَّ ظرفٍ،کما هو ظاهر معقد الإجماع المتقدّم عن فخر الدین رحمه اللّٰه </w:t>
      </w:r>
      <w:r>
        <w:rPr>
          <w:rStyle w:val="FootnoteReference"/>
        </w:rPr>
        <w:footnoteReference w:id="2243"/>
      </w:r>
      <w:r>
        <w:rPr>
          <w:rFonts w:ascii="IRNazanin" w:hAnsi="IRNazanin" w:eastAsia="IRNazanin" w:cs="IRNazanin"/>
          <w:lang w:bidi="fa-IR"/>
          <w:color w:val="111111"/>
          <w:sz w:val="28"/>
          <w:szCs w:val="28"/>
          <w:rtl/>
        </w:rPr>
        <w:t xml:space="preserve">و عبارة النهایة و الوسیلة </w:t>
      </w:r>
      <w:r>
        <w:rPr>
          <w:rStyle w:val="FootnoteReference"/>
        </w:rPr>
        <w:footnoteReference w:id="2244"/>
      </w:r>
      <w:r>
        <w:rPr>
          <w:rFonts w:ascii="IRNazanin" w:hAnsi="IRNazanin" w:eastAsia="IRNazanin" w:cs="IRNazanin"/>
          <w:lang w:bidi="fa-IR"/>
          <w:color w:val="111111"/>
          <w:sz w:val="28"/>
          <w:szCs w:val="28"/>
          <w:rtl/>
        </w:rPr>
        <w:t xml:space="preserve">و الفاضلین و الشهیدین و المحقّق</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رحمهم اللّٰه </w:t>
      </w:r>
      <w:r>
        <w:rPr>
          <w:rStyle w:val="FootnoteReference"/>
        </w:rPr>
        <w:footnoteReference w:id="2245"/>
      </w:r>
      <w:r>
        <w:rPr>
          <w:rFonts w:ascii="IRNazanin" w:hAnsi="IRNazanin" w:eastAsia="IRNazanin" w:cs="IRNazanin"/>
          <w:lang w:bidi="fa-IR"/>
          <w:color w:val="111111"/>
          <w:sz w:val="28"/>
          <w:szCs w:val="28"/>
          <w:rtl/>
        </w:rPr>
        <w:t xml:space="preserve">.و یؤیّده الروایة المتقدّمة عن قرب الإسناد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یبعد أن یراد بالظروف خصوص الوعاء المتعارف بیع الشیء فیه و عدم تفریغه منه کقواریر الجُلّاب و العطریّات،لا مطلق اللغوی أعنی:الوعاء.و یحتمل العموم،و هو ضعیف.</w:t>
      </w:r>
    </w:p>
    <w:p>
      <w:pPr>
        <w:pStyle w:val="BookText"/>
      </w:pPr>
      <w:r>
        <w:rPr>
          <w:rFonts w:ascii="IRNazanin" w:hAnsi="IRNazanin" w:eastAsia="IRNazanin" w:cs="IRNazanin"/>
          <w:lang w:bidi="fa-IR"/>
          <w:color w:val="111111"/>
          <w:sz w:val="28"/>
          <w:szCs w:val="28"/>
          <w:rtl/>
        </w:rPr>
        <w:t xml:space="preserve">نعم،یقوی تعدیة الحکم إلی کلّ مصاحب للمبیع یتعارف بیعه معه کالشمع فی الحلیّ المصوغة </w:t>
      </w:r>
      <w:r>
        <w:rPr>
          <w:rStyle w:val="FootnoteReference"/>
        </w:rPr>
        <w:footnoteReference w:id="2247"/>
      </w:r>
      <w:r>
        <w:rPr>
          <w:rFonts w:ascii="IRNazanin" w:hAnsi="IRNazanin" w:eastAsia="IRNazanin" w:cs="IRNazanin"/>
          <w:lang w:bidi="fa-IR"/>
          <w:color w:val="111111"/>
          <w:sz w:val="28"/>
          <w:szCs w:val="28"/>
          <w:rtl/>
        </w:rPr>
        <w:t xml:space="preserve">من الذهب و الفضّة؛و کذا للمظروف </w:t>
      </w:r>
      <w:r>
        <w:rPr>
          <w:rStyle w:val="FootnoteReference"/>
        </w:rPr>
        <w:footnoteReference w:id="2248"/>
      </w:r>
      <w:r>
        <w:rPr>
          <w:rFonts w:ascii="IRNazanin" w:hAnsi="IRNazanin" w:eastAsia="IRNazanin" w:cs="IRNazanin"/>
          <w:lang w:bidi="fa-IR"/>
          <w:color w:val="111111"/>
          <w:sz w:val="28"/>
          <w:szCs w:val="28"/>
          <w:rtl/>
        </w:rPr>
        <w:t xml:space="preserve">الذی یقصد ظرفه بالشراء إذا کان وجوده فیه تبعاً له کقلیل من الدبس فی الزقاق </w:t>
      </w:r>
      <w:r>
        <w:rPr>
          <w:rStyle w:val="FootnoteReference"/>
        </w:rPr>
        <w:footnoteReference w:id="2249"/>
      </w:r>
      <w:r>
        <w:rPr>
          <w:rFonts w:ascii="IRNazanin" w:hAnsi="IRNazanin" w:eastAsia="IRNazanin" w:cs="IRNazanin"/>
          <w:lang w:bidi="fa-IR"/>
          <w:color w:val="111111"/>
          <w:sz w:val="28"/>
          <w:szCs w:val="28"/>
          <w:rtl/>
        </w:rPr>
        <w:t xml:space="preserve">.و أمّا تعدیة الحکم إلی کلّ ما ضمّ إلی المبیع ممّا لا یراد بیعه معه فممّا لا ینبغی احتماله.</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71" w:name="pg14419_167236"/>
    <w:bookmarkEnd w:id="271"/>
    <w:p>
      <w:pPr>
        <w:pStyle w:val="Heading6"/>
      </w:pPr>
      <w:bookmarkStart w:id="1112" w:name="_Toc552"/>
      <w:r>
        <w:t>مسألة یجوز بیع المظروف مع ظرفه الموزون معه و إن لم یعلم إلّا بوزن المجموع</w:t>
      </w:r>
      <w:bookmarkEnd w:id="11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علی المشهور،بل لم یوجد قائلٌ بخلافه من الخاصّة إلّا ما أرسله فی الروضة </w:t>
      </w:r>
      <w:r>
        <w:rPr>
          <w:rStyle w:val="FootnoteReference"/>
        </w:rPr>
        <w:footnoteReference w:id="2250"/>
      </w:r>
      <w:r>
        <w:rPr>
          <w:rFonts w:ascii="IRNazanin" w:hAnsi="IRNazanin" w:eastAsia="IRNazanin" w:cs="IRNazanin"/>
          <w:lang w:bidi="fa-IR"/>
          <w:color w:val="111111"/>
          <w:sz w:val="28"/>
          <w:szCs w:val="28"/>
          <w:rtl/>
        </w:rPr>
        <w:t xml:space="preserve">،و نسب فی التذکرة إلی بعض العامّة </w:t>
      </w:r>
      <w:r>
        <w:rPr>
          <w:rStyle w:val="FootnoteReference"/>
        </w:rPr>
        <w:footnoteReference w:id="2251"/>
      </w:r>
      <w:r>
        <w:rPr>
          <w:rFonts w:ascii="IRNazanin" w:hAnsi="IRNazanin" w:eastAsia="IRNazanin" w:cs="IRNazanin"/>
          <w:lang w:bidi="fa-IR"/>
          <w:color w:val="111111"/>
          <w:sz w:val="28"/>
          <w:szCs w:val="28"/>
          <w:rtl/>
        </w:rPr>
        <w:t xml:space="preserve">،استناداً إلی أنّ وزن ما یباع وزناً غیر معلوم،و الظرف لا یباع وزناً،بل لو کان موزوناً لم ینفع مع جهالة وزن کلّ واحد و اختلاف قیمتهما،فالغرر الحاصل فی بیع </w:t>
      </w:r>
      <w:r>
        <w:rPr>
          <w:rStyle w:val="FootnoteReference"/>
        </w:rPr>
        <w:footnoteReference w:id="2252"/>
      </w:r>
      <w:r>
        <w:rPr>
          <w:rFonts w:ascii="IRNazanin" w:hAnsi="IRNazanin" w:eastAsia="IRNazanin" w:cs="IRNazanin"/>
          <w:lang w:bidi="fa-IR"/>
          <w:color w:val="111111"/>
          <w:sz w:val="28"/>
          <w:szCs w:val="28"/>
          <w:rtl/>
        </w:rPr>
        <w:t xml:space="preserve">الجزاف حاصل هنا.</w:t>
      </w:r>
    </w:p>
    <w:p>
      <w:pPr>
        <w:pStyle w:val="BookText"/>
      </w:pPr>
      <w:r>
        <w:rPr>
          <w:rFonts w:ascii="IRNazanin" w:hAnsi="IRNazanin" w:eastAsia="IRNazanin" w:cs="IRNazanin"/>
          <w:lang w:bidi="fa-IR"/>
          <w:color w:val="111111"/>
          <w:sz w:val="28"/>
          <w:szCs w:val="28"/>
          <w:rtl/>
        </w:rPr>
        <w:t xml:space="preserve">و الذی یقتضیه النظر:أمّا فیما نحن فیه ممّا جُوّز شرعاً بیعُه منفرداً عن الظرف مع جهالة وزنه فالقطع بالجواز منضمّاً؛إذ لم یحصل بالانضمام </w:t>
      </w:r>
      <w:r>
        <w:rPr>
          <w:rStyle w:val="FootnoteReference"/>
        </w:rPr>
        <w:footnoteReference w:id="2253"/>
      </w:r>
      <w:r>
        <w:rPr>
          <w:rFonts w:ascii="IRNazanin" w:hAnsi="IRNazanin" w:eastAsia="IRNazanin" w:cs="IRNazanin"/>
          <w:lang w:bidi="fa-IR"/>
          <w:color w:val="111111"/>
          <w:sz w:val="28"/>
          <w:szCs w:val="28"/>
          <w:rtl/>
        </w:rPr>
        <w:t xml:space="preserve">مانعٌ،و لا ارتفع شرط.</w:t>
      </w:r>
    </w:p>
    <w:p>
      <w:pPr>
        <w:pStyle w:val="BookText"/>
      </w:pPr>
      <w:r>
        <w:rPr>
          <w:rFonts w:ascii="IRNazanin" w:hAnsi="IRNazanin" w:eastAsia="IRNazanin" w:cs="IRNazanin"/>
          <w:lang w:bidi="fa-IR"/>
          <w:color w:val="111111"/>
          <w:sz w:val="28"/>
          <w:szCs w:val="28"/>
          <w:rtl/>
        </w:rPr>
        <w:t xml:space="preserve">و أمّا فی غیره من أحد المنضمّین اللذین </w:t>
      </w:r>
      <w:r>
        <w:rPr>
          <w:rStyle w:val="FootnoteReference"/>
        </w:rPr>
        <w:footnoteReference w:id="2254"/>
      </w:r>
      <w:r>
        <w:rPr>
          <w:rFonts w:ascii="IRNazanin" w:hAnsi="IRNazanin" w:eastAsia="IRNazanin" w:cs="IRNazanin"/>
          <w:lang w:bidi="fa-IR"/>
          <w:color w:val="111111"/>
          <w:sz w:val="28"/>
          <w:szCs w:val="28"/>
          <w:rtl/>
        </w:rPr>
        <w:t xml:space="preserve">لا یکفی فی بیعه منفرداً</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 وزن المجموع،فالقطع بالمنع مع لزوم الغرر الشخصی،کما لو باع سبیکةً من ذهبٍ مردّدٍ بین مائة مثقالٍ و ألف مع و صلة من رصاص قد بلغ وزنهما </w:t>
      </w:r>
      <w:r>
        <w:rPr>
          <w:rStyle w:val="FootnoteReference"/>
        </w:rPr>
        <w:footnoteReference w:id="2255"/>
      </w:r>
      <w:r>
        <w:rPr>
          <w:rFonts w:ascii="IRNazanin" w:hAnsi="IRNazanin" w:eastAsia="IRNazanin" w:cs="IRNazanin"/>
          <w:lang w:bidi="fa-IR"/>
          <w:color w:val="111111"/>
          <w:sz w:val="28"/>
          <w:szCs w:val="28"/>
          <w:rtl/>
        </w:rPr>
        <w:t xml:space="preserve">ألفی مثقال،فإنّ الإقدام علی هذا البیع </w:t>
      </w:r>
      <w:r>
        <w:rPr>
          <w:rStyle w:val="FootnoteReference"/>
        </w:rPr>
        <w:footnoteReference w:id="2256"/>
      </w:r>
      <w:r>
        <w:rPr>
          <w:rFonts w:ascii="IRNazanin" w:hAnsi="IRNazanin" w:eastAsia="IRNazanin" w:cs="IRNazanin"/>
          <w:lang w:bidi="fa-IR"/>
          <w:color w:val="111111"/>
          <w:sz w:val="28"/>
          <w:szCs w:val="28"/>
          <w:rtl/>
        </w:rPr>
        <w:t xml:space="preserve">إقدامٌ علی ما فیه خطرٌ یستحقّ لأجله اللوم من العقلاء.</w:t>
      </w:r>
    </w:p>
    <w:p>
      <w:pPr>
        <w:pStyle w:val="BookText"/>
      </w:pPr>
      <w:r>
        <w:rPr>
          <w:rFonts w:ascii="IRNazanin" w:hAnsi="IRNazanin" w:eastAsia="IRNazanin" w:cs="IRNazanin"/>
          <w:lang w:bidi="fa-IR"/>
          <w:color w:val="111111"/>
          <w:sz w:val="28"/>
          <w:szCs w:val="28"/>
          <w:rtl/>
        </w:rPr>
        <w:t xml:space="preserve">و أمّا مع انتفاء الغرر الشخصی و انحصار المانع فی النصّ الدالّ علی لزوم الاعتبار بالکیل و الوزن </w:t>
      </w:r>
      <w:r>
        <w:rPr>
          <w:rStyle w:val="FootnoteReference"/>
        </w:rPr>
        <w:footnoteReference w:id="2257"/>
      </w:r>
      <w:r>
        <w:rPr>
          <w:rFonts w:ascii="IRNazanin" w:hAnsi="IRNazanin" w:eastAsia="IRNazanin" w:cs="IRNazanin"/>
          <w:lang w:bidi="fa-IR"/>
          <w:color w:val="111111"/>
          <w:sz w:val="28"/>
          <w:szCs w:val="28"/>
          <w:rtl/>
        </w:rPr>
        <w:t xml:space="preserve">و الإجماع المنعقد علی بطلان البیع إذا کان المبیع مجهول </w:t>
      </w:r>
      <w:r>
        <w:rPr>
          <w:rStyle w:val="FootnoteReference"/>
        </w:rPr>
        <w:footnoteReference w:id="2258"/>
      </w:r>
      <w:r>
        <w:rPr>
          <w:rFonts w:ascii="IRNazanin" w:hAnsi="IRNazanin" w:eastAsia="IRNazanin" w:cs="IRNazanin"/>
          <w:lang w:bidi="fa-IR"/>
          <w:color w:val="111111"/>
          <w:sz w:val="28"/>
          <w:szCs w:val="28"/>
          <w:rtl/>
        </w:rPr>
        <w:t xml:space="preserve">المقدار فی المکیل و الموزون،فالقطع بالجواز؛لأنّ النصّ و الإجماع إنّما دلّا </w:t>
      </w:r>
      <w:r>
        <w:rPr>
          <w:rStyle w:val="FootnoteReference"/>
        </w:rPr>
        <w:footnoteReference w:id="2259"/>
      </w:r>
      <w:r>
        <w:rPr>
          <w:rFonts w:ascii="IRNazanin" w:hAnsi="IRNazanin" w:eastAsia="IRNazanin" w:cs="IRNazanin"/>
          <w:lang w:bidi="fa-IR"/>
          <w:color w:val="111111"/>
          <w:sz w:val="28"/>
          <w:szCs w:val="28"/>
          <w:rtl/>
        </w:rPr>
        <w:t xml:space="preserve">علی لزوم اعتبار المبیع،لا کلِّ جزءٍ منه.</w:t>
      </w:r>
    </w:p>
    <w:p>
      <w:pPr>
        <w:pStyle w:val="BookText"/>
      </w:pPr>
      <w:r>
        <w:rPr>
          <w:rFonts w:ascii="IRNazanin" w:hAnsi="IRNazanin" w:eastAsia="IRNazanin" w:cs="IRNazanin"/>
          <w:lang w:bidi="fa-IR"/>
          <w:color w:val="111111"/>
          <w:sz w:val="28"/>
          <w:szCs w:val="28"/>
          <w:rtl/>
        </w:rPr>
        <w:t xml:space="preserve">و لو کان أحد الموزونین یجوز بیعه منفرداً مع معرفة وزن المجموع دون الآخر،کما لو فرضنا جواز بیع الفضّة المحشّی بالشمع و عدم جواز بیع الشمع کذلک،فإن فرضنا الشمع تابعاً لا یضرّ جهالته،و إلّا فلا.</w:t>
      </w:r>
    </w:p>
    <w:p>
      <w:pPr>
        <w:pStyle w:val="BookText"/>
      </w:pPr>
      <w:r>
        <w:rPr>
          <w:rFonts w:ascii="Amiri" w:hAnsi="Amiri" w:eastAsia="Amiri" w:cs="Amiri"/>
          <w:lang w:bidi="ar-SA"/>
          <w:color w:val="111111"/>
          <w:sz w:val="28"/>
          <w:szCs w:val="28"/>
          <w:rtl/>
        </w:rPr>
        <w:t xml:space="preserve">ثمّ إنّ بیع المظروف مع الظرف یتصوّر علی صورٍ:</w:t>
      </w:r>
    </w:p>
    <w:p>
      <w:pPr>
        <w:pStyle w:val="BookText"/>
      </w:pPr>
      <w:r>
        <w:rPr>
          <w:rFonts w:ascii="IRNazanin" w:hAnsi="IRNazanin" w:eastAsia="IRNazanin" w:cs="IRNazanin"/>
          <w:lang w:bidi="fa-IR"/>
          <w:color w:val="111111"/>
          <w:sz w:val="28"/>
          <w:szCs w:val="28"/>
          <w:rtl/>
        </w:rPr>
        <w:t xml:space="preserve">إحداها:أن یبیعه مع ظرفه </w:t>
      </w:r>
      <w:r>
        <w:rPr>
          <w:rStyle w:val="FootnoteReference"/>
        </w:rPr>
        <w:footnoteReference w:id="2260"/>
      </w:r>
      <w:r>
        <w:rPr>
          <w:rFonts w:ascii="IRNazanin" w:hAnsi="IRNazanin" w:eastAsia="IRNazanin" w:cs="IRNazanin"/>
          <w:lang w:bidi="fa-IR"/>
          <w:color w:val="111111"/>
          <w:sz w:val="28"/>
          <w:szCs w:val="28"/>
          <w:rtl/>
        </w:rPr>
        <w:t xml:space="preserve">بعشرة مثلاً،فیقسّط الثمن علی</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قیمتی کلٍّ من المظروف و الظرف لو احتیج إلی التقسیط،فإذا قیل:</w:t>
      </w:r>
    </w:p>
    <w:p>
      <w:pPr>
        <w:pStyle w:val="BookText"/>
      </w:pPr>
      <w:r>
        <w:rPr>
          <w:rFonts w:ascii="IRNazanin" w:hAnsi="IRNazanin" w:eastAsia="IRNazanin" w:cs="IRNazanin"/>
          <w:lang w:bidi="fa-IR"/>
          <w:color w:val="111111"/>
          <w:sz w:val="28"/>
          <w:szCs w:val="28"/>
          <w:rtl/>
        </w:rPr>
        <w:t xml:space="preserve">قیمة الظرف درهمٌ و قیمة المظروف تسعةٌ،کان للظرف عُشر الثمن.</w:t>
      </w:r>
    </w:p>
    <w:p>
      <w:pPr>
        <w:pStyle w:val="BookText"/>
      </w:pPr>
      <w:r>
        <w:rPr>
          <w:rFonts w:ascii="IRNazanin" w:hAnsi="IRNazanin" w:eastAsia="IRNazanin" w:cs="IRNazanin"/>
          <w:lang w:bidi="fa-IR"/>
          <w:color w:val="111111"/>
          <w:sz w:val="28"/>
          <w:szCs w:val="28"/>
          <w:rtl/>
        </w:rPr>
        <w:t xml:space="preserve">الثانیة:أن یبیعه مع ظرفه بکذا علی أنّ کلّ رطلٍ من المظروف بکذا،فیحتاج إلی إندار مقدارٍ للظرف،و یکون قیمة الظرف ما بقی بعد ذلک.و هذا فی معنی بیع کلٍّ منهما منفرداً.</w:t>
      </w:r>
    </w:p>
    <w:p>
      <w:pPr>
        <w:pStyle w:val="BookText"/>
      </w:pPr>
      <w:r>
        <w:rPr>
          <w:rFonts w:ascii="IRNazanin" w:hAnsi="IRNazanin" w:eastAsia="IRNazanin" w:cs="IRNazanin"/>
          <w:lang w:bidi="fa-IR"/>
          <w:color w:val="111111"/>
          <w:sz w:val="28"/>
          <w:szCs w:val="28"/>
          <w:rtl/>
        </w:rPr>
        <w:t xml:space="preserve">الثالثة:أن یبیعه مع الظرف کلَّ رطلٍ بکذا علی أن یکون التسعیر للظرف و المظروف.و طریقة التقسیط لو احتیج إلیه کما فی المسالک-:أن یوزن الظرف منفرداً و ینسب إلی الجملة و یؤخذ له من الثمن بتلک النسبة </w:t>
      </w:r>
      <w:r>
        <w:rPr>
          <w:rStyle w:val="FootnoteReference"/>
        </w:rPr>
        <w:footnoteReference w:id="2261"/>
      </w:r>
      <w:r>
        <w:rPr>
          <w:rFonts w:ascii="IRNazanin" w:hAnsi="IRNazanin" w:eastAsia="IRNazanin" w:cs="IRNazanin"/>
          <w:lang w:bidi="fa-IR"/>
          <w:color w:val="111111"/>
          <w:sz w:val="28"/>
          <w:szCs w:val="28"/>
          <w:rtl/>
        </w:rPr>
        <w:t xml:space="preserve">،و تبعه علی هذا غیر واحدٍ </w:t>
      </w:r>
      <w:r>
        <w:rPr>
          <w:rStyle w:val="FootnoteReference"/>
        </w:rPr>
        <w:footnoteReference w:id="2262"/>
      </w:r>
      <w:r>
        <w:rPr>
          <w:rFonts w:ascii="IRNazanin" w:hAnsi="IRNazanin" w:eastAsia="IRNazanin" w:cs="IRNazanin"/>
          <w:lang w:bidi="fa-IR"/>
          <w:color w:val="111111"/>
          <w:sz w:val="28"/>
          <w:szCs w:val="28"/>
          <w:rtl/>
        </w:rPr>
        <w:t xml:space="preserve">.و مقتضاه:أنّه لو کان الظرف رطلین و المجموع عشرة أُخذ له خمس الثمن.</w:t>
      </w:r>
    </w:p>
    <w:p>
      <w:pPr>
        <w:pStyle w:val="BookText"/>
      </w:pPr>
      <w:r>
        <w:rPr>
          <w:rFonts w:ascii="IRNazanin" w:hAnsi="IRNazanin" w:eastAsia="IRNazanin" w:cs="IRNazanin"/>
          <w:lang w:bidi="fa-IR"/>
          <w:color w:val="111111"/>
          <w:sz w:val="28"/>
          <w:szCs w:val="28"/>
          <w:rtl/>
        </w:rPr>
        <w:t xml:space="preserve">و الوجه فی ذلک:ملاحظة الظرف و المظروف شیئاً واحداً،حتّی أنّه یجوز أن یفرض تمام الظرف کسراً مشاعاً من المجموع لیساوی ثمنه ثمن </w:t>
      </w:r>
      <w:r>
        <w:rPr>
          <w:rStyle w:val="FootnoteReference"/>
        </w:rPr>
        <w:footnoteReference w:id="2263"/>
      </w:r>
      <w:r>
        <w:rPr>
          <w:rFonts w:ascii="IRNazanin" w:hAnsi="IRNazanin" w:eastAsia="IRNazanin" w:cs="IRNazanin"/>
          <w:lang w:bidi="fa-IR"/>
          <w:color w:val="111111"/>
          <w:sz w:val="28"/>
          <w:szCs w:val="28"/>
          <w:rtl/>
        </w:rPr>
        <w:t xml:space="preserve">المظروف.فالمبیع کلّ رطلٍ من هذا المجموع،لا من المرکّب من الظرف و المظروف،لأنّه إذا باع کلّ رطل من الظرف و المظروف بدرهمٍ مثلاً وزّع الدرهم علی الرطل و المظروف </w:t>
      </w:r>
      <w:r>
        <w:rPr>
          <w:rStyle w:val="FootnoteReference"/>
        </w:rPr>
        <w:footnoteReference w:id="2264"/>
      </w:r>
      <w:r>
        <w:rPr>
          <w:rFonts w:ascii="IRNazanin" w:hAnsi="IRNazanin" w:eastAsia="IRNazanin" w:cs="IRNazanin"/>
          <w:lang w:bidi="fa-IR"/>
          <w:color w:val="111111"/>
          <w:sz w:val="28"/>
          <w:szCs w:val="28"/>
          <w:rtl/>
        </w:rPr>
        <w:t xml:space="preserve">بحسب قیمة مثلهما.فإذا کان</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قیمة خمس الرطل المذکور الذی هو وزن الظرف الموجود فیه مساویاً لقیمة أربعة الأخماس التی هی مقدار المظروف الموجود،فکیف یقسّط الثمن علیه أخماساً؟</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72" w:name="pg14419_167240"/>
    <w:bookmarkEnd w:id="272"/>
    <w:p>
      <w:pPr>
        <w:pStyle w:val="Heading6"/>
      </w:pPr>
      <w:bookmarkStart w:id="1113" w:name="_Toc553"/>
      <w:r>
        <w:t>[تنبیهات البیع]</w:t>
      </w:r>
      <w:bookmarkEnd w:id="1113"/>
    </w:p>
    <w:p>
      <w:pPr>
        <w:pStyle w:val="Heading6"/>
      </w:pPr>
      <w:bookmarkStart w:id="1114" w:name="_Toc554"/>
      <w:r>
        <w:t>مسألة : المعروف بین الأصحاب تبعاً لظاهر تعبیر الشیخ بلفظ«ینبغی»،استحباب التفقّه</w:t>
      </w:r>
      <w:bookmarkEnd w:id="1114"/>
    </w:p>
    <w:p>
      <w:pPr>
        <w:pStyle w:val="BookText"/>
      </w:pPr>
      <w:r>
        <w:rPr>
          <w:rStyle w:val="FootnoteReference"/>
        </w:rPr>
        <w:footnoteReference w:id="2265"/>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فی مسائل الحلال و الحرام المتعلّقة بالتجارات،</w:t>
      </w:r>
    </w:p>
    <w:p>
      <w:pPr>
        <w:pStyle w:val="BookText"/>
      </w:pPr>
      <w:r>
        <w:rPr>
          <w:rFonts w:ascii="IRNazanin" w:hAnsi="IRNazanin" w:eastAsia="IRNazanin" w:cs="IRNazanin"/>
          <w:lang w:bidi="fa-IR"/>
          <w:color w:val="111111"/>
          <w:sz w:val="28"/>
          <w:szCs w:val="28"/>
          <w:rtl/>
        </w:rPr>
        <w:t xml:space="preserve">لیعرف صحیح العقد من </w:t>
      </w:r>
      <w:r>
        <w:rPr>
          <w:rStyle w:val="FootnoteReference"/>
        </w:rPr>
        <w:footnoteReference w:id="2266"/>
      </w:r>
      <w:r>
        <w:rPr>
          <w:rFonts w:ascii="IRNazanin" w:hAnsi="IRNazanin" w:eastAsia="IRNazanin" w:cs="IRNazanin"/>
          <w:lang w:bidi="fa-IR"/>
          <w:color w:val="111111"/>
          <w:sz w:val="28"/>
          <w:szCs w:val="28"/>
          <w:rtl/>
        </w:rPr>
        <w:t xml:space="preserve">فاسده و یسلم من الربا.</w:t>
      </w:r>
    </w:p>
    <w:p>
      <w:pPr>
        <w:pStyle w:val="BookText"/>
      </w:pPr>
      <w:r>
        <w:rPr>
          <w:rFonts w:ascii="IRNazanin" w:hAnsi="IRNazanin" w:eastAsia="IRNazanin" w:cs="IRNazanin"/>
          <w:lang w:bidi="fa-IR"/>
          <w:color w:val="111111"/>
          <w:sz w:val="28"/>
          <w:szCs w:val="28"/>
          <w:rtl/>
        </w:rPr>
        <w:t xml:space="preserve">و عن إیضاح النافع:أنّه قد یجب </w:t>
      </w:r>
      <w:r>
        <w:rPr>
          <w:rStyle w:val="FootnoteReference"/>
        </w:rPr>
        <w:footnoteReference w:id="2267"/>
      </w:r>
      <w:r>
        <w:rPr>
          <w:rFonts w:ascii="IRNazanin" w:hAnsi="IRNazanin" w:eastAsia="IRNazanin" w:cs="IRNazanin"/>
          <w:lang w:bidi="fa-IR"/>
          <w:color w:val="111111"/>
          <w:sz w:val="28"/>
          <w:szCs w:val="28"/>
          <w:rtl/>
        </w:rPr>
        <w:t xml:space="preserve">.و هو ظاهر عبارة الحدائق أیضاً </w:t>
      </w:r>
      <w:r>
        <w:rPr>
          <w:rStyle w:val="FootnoteReference"/>
        </w:rPr>
        <w:footnoteReference w:id="2268"/>
      </w:r>
      <w:r>
        <w:rPr>
          <w:rFonts w:ascii="Amiri" w:hAnsi="Amiri" w:eastAsia="Amiri" w:cs="Amiri"/>
          <w:lang w:bidi="ar-SA"/>
          <w:color w:val="111111"/>
          <w:sz w:val="28"/>
          <w:szCs w:val="28"/>
          <w:rtl/>
        </w:rPr>
        <w:t xml:space="preserve">.و کلام المفید رحمه اللّٰه فی المقنعة أیضاً لا یأبی الوجوب؛لأنّه بعد ذکر قوله تعالی: لاٰ تَأْکُلُوا أَمْوٰالَکُمْ بَیْنَکُمْ بِالْبٰاطِلِ إِلاّٰ أَنْ تَکُونَ تِجٰارَةً عَنْ تَرٰاضٍ </w:t>
      </w:r>
      <w:r>
        <w:rPr>
          <w:rStyle w:val="FootnoteReference"/>
        </w:rPr>
        <w:footnoteReference w:id="2269"/>
      </w:r>
      <w:r>
        <w:rPr>
          <w:rFonts w:ascii="Amiri" w:hAnsi="Amiri" w:eastAsia="Amiri" w:cs="Amiri"/>
          <w:lang w:bidi="ar-SA"/>
          <w:color w:val="111111"/>
          <w:sz w:val="28"/>
          <w:szCs w:val="28"/>
          <w:rtl/>
        </w:rPr>
        <w:t xml:space="preserve">،و قوله تعالی: أَنْفِقُوا مِنْ طَیِّبٰاتِ مٰا کَسَبْتُمْ وَ مِمّٰا أَخْرَجْنٰا لَکُمْ مِنَ الْأَرْضِ وَ لاٰ تَیَمَّمُوا الْخَبِیثَ مِنْهُ تُنْفِقُونَ </w:t>
      </w:r>
      <w:r>
        <w:rPr>
          <w:rStyle w:val="FootnoteReference"/>
        </w:rPr>
        <w:footnoteReference w:id="2270"/>
      </w:r>
      <w:r>
        <w:rPr>
          <w:rFonts w:ascii="IRNazanin" w:hAnsi="IRNazanin" w:eastAsia="IRNazanin" w:cs="IRNazanin"/>
          <w:lang w:bidi="fa-IR"/>
          <w:color w:val="111111"/>
          <w:sz w:val="28"/>
          <w:szCs w:val="28"/>
          <w:rtl/>
        </w:rPr>
        <w:t xml:space="preserve">قال:فندب إلی الإنفاق</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طیّب الاکتساب،و نهی عن طلب الخبیث للمعیشة و الإنفاق،فمن لم یعرف فرق ما بین الحلال من المکتسب و الحرام لم یکن مجتنباً للخبیث من الأعمال،و لا کان علی ثقةٍ فی تفقّهٍ </w:t>
      </w:r>
      <w:r>
        <w:rPr>
          <w:rStyle w:val="FootnoteReference"/>
        </w:rPr>
        <w:footnoteReference w:id="2271"/>
      </w:r>
      <w:r>
        <w:rPr>
          <w:rFonts w:ascii="Amiri" w:hAnsi="Amiri" w:eastAsia="Amiri" w:cs="Amiri"/>
          <w:lang w:bidi="ar-SA"/>
          <w:color w:val="111111"/>
          <w:sz w:val="28"/>
          <w:szCs w:val="28"/>
          <w:rtl/>
        </w:rPr>
        <w:t xml:space="preserve">من طیّب الاکتساب،و قال تعالی أیضاً ذٰلِکَ بِأَنَّهُمْ قٰالُوا إِنَّمَا الْبَیْعُ مِثْلُ الرِّبٰا وَ أَحَلَّ اللّٰهُ الْبَیْعَ وَ حَرَّمَ الرِّبٰا </w:t>
      </w:r>
      <w:r>
        <w:rPr>
          <w:rStyle w:val="FootnoteReference"/>
        </w:rPr>
        <w:footnoteReference w:id="2272"/>
      </w:r>
      <w:r>
        <w:rPr>
          <w:rFonts w:ascii="IRNazanin" w:hAnsi="IRNazanin" w:eastAsia="IRNazanin" w:cs="IRNazanin"/>
          <w:lang w:bidi="fa-IR"/>
          <w:color w:val="111111"/>
          <w:sz w:val="28"/>
          <w:szCs w:val="28"/>
          <w:rtl/>
        </w:rPr>
        <w:t xml:space="preserve">،فینبغی أن یعرف البیع المخالف للربا لیعلم بذلک ما أحلّ اللّٰه و حرّم من المتاجر و الاکتساب.و جاءت الروایة عن أمیر المؤمنین علیه السلام أنّه کان یقول:«من اتّجر بغیر علمٍ فقد ارتطم فی الربا،ثمّ ارتطم»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قال:قال الصادق علیه السلام:«من أراد التجارة فلیتفقّه فی دینه؛ لیعلم بذلک ما یحلّ له ممّا یحرم علیه،و من لم یتفقّه فی دینه ثمّ اتّجر تورّط فی الشبهات» </w:t>
      </w:r>
      <w:r>
        <w:rPr>
          <w:rStyle w:val="FootnoteReference"/>
        </w:rPr>
        <w:footnoteReference w:id="2274"/>
      </w:r>
      <w:r>
        <w:rPr>
          <w:rFonts w:ascii="IRNazanin" w:hAnsi="IRNazanin" w:eastAsia="IRNazanin" w:cs="IRNazanin"/>
          <w:lang w:bidi="fa-IR"/>
          <w:color w:val="111111"/>
          <w:sz w:val="28"/>
          <w:szCs w:val="28"/>
          <w:rtl/>
        </w:rPr>
        <w:t xml:space="preserve">،انتهی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أقول:ظاهر کلامه رحمه اللّٰه الوجوب،إلّا أنّ تعبیره بلفظ«ینبغی» ربما یُدّعی ظهوره فی الاستحباب،إلّا أنّ الإنصاف </w:t>
      </w:r>
      <w:r>
        <w:rPr>
          <w:rStyle w:val="FootnoteReference"/>
        </w:rPr>
        <w:footnoteReference w:id="2276"/>
      </w:r>
      <w:r>
        <w:rPr>
          <w:rFonts w:ascii="IRNazanin" w:hAnsi="IRNazanin" w:eastAsia="IRNazanin" w:cs="IRNazanin"/>
          <w:lang w:bidi="fa-IR"/>
          <w:color w:val="111111"/>
          <w:sz w:val="28"/>
          <w:szCs w:val="28"/>
          <w:rtl/>
        </w:rPr>
        <w:t xml:space="preserve">أنّ ظهوره لیس بحیث یعارض </w:t>
      </w:r>
      <w:r>
        <w:rPr>
          <w:rStyle w:val="FootnoteReference"/>
        </w:rPr>
        <w:footnoteReference w:id="2277"/>
      </w:r>
      <w:r>
        <w:rPr>
          <w:rFonts w:ascii="IRNazanin" w:hAnsi="IRNazanin" w:eastAsia="IRNazanin" w:cs="IRNazanin"/>
          <w:lang w:bidi="fa-IR"/>
          <w:color w:val="111111"/>
          <w:sz w:val="28"/>
          <w:szCs w:val="28"/>
          <w:rtl/>
        </w:rPr>
        <w:t xml:space="preserve">ظهور ما فی کلامه فی الوجوب من باب المقدّمة،فإنّ معرفة الحلال و الحرام واجبةٌ علی کلّ أحدٍ بالنظر إلی ما یبتلی به </w:t>
      </w:r>
      <w:r>
        <w:rPr>
          <w:rStyle w:val="FootnoteReference"/>
        </w:rPr>
        <w:footnoteReference w:id="2278"/>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الأُمور.و لیس معرفة جمیعها ممّا یتعلّق بالإنسان وجوبها فوراً دفعةً، بل عند الالتفات إلی احتمال الحرمة فی فعلٍ یرید أن یفعله،أو عند إرادة الإقدام علی أفعالٍ یعلم بوجود الحرام بینها،فإنّه معاقبٌ علی ما یفعله من الحرام لو ترک التعلّم و إن لم یلتفت عند فعله إلی احتمال تحریمه، فإنّ التفاته السابق و علمه بعدم خلوّ ما یرید مزاولتها من الأفعال من الحرام کافٍ فی حسن العقاب،و إلّا لم یعاقب أکثر الجهّال علی أکثر المحرّمات؛ لأنّهم یفعلونها و هم غیر ملتفتین إلی احتمال حرمتها عند الارتکاب.</w:t>
      </w:r>
    </w:p>
    <w:p>
      <w:pPr>
        <w:pStyle w:val="BookText"/>
      </w:pPr>
      <w:r>
        <w:rPr>
          <w:rFonts w:ascii="IRNazanin" w:hAnsi="IRNazanin" w:eastAsia="IRNazanin" w:cs="IRNazanin"/>
          <w:lang w:bidi="fa-IR"/>
          <w:color w:val="111111"/>
          <w:sz w:val="28"/>
          <w:szCs w:val="28"/>
          <w:rtl/>
        </w:rPr>
        <w:t xml:space="preserve">و لذا أجمعنا علی أنّ الکفّار یعاقبون علی الفروع.و قد ورد ذمّ الغافل المقصّر فی معصیته،فی غیر واحدٍ من الأخبار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قلنا بعدم العقاب علی فعل المحرّم الواقعی الذی یفعله من غیر شعورٍ </w:t>
      </w:r>
      <w:r>
        <w:rPr>
          <w:rStyle w:val="FootnoteReference"/>
        </w:rPr>
        <w:footnoteReference w:id="2280"/>
      </w:r>
      <w:r>
        <w:rPr>
          <w:rFonts w:ascii="IRNazanin" w:hAnsi="IRNazanin" w:eastAsia="IRNazanin" w:cs="IRNazanin"/>
          <w:lang w:bidi="fa-IR"/>
          <w:color w:val="111111"/>
          <w:sz w:val="28"/>
          <w:szCs w:val="28"/>
          <w:rtl/>
        </w:rPr>
        <w:t xml:space="preserve">کما هو ظاهر جماعةٍ تبعاً للأردبیلی رحمه اللّٰه-:من عدم العقاب علی الحرام المجهول حرمته عن تقصیرٍ؛لقبح خطاب الغافل، فیقبح عقابه.لکن </w:t>
      </w:r>
      <w:r>
        <w:rPr>
          <w:rStyle w:val="FootnoteReference"/>
        </w:rPr>
        <w:footnoteReference w:id="2281"/>
      </w:r>
      <w:r>
        <w:rPr>
          <w:rFonts w:ascii="IRNazanin" w:hAnsi="IRNazanin" w:eastAsia="IRNazanin" w:cs="IRNazanin"/>
          <w:lang w:bidi="fa-IR"/>
          <w:color w:val="111111"/>
          <w:sz w:val="28"/>
          <w:szCs w:val="28"/>
          <w:rtl/>
        </w:rPr>
        <w:t xml:space="preserve">تحصیل العلم و إزالة الجهل واجبٌ علی هذا القول، کما اعترفوا به.</w:t>
      </w:r>
    </w:p>
    <w:p>
      <w:pPr>
        <w:pStyle w:val="BookText"/>
      </w:pPr>
      <w:r>
        <w:rPr>
          <w:rFonts w:ascii="IRNazanin" w:hAnsi="IRNazanin" w:eastAsia="IRNazanin" w:cs="IRNazanin"/>
          <w:lang w:bidi="fa-IR"/>
          <w:color w:val="111111"/>
          <w:sz w:val="28"/>
          <w:szCs w:val="28"/>
          <w:rtl/>
        </w:rPr>
        <w:t xml:space="preserve">و الحاصل:أنّ التزام عدم عقاب الجاهل المقصّر لا </w:t>
      </w:r>
      <w:r>
        <w:rPr>
          <w:rStyle w:val="FootnoteReference"/>
        </w:rPr>
        <w:footnoteReference w:id="2282"/>
      </w:r>
      <w:r>
        <w:rPr>
          <w:rFonts w:ascii="IRNazanin" w:hAnsi="IRNazanin" w:eastAsia="IRNazanin" w:cs="IRNazanin"/>
          <w:lang w:bidi="fa-IR"/>
          <w:color w:val="111111"/>
          <w:sz w:val="28"/>
          <w:szCs w:val="28"/>
          <w:rtl/>
        </w:rPr>
        <w:t xml:space="preserve">علی فعل الحرام،و لا علی ترک التعلّم إلّا إذا کان حین الفعل ملتفتاً إلی احتمال</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تحریمه لا یوجد له وجهٌ،بعد ثبوت أدلّة التحریم،و وجوب طلب العلم علی کلّ مسلمٍ،و عدم تقبیح عقاب من التفت إلی وجود الحرام فی أفراد البیع التی یزاولها تدریجاً علی ارتکاب الحرام فی هذا </w:t>
      </w:r>
      <w:r>
        <w:rPr>
          <w:rStyle w:val="FootnoteReference"/>
        </w:rPr>
        <w:footnoteReference w:id="2283"/>
      </w:r>
      <w:r>
        <w:rPr>
          <w:rFonts w:ascii="IRNazanin" w:hAnsi="IRNazanin" w:eastAsia="IRNazanin" w:cs="IRNazanin"/>
          <w:lang w:bidi="fa-IR"/>
          <w:color w:val="111111"/>
          <w:sz w:val="28"/>
          <w:szCs w:val="28"/>
          <w:rtl/>
        </w:rPr>
        <w:t xml:space="preserve">الأثناء و إن لم یلتفت حین إرادة ذلک الحرام.</w:t>
      </w:r>
    </w:p>
    <w:p>
      <w:pPr>
        <w:pStyle w:val="BookText"/>
      </w:pPr>
      <w:r>
        <w:rPr>
          <w:rFonts w:ascii="IRNazanin" w:hAnsi="IRNazanin" w:eastAsia="IRNazanin" w:cs="IRNazanin"/>
          <w:lang w:bidi="fa-IR"/>
          <w:color w:val="111111"/>
          <w:sz w:val="28"/>
          <w:szCs w:val="28"/>
          <w:rtl/>
        </w:rPr>
        <w:t xml:space="preserve">ثمّ إنّ المقام یزید علی غیره بأنّ الأصل فی المعاملات الفساد، فالمکلّف إذا أراد التجارة و بنی علی التصرّف فیما یحصل فی یده من أموال الناس </w:t>
      </w:r>
      <w:r>
        <w:rPr>
          <w:rStyle w:val="FootnoteReference"/>
        </w:rPr>
        <w:footnoteReference w:id="2284"/>
      </w:r>
      <w:r>
        <w:rPr>
          <w:rFonts w:ascii="IRNazanin" w:hAnsi="IRNazanin" w:eastAsia="IRNazanin" w:cs="IRNazanin"/>
          <w:lang w:bidi="fa-IR"/>
          <w:color w:val="111111"/>
          <w:sz w:val="28"/>
          <w:szCs w:val="28"/>
          <w:rtl/>
        </w:rPr>
        <w:t xml:space="preserve">علی وجه العوضیّة یحرم علیه ظاهراً الإقدام علی کلّ تصرّفٍ منها بمقتضی أصالة عدم انتقاله إلیه إلّا مع العلم بإمضاء الشارع لتلک المعاملة،و یمکن أن یکون فی قوله علیه السلام:«التاجر فاجر،و الفاجر فی النار إلّا من أخذ الحقّ و أعطی الحقّ» </w:t>
      </w:r>
      <w:r>
        <w:rPr>
          <w:rStyle w:val="FootnoteReference"/>
        </w:rPr>
        <w:footnoteReference w:id="2285"/>
      </w:r>
      <w:r>
        <w:rPr>
          <w:rFonts w:ascii="IRNazanin" w:hAnsi="IRNazanin" w:eastAsia="IRNazanin" w:cs="IRNazanin"/>
          <w:lang w:bidi="fa-IR"/>
          <w:color w:val="111111"/>
          <w:sz w:val="28"/>
          <w:szCs w:val="28"/>
          <w:rtl/>
        </w:rPr>
        <w:t xml:space="preserve">إشارةٌ إلی هذا المعنی،بناءً علی أنّ الخارج من العموم لیس إلّا من علم بإعطاء الحقّ و أخذ الحقّ.</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فوجوب معرفة المعاملة الصحیحة فی هذا المقام </w:t>
      </w:r>
      <w:r>
        <w:rPr>
          <w:rStyle w:val="FootnoteReference"/>
        </w:rPr>
        <w:footnoteReference w:id="2286"/>
      </w:r>
      <w:r>
        <w:rPr>
          <w:rFonts w:ascii="IRNazanin" w:hAnsi="IRNazanin" w:eastAsia="IRNazanin" w:cs="IRNazanin"/>
          <w:lang w:bidi="fa-IR"/>
          <w:color w:val="111111"/>
          <w:sz w:val="28"/>
          <w:szCs w:val="28"/>
          <w:rtl/>
        </w:rPr>
        <w:t xml:space="preserve">شرعیٌّ،لنهی الشارع عن التصرّف فی مالٍ لم یعلم انتقاله إلیه،بناءً علی أصالة عدم انتقاله إلیه.و فی غیر هذا المقام عقلیٌّ مقدّمیٌّ لئلّا یقع فی الحرام.</w:t>
      </w:r>
    </w:p>
    <w:p>
      <w:pPr>
        <w:pStyle w:val="BookText"/>
      </w:pPr>
      <w:r>
        <w:rPr>
          <w:rFonts w:ascii="IRNazanin" w:hAnsi="IRNazanin" w:eastAsia="IRNazanin" w:cs="IRNazanin"/>
          <w:lang w:bidi="fa-IR"/>
          <w:color w:val="111111"/>
          <w:sz w:val="28"/>
          <w:szCs w:val="28"/>
          <w:rtl/>
        </w:rPr>
        <w:t xml:space="preserve">و کیف کان،فالحکم باستحباب التفقّه للتاجر محلّ نظر،بل الأولی وجوبه علیه عقلاً و شرعاً،و إن کان وجوب معرفة باقی المحرّمات من باب العقل فقط.</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توجیه کلامهم بإرادة التفقّه الکامل لیطّلع علی مسائل الربا الدقیقة و المعاملات الفاسدة کذلک،و یطّلع علی موارد الشبهة و المعاملات الغیر الواضحة الصحّة فیجتنب عنها فی العمل،فإنّ القدر الواجب هو معرفة المسائل العامّة البلوی،لا الفروع الفقهیّة المذکورة فی المعاملات.</w:t>
      </w:r>
    </w:p>
    <w:p>
      <w:pPr>
        <w:pStyle w:val="BookText"/>
      </w:pPr>
      <w:r>
        <w:rPr>
          <w:rFonts w:ascii="IRNazanin" w:hAnsi="IRNazanin" w:eastAsia="IRNazanin" w:cs="IRNazanin"/>
          <w:lang w:bidi="fa-IR"/>
          <w:color w:val="111111"/>
          <w:sz w:val="28"/>
          <w:szCs w:val="28"/>
          <w:rtl/>
        </w:rPr>
        <w:t xml:space="preserve">و یشهد للغایة الأُولی قوله علیه السلام فی مقام تعلیل وجوب التفقّه:</w:t>
      </w:r>
    </w:p>
    <w:p>
      <w:pPr>
        <w:pStyle w:val="BookText"/>
      </w:pPr>
      <w:r>
        <w:rPr>
          <w:rFonts w:ascii="IRNazanin" w:hAnsi="IRNazanin" w:eastAsia="IRNazanin" w:cs="IRNazanin"/>
          <w:lang w:bidi="fa-IR"/>
          <w:color w:val="111111"/>
          <w:sz w:val="28"/>
          <w:szCs w:val="28"/>
          <w:rtl/>
        </w:rPr>
        <w:t xml:space="preserve">«إنّ الربا أخفی من دبیب النملة علی الصفا» </w:t>
      </w:r>
      <w:r>
        <w:rPr>
          <w:rStyle w:val="FootnoteReference"/>
        </w:rPr>
        <w:footnoteReference w:id="2287"/>
      </w:r>
      <w:r>
        <w:rPr>
          <w:rFonts w:ascii="IRNazanin" w:hAnsi="IRNazanin" w:eastAsia="IRNazanin" w:cs="IRNazanin"/>
          <w:lang w:bidi="fa-IR"/>
          <w:color w:val="111111"/>
          <w:sz w:val="28"/>
          <w:szCs w:val="28"/>
          <w:rtl/>
        </w:rPr>
        <w:t xml:space="preserve">،و للغایة الثانیة قول الصادق علیه السلام فی الروایة المتقدّمة:«من لم یتفقّه ثمّ اتّجر تورّط فی الشبهات» </w:t>
      </w:r>
      <w:r>
        <w:rPr>
          <w:rStyle w:val="FootnoteReference"/>
        </w:rPr>
        <w:footnoteReference w:id="2288"/>
      </w:r>
      <w:r>
        <w:rPr>
          <w:rFonts w:ascii="IRNazanin" w:hAnsi="IRNazanin" w:eastAsia="IRNazanin" w:cs="IRNazanin"/>
          <w:lang w:bidi="fa-IR"/>
          <w:color w:val="111111"/>
          <w:sz w:val="28"/>
          <w:szCs w:val="28"/>
          <w:rtl/>
        </w:rPr>
        <w:t xml:space="preserve">،لکن ظاهر صدره الوجوب،فلاحظ.</w:t>
      </w:r>
    </w:p>
    <w:p>
      <w:pPr>
        <w:pStyle w:val="BookText"/>
      </w:pPr>
      <w:r>
        <w:rPr>
          <w:rFonts w:ascii="IRNazanin" w:hAnsi="IRNazanin" w:eastAsia="IRNazanin" w:cs="IRNazanin"/>
          <w:lang w:bidi="fa-IR"/>
          <w:color w:val="111111"/>
          <w:sz w:val="28"/>
          <w:szCs w:val="28"/>
          <w:rtl/>
        </w:rPr>
        <w:t xml:space="preserve">و قد حکی توجیه کلامهم بما ذکرنا عن غیر واحد </w:t>
      </w:r>
      <w:r>
        <w:rPr>
          <w:rStyle w:val="FootnoteReference"/>
        </w:rPr>
        <w:footnoteReference w:id="2289"/>
      </w:r>
      <w:r>
        <w:rPr>
          <w:rFonts w:ascii="IRNazanin" w:hAnsi="IRNazanin" w:eastAsia="IRNazanin" w:cs="IRNazanin"/>
          <w:lang w:bidi="fa-IR"/>
          <w:color w:val="111111"/>
          <w:sz w:val="28"/>
          <w:szCs w:val="28"/>
          <w:rtl/>
        </w:rPr>
        <w:t xml:space="preserve">.و لا یخلو عن وجهٍ فی مقام التوجیه.</w:t>
      </w:r>
    </w:p>
    <w:p>
      <w:pPr>
        <w:pStyle w:val="BookText"/>
      </w:pPr>
      <w:r>
        <w:rPr>
          <w:rFonts w:ascii="IRNazanin" w:hAnsi="IRNazanin" w:eastAsia="IRNazanin" w:cs="IRNazanin"/>
          <w:lang w:bidi="fa-IR"/>
          <w:color w:val="111111"/>
          <w:sz w:val="28"/>
          <w:szCs w:val="28"/>
          <w:rtl/>
        </w:rPr>
        <w:t xml:space="preserve">ثمّ إنّ التفقّه فی مسائل التجارة لمّا کان مطلوباً للتخلّص عن المعاملات الفاسدة التی أهمّها الربا الجامعة بین أکل المال بالباطل و ارتکاب الموبقة الکذائیّة لم یعتبر فیه کونه عن اجتهاد،بل یکفی فیه التقلید الصحیح،فلا تعارض بین أدلّة التفقّه هنا،و أدلّة تحصیل المعاش.</w:t>
      </w:r>
    </w:p>
    <w:p>
      <w:pPr>
        <w:pStyle w:val="BookText"/>
      </w:pPr>
      <w:r>
        <w:rPr>
          <w:rFonts w:ascii="IRNazanin" w:hAnsi="IRNazanin" w:eastAsia="IRNazanin" w:cs="IRNazanin"/>
          <w:lang w:bidi="fa-IR"/>
          <w:color w:val="111111"/>
          <w:sz w:val="28"/>
          <w:szCs w:val="28"/>
          <w:rtl/>
        </w:rPr>
        <w:t xml:space="preserve">نعم،ربما أُورد </w:t>
      </w:r>
      <w:r>
        <w:rPr>
          <w:rStyle w:val="FootnoteReference"/>
        </w:rPr>
        <w:footnoteReference w:id="2290"/>
      </w:r>
      <w:r>
        <w:rPr>
          <w:rFonts w:ascii="IRNazanin" w:hAnsi="IRNazanin" w:eastAsia="IRNazanin" w:cs="IRNazanin"/>
          <w:lang w:bidi="fa-IR"/>
          <w:color w:val="111111"/>
          <w:sz w:val="28"/>
          <w:szCs w:val="28"/>
          <w:rtl/>
        </w:rPr>
        <w:t xml:space="preserve">فی هذا المقام و إن کان خارجاً عنه التعارض</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أدلّة طلب مطلق العلم،الشامل لمعرفة مسائل العبادات و أنواع المعاملات المتوقّف علی الاجتهاد،و بین أدلّة طلب الاکتساب و الاشتغال فی تحصیل المال لأجل الإنفاق علی من ینبغی أن ینفق علیه،و ترک إلقاء کَلِّه علی الناس الموجب لاستحقاق اللعن،فإنّ الأخبار من الطرفین کثیرة.</w:t>
      </w:r>
    </w:p>
    <w:p>
      <w:pPr>
        <w:pStyle w:val="BookText"/>
      </w:pPr>
      <w:r>
        <w:rPr>
          <w:rFonts w:ascii="IRNazanin" w:hAnsi="IRNazanin" w:eastAsia="IRNazanin" w:cs="IRNazanin"/>
          <w:lang w:bidi="fa-IR"/>
          <w:color w:val="111111"/>
          <w:sz w:val="28"/>
          <w:szCs w:val="28"/>
          <w:rtl/>
        </w:rPr>
        <w:t xml:space="preserve">یکفی فی طلب الاکتساب ما ورد:من أنّه«أوحی اللّٰه تعالی إلی داود علی نبیّنا و آله و علیه السلام:یا داود إنّک نِعْم العبد لولا أنّک تأکل من بیت المال و لا تعمل بیدک شیئاً.فبکی علیه السلام أربعین صباحاً ثمّ ألان اللّٰه تعالی له الحدید،و کان یعمل کلّ یوم درعاً و یبیعه بألف درهم، فعمل ثلاثمائة و ستّین درعاً فباعها و استغنی عن بیت المال...الحدیث»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أرسله فی الفقیه عن الصادق علیه السلام:«لیس منّا من ترک دنیاه لآخرته،أو آخرته لدنیاه» </w:t>
      </w:r>
      <w:r>
        <w:rPr>
          <w:rStyle w:val="FootnoteReference"/>
        </w:rPr>
        <w:footnoteReference w:id="2292"/>
      </w:r>
      <w:r>
        <w:rPr>
          <w:rFonts w:ascii="Amiri" w:hAnsi="Amiri" w:eastAsia="Amiri" w:cs="Amiri"/>
          <w:lang w:bidi="ar-SA"/>
          <w:color w:val="111111"/>
          <w:sz w:val="28"/>
          <w:szCs w:val="28"/>
          <w:rtl/>
        </w:rPr>
        <w:t xml:space="preserve">،و أنّ«العبادة سبعون جزءاً أفضلها طلب الحلال»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الأخبار فی طلب العلم و فضله فهی أکثر من أن تذکر، و أوضح من أن تحتاج إلی الذکر.</w:t>
      </w:r>
    </w:p>
    <w:p>
      <w:pPr>
        <w:pStyle w:val="BookText"/>
      </w:pPr>
      <w:r>
        <w:rPr>
          <w:rFonts w:ascii="IRNazanin" w:hAnsi="IRNazanin" w:eastAsia="IRNazanin" w:cs="IRNazanin"/>
          <w:lang w:bidi="fa-IR"/>
          <w:color w:val="111111"/>
          <w:sz w:val="28"/>
          <w:szCs w:val="28"/>
          <w:rtl/>
        </w:rPr>
        <w:t xml:space="preserve">و ذکر فی الحدائق:أنّ الجمع بینهما بأحد وجهین:</w:t>
      </w:r>
    </w:p>
    <w:p>
      <w:pPr>
        <w:pStyle w:val="BookText"/>
      </w:pPr>
      <w:r>
        <w:rPr>
          <w:rFonts w:ascii="IRNazanin" w:hAnsi="IRNazanin" w:eastAsia="IRNazanin" w:cs="IRNazanin"/>
          <w:lang w:bidi="fa-IR"/>
          <w:color w:val="111111"/>
          <w:sz w:val="28"/>
          <w:szCs w:val="28"/>
          <w:rtl/>
        </w:rPr>
        <w:t xml:space="preserve">أحدهما و هو الأظهر بین علمائنا-:تخصیص أخبار وجوب طلب الرزق بأخبار وجوب طلب العلم،و یقال بوجوب ذلک علی</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طالب العلم المشتغل بتحصیله </w:t>
      </w:r>
      <w:r>
        <w:rPr>
          <w:rStyle w:val="FootnoteReference"/>
        </w:rPr>
        <w:footnoteReference w:id="2294"/>
      </w:r>
      <w:r>
        <w:rPr>
          <w:rFonts w:ascii="IRNazanin" w:hAnsi="IRNazanin" w:eastAsia="IRNazanin" w:cs="IRNazanin"/>
          <w:lang w:bidi="fa-IR"/>
          <w:color w:val="111111"/>
          <w:sz w:val="28"/>
          <w:szCs w:val="28"/>
          <w:rtl/>
        </w:rPr>
        <w:t xml:space="preserve">و استفادته و تعلیمه و إفادته.قال:</w:t>
      </w:r>
    </w:p>
    <w:p>
      <w:pPr>
        <w:pStyle w:val="BookText"/>
      </w:pPr>
      <w:r>
        <w:rPr>
          <w:rFonts w:ascii="IRNazanin" w:hAnsi="IRNazanin" w:eastAsia="IRNazanin" w:cs="IRNazanin"/>
          <w:lang w:bidi="fa-IR"/>
          <w:color w:val="111111"/>
          <w:sz w:val="28"/>
          <w:szCs w:val="28"/>
          <w:rtl/>
        </w:rPr>
        <w:t xml:space="preserve">و بهذا الوجه صرّح الشهید الثانی رحمه اللّٰه فی رسالته المسمّاة ب«منیة المرید فی آداب المفید و المستفید»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حیث قال فی جملة شرائط العلم:</w:t>
      </w:r>
    </w:p>
    <w:p>
      <w:pPr>
        <w:pStyle w:val="BookText"/>
      </w:pPr>
      <w:r>
        <w:rPr>
          <w:rFonts w:ascii="IRNazanin" w:hAnsi="IRNazanin" w:eastAsia="IRNazanin" w:cs="IRNazanin"/>
          <w:lang w:bidi="fa-IR"/>
          <w:color w:val="111111"/>
          <w:sz w:val="28"/>
          <w:szCs w:val="28"/>
          <w:rtl/>
        </w:rPr>
        <w:t xml:space="preserve">و أن یتوکّل علی اللّٰه و یفوّض أمره إلیه،و لا یعتمد علی الأسباب فیوکل إلیها </w:t>
      </w:r>
      <w:r>
        <w:rPr>
          <w:rStyle w:val="FootnoteReference"/>
        </w:rPr>
        <w:footnoteReference w:id="2295"/>
      </w:r>
      <w:r>
        <w:rPr>
          <w:rFonts w:ascii="IRNazanin" w:hAnsi="IRNazanin" w:eastAsia="IRNazanin" w:cs="IRNazanin"/>
          <w:lang w:bidi="fa-IR"/>
          <w:color w:val="111111"/>
          <w:sz w:val="28"/>
          <w:szCs w:val="28"/>
          <w:rtl/>
        </w:rPr>
        <w:t xml:space="preserve">و تکون </w:t>
      </w:r>
      <w:r>
        <w:rPr>
          <w:rStyle w:val="FootnoteReference"/>
        </w:rPr>
        <w:footnoteReference w:id="2296"/>
      </w:r>
      <w:r>
        <w:rPr>
          <w:rFonts w:ascii="IRNazanin" w:hAnsi="IRNazanin" w:eastAsia="IRNazanin" w:cs="IRNazanin"/>
          <w:lang w:bidi="fa-IR"/>
          <w:color w:val="111111"/>
          <w:sz w:val="28"/>
          <w:szCs w:val="28"/>
          <w:rtl/>
        </w:rPr>
        <w:t xml:space="preserve">وبالاً علیه،و لا علی أحدٍ من خلق اللّٰه تعالی، بل یلقی مقالید أمره إلی اللّٰه تعالی،یظهر له من نفحات قدسه و لحظات أُنسه ما به یحصل مطلوبه و یصلح به مراده.و قد ورد فی الحدیث عن النبی صلّی اللّٰه علیه و آله أنّ اللّٰه تعالی قد تکفّل لطالب العلم برزقه عمّا ضمنه لغیره»بمعنی:أنّ غیره یحتاج إلی السعی علی الرزق حتّی یحصل له، و طالب العلم لا یُکلَّف بذلک بل بالطلب،و کفاه مئونة الرزق إن أحسن النیّة،و أخلص القربة.و عندی فی ذلک من الوقائع ما لو جمعته [بلغ </w:t>
      </w:r>
      <w:r>
        <w:rPr>
          <w:rStyle w:val="FootnoteReference"/>
        </w:rPr>
        <w:footnoteReference w:id="2297"/>
      </w:r>
      <w:r>
        <w:rPr>
          <w:rFonts w:ascii="IRNazanin" w:hAnsi="IRNazanin" w:eastAsia="IRNazanin" w:cs="IRNazanin"/>
          <w:lang w:bidi="fa-IR"/>
          <w:color w:val="111111"/>
          <w:sz w:val="28"/>
          <w:szCs w:val="28"/>
          <w:rtl/>
        </w:rPr>
        <w:t xml:space="preserve">]ما لا یعلمه إلّا اللّٰه من حسن صنع اللّٰه تعالی[و جمیل معونته منذ </w:t>
      </w:r>
      <w:r>
        <w:rPr>
          <w:rStyle w:val="FootnoteReference"/>
        </w:rPr>
        <w:footnoteReference w:id="2298"/>
      </w:r>
      <w:r>
        <w:rPr>
          <w:rFonts w:ascii="IRNazanin" w:hAnsi="IRNazanin" w:eastAsia="IRNazanin" w:cs="IRNazanin"/>
          <w:lang w:bidi="fa-IR"/>
          <w:color w:val="111111"/>
          <w:sz w:val="28"/>
          <w:szCs w:val="28"/>
          <w:rtl/>
        </w:rPr>
        <w:t xml:space="preserve">]ما اشتغلت بالعلم،و هو مبادی عشر الثلاثین و تسعمائة إلی یومنا هذا،و هو منتصف شهر رمضان سنة ثلاث و خمسین و تسعمائة.</w:t>
      </w:r>
    </w:p>
    <w:p>
      <w:pPr>
        <w:pStyle w:val="BookText"/>
      </w:pPr>
      <w:r>
        <w:rPr>
          <w:rFonts w:ascii="IRNazanin" w:hAnsi="IRNazanin" w:eastAsia="IRNazanin" w:cs="IRNazanin"/>
          <w:lang w:bidi="fa-IR"/>
          <w:color w:val="111111"/>
          <w:sz w:val="28"/>
          <w:szCs w:val="28"/>
          <w:rtl/>
        </w:rPr>
        <w:t xml:space="preserve">و بالجملة،لیس الخبر کالعیان.و روی شیخنا المقدّم محمّد بن یعقوب الکلینی قدّس سرّه بإسناده إلی الحسین بن علوان،قال:کنّا فی مجلسٍ نطلب</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العلم،و قد نفدت نفقتی فی بعض الأسفار،فقال لی بعض أصحابی:</w:t>
      </w:r>
    </w:p>
    <w:p>
      <w:pPr>
        <w:pStyle w:val="BookText"/>
      </w:pPr>
      <w:r>
        <w:rPr>
          <w:rFonts w:ascii="IRNazanin" w:hAnsi="IRNazanin" w:eastAsia="IRNazanin" w:cs="IRNazanin"/>
          <w:lang w:bidi="fa-IR"/>
          <w:color w:val="111111"/>
          <w:sz w:val="28"/>
          <w:szCs w:val="28"/>
          <w:rtl/>
        </w:rPr>
        <w:t xml:space="preserve">من تؤمّل لما قد نزل بک؟فقلت:فلاناً،فقال:إذاً و اللّٰه لا تسعف بحاجتک و لا تبلغ أملک و لا تنجح طلبتک!قلت:و ما عِلمُک رحمک اللّٰه؟قال:إنّ أبا عبد اللّٰه علیه السلام حدّثنی:أنّه قرأ فی بعض کتبه:«إنّ اللّٰه تبارک و تعالی یقول:و عزّتی و جلالی و مجدی و ارتفاعی </w:t>
      </w:r>
      <w:r>
        <w:rPr>
          <w:rStyle w:val="FootnoteReference"/>
        </w:rPr>
        <w:footnoteReference w:id="2299"/>
      </w:r>
      <w:r>
        <w:rPr>
          <w:rFonts w:ascii="IRNazanin" w:hAnsi="IRNazanin" w:eastAsia="IRNazanin" w:cs="IRNazanin"/>
          <w:lang w:bidi="fa-IR"/>
          <w:color w:val="111111"/>
          <w:sz w:val="28"/>
          <w:szCs w:val="28"/>
          <w:rtl/>
        </w:rPr>
        <w:t xml:space="preserve">علی عرشی لأقطعنّ أمل کلِّ مؤمّل غیری بالیأس،و لأکسونَّه ثوب المذلّة عند الناس،و لأُنحینّه من قربی،و لأُبعّدنّه من و صلی،أ یُؤَمِّلُ غیری فی الشدائد و الشدائد بیدی؟!و یرجو غیری و یقرع باب غیری و بیدی مفاتیح الأبواب و هی مغلّقة،و بابی مفتوح لمن دعانی،فمن ذا الذی أمّلنی لنوائبه فقطعته دونها؟و من ذا الذی رجانی لعظیمة فقطعت رجاءه منّی؟جعلت آمال عبادی عندی محفوظة،فلم یرضوا بحفظی، و ملأت سماواتی ممّن لا یملّ من تسبیحی،و أمرتهم أن لا یغلقوا الأبواب بینی و بین عبادی،فلم یثقوا بقولی.أ لم یعلم من طَرَقَتْه نائبة من نوائبی أنّه لا یملک کشفها أحد غیری إلّا مِن بعد إذنی،فما لی أراه لاهیاً عنّی؟أعطیته بجودی ما لم یسألنی،ثمّ انتزعته عنه </w:t>
      </w:r>
      <w:r>
        <w:rPr>
          <w:rStyle w:val="FootnoteReference"/>
        </w:rPr>
        <w:footnoteReference w:id="2300"/>
      </w:r>
      <w:r>
        <w:rPr>
          <w:rFonts w:ascii="IRNazanin" w:hAnsi="IRNazanin" w:eastAsia="IRNazanin" w:cs="IRNazanin"/>
          <w:lang w:bidi="fa-IR"/>
          <w:color w:val="111111"/>
          <w:sz w:val="28"/>
          <w:szCs w:val="28"/>
          <w:rtl/>
        </w:rPr>
        <w:t xml:space="preserve">فلم یسألنی ردّه و سأل غیری،أ فترانی أبدأ بالعطایا قبل المسألة ثمّ اسأل فلا أُجیب سائلی؟أ بخیل أنا فیبخّلنی عبدی؟أ وَ لیس الجود و الکرم لی؟أ وَ لیس العفو و الرحمة بیدی؟أ وَ لیس أنا محلّ الآمال،فمن یقطعها دونی؟</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فلا یخشی </w:t>
      </w:r>
      <w:r>
        <w:rPr>
          <w:rStyle w:val="FootnoteReference"/>
        </w:rPr>
        <w:footnoteReference w:id="2301"/>
      </w:r>
      <w:r>
        <w:rPr>
          <w:rFonts w:ascii="IRNazanin" w:hAnsi="IRNazanin" w:eastAsia="IRNazanin" w:cs="IRNazanin"/>
          <w:lang w:bidi="fa-IR"/>
          <w:color w:val="111111"/>
          <w:sz w:val="28"/>
          <w:szCs w:val="28"/>
          <w:rtl/>
        </w:rPr>
        <w:t xml:space="preserve">المؤمّلون أن یؤمّلوا غیری؟فلو أنّ أهل سماواتی و أهل أرضی أمّلوا جمیعاً ثمّ أعطیت کلّ واحد منهم مثل ما أمّل الجمیع ما انتقص من ملکی مثل عضو ذرّة،و کیف ینقص مُلْکٌ أنا قیّمه؟ فیا بؤساً للقانطین من رحمتی!و یا بؤساً لمن عصانی و لم یراقبنی!»انتهی الحدیث الشریف،و انتهی کلام شیخنا الشهید رحمه اللّٰه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الحدائق:و یدلّ علی ذلک بأصرح دلالة ما رواه فی الکافی بإسناده إلی أبی إسحاق السبیعی عمّن حدّثه،قال:سمعت أمیر المؤمنین علیه السلام یقول:«أیّها الناس،إنّ کمال الدین طلب العلم و العمل به،أ لا و إنّ طلب العلم أوجب علیکم من طلب المال،إنّ المال مقسوم مضمون لکم قد قسّمه عادل بینکم و ضمنه لکم،و سَیَفی لکم،و العلم مخزون عند أهله،و قد أُمرتم بطلبه من أهله فاطلبوه...الخبر»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یؤکّده ما رواه فی الکافی بسنده عن أبی جعفر علیه السلام قال:قال رسول اللّٰه صلّی اللّٰه علیه و آله:«یقول اللّٰه عزّ و جلّ:و عزّتی و جلالی و کبریائی و نوری،و عظمتی و عُلُوِّی و ارتفاع مکانی </w:t>
      </w:r>
      <w:r>
        <w:rPr>
          <w:rStyle w:val="FootnoteReference"/>
        </w:rPr>
        <w:footnoteReference w:id="2304"/>
      </w:r>
      <w:r>
        <w:rPr>
          <w:rFonts w:ascii="IRNazanin" w:hAnsi="IRNazanin" w:eastAsia="IRNazanin" w:cs="IRNazanin"/>
          <w:lang w:bidi="fa-IR"/>
          <w:color w:val="111111"/>
          <w:sz w:val="28"/>
          <w:szCs w:val="28"/>
          <w:rtl/>
        </w:rPr>
        <w:t xml:space="preserve">لا یؤثر عبد هوای علی هواه إلّا استحفظته ملائکتی،و کفّلت السماوات و الأرضین</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رزقه،و کنت له من وراء تجارة کلّ تاجر،فتأتیه الدنیا و هی راغمة </w:t>
      </w:r>
      <w:r>
        <w:rPr>
          <w:rStyle w:val="FootnoteReference"/>
        </w:rPr>
        <w:footnoteReference w:id="2305"/>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کلامه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أنت خبیر بأنّ ما ذکره من کلام الشهید رحمه اللّٰه و ما ذکره من الحدیث القدسی لا ارتباط له بما ذکر من دفع التنافی بین أدلّة الطرفین؛ لأنّ ما ذکر </w:t>
      </w:r>
      <w:r>
        <w:rPr>
          <w:rStyle w:val="FootnoteReference"/>
        </w:rPr>
        <w:footnoteReference w:id="2308"/>
      </w:r>
      <w:r>
        <w:rPr>
          <w:rFonts w:ascii="IRNazanin" w:hAnsi="IRNazanin" w:eastAsia="IRNazanin" w:cs="IRNazanin"/>
          <w:lang w:bidi="fa-IR"/>
          <w:color w:val="111111"/>
          <w:sz w:val="28"/>
          <w:szCs w:val="28"/>
          <w:rtl/>
        </w:rPr>
        <w:t xml:space="preserve">من التوکّل علی اللّٰه و عدم ربط القلب بغیره </w:t>
      </w:r>
      <w:r>
        <w:rPr>
          <w:rStyle w:val="FootnoteReference"/>
        </w:rPr>
        <w:footnoteReference w:id="2309"/>
      </w:r>
      <w:r>
        <w:rPr>
          <w:rFonts w:ascii="IRNazanin" w:hAnsi="IRNazanin" w:eastAsia="IRNazanin" w:cs="IRNazanin"/>
          <w:lang w:bidi="fa-IR"/>
          <w:color w:val="111111"/>
          <w:sz w:val="28"/>
          <w:szCs w:val="28"/>
          <w:rtl/>
        </w:rPr>
        <w:t xml:space="preserve">لا ینافی الاشتغال بالاکتساب؛و لذا کان أمیر المؤمنین صلوات اللّٰه علیه و علی أخیه و زوجته و ولدیه و ذرّیته جامعاً بین أعلی مراتب التوکّل و أشدّ مشاقّ الاکتساب،و هو الاستقاء لحائط الیهودی </w:t>
      </w:r>
      <w:r>
        <w:rPr>
          <w:rStyle w:val="FootnoteReference"/>
        </w:rPr>
        <w:footnoteReference w:id="2310"/>
      </w:r>
      <w:r>
        <w:rPr>
          <w:rFonts w:ascii="IRNazanin" w:hAnsi="IRNazanin" w:eastAsia="IRNazanin" w:cs="IRNazanin"/>
          <w:lang w:bidi="fa-IR"/>
          <w:color w:val="111111"/>
          <w:sz w:val="28"/>
          <w:szCs w:val="28"/>
          <w:rtl/>
        </w:rPr>
        <w:t xml:space="preserve">،و لیس الشهید أیضاً فی مقام أنّ طلب العلم أفضل من التکسّب و إن کان أفضل،بل فی مقام أنّ طالب العلم إذا اشتغل بتحصیل العلم فلیکن منقطعاً عن الأسباب الظاهرة الموجودة غالباً لطلّاب العلوم من الوظائف المستمرّة</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السلاطین،و الحاصلة من الموقوفات للمدارس و أهل العلم، و الموجودة الحاصلة غالباً للعلماء و المشتغلین من معاشرة السلطان و أتباعه و المراودة مع التجار و الأغنیاء و العلماء الذین لا ینتفع منهم إلّا بما فی أیدیهم من وجوه الزکوات و ردّ المظالم و الأخماس و شبه ذلک، کما کان ذلک </w:t>
      </w:r>
      <w:r>
        <w:rPr>
          <w:rStyle w:val="FootnoteReference"/>
        </w:rPr>
        <w:footnoteReference w:id="2311"/>
      </w:r>
      <w:r>
        <w:rPr>
          <w:rFonts w:ascii="IRNazanin" w:hAnsi="IRNazanin" w:eastAsia="IRNazanin" w:cs="IRNazanin"/>
          <w:lang w:bidi="fa-IR"/>
          <w:color w:val="111111"/>
          <w:sz w:val="28"/>
          <w:szCs w:val="28"/>
          <w:rtl/>
        </w:rPr>
        <w:t xml:space="preserve">متعارفاً فی ذلک الزمان،بل فی کلّ زمان،فربما جعل الاشتغال بالعلم بنفسه سبباً للمعیشة من الجهات التی ذکرناها.</w:t>
      </w:r>
    </w:p>
    <w:p>
      <w:pPr>
        <w:pStyle w:val="BookText"/>
      </w:pPr>
      <w:r>
        <w:rPr>
          <w:rFonts w:ascii="IRNazanin" w:hAnsi="IRNazanin" w:eastAsia="IRNazanin" w:cs="IRNazanin"/>
          <w:lang w:bidi="fa-IR"/>
          <w:color w:val="111111"/>
          <w:sz w:val="28"/>
          <w:szCs w:val="28"/>
          <w:rtl/>
        </w:rPr>
        <w:t xml:space="preserve">و بالجملة،فلا شهادة فیما ذکر من کلام الشهید رحمه اللّٰه من أوّله إلی آخره و ما أضاف إلیه من الروایات فی الجمع المذکور،أعنی:تخصیص أدلّة طلب الحلال بغیر طالب العلم.</w:t>
      </w:r>
    </w:p>
    <w:p>
      <w:pPr>
        <w:pStyle w:val="BookText"/>
      </w:pPr>
      <w:r>
        <w:rPr>
          <w:rFonts w:ascii="IRNazanin" w:hAnsi="IRNazanin" w:eastAsia="IRNazanin" w:cs="IRNazanin"/>
          <w:lang w:bidi="fa-IR"/>
          <w:color w:val="111111"/>
          <w:sz w:val="28"/>
          <w:szCs w:val="28"/>
          <w:rtl/>
        </w:rPr>
        <w:t xml:space="preserve">ثمّ إنّه لا إشکال فی أنّ کلاّ من طلب العلم و طلب الرزق ینقسم إلی الأحکام الأربعة أو الخمسة.</w:t>
      </w:r>
    </w:p>
    <w:p>
      <w:pPr>
        <w:pStyle w:val="BookText"/>
      </w:pPr>
      <w:r>
        <w:rPr>
          <w:rFonts w:ascii="IRNazanin" w:hAnsi="IRNazanin" w:eastAsia="IRNazanin" w:cs="IRNazanin"/>
          <w:lang w:bidi="fa-IR"/>
          <w:color w:val="111111"/>
          <w:sz w:val="28"/>
          <w:szCs w:val="28"/>
          <w:rtl/>
        </w:rPr>
        <w:t xml:space="preserve">و لا ریب أنّ المستحبّ من أحدهما لا یزاحم الواجب،و لا الواجب الکفائی الواجب العینی.و لا إشکال أیضاً فی أنّ الأهمّ من الواجبین العینیّین </w:t>
      </w:r>
      <w:r>
        <w:rPr>
          <w:rStyle w:val="FootnoteReference"/>
        </w:rPr>
        <w:footnoteReference w:id="2312"/>
      </w:r>
      <w:r>
        <w:rPr>
          <w:rFonts w:ascii="IRNazanin" w:hAnsi="IRNazanin" w:eastAsia="IRNazanin" w:cs="IRNazanin"/>
          <w:lang w:bidi="fa-IR"/>
          <w:color w:val="111111"/>
          <w:sz w:val="28"/>
          <w:szCs w:val="28"/>
          <w:rtl/>
        </w:rPr>
        <w:t xml:space="preserve">مقدّم علی غیره؛و کذا الحکم فی الواجبین الکفائیّین مع ظنّ قیام الغیر به.و قد یکون کسب الکاسب مقدّمة لاشتغال غیره بالعلم، فیجب أو یستحبّ مقدّمة.</w:t>
      </w:r>
    </w:p>
    <w:p>
      <w:pPr>
        <w:pStyle w:val="BookText"/>
      </w:pPr>
      <w:r>
        <w:rPr>
          <w:rFonts w:ascii="IRNazanin" w:hAnsi="IRNazanin" w:eastAsia="IRNazanin" w:cs="IRNazanin"/>
          <w:lang w:bidi="fa-IR"/>
          <w:color w:val="111111"/>
          <w:sz w:val="28"/>
          <w:szCs w:val="28"/>
          <w:rtl/>
        </w:rPr>
        <w:t xml:space="preserve">بقی الکلام فی المستحبّ من الأمرین عند فرض عدم إمکان الجمع بینهما،و لا ریب فی تفاوت الحکم بالترجیح باختلاف الفوائد المرتّبة علی الأمرین.</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فربّ من لا یحصل له باشتغاله بالعلم إلّا شیء قلیل لا یترتّب علیه کثیر فائدة،و یترتّب علی اشتغاله بالتجارة فوائد کثیرة،منها:</w:t>
      </w:r>
    </w:p>
    <w:p>
      <w:pPr>
        <w:pStyle w:val="BookText"/>
      </w:pPr>
      <w:r>
        <w:rPr>
          <w:rFonts w:ascii="IRNazanin" w:hAnsi="IRNazanin" w:eastAsia="IRNazanin" w:cs="IRNazanin"/>
          <w:lang w:bidi="fa-IR"/>
          <w:color w:val="111111"/>
          <w:sz w:val="28"/>
          <w:szCs w:val="28"/>
          <w:rtl/>
        </w:rPr>
        <w:t xml:space="preserve">تکفّل أحوال المشتغلین من ماله أو مال أقرانه من التجار المخالطین معه علی وجه الصلة أو الصدقة الواجبة و المستحبّة،فیحصل بذلک ثواب الصدقة و ثواب الإعانة الواجبة أو المستحبّة علی تحصیل العلم.</w:t>
      </w:r>
    </w:p>
    <w:p>
      <w:pPr>
        <w:pStyle w:val="BookText"/>
      </w:pPr>
      <w:r>
        <w:rPr>
          <w:rFonts w:ascii="IRNazanin" w:hAnsi="IRNazanin" w:eastAsia="IRNazanin" w:cs="IRNazanin"/>
          <w:lang w:bidi="fa-IR"/>
          <w:color w:val="111111"/>
          <w:sz w:val="28"/>
          <w:szCs w:val="28"/>
          <w:rtl/>
        </w:rPr>
        <w:t xml:space="preserve">و ربّ من یحصّل بالاشتغال مرتبةً عالیةً من العلم یُحیی بها فنون علم الدین،فلا یحصل له من کسبه إلّا قلیل من الرزق؛فإنّه لا إشکال فی أنّ اشتغاله بالعلم و الأکل من وجوه الصدقات أرجح.و ما ذکر من حدیث داود علی نبیّنا و آله و علیه السلام </w:t>
      </w:r>
      <w:r>
        <w:rPr>
          <w:rStyle w:val="FootnoteReference"/>
        </w:rPr>
        <w:footnoteReference w:id="2313"/>
      </w:r>
      <w:r>
        <w:rPr>
          <w:rFonts w:ascii="IRNazanin" w:hAnsi="IRNazanin" w:eastAsia="IRNazanin" w:cs="IRNazanin"/>
          <w:lang w:bidi="fa-IR"/>
          <w:color w:val="111111"/>
          <w:sz w:val="28"/>
          <w:szCs w:val="28"/>
          <w:rtl/>
        </w:rPr>
        <w:t xml:space="preserve">فإنّما هو لعدم مزاحمة اشتغاله بالکسب لشیء من وظائف النبوّة و الریاسة العلمیّة.</w:t>
      </w:r>
    </w:p>
    <w:p>
      <w:pPr>
        <w:pStyle w:val="BookText"/>
      </w:pPr>
      <w:r>
        <w:rPr>
          <w:rFonts w:ascii="IRNazanin" w:hAnsi="IRNazanin" w:eastAsia="IRNazanin" w:cs="IRNazanin"/>
          <w:lang w:bidi="fa-IR"/>
          <w:color w:val="111111"/>
          <w:sz w:val="28"/>
          <w:szCs w:val="28"/>
          <w:rtl/>
        </w:rPr>
        <w:t xml:space="preserve">و بالجملة،فطلب کلٍّ من العلم و الرزق إذا لوحظ المستحبّ منهما من حیث النفع العائد إلی نفس الطالب کان طلب العلم أرجح،و إذا لوحظ من جهة النفع الواصل إلی الغیر کان اللازم ملاحظة مقدار النفع الواصل.</w:t>
      </w:r>
    </w:p>
    <w:p>
      <w:pPr>
        <w:pStyle w:val="BookText"/>
      </w:pPr>
      <w:r>
        <w:rPr>
          <w:rFonts w:ascii="IRNazanin" w:hAnsi="IRNazanin" w:eastAsia="IRNazanin" w:cs="IRNazanin"/>
          <w:lang w:bidi="fa-IR"/>
          <w:color w:val="111111"/>
          <w:sz w:val="28"/>
          <w:szCs w:val="28"/>
          <w:rtl/>
        </w:rPr>
        <w:t xml:space="preserve">فثبت من ذلک کلّه:أنّ تزاحم هذین المستحبّین کتزاحم سائر المستحبّات المتنافیة،کالاشتغال بالاکتساب أو طلب العلم الغیر الواجبین مع المسیر إلی الحجّ </w:t>
      </w:r>
      <w:r>
        <w:rPr>
          <w:rStyle w:val="FootnoteReference"/>
        </w:rPr>
        <w:footnoteReference w:id="2314"/>
      </w:r>
      <w:r>
        <w:rPr>
          <w:rFonts w:ascii="IRNazanin" w:hAnsi="IRNazanin" w:eastAsia="IRNazanin" w:cs="IRNazanin"/>
          <w:lang w:bidi="fa-IR"/>
          <w:color w:val="111111"/>
          <w:sz w:val="28"/>
          <w:szCs w:val="28"/>
          <w:rtl/>
        </w:rPr>
        <w:t xml:space="preserve">أو إلی مشاهد الأئمة علیهم السلام،أو مع السعی فی قضاء حوائج الإخوان الذی لا یجامع طلب العلم أو المال الحلال،إلی غیر ذلک،ممّا لا یحصی.</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73" w:name="pg14419_167252"/>
    <w:bookmarkEnd w:id="273"/>
    <w:p>
      <w:pPr>
        <w:pStyle w:val="Heading6"/>
      </w:pPr>
      <w:bookmarkStart w:id="1115" w:name="_Toc555"/>
      <w:r>
        <w:t>مسألة : [حکم تلقی الرکبان تکلیفا]</w:t>
      </w:r>
      <w:bookmarkEnd w:id="11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لا خلاف فی مرجوحیّة تلقّی الرکبان بالشروط الآتیة،و اختلفوا فی حرمته و کراهته،فعن التقی </w:t>
      </w:r>
      <w:r>
        <w:rPr>
          <w:rStyle w:val="FootnoteReference"/>
        </w:rPr>
        <w:footnoteReference w:id="2315"/>
      </w:r>
      <w:r>
        <w:rPr>
          <w:rFonts w:ascii="IRNazanin" w:hAnsi="IRNazanin" w:eastAsia="IRNazanin" w:cs="IRNazanin"/>
          <w:lang w:bidi="fa-IR"/>
          <w:color w:val="111111"/>
          <w:sz w:val="28"/>
          <w:szCs w:val="28"/>
          <w:rtl/>
        </w:rPr>
        <w:t xml:space="preserve">و القاضی </w:t>
      </w:r>
      <w:r>
        <w:rPr>
          <w:rStyle w:val="FootnoteReference"/>
        </w:rPr>
        <w:footnoteReference w:id="2316"/>
      </w:r>
      <w:r>
        <w:rPr>
          <w:rFonts w:ascii="Amiri" w:hAnsi="Amiri" w:eastAsia="Amiri" w:cs="Amiri"/>
          <w:lang w:bidi="ar-SA"/>
          <w:color w:val="111111"/>
          <w:sz w:val="28"/>
          <w:szCs w:val="28"/>
          <w:rtl/>
        </w:rPr>
        <w:t xml:space="preserve">و الحلّی </w:t>
      </w:r>
      <w:r>
        <w:rPr>
          <w:rStyle w:val="FootnoteReference"/>
        </w:rPr>
        <w:footnoteReference w:id="2317"/>
      </w:r>
      <w:r>
        <w:rPr>
          <w:rFonts w:ascii="IRNazanin" w:hAnsi="IRNazanin" w:eastAsia="IRNazanin" w:cs="IRNazanin"/>
          <w:lang w:bidi="fa-IR"/>
          <w:color w:val="111111"/>
          <w:sz w:val="28"/>
          <w:szCs w:val="28"/>
          <w:rtl/>
        </w:rPr>
        <w:t xml:space="preserve">و العلّامة فی المنتهی </w:t>
      </w:r>
      <w:r>
        <w:rPr>
          <w:rStyle w:val="FootnoteReference"/>
        </w:rPr>
        <w:footnoteReference w:id="2318"/>
      </w:r>
      <w:r>
        <w:rPr>
          <w:rFonts w:ascii="IRNazanin" w:hAnsi="IRNazanin" w:eastAsia="IRNazanin" w:cs="IRNazanin"/>
          <w:lang w:bidi="fa-IR"/>
          <w:color w:val="111111"/>
          <w:sz w:val="28"/>
          <w:szCs w:val="28"/>
          <w:rtl/>
        </w:rPr>
        <w:t xml:space="preserve">:الحرمة،و هو المحکی عن ظاهر الدروس </w:t>
      </w:r>
      <w:r>
        <w:rPr>
          <w:rStyle w:val="FootnoteReference"/>
        </w:rPr>
        <w:footnoteReference w:id="2319"/>
      </w:r>
      <w:r>
        <w:rPr>
          <w:rFonts w:ascii="IRNazanin" w:hAnsi="IRNazanin" w:eastAsia="IRNazanin" w:cs="IRNazanin"/>
          <w:lang w:bidi="fa-IR"/>
          <w:color w:val="111111"/>
          <w:sz w:val="28"/>
          <w:szCs w:val="28"/>
          <w:rtl/>
        </w:rPr>
        <w:t xml:space="preserve">و حواشی المحقّق الثانی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الشیخ و ابن زهرة:لا یجوز </w:t>
      </w:r>
      <w:r>
        <w:rPr>
          <w:rStyle w:val="FootnoteReference"/>
        </w:rPr>
        <w:footnoteReference w:id="2321"/>
      </w:r>
      <w:r>
        <w:rPr>
          <w:rFonts w:ascii="IRNazanin" w:hAnsi="IRNazanin" w:eastAsia="IRNazanin" w:cs="IRNazanin"/>
          <w:lang w:bidi="fa-IR"/>
          <w:color w:val="111111"/>
          <w:sz w:val="28"/>
          <w:szCs w:val="28"/>
          <w:rtl/>
        </w:rPr>
        <w:t xml:space="preserve">.و أوَّلَ فی المختلف عبارة الشیخ بالکراهة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أی الکراهة </w:t>
      </w:r>
      <w:r>
        <w:rPr>
          <w:rStyle w:val="FootnoteReference"/>
        </w:rPr>
        <w:footnoteReference w:id="2323"/>
      </w:r>
      <w:r>
        <w:rPr>
          <w:rFonts w:ascii="IRNazanin" w:hAnsi="IRNazanin" w:eastAsia="IRNazanin" w:cs="IRNazanin"/>
          <w:lang w:bidi="fa-IR"/>
          <w:color w:val="111111"/>
          <w:sz w:val="28"/>
          <w:szCs w:val="28"/>
          <w:rtl/>
        </w:rPr>
        <w:t xml:space="preserve">مذهب الأکثر،بل عن إیضاح النافع:</w:t>
      </w:r>
    </w:p>
    <w:p>
      <w:pPr>
        <w:pStyle w:val="BookText"/>
      </w:pPr>
      <w:r>
        <w:rPr>
          <w:rFonts w:ascii="IRNazanin" w:hAnsi="IRNazanin" w:eastAsia="IRNazanin" w:cs="IRNazanin"/>
          <w:lang w:bidi="fa-IR"/>
          <w:color w:val="111111"/>
          <w:sz w:val="28"/>
          <w:szCs w:val="28"/>
          <w:rtl/>
        </w:rPr>
        <w:t xml:space="preserve">أنّ الشیخ ادّعی الإجماع علی عدم التحریم </w:t>
      </w:r>
      <w:r>
        <w:rPr>
          <w:rStyle w:val="FootnoteReference"/>
        </w:rPr>
        <w:footnoteReference w:id="2324"/>
      </w:r>
      <w:r>
        <w:rPr>
          <w:rFonts w:ascii="IRNazanin" w:hAnsi="IRNazanin" w:eastAsia="IRNazanin" w:cs="IRNazanin"/>
          <w:lang w:bidi="fa-IR"/>
          <w:color w:val="111111"/>
          <w:sz w:val="28"/>
          <w:szCs w:val="28"/>
          <w:rtl/>
        </w:rPr>
        <w:t xml:space="preserve">.و عن نهایة الإحکام:</w:t>
      </w:r>
    </w:p>
    <w:p>
      <w:pPr>
        <w:pStyle w:val="BookText"/>
      </w:pPr>
      <w:r>
        <w:rPr>
          <w:rFonts w:ascii="IRNazanin" w:hAnsi="IRNazanin" w:eastAsia="IRNazanin" w:cs="IRNazanin"/>
          <w:lang w:bidi="fa-IR"/>
          <w:color w:val="111111"/>
          <w:sz w:val="28"/>
          <w:szCs w:val="28"/>
          <w:rtl/>
        </w:rPr>
        <w:t xml:space="preserve">تلقّی الرکبان مکروه عند أکثر علمائنا،و لیس حراماً إجماعاً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مستند التحریم ظواهر الأخبار:</w:t>
      </w:r>
    </w:p>
    <w:p>
      <w:pPr>
        <w:pStyle w:val="BookText"/>
      </w:pPr>
      <w:r>
        <w:rPr>
          <w:rFonts w:ascii="IRNazanin" w:hAnsi="IRNazanin" w:eastAsia="IRNazanin" w:cs="IRNazanin"/>
          <w:lang w:bidi="fa-IR"/>
          <w:color w:val="111111"/>
          <w:sz w:val="28"/>
          <w:szCs w:val="28"/>
          <w:rtl/>
        </w:rPr>
        <w:t xml:space="preserve">منها:ما عن منهال القصّاب،قال:«قال أبو عبد اللّٰه علیه السلام:</w:t>
      </w:r>
    </w:p>
    <w:p>
      <w:pPr>
        <w:pStyle w:val="BookText"/>
      </w:pPr>
      <w:r>
        <w:rPr>
          <w:rFonts w:ascii="Amiri" w:hAnsi="Amiri" w:eastAsia="Amiri" w:cs="Amiri"/>
          <w:lang w:bidi="ar-SA"/>
          <w:color w:val="111111"/>
          <w:sz w:val="28"/>
          <w:szCs w:val="28"/>
          <w:rtl/>
        </w:rPr>
        <w:t xml:space="preserve">لا تلقّ </w:t>
      </w:r>
      <w:r>
        <w:rPr>
          <w:rStyle w:val="FootnoteReference"/>
        </w:rPr>
        <w:footnoteReference w:id="2326"/>
      </w:r>
      <w:r>
        <w:rPr>
          <w:rFonts w:ascii="IRNazanin" w:hAnsi="IRNazanin" w:eastAsia="IRNazanin" w:cs="IRNazanin"/>
          <w:lang w:bidi="fa-IR"/>
          <w:color w:val="111111"/>
          <w:sz w:val="28"/>
          <w:szCs w:val="28"/>
          <w:rtl/>
        </w:rPr>
        <w:t xml:space="preserve">،فإنّ رسول اللّٰه صلّی اللّٰه علیه و آله نهی عن التلقّی.قلت:و ما حدّ التلقّی؟قال:ما دون غدوة أو روحة،قلت:و کم الغدوة و الروحة؟ قال:أربعة فراسخ.قال ابن أبی عمیر:و ما فوق ذلک فلیس بتلقٍّ»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خبر عروة:«لا یتلقّی </w:t>
      </w:r>
      <w:r>
        <w:rPr>
          <w:rStyle w:val="FootnoteReference"/>
        </w:rPr>
        <w:footnoteReference w:id="2328"/>
      </w:r>
      <w:r>
        <w:rPr>
          <w:rFonts w:ascii="IRNazanin" w:hAnsi="IRNazanin" w:eastAsia="IRNazanin" w:cs="IRNazanin"/>
          <w:lang w:bidi="fa-IR"/>
          <w:color w:val="111111"/>
          <w:sz w:val="28"/>
          <w:szCs w:val="28"/>
          <w:rtl/>
        </w:rPr>
        <w:t xml:space="preserve">أحدکم تجارةً خارجاً من المصر، و لا یبیع </w:t>
      </w:r>
      <w:r>
        <w:rPr>
          <w:rStyle w:val="FootnoteReference"/>
        </w:rPr>
        <w:footnoteReference w:id="2329"/>
      </w:r>
      <w:r>
        <w:rPr>
          <w:rFonts w:ascii="Amiri" w:hAnsi="Amiri" w:eastAsia="Amiri" w:cs="Amiri"/>
          <w:lang w:bidi="ar-SA"/>
          <w:color w:val="111111"/>
          <w:sz w:val="28"/>
          <w:szCs w:val="28"/>
          <w:rtl/>
        </w:rPr>
        <w:t xml:space="preserve">حاضرٌ لبادٍ،و المسلمون یرزق اللّٰه بعضَهم من بعضٍ»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أُخری:«لا تلقِّ و لا تشترِ ما یتلقّی و لا تأکل منه»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النهی عن الأکل کونه لفساد المعاملة،فیکون أکلاً بالباطل،و لم یقل به إلّا الإسکافی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ظاهر المنتهی:الاتّفاق علی خلافه </w:t>
      </w:r>
      <w:r>
        <w:rPr>
          <w:rStyle w:val="FootnoteReference"/>
        </w:rPr>
        <w:footnoteReference w:id="2333"/>
      </w:r>
      <w:r>
        <w:rPr>
          <w:rFonts w:ascii="IRNazanin" w:hAnsi="IRNazanin" w:eastAsia="IRNazanin" w:cs="IRNazanin"/>
          <w:lang w:bidi="fa-IR"/>
          <w:color w:val="111111"/>
          <w:sz w:val="28"/>
          <w:szCs w:val="28"/>
          <w:rtl/>
        </w:rPr>
        <w:t xml:space="preserve">،فتکون الروایة مع ضعفها مخالفة لعمل الأصحاب،فتقصر عن إفادة الحرمة و الفساد.</w:t>
      </w:r>
    </w:p>
    <w:p>
      <w:pPr>
        <w:pStyle w:val="BookText"/>
      </w:pPr>
      <w:r>
        <w:rPr>
          <w:rFonts w:ascii="IRNazanin" w:hAnsi="IRNazanin" w:eastAsia="IRNazanin" w:cs="IRNazanin"/>
          <w:lang w:bidi="fa-IR"/>
          <w:color w:val="111111"/>
          <w:sz w:val="28"/>
          <w:szCs w:val="28"/>
          <w:rtl/>
        </w:rPr>
        <w:t xml:space="preserve">نعم لا بأس بحملها علی الکراهة لو وجد القول بکراهة الأکل ممّا یُشتری من المتلقّی،و لا بأس به حسماً لمادّة التلقّی.</w:t>
      </w:r>
    </w:p>
    <w:p>
      <w:pPr>
        <w:pStyle w:val="BookText"/>
      </w:pPr>
      <w:r>
        <w:rPr>
          <w:rFonts w:ascii="IRNazanin" w:hAnsi="IRNazanin" w:eastAsia="IRNazanin" w:cs="IRNazanin"/>
          <w:lang w:bidi="fa-IR"/>
          <w:color w:val="111111"/>
          <w:sz w:val="28"/>
          <w:szCs w:val="28"/>
          <w:rtl/>
        </w:rPr>
        <w:t xml:space="preserve">و ممّا ذکرنا یعلم:أنّ النهی فی سائر الأخبار أیضاً محمولٌ علی الکراهة،الموافقة </w:t>
      </w:r>
      <w:r>
        <w:rPr>
          <w:rStyle w:val="FootnoteReference"/>
        </w:rPr>
        <w:footnoteReference w:id="2334"/>
      </w:r>
      <w:r>
        <w:rPr>
          <w:rFonts w:ascii="IRNazanin" w:hAnsi="IRNazanin" w:eastAsia="IRNazanin" w:cs="IRNazanin"/>
          <w:lang w:bidi="fa-IR"/>
          <w:color w:val="111111"/>
          <w:sz w:val="28"/>
          <w:szCs w:val="28"/>
          <w:rtl/>
        </w:rPr>
        <w:t xml:space="preserve">للأصل مع ضعف الخبر و مخالفته للمشهور.</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حدّ التلقّی أربعة فراسخ،کما فی کلام بعض </w:t>
      </w:r>
      <w:r>
        <w:rPr>
          <w:rStyle w:val="FootnoteReference"/>
        </w:rPr>
        <w:footnoteReference w:id="2335"/>
      </w:r>
      <w:r>
        <w:rPr>
          <w:rFonts w:ascii="IRNazanin" w:hAnsi="IRNazanin" w:eastAsia="IRNazanin" w:cs="IRNazanin"/>
          <w:lang w:bidi="fa-IR"/>
          <w:color w:val="111111"/>
          <w:sz w:val="28"/>
          <w:szCs w:val="28"/>
          <w:rtl/>
        </w:rPr>
        <w:t xml:space="preserve">.و الظاهر أنّ مرادهم خروج الحدّ عن المحدود؛لأنّ الظاهر زوال المرجوحیّة إذا کان أربعة فراسخ.و قد تبعوا بذلک مرسلة الفقیه.</w:t>
      </w:r>
    </w:p>
    <w:p>
      <w:pPr>
        <w:pStyle w:val="BookText"/>
      </w:pPr>
      <w:r>
        <w:rPr>
          <w:rFonts w:ascii="IRNazanin" w:hAnsi="IRNazanin" w:eastAsia="IRNazanin" w:cs="IRNazanin"/>
          <w:lang w:bidi="fa-IR"/>
          <w:color w:val="111111"/>
          <w:sz w:val="28"/>
          <w:szCs w:val="28"/>
          <w:rtl/>
        </w:rPr>
        <w:t xml:space="preserve">و روی:«أنّ حدّ التلقّی روحة،فإذا بلغ إلی أربعة فراسخ فهو جَلب» </w:t>
      </w:r>
      <w:r>
        <w:rPr>
          <w:rStyle w:val="FootnoteReference"/>
        </w:rPr>
        <w:footnoteReference w:id="2336"/>
      </w:r>
      <w:r>
        <w:rPr>
          <w:rFonts w:ascii="IRNazanin" w:hAnsi="IRNazanin" w:eastAsia="IRNazanin" w:cs="IRNazanin"/>
          <w:lang w:bidi="fa-IR"/>
          <w:color w:val="111111"/>
          <w:sz w:val="28"/>
          <w:szCs w:val="28"/>
          <w:rtl/>
        </w:rPr>
        <w:t xml:space="preserve">،فإنّ الجمع بین صدرها و ذیلها لا یکون إلّا بإرادة خروج الحدّ عن المحدود.کما أنّ ما فی الروایة السابقة:أنّ حدّه«ما دون غدوة أو روحة» </w:t>
      </w:r>
      <w:r>
        <w:rPr>
          <w:rStyle w:val="FootnoteReference"/>
        </w:rPr>
        <w:footnoteReference w:id="2337"/>
      </w:r>
      <w:r>
        <w:rPr>
          <w:rFonts w:ascii="IRNazanin" w:hAnsi="IRNazanin" w:eastAsia="IRNazanin" w:cs="IRNazanin"/>
          <w:lang w:bidi="fa-IR"/>
          <w:color w:val="111111"/>
          <w:sz w:val="28"/>
          <w:szCs w:val="28"/>
          <w:rtl/>
        </w:rPr>
        <w:t xml:space="preserve">محمولٌ علی دخول الحدّ فی المحدود.</w:t>
      </w:r>
    </w:p>
    <w:p>
      <w:pPr>
        <w:pStyle w:val="BookText"/>
      </w:pPr>
      <w:r>
        <w:rPr>
          <w:rFonts w:ascii="IRNazanin" w:hAnsi="IRNazanin" w:eastAsia="IRNazanin" w:cs="IRNazanin"/>
          <w:lang w:bidi="fa-IR"/>
          <w:color w:val="111111"/>
          <w:sz w:val="28"/>
          <w:szCs w:val="28"/>
          <w:rtl/>
        </w:rPr>
        <w:t xml:space="preserve">لکن قال فی المنتهی:حدَّ علماؤنا التلقّی بأربعة فراسخ،فکرهوا التلقّی إلی ذلک الحدّ،فإن زاد علی ذلک کان تجارةً و جلباً،و هو ظاهرٌ، لأنّ بمضیّه و رجوعه یکون مسافراً،و یجب علیه القصر فیکون سفراً حقیقیّا إلی أن قال:و لا نعرف بین علمائنا خلافاً فیه </w:t>
      </w:r>
      <w:r>
        <w:rPr>
          <w:rStyle w:val="FootnoteReference"/>
        </w:rPr>
        <w:footnoteReference w:id="233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التعلیل بحصول السفر الحقیقی یدلّ علی مسامحة فی التعبیر،و لعلّ الوجه فی التحدید بالأربعة:أنّ الحصول </w:t>
      </w:r>
      <w:r>
        <w:rPr>
          <w:rStyle w:val="FootnoteReference"/>
        </w:rPr>
        <w:footnoteReference w:id="2339"/>
      </w:r>
      <w:r>
        <w:rPr>
          <w:rFonts w:ascii="IRNazanin" w:hAnsi="IRNazanin" w:eastAsia="IRNazanin" w:cs="IRNazanin"/>
          <w:lang w:bidi="fa-IR"/>
          <w:color w:val="111111"/>
          <w:sz w:val="28"/>
          <w:szCs w:val="28"/>
          <w:rtl/>
        </w:rPr>
        <w:t xml:space="preserve">علی الأربعة بلا زیادة و نقیصة نادر،فلا یصلح أن یکون ضابطاً لرفع الکراهة؛إذ لا یقال:إنّه وصل إلی الأربعة إلّا إذا تجاوز عنها و لو یسیراً.</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أنّه لا إشکال فی أصل الحکم و إن وقع اختلافٌ فی التعبیر فی النصوص و الفتاوی.</w:t>
      </w:r>
    </w:p>
    <w:p>
      <w:pPr>
        <w:pStyle w:val="BookText"/>
      </w:pPr>
      <w:r>
        <w:rPr>
          <w:rFonts w:ascii="IRNazanin" w:hAnsi="IRNazanin" w:eastAsia="IRNazanin" w:cs="IRNazanin"/>
          <w:lang w:bidi="fa-IR"/>
          <w:color w:val="111111"/>
          <w:sz w:val="28"/>
          <w:szCs w:val="28"/>
          <w:rtl/>
        </w:rPr>
        <w:t xml:space="preserve">ثمّ إنّه لا إشکال فی اعتبار القصد؛إذ بدونه لا یصدق عنوان التلقّی،فلو تلقّی الرکب فی طریقه ذاهباً أو جائیاً لم یکره المعاملة معهم.</w:t>
      </w:r>
    </w:p>
    <w:p>
      <w:pPr>
        <w:pStyle w:val="BookText"/>
      </w:pPr>
      <w:r>
        <w:rPr>
          <w:rFonts w:ascii="IRNazanin" w:hAnsi="IRNazanin" w:eastAsia="IRNazanin" w:cs="IRNazanin"/>
          <w:lang w:bidi="fa-IR"/>
          <w:color w:val="111111"/>
          <w:sz w:val="28"/>
          <w:szCs w:val="28"/>
          <w:rtl/>
        </w:rPr>
        <w:t xml:space="preserve">و کذا فی اعتبار قصد المعاملة من المتلقّی،فلا یکره لغرضٍ آخر و لو اتّفقت المعاملة.</w:t>
      </w:r>
    </w:p>
    <w:p>
      <w:pPr>
        <w:pStyle w:val="BookText"/>
      </w:pPr>
      <w:r>
        <w:rPr>
          <w:rFonts w:ascii="IRNazanin" w:hAnsi="IRNazanin" w:eastAsia="IRNazanin" w:cs="IRNazanin"/>
          <w:lang w:bidi="fa-IR"/>
          <w:color w:val="111111"/>
          <w:sz w:val="28"/>
          <w:szCs w:val="28"/>
          <w:rtl/>
        </w:rPr>
        <w:t xml:space="preserve">قیل:ظاهر التعلیل فی روایة عروة المتقدّمة </w:t>
      </w:r>
      <w:r>
        <w:rPr>
          <w:rStyle w:val="FootnoteReference"/>
        </w:rPr>
        <w:footnoteReference w:id="2340"/>
      </w:r>
      <w:r>
        <w:rPr>
          <w:rFonts w:ascii="IRNazanin" w:hAnsi="IRNazanin" w:eastAsia="IRNazanin" w:cs="IRNazanin"/>
          <w:lang w:bidi="fa-IR"/>
          <w:color w:val="111111"/>
          <w:sz w:val="28"/>
          <w:szCs w:val="28"/>
          <w:rtl/>
        </w:rPr>
        <w:t xml:space="preserve">اعتبار جهل الرکب بسعر البلد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فیه:أنّه مبنیٌّ علی عدم اختصاص القید بالحکم الأخیر،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فیحتمل أن تکون العلّة فی کراهة التلقی مسامحة الرکب فی المیزان بما لا یتسامح به المتلقی،أو مظنّة حبس المتلقّین ما اشتروه،أو ادّخاره عن أعین الناس و بیعه تدریجاً.بخلاف ما إذا أتی الرکب و طرحوا أمتعتهم فی الخانات و الأسواق،فإنّ له أثراً بیّناً فی امتلاء أعین الناس خصوصاً الفقراء وقت الغلاء إذا اتی بالطعام.</w:t>
      </w:r>
    </w:p>
    <w:p>
      <w:pPr>
        <w:pStyle w:val="BookText"/>
      </w:pPr>
      <w:r>
        <w:rPr>
          <w:rFonts w:ascii="IRNazanin" w:hAnsi="IRNazanin" w:eastAsia="IRNazanin" w:cs="IRNazanin"/>
          <w:lang w:bidi="fa-IR"/>
          <w:color w:val="111111"/>
          <w:sz w:val="28"/>
          <w:szCs w:val="28"/>
          <w:rtl/>
        </w:rPr>
        <w:t xml:space="preserve">و کیف کان،فاشتراط الکراهة بجهلهم بسعر البلد محلّ مناقشة.</w:t>
      </w:r>
    </w:p>
    <w:p>
      <w:pPr>
        <w:pStyle w:val="BookText"/>
      </w:pPr>
      <w:r>
        <w:rPr>
          <w:rFonts w:ascii="IRNazanin" w:hAnsi="IRNazanin" w:eastAsia="IRNazanin" w:cs="IRNazanin"/>
          <w:lang w:bidi="fa-IR"/>
          <w:color w:val="111111"/>
          <w:sz w:val="28"/>
          <w:szCs w:val="28"/>
          <w:rtl/>
        </w:rPr>
        <w:t xml:space="preserve">ثمّ إنّه لا فرق بین أخذ المتلقّی بصیغة البیع أو الصلح أو غیرهما.</w:t>
      </w:r>
    </w:p>
    <w:p>
      <w:pPr>
        <w:pStyle w:val="BookText"/>
      </w:pPr>
      <w:r>
        <w:rPr>
          <w:rFonts w:ascii="IRNazanin" w:hAnsi="IRNazanin" w:eastAsia="IRNazanin" w:cs="IRNazanin"/>
          <w:lang w:bidi="fa-IR"/>
          <w:color w:val="111111"/>
          <w:sz w:val="28"/>
          <w:szCs w:val="28"/>
          <w:rtl/>
        </w:rPr>
        <w:t xml:space="preserve">نعم،لا بأس باستیهابهم و لو بإهداء شیءٍ إلیهم.</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تلقّاهم لمعاملات أُخر غیر شراء متاعهم،فظاهر الروایات عدم المرجوحیّة.</w:t>
      </w:r>
    </w:p>
    <w:p>
      <w:pPr>
        <w:pStyle w:val="BookText"/>
      </w:pPr>
      <w:r>
        <w:rPr>
          <w:rFonts w:ascii="IRNazanin" w:hAnsi="IRNazanin" w:eastAsia="IRNazanin" w:cs="IRNazanin"/>
          <w:lang w:bidi="fa-IR"/>
          <w:color w:val="111111"/>
          <w:sz w:val="28"/>
          <w:szCs w:val="28"/>
          <w:rtl/>
        </w:rPr>
        <w:t xml:space="preserve">نعم،لو جعلنا المناط ما یقرب من قوله علیه السلام:«المسلمون یرزق اللّٰه بعضهم من بعض» </w:t>
      </w:r>
      <w:r>
        <w:rPr>
          <w:rStyle w:val="FootnoteReference"/>
        </w:rPr>
        <w:footnoteReference w:id="2342"/>
      </w:r>
      <w:r>
        <w:rPr>
          <w:rFonts w:ascii="IRNazanin" w:hAnsi="IRNazanin" w:eastAsia="IRNazanin" w:cs="IRNazanin"/>
          <w:lang w:bidi="fa-IR"/>
          <w:color w:val="111111"/>
          <w:sz w:val="28"/>
          <w:szCs w:val="28"/>
          <w:rtl/>
        </w:rPr>
        <w:t xml:space="preserve">قوی سرایة الحکم إلی بیع شیءٍ منهم و إیجارهم المساکن و الخانات.</w:t>
      </w:r>
    </w:p>
    <w:p>
      <w:pPr>
        <w:pStyle w:val="BookText"/>
      </w:pPr>
      <w:r>
        <w:rPr>
          <w:rFonts w:ascii="IRNazanin" w:hAnsi="IRNazanin" w:eastAsia="IRNazanin" w:cs="IRNazanin"/>
          <w:lang w:bidi="fa-IR"/>
          <w:color w:val="111111"/>
          <w:sz w:val="28"/>
          <w:szCs w:val="28"/>
          <w:rtl/>
        </w:rPr>
        <w:t xml:space="preserve">کما أنّه إذا جعلنا المناط فی الکراهة کراهة غبن الجاهل،کما یدلّ علیه النبویّ العامیّ:«لا تلقّوا الجَلَب،فمن تلقّاه و اشتری منه فإذا أتی السوق فهو بالخیار» </w:t>
      </w:r>
      <w:r>
        <w:rPr>
          <w:rStyle w:val="FootnoteReference"/>
        </w:rPr>
        <w:footnoteReference w:id="2343"/>
      </w:r>
      <w:r>
        <w:rPr>
          <w:rFonts w:ascii="IRNazanin" w:hAnsi="IRNazanin" w:eastAsia="IRNazanin" w:cs="IRNazanin"/>
          <w:lang w:bidi="fa-IR"/>
          <w:color w:val="111111"/>
          <w:sz w:val="28"/>
          <w:szCs w:val="28"/>
          <w:rtl/>
        </w:rPr>
        <w:t xml:space="preserve">قوی سرایة الحکم إلی کلّ معاملة توجب غبنهم، کالبیع و الشراء منهم متلقّیاً </w:t>
      </w:r>
      <w:r>
        <w:rPr>
          <w:rStyle w:val="FootnoteReference"/>
        </w:rPr>
        <w:footnoteReference w:id="2344"/>
      </w:r>
      <w:r>
        <w:rPr>
          <w:rFonts w:ascii="IRNazanin" w:hAnsi="IRNazanin" w:eastAsia="IRNazanin" w:cs="IRNazanin"/>
          <w:lang w:bidi="fa-IR"/>
          <w:color w:val="111111"/>
          <w:sz w:val="28"/>
          <w:szCs w:val="28"/>
          <w:rtl/>
        </w:rPr>
        <w:t xml:space="preserve">،و شبه ذلک.لکن الأظهر هو الأوّل.</w:t>
      </w:r>
    </w:p>
    <w:p>
      <w:pPr>
        <w:pStyle w:val="BookText"/>
      </w:pPr>
      <w:r>
        <w:rPr>
          <w:rFonts w:ascii="IRNazanin" w:hAnsi="IRNazanin" w:eastAsia="IRNazanin" w:cs="IRNazanin"/>
          <w:lang w:bidi="fa-IR"/>
          <w:color w:val="111111"/>
          <w:sz w:val="28"/>
          <w:szCs w:val="28"/>
          <w:rtl/>
        </w:rPr>
        <w:t xml:space="preserve">و کیف کان،فإذا فرض جهلهم بالسعر فثبت </w:t>
      </w:r>
      <w:r>
        <w:rPr>
          <w:rStyle w:val="FootnoteReference"/>
        </w:rPr>
        <w:footnoteReference w:id="2345"/>
      </w:r>
      <w:r>
        <w:rPr>
          <w:rFonts w:ascii="IRNazanin" w:hAnsi="IRNazanin" w:eastAsia="IRNazanin" w:cs="IRNazanin"/>
          <w:lang w:bidi="fa-IR"/>
          <w:color w:val="111111"/>
          <w:sz w:val="28"/>
          <w:szCs w:val="28"/>
          <w:rtl/>
        </w:rPr>
        <w:t xml:space="preserve">لهم الغبن الفاحش کان لهم الخیار.و قد یحکی عن الحلّی ثبوت الخیار و إن لم یکن غبن </w:t>
      </w:r>
      <w:r>
        <w:rPr>
          <w:rStyle w:val="FootnoteReference"/>
        </w:rPr>
        <w:footnoteReference w:id="2346"/>
      </w:r>
      <w:r>
        <w:rPr>
          <w:rFonts w:ascii="IRNazanin" w:hAnsi="IRNazanin" w:eastAsia="IRNazanin" w:cs="IRNazanin"/>
          <w:lang w:bidi="fa-IR"/>
          <w:color w:val="111111"/>
          <w:sz w:val="28"/>
          <w:szCs w:val="28"/>
          <w:rtl/>
        </w:rPr>
        <w:t xml:space="preserve">، و لعلّه لإطلاق </w:t>
      </w:r>
      <w:r>
        <w:rPr>
          <w:rStyle w:val="FootnoteReference"/>
        </w:rPr>
        <w:footnoteReference w:id="2347"/>
      </w:r>
      <w:r>
        <w:rPr>
          <w:rFonts w:ascii="IRNazanin" w:hAnsi="IRNazanin" w:eastAsia="IRNazanin" w:cs="IRNazanin"/>
          <w:lang w:bidi="fa-IR"/>
          <w:color w:val="111111"/>
          <w:sz w:val="28"/>
          <w:szCs w:val="28"/>
          <w:rtl/>
        </w:rPr>
        <w:t xml:space="preserve">النبویّ المتقدّم المحمول علی صورة تبیّنِ الغبن بدخول السوق و الاطّلاع علی القیمة.</w:t>
      </w:r>
    </w:p>
    <w:p>
      <w:pPr>
        <w:pStyle w:val="BookText"/>
      </w:pPr>
      <w:r>
        <w:rPr>
          <w:rFonts w:ascii="IRNazanin" w:hAnsi="IRNazanin" w:eastAsia="IRNazanin" w:cs="IRNazanin"/>
          <w:lang w:bidi="fa-IR"/>
          <w:color w:val="111111"/>
          <w:sz w:val="28"/>
          <w:szCs w:val="28"/>
          <w:rtl/>
        </w:rPr>
        <w:t xml:space="preserve">و اختلفوا فی کون هذا الخیار علی الفور أو التراخی علی قولین، سیجیء ذکر الأقوی منهما فی مسألة خیار الغبن إن شاء اللّٰه.</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4" w:name="pg14419_167258"/>
    <w:bookmarkEnd w:id="274"/>
    <w:p>
      <w:pPr>
        <w:pStyle w:val="Heading6"/>
      </w:pPr>
      <w:bookmarkStart w:id="1116" w:name="_Toc556"/>
      <w:r>
        <w:t>مسألة : یحرم النجش</w:t>
      </w:r>
      <w:bookmarkEnd w:id="1116"/>
    </w:p>
    <w:p>
      <w:pPr>
        <w:pStyle w:val="BookText"/>
      </w:pPr>
      <w:r>
        <w:rPr>
          <w:rFonts w:ascii="IRNazanin" w:hAnsi="IRNazanin" w:eastAsia="IRNazanin" w:cs="IRNazanin"/>
          <w:lang w:bidi="fa-IR"/>
          <w:color w:val="111111"/>
          <w:sz w:val="28"/>
          <w:szCs w:val="28"/>
          <w:rtl/>
        </w:rPr>
        <w:t xml:space="preserve">علی المشهور،کما فی الحدائق </w:t>
      </w:r>
      <w:r>
        <w:rPr>
          <w:rStyle w:val="FootnoteReference"/>
        </w:rPr>
        <w:footnoteReference w:id="2348"/>
      </w:r>
      <w:r>
        <w:rPr>
          <w:rFonts w:ascii="IRNazanin" w:hAnsi="IRNazanin" w:eastAsia="IRNazanin" w:cs="IRNazanin"/>
          <w:lang w:bidi="fa-IR"/>
          <w:color w:val="111111"/>
          <w:sz w:val="28"/>
          <w:szCs w:val="28"/>
          <w:rtl/>
        </w:rPr>
        <w:t xml:space="preserve">،بل عن المنتهی و جامع المقاصد:أنّه محرّم </w:t>
      </w:r>
      <w:r>
        <w:rPr>
          <w:rStyle w:val="FootnoteReference"/>
        </w:rPr>
        <w:footnoteReference w:id="2349"/>
      </w:r>
      <w:r>
        <w:rPr>
          <w:rFonts w:ascii="Amiri" w:hAnsi="Amiri" w:eastAsia="Amiri" w:cs="Amiri"/>
          <w:lang w:bidi="ar-SA"/>
          <w:color w:val="111111"/>
          <w:sz w:val="28"/>
          <w:szCs w:val="28"/>
          <w:rtl/>
        </w:rPr>
        <w:t xml:space="preserve">إجماعاً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لروایة ابن سنان عن أبی عبد اللّٰه علیه السلام قال:«قال رسول اللّٰه صلّی اللّٰه علیه و آله:الواشمة و المؤتشمة و الناجش و المنجوش ملعونون علی لسان محمّد صلّی اللّٰه علیه و آله»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النبوی المحکیّ عن معانی الأخبار:«لا تناجشوا و لا تدابروا»، قال:و معناه:أن یزید الرجل فی ثمن السلعة و هو لا یرید شراءها؛ لیسمع غیره فیزید بزیادته،و الناجش خائن،و التدابر:الهجران </w:t>
      </w:r>
      <w:r>
        <w:rPr>
          <w:rStyle w:val="FootnoteReference"/>
        </w:rPr>
        <w:footnoteReference w:id="2352"/>
      </w:r>
      <w:r>
        <w:rPr>
          <w:rFonts w:ascii="IRNazanin" w:hAnsi="IRNazanin" w:eastAsia="IRNazanin" w:cs="IRNazanin"/>
          <w:lang w:bidi="fa-IR"/>
          <w:color w:val="111111"/>
          <w:sz w:val="28"/>
          <w:szCs w:val="28"/>
          <w:rtl/>
        </w:rPr>
        <w:t xml:space="preserve">، انتهی کلام الصدوق.</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المراد بزیادة الناجش:مؤاطاة البائع المنجوش له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75" w:name="pg14419_167260"/>
    <w:bookmarkEnd w:id="275"/>
    <w:p>
      <w:pPr>
        <w:pStyle w:val="Heading6"/>
      </w:pPr>
      <w:bookmarkStart w:id="1117" w:name="_Toc557"/>
      <w:r>
        <w:t>مسألة : إذا دفع إنسان إلی غیره مالاً لیصرفه فی قَبیلٍ یکون المدفوع إلیه منهم</w:t>
      </w:r>
      <w:bookmarkEnd w:id="1117"/>
    </w:p>
    <w:p>
      <w:pPr>
        <w:pStyle w:val="BookText"/>
      </w:pPr>
      <w:r>
        <w:rPr>
          <w:rFonts w:ascii="IRNazanin" w:hAnsi="IRNazanin" w:eastAsia="IRNazanin" w:cs="IRNazanin"/>
          <w:lang w:bidi="fa-IR"/>
          <w:color w:val="111111"/>
          <w:sz w:val="28"/>
          <w:szCs w:val="28"/>
          <w:rtl/>
        </w:rPr>
        <w:t xml:space="preserve">و لم یحصل للمدفوع إلیه ولایة علی ذلک المال من دون الدافع ک:مال الإمام،أو ردّ المظالم المدفوع إلی الحاکم فله صور:</w:t>
      </w:r>
    </w:p>
    <w:p>
      <w:pPr>
        <w:pStyle w:val="BookText"/>
      </w:pPr>
      <w:r>
        <w:rPr>
          <w:rFonts w:ascii="IRNazanin" w:hAnsi="IRNazanin" w:eastAsia="IRNazanin" w:cs="IRNazanin"/>
          <w:lang w:bidi="fa-IR"/>
          <w:color w:val="111111"/>
          <w:sz w:val="28"/>
          <w:szCs w:val="28"/>
          <w:rtl/>
        </w:rPr>
        <w:t xml:space="preserve">إحداها: أن تظهر </w:t>
      </w:r>
      <w:r>
        <w:rPr>
          <w:rStyle w:val="FootnoteReference"/>
        </w:rPr>
        <w:footnoteReference w:id="2354"/>
      </w:r>
      <w:r>
        <w:rPr>
          <w:rFonts w:ascii="IRNazanin" w:hAnsi="IRNazanin" w:eastAsia="IRNazanin" w:cs="IRNazanin"/>
          <w:lang w:bidi="fa-IR"/>
          <w:color w:val="111111"/>
          <w:sz w:val="28"/>
          <w:szCs w:val="28"/>
          <w:rtl/>
        </w:rPr>
        <w:t xml:space="preserve">قرینة علی عدم جواز </w:t>
      </w:r>
      <w:r>
        <w:rPr>
          <w:rStyle w:val="FootnoteReference"/>
        </w:rPr>
        <w:footnoteReference w:id="2355"/>
      </w:r>
      <w:r>
        <w:rPr>
          <w:rFonts w:ascii="IRNazanin" w:hAnsi="IRNazanin" w:eastAsia="IRNazanin" w:cs="IRNazanin"/>
          <w:lang w:bidi="fa-IR"/>
          <w:color w:val="111111"/>
          <w:sz w:val="28"/>
          <w:szCs w:val="28"/>
          <w:rtl/>
        </w:rPr>
        <w:t xml:space="preserve">رضاه بالأخذ منه، کما إذا عیّن له منه مقداراً قبل الدفع أو بعده.و لا إشکال فی عدم الجواز؛لحرمة التصرّف فی مال الناس علی غیر الوجه المأذون فیه.</w:t>
      </w:r>
    </w:p>
    <w:p>
      <w:pPr>
        <w:pStyle w:val="BookText"/>
      </w:pPr>
      <w:r>
        <w:rPr>
          <w:rFonts w:ascii="IRNazanin" w:hAnsi="IRNazanin" w:eastAsia="IRNazanin" w:cs="IRNazanin"/>
          <w:lang w:bidi="fa-IR"/>
          <w:color w:val="111111"/>
          <w:sz w:val="28"/>
          <w:szCs w:val="28"/>
          <w:rtl/>
        </w:rPr>
        <w:t xml:space="preserve">الثانیة: أن تظهر </w:t>
      </w:r>
      <w:r>
        <w:rPr>
          <w:rStyle w:val="FootnoteReference"/>
        </w:rPr>
        <w:footnoteReference w:id="2356"/>
      </w:r>
      <w:r>
        <w:rPr>
          <w:rFonts w:ascii="IRNazanin" w:hAnsi="IRNazanin" w:eastAsia="IRNazanin" w:cs="IRNazanin"/>
          <w:lang w:bidi="fa-IR"/>
          <w:color w:val="111111"/>
          <w:sz w:val="28"/>
          <w:szCs w:val="28"/>
          <w:rtl/>
        </w:rPr>
        <w:t xml:space="preserve">قرینة حالیّة أو مقالیّة علی جواز أخذه منه مقداراً مساویاً لما یدفع إلی غیره أو أنقص أو أزید.و لا إشکال فی الجواز حینئذٍ.</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قد یشکل الأمر فیما لو اختلف مقدار المدفوع إلی الأصناف المختلفة،کأن عیّن للمجتهدین مقداراً،و للمشتغلین مقداراً، و اعتقده </w:t>
      </w:r>
      <w:r>
        <w:rPr>
          <w:rStyle w:val="FootnoteReference"/>
        </w:rPr>
        <w:footnoteReference w:id="2357"/>
      </w:r>
      <w:r>
        <w:rPr>
          <w:rFonts w:ascii="Amiri" w:hAnsi="Amiri" w:eastAsia="Amiri" w:cs="Amiri"/>
          <w:lang w:bidi="ar-SA"/>
          <w:color w:val="111111"/>
          <w:sz w:val="28"/>
          <w:szCs w:val="28"/>
          <w:rtl/>
        </w:rPr>
        <w:t xml:space="preserve">الدافع بعنوان یخالف مُعْتَقَد المدفوع إلیه.</w:t>
      </w:r>
    </w:p>
    <w:p>
      <w:pPr>
        <w:pStyle w:val="BookText"/>
      </w:pPr>
      <w:r>
        <w:rPr>
          <w:rFonts w:ascii="IRNazanin" w:hAnsi="IRNazanin" w:eastAsia="IRNazanin" w:cs="IRNazanin"/>
          <w:lang w:bidi="fa-IR"/>
          <w:color w:val="111111"/>
          <w:sz w:val="28"/>
          <w:szCs w:val="28"/>
          <w:rtl/>
        </w:rPr>
        <w:t xml:space="preserve">و التحقیق هنا:مراعاة معتقد المدفوع إلیه إن کان عنوان الصنف علی وجه الموضوعیّة،کأن یقول:ادفع إلی کلّ مشتغل کذا و إلی کلّ مجتهد کذا،و خذ أنت ما یخصّک.و إن کان علی وجه الداعی بأن کان عنوان الصنف داعیاً إلی تعیین ذلک المقدار،کان المتّبع اعتقاد الدافع؛ لأنّ الداعی إنّما یتفرّع علی الاعتقاد لا الواقع.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الثالثة: أن لا تقوم قرینة علی أحد الأمرین،و یطلق المتکلّم.</w:t>
      </w:r>
    </w:p>
    <w:p>
      <w:pPr>
        <w:pStyle w:val="BookText"/>
      </w:pPr>
      <w:r>
        <w:rPr>
          <w:rFonts w:ascii="IRNazanin" w:hAnsi="IRNazanin" w:eastAsia="IRNazanin" w:cs="IRNazanin"/>
          <w:lang w:bidi="fa-IR"/>
          <w:color w:val="111111"/>
          <w:sz w:val="28"/>
          <w:szCs w:val="28"/>
          <w:rtl/>
        </w:rPr>
        <w:t xml:space="preserve">و قد اختلف فیه کلماتهم بل کلمات واحد منهم،فالمحکیّ عن وکالة المبسوط </w:t>
      </w:r>
      <w:r>
        <w:rPr>
          <w:rStyle w:val="FootnoteReference"/>
        </w:rPr>
        <w:footnoteReference w:id="2358"/>
      </w:r>
      <w:r>
        <w:rPr>
          <w:rFonts w:ascii="IRNazanin" w:hAnsi="IRNazanin" w:eastAsia="IRNazanin" w:cs="IRNazanin"/>
          <w:lang w:bidi="fa-IR"/>
          <w:color w:val="111111"/>
          <w:sz w:val="28"/>
          <w:szCs w:val="28"/>
          <w:rtl/>
        </w:rPr>
        <w:t xml:space="preserve">و زکاة السرائر </w:t>
      </w:r>
      <w:r>
        <w:rPr>
          <w:rStyle w:val="FootnoteReference"/>
        </w:rPr>
        <w:footnoteReference w:id="2359"/>
      </w:r>
      <w:r>
        <w:rPr>
          <w:rFonts w:ascii="IRNazanin" w:hAnsi="IRNazanin" w:eastAsia="IRNazanin" w:cs="IRNazanin"/>
          <w:lang w:bidi="fa-IR"/>
          <w:color w:val="111111"/>
          <w:sz w:val="28"/>
          <w:szCs w:val="28"/>
          <w:rtl/>
        </w:rPr>
        <w:t xml:space="preserve">و مکاسب النافع </w:t>
      </w:r>
      <w:r>
        <w:rPr>
          <w:rStyle w:val="FootnoteReference"/>
        </w:rPr>
        <w:footnoteReference w:id="2360"/>
      </w:r>
      <w:r>
        <w:rPr>
          <w:rFonts w:ascii="IRNazanin" w:hAnsi="IRNazanin" w:eastAsia="IRNazanin" w:cs="IRNazanin"/>
          <w:lang w:bidi="fa-IR"/>
          <w:color w:val="111111"/>
          <w:sz w:val="28"/>
          <w:szCs w:val="28"/>
          <w:rtl/>
        </w:rPr>
        <w:t xml:space="preserve">و کشف الرموز </w:t>
      </w:r>
      <w:r>
        <w:rPr>
          <w:rStyle w:val="FootnoteReference"/>
        </w:rPr>
        <w:footnoteReference w:id="2361"/>
      </w:r>
      <w:r>
        <w:rPr>
          <w:rFonts w:ascii="IRNazanin" w:hAnsi="IRNazanin" w:eastAsia="IRNazanin" w:cs="IRNazanin"/>
          <w:lang w:bidi="fa-IR"/>
          <w:color w:val="111111"/>
          <w:sz w:val="28"/>
          <w:szCs w:val="28"/>
          <w:rtl/>
        </w:rPr>
        <w:t xml:space="preserve">و المختلف </w:t>
      </w:r>
      <w:r>
        <w:rPr>
          <w:rStyle w:val="FootnoteReference"/>
        </w:rPr>
        <w:footnoteReference w:id="2362"/>
      </w:r>
      <w:r>
        <w:rPr>
          <w:rFonts w:ascii="IRNazanin" w:hAnsi="IRNazanin" w:eastAsia="IRNazanin" w:cs="IRNazanin"/>
          <w:lang w:bidi="fa-IR"/>
          <w:color w:val="111111"/>
          <w:sz w:val="28"/>
          <w:szCs w:val="28"/>
          <w:rtl/>
        </w:rPr>
        <w:t xml:space="preserve">و التذکرة </w:t>
      </w:r>
      <w:r>
        <w:rPr>
          <w:rStyle w:val="FootnoteReference"/>
        </w:rPr>
        <w:footnoteReference w:id="2363"/>
      </w:r>
      <w:r>
        <w:rPr>
          <w:rFonts w:ascii="IRNazanin" w:hAnsi="IRNazanin" w:eastAsia="IRNazanin" w:cs="IRNazanin"/>
          <w:lang w:bidi="fa-IR"/>
          <w:color w:val="111111"/>
          <w:sz w:val="28"/>
          <w:szCs w:val="28"/>
          <w:rtl/>
        </w:rPr>
        <w:t xml:space="preserve">و جامع المقاصد </w:t>
      </w:r>
      <w:r>
        <w:rPr>
          <w:rStyle w:val="FootnoteReference"/>
        </w:rPr>
        <w:footnoteReference w:id="2364"/>
      </w:r>
      <w:r>
        <w:rPr>
          <w:rFonts w:ascii="IRNazanin" w:hAnsi="IRNazanin" w:eastAsia="IRNazanin" w:cs="IRNazanin"/>
          <w:lang w:bidi="fa-IR"/>
          <w:color w:val="111111"/>
          <w:sz w:val="28"/>
          <w:szCs w:val="28"/>
          <w:rtl/>
        </w:rPr>
        <w:t xml:space="preserve">:تحریم الأخذ مطلقاً.</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النهایة </w:t>
      </w:r>
      <w:r>
        <w:rPr>
          <w:rStyle w:val="FootnoteReference"/>
        </w:rPr>
        <w:footnoteReference w:id="2365"/>
      </w:r>
      <w:r>
        <w:rPr>
          <w:rFonts w:ascii="IRNazanin" w:hAnsi="IRNazanin" w:eastAsia="IRNazanin" w:cs="IRNazanin"/>
          <w:lang w:bidi="fa-IR"/>
          <w:color w:val="111111"/>
          <w:sz w:val="28"/>
          <w:szCs w:val="28"/>
          <w:rtl/>
        </w:rPr>
        <w:t xml:space="preserve">و مکاسب السرائر </w:t>
      </w:r>
      <w:r>
        <w:rPr>
          <w:rStyle w:val="FootnoteReference"/>
        </w:rPr>
        <w:footnoteReference w:id="2366"/>
      </w:r>
      <w:r>
        <w:rPr>
          <w:rFonts w:ascii="IRNazanin" w:hAnsi="IRNazanin" w:eastAsia="IRNazanin" w:cs="IRNazanin"/>
          <w:lang w:bidi="fa-IR"/>
          <w:color w:val="111111"/>
          <w:sz w:val="28"/>
          <w:szCs w:val="28"/>
          <w:rtl/>
        </w:rPr>
        <w:t xml:space="preserve">و الشرائع </w:t>
      </w:r>
      <w:r>
        <w:rPr>
          <w:rStyle w:val="FootnoteReference"/>
        </w:rPr>
        <w:footnoteReference w:id="2367"/>
      </w:r>
      <w:r>
        <w:rPr>
          <w:rFonts w:ascii="IRNazanin" w:hAnsi="IRNazanin" w:eastAsia="IRNazanin" w:cs="IRNazanin"/>
          <w:lang w:bidi="fa-IR"/>
          <w:color w:val="111111"/>
          <w:sz w:val="28"/>
          <w:szCs w:val="28"/>
          <w:rtl/>
        </w:rPr>
        <w:t xml:space="preserve">و التحریر </w:t>
      </w:r>
      <w:r>
        <w:rPr>
          <w:rStyle w:val="FootnoteReference"/>
        </w:rPr>
        <w:footnoteReference w:id="2368"/>
      </w:r>
      <w:r>
        <w:rPr>
          <w:rFonts w:ascii="IRNazanin" w:hAnsi="IRNazanin" w:eastAsia="IRNazanin" w:cs="IRNazanin"/>
          <w:lang w:bidi="fa-IR"/>
          <w:color w:val="111111"/>
          <w:sz w:val="28"/>
          <w:szCs w:val="28"/>
          <w:rtl/>
        </w:rPr>
        <w:t xml:space="preserve">و الإرشاد </w:t>
      </w:r>
      <w:r>
        <w:rPr>
          <w:rStyle w:val="FootnoteReference"/>
        </w:rPr>
        <w:footnoteReference w:id="2369"/>
      </w:r>
      <w:r>
        <w:rPr>
          <w:rFonts w:ascii="IRNazanin" w:hAnsi="IRNazanin" w:eastAsia="IRNazanin" w:cs="IRNazanin"/>
          <w:lang w:bidi="fa-IR"/>
          <w:color w:val="111111"/>
          <w:sz w:val="28"/>
          <w:szCs w:val="28"/>
          <w:rtl/>
        </w:rPr>
        <w:t xml:space="preserve">و المسالک </w:t>
      </w:r>
      <w:r>
        <w:rPr>
          <w:rStyle w:val="FootnoteReference"/>
        </w:rPr>
        <w:footnoteReference w:id="2370"/>
      </w:r>
      <w:r>
        <w:rPr>
          <w:rFonts w:ascii="IRNazanin" w:hAnsi="IRNazanin" w:eastAsia="IRNazanin" w:cs="IRNazanin"/>
          <w:lang w:bidi="fa-IR"/>
          <w:color w:val="111111"/>
          <w:sz w:val="28"/>
          <w:szCs w:val="28"/>
          <w:rtl/>
        </w:rPr>
        <w:t xml:space="preserve">و الکفایة </w:t>
      </w:r>
      <w:r>
        <w:rPr>
          <w:rStyle w:val="FootnoteReference"/>
        </w:rPr>
        <w:footnoteReference w:id="2371"/>
      </w:r>
      <w:r>
        <w:rPr>
          <w:rFonts w:ascii="IRNazanin" w:hAnsi="IRNazanin" w:eastAsia="IRNazanin" w:cs="IRNazanin"/>
          <w:lang w:bidi="fa-IR"/>
          <w:color w:val="111111"/>
          <w:sz w:val="28"/>
          <w:szCs w:val="28"/>
          <w:rtl/>
        </w:rPr>
        <w:t xml:space="preserve">:أنّه یجوز له الأخذ منه إن أطلق من دون زیادة علی غیره.و نسبه فی الدروس إلی الأکثر </w:t>
      </w:r>
      <w:r>
        <w:rPr>
          <w:rStyle w:val="FootnoteReference"/>
        </w:rPr>
        <w:footnoteReference w:id="2372"/>
      </w:r>
      <w:r>
        <w:rPr>
          <w:rFonts w:ascii="IRNazanin" w:hAnsi="IRNazanin" w:eastAsia="IRNazanin" w:cs="IRNazanin"/>
          <w:lang w:bidi="fa-IR"/>
          <w:color w:val="111111"/>
          <w:sz w:val="28"/>
          <w:szCs w:val="28"/>
          <w:rtl/>
        </w:rPr>
        <w:t xml:space="preserve">،و فی الحدائق إلی المشهور </w:t>
      </w:r>
      <w:r>
        <w:rPr>
          <w:rStyle w:val="FootnoteReference"/>
        </w:rPr>
        <w:footnoteReference w:id="2373"/>
      </w:r>
      <w:r>
        <w:rPr>
          <w:rFonts w:ascii="IRNazanin" w:hAnsi="IRNazanin" w:eastAsia="IRNazanin" w:cs="IRNazanin"/>
          <w:lang w:bidi="fa-IR"/>
          <w:color w:val="111111"/>
          <w:sz w:val="28"/>
          <w:szCs w:val="28"/>
          <w:rtl/>
        </w:rPr>
        <w:t xml:space="preserve">،و فی المسالک:هکذا شرط کلّ من سوّغ له الأخذ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نهایة الإحکام </w:t>
      </w:r>
      <w:r>
        <w:rPr>
          <w:rStyle w:val="FootnoteReference"/>
        </w:rPr>
        <w:footnoteReference w:id="2375"/>
      </w:r>
      <w:r>
        <w:rPr>
          <w:rFonts w:ascii="IRNazanin" w:hAnsi="IRNazanin" w:eastAsia="IRNazanin" w:cs="IRNazanin"/>
          <w:lang w:bidi="fa-IR"/>
          <w:color w:val="111111"/>
          <w:sz w:val="28"/>
          <w:szCs w:val="28"/>
          <w:rtl/>
        </w:rPr>
        <w:t xml:space="preserve">و التنقیح </w:t>
      </w:r>
      <w:r>
        <w:rPr>
          <w:rStyle w:val="FootnoteReference"/>
        </w:rPr>
        <w:footnoteReference w:id="2376"/>
      </w:r>
      <w:r>
        <w:rPr>
          <w:rFonts w:ascii="IRNazanin" w:hAnsi="IRNazanin" w:eastAsia="IRNazanin" w:cs="IRNazanin"/>
          <w:lang w:bidi="fa-IR"/>
          <w:color w:val="111111"/>
          <w:sz w:val="28"/>
          <w:szCs w:val="28"/>
          <w:rtl/>
        </w:rPr>
        <w:t xml:space="preserve">و المهذّب البارع </w:t>
      </w:r>
      <w:r>
        <w:rPr>
          <w:rStyle w:val="FootnoteReference"/>
        </w:rPr>
        <w:footnoteReference w:id="2377"/>
      </w:r>
      <w:r>
        <w:rPr>
          <w:rFonts w:ascii="IRNazanin" w:hAnsi="IRNazanin" w:eastAsia="IRNazanin" w:cs="IRNazanin"/>
          <w:lang w:bidi="fa-IR"/>
          <w:color w:val="111111"/>
          <w:sz w:val="28"/>
          <w:szCs w:val="28"/>
          <w:rtl/>
        </w:rPr>
        <w:t xml:space="preserve">و المقتصر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الاقتصار علی نقل القولین.</w:t>
      </w:r>
    </w:p>
    <w:p>
      <w:pPr>
        <w:pStyle w:val="BookText"/>
      </w:pPr>
      <w:r>
        <w:rPr>
          <w:rFonts w:ascii="IRNazanin" w:hAnsi="IRNazanin" w:eastAsia="IRNazanin" w:cs="IRNazanin"/>
          <w:lang w:bidi="fa-IR"/>
          <w:color w:val="111111"/>
          <w:sz w:val="28"/>
          <w:szCs w:val="28"/>
          <w:rtl/>
        </w:rPr>
        <w:t xml:space="preserve">و عن المهذّب البارع:حکایة التفصیل بالجواز </w:t>
      </w:r>
      <w:r>
        <w:rPr>
          <w:rStyle w:val="FootnoteReference"/>
        </w:rPr>
        <w:footnoteReference w:id="2379"/>
      </w:r>
      <w:r>
        <w:rPr>
          <w:rFonts w:ascii="IRNazanin" w:hAnsi="IRNazanin" w:eastAsia="IRNazanin" w:cs="IRNazanin"/>
          <w:lang w:bidi="fa-IR"/>
          <w:color w:val="111111"/>
          <w:sz w:val="28"/>
          <w:szCs w:val="28"/>
          <w:rtl/>
        </w:rPr>
        <w:t xml:space="preserve">إن کانت الصیغة</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بلفظ«ضعه فیهم»أو ما أدّی معناه،و المنع إن کانت بلفظ«ادفعه»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التنقیح عن بعض الفضلاء:أنّه إن قال:«هو للفقراء» جاز،و إن قال:«أعطه للفقراء»،فإن علم فقره لم یجز؛إذ لو أراده لخصّه،و إن لم یعلم جاز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القائل بالتحریم مضافاً إلی ظهور اللفظ فی مغایرة المأمور بالدفع </w:t>
      </w:r>
      <w:r>
        <w:rPr>
          <w:rStyle w:val="FootnoteReference"/>
        </w:rPr>
        <w:footnoteReference w:id="2382"/>
      </w:r>
      <w:r>
        <w:rPr>
          <w:rFonts w:ascii="IRNazanin" w:hAnsi="IRNazanin" w:eastAsia="IRNazanin" w:cs="IRNazanin"/>
          <w:lang w:bidi="fa-IR"/>
          <w:color w:val="111111"/>
          <w:sz w:val="28"/>
          <w:szCs w:val="28"/>
          <w:rtl/>
        </w:rPr>
        <w:t xml:space="preserve">للمدفوع إلیهم،المؤیّد بما قالوه فیمن وکّلته امرأة أن یزوّجها من شخصٍ فزوّجها من نفسه،أو وکّله فی شراء شیءٍ فأعطاه من عنده بصحیحة </w:t>
      </w:r>
      <w:r>
        <w:rPr>
          <w:rStyle w:val="FootnoteReference"/>
        </w:rPr>
        <w:footnoteReference w:id="2383"/>
      </w:r>
      <w:r>
        <w:rPr>
          <w:rFonts w:ascii="IRNazanin" w:hAnsi="IRNazanin" w:eastAsia="IRNazanin" w:cs="IRNazanin"/>
          <w:lang w:bidi="fa-IR"/>
          <w:color w:val="111111"/>
          <w:sz w:val="28"/>
          <w:szCs w:val="28"/>
          <w:rtl/>
        </w:rPr>
        <w:t xml:space="preserve">ابن الحجّاج المسندة فی التحریر إلی مولانا الصادق علیه السلام و إن أُضمرت فی غیره،قال:«سألته عن رجلٍ أعطاه رجلٌ مالاً لیصرفه فی محاویج أو فی مساکین،و هو یحتاج،أ یأخذ منه لنفسه و لا یعلمه هو؟قال:لا یأخذ شیئاً حتّی یأذن له صاحبه»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المجوّزون </w:t>
      </w:r>
      <w:r>
        <w:rPr>
          <w:rStyle w:val="FootnoteReference"/>
        </w:rPr>
        <w:footnoteReference w:id="2385"/>
      </w:r>
      <w:r>
        <w:rPr>
          <w:rFonts w:ascii="IRNazanin" w:hAnsi="IRNazanin" w:eastAsia="IRNazanin" w:cs="IRNazanin"/>
          <w:lang w:bidi="fa-IR"/>
          <w:color w:val="111111"/>
          <w:sz w:val="28"/>
          <w:szCs w:val="28"/>
          <w:rtl/>
        </w:rPr>
        <w:t xml:space="preserve">:بأنّ العنوان المدفوع إلیه شامل له،و الغرض </w:t>
      </w:r>
      <w:r>
        <w:rPr>
          <w:rStyle w:val="FootnoteReference"/>
        </w:rPr>
        <w:footnoteReference w:id="2386"/>
      </w:r>
      <w:r>
        <w:rPr>
          <w:rFonts w:ascii="IRNazanin" w:hAnsi="IRNazanin" w:eastAsia="IRNazanin" w:cs="IRNazanin"/>
          <w:lang w:bidi="fa-IR"/>
          <w:color w:val="111111"/>
          <w:sz w:val="28"/>
          <w:szCs w:val="28"/>
          <w:rtl/>
        </w:rPr>
        <w:t xml:space="preserve">الدفع إلی هذا العنوان من غیر ملاحظة لخصوصیّة الغیر،و اللفظ و إن</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 عدم شموله له لغةً،إلّا أنّ المنساق عرفاً صرفه إلی کلّ من اتّصف بهذا العنوان،فالعنوان موضوع لجواز الدفع یحمل علیه الجواز.</w:t>
      </w:r>
    </w:p>
    <w:p>
      <w:pPr>
        <w:pStyle w:val="BookText"/>
      </w:pPr>
      <w:r>
        <w:rPr>
          <w:rFonts w:ascii="IRNazanin" w:hAnsi="IRNazanin" w:eastAsia="IRNazanin" w:cs="IRNazanin"/>
          <w:lang w:bidi="fa-IR"/>
          <w:color w:val="111111"/>
          <w:sz w:val="28"/>
          <w:szCs w:val="28"/>
          <w:rtl/>
        </w:rPr>
        <w:t xml:space="preserve">نعم،لو کان المدفوع إلیهم أشخاصاً خاصّة،و کان الداعی علی الدفع اتّصافهم بذلک الوصف لم یشمل المأمور.و الروایة معارضة بروایات أُخر،مثل:</w:t>
      </w:r>
    </w:p>
    <w:p>
      <w:pPr>
        <w:pStyle w:val="BookText"/>
      </w:pPr>
      <w:r>
        <w:rPr>
          <w:rFonts w:ascii="IRNazanin" w:hAnsi="IRNazanin" w:eastAsia="IRNazanin" w:cs="IRNazanin"/>
          <w:lang w:bidi="fa-IR"/>
          <w:color w:val="111111"/>
          <w:sz w:val="28"/>
          <w:szCs w:val="28"/>
          <w:rtl/>
        </w:rPr>
        <w:t xml:space="preserve">ما عن الکافی فی الصحیح عن سعید بن یسار،قال:«قلت لأبی عبد اللّٰه علیه السلام:الرجل یعطی الزکاة یقسّمها فی أصحابه،أ یأخذ منها شیئاً؟قال:نعم»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الحسین بن عثمان فی الصحیح أو الحسن بابن هاشم-:«فی رجلٍ اعطی مالاً یفرّقه فی من یحلّ له،أ یأخذ منه شیئاً لنفسه و إن لم یسمّ له؟قال:یأخذ منه لنفسه مثل ما یعطی غیرَه»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ابن الحجّاج،قال:«سألت أبا الحسن علیه السلام عن الرجل یعطی الرجل الدراهم یقسّمها و یضعها فی مواضعها و هو ممّن تحلّ له الصدقة؟قال:لا بأس أن یأخذ لنفسه کما یعطی غیره،و لا یجوز له أن یأخذ إذا أمره أن یضعها فی مواضع مسمّاة إلّا بإذنه»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ینبغی أن یقال:أمّا من حیث دلالة اللفظ الدالّ علی الإذن فی الدفع و الصرف،فإنّ المتّبع الظهور العرفی و إن کان ظاهراً</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الوضع اللغوی فی غیره،کما أنّ الظهور الخارجی الذی یستفاد من القرائن الخارجیّة مقدّم علی الظهور العرفی الثابت للّفظ المجرّد عن تلک القرائن.</w:t>
      </w:r>
    </w:p>
    <w:p>
      <w:pPr>
        <w:pStyle w:val="BookText"/>
      </w:pPr>
      <w:r>
        <w:rPr>
          <w:rFonts w:ascii="IRNazanin" w:hAnsi="IRNazanin" w:eastAsia="IRNazanin" w:cs="IRNazanin"/>
          <w:lang w:bidi="fa-IR"/>
          <w:color w:val="111111"/>
          <w:sz w:val="28"/>
          <w:szCs w:val="28"/>
          <w:rtl/>
        </w:rPr>
        <w:t xml:space="preserve">ثمّ إنّ التعبّد فی حکم هذه المسألة لا یخلو عن بُعد،فالأولی حمل الأخبار المجوّزة علی ما إذا کان غرض المتکلّم صَرف المدفوع فی العنوان المرسوم له من غیر تعلّق الغرض بخصوص فرد دون آخر، و حمل الصحیحة المانعة </w:t>
      </w:r>
      <w:r>
        <w:rPr>
          <w:rStyle w:val="FootnoteReference"/>
        </w:rPr>
        <w:footnoteReference w:id="2390"/>
      </w:r>
      <w:r>
        <w:rPr>
          <w:rFonts w:ascii="IRNazanin" w:hAnsi="IRNazanin" w:eastAsia="IRNazanin" w:cs="IRNazanin"/>
          <w:lang w:bidi="fa-IR"/>
          <w:color w:val="111111"/>
          <w:sz w:val="28"/>
          <w:szCs w:val="28"/>
          <w:rtl/>
        </w:rPr>
        <w:t xml:space="preserve">علی ما إذا لم یعلم الآمر بفقر المأمور فأمره </w:t>
      </w:r>
      <w:r>
        <w:rPr>
          <w:rStyle w:val="FootnoteReference"/>
        </w:rPr>
        <w:footnoteReference w:id="2391"/>
      </w:r>
      <w:r>
        <w:rPr>
          <w:rFonts w:ascii="IRNazanin" w:hAnsi="IRNazanin" w:eastAsia="IRNazanin" w:cs="IRNazanin"/>
          <w:lang w:bidi="fa-IR"/>
          <w:color w:val="111111"/>
          <w:sz w:val="28"/>
          <w:szCs w:val="28"/>
          <w:rtl/>
        </w:rPr>
        <w:t xml:space="preserve">بالدفع إلی مساکین علی وجه تکون المسکنة داعیاً </w:t>
      </w:r>
      <w:r>
        <w:rPr>
          <w:rStyle w:val="FootnoteReference"/>
        </w:rPr>
        <w:footnoteReference w:id="2392"/>
      </w:r>
      <w:r>
        <w:rPr>
          <w:rFonts w:ascii="IRNazanin" w:hAnsi="IRNazanin" w:eastAsia="IRNazanin" w:cs="IRNazanin"/>
          <w:lang w:bidi="fa-IR"/>
          <w:color w:val="111111"/>
          <w:sz w:val="28"/>
          <w:szCs w:val="28"/>
          <w:rtl/>
        </w:rPr>
        <w:t xml:space="preserve">إلی الدفع لا موضوعاً، و لمّا لم یعلم المسکنة فی المأمور لم یحصل داعٍ علی الرضا بوصول شیءٍ من المال إلیه.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علی تقدیر المعارضة،فالواجب الرجوع إلی ظاهر اللفظ؛ لأنّ الشکّ بعد تکافؤ الأخبار فی الصارف الشرعی عن الظهور العرفی.</w:t>
      </w:r>
    </w:p>
    <w:p>
      <w:pPr>
        <w:pStyle w:val="BookText"/>
      </w:pPr>
      <w:r>
        <w:rPr>
          <w:rFonts w:ascii="IRNazanin" w:hAnsi="IRNazanin" w:eastAsia="IRNazanin" w:cs="IRNazanin"/>
          <w:lang w:bidi="fa-IR"/>
          <w:color w:val="111111"/>
          <w:sz w:val="28"/>
          <w:szCs w:val="28"/>
          <w:rtl/>
        </w:rPr>
        <w:t xml:space="preserve">و لو لم یکن للّفظ ظهور فالواجب بعد التکافؤ الرجوع إلی المنع؛إذ لا یجوز التصرّف فی مال الغیر إلّا بإذنٍ من المالک أو الشارع.</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76" w:name="pg14419_167266"/>
    <w:bookmarkEnd w:id="276"/>
    <w:p>
      <w:pPr>
        <w:pStyle w:val="Heading6"/>
      </w:pPr>
      <w:bookmarkStart w:id="1118" w:name="_Toc558"/>
      <w:r>
        <w:t>مسألة : احتکار الطعام</w:t>
      </w:r>
      <w:bookmarkEnd w:id="1118"/>
    </w:p>
    <w:p>
      <w:pPr>
        <w:pStyle w:val="Heading6"/>
      </w:pPr>
      <w:bookmarkStart w:id="1119" w:name="_Toc559"/>
      <w:r>
        <w:t>اشارة</w:t>
      </w:r>
      <w:bookmarkEnd w:id="1119"/>
    </w:p>
    <w:p>
      <w:pPr>
        <w:pStyle w:val="BookText"/>
      </w:pPr>
      <w:r>
        <w:rPr>
          <w:rFonts w:ascii="IRNazanin" w:hAnsi="IRNazanin" w:eastAsia="IRNazanin" w:cs="IRNazanin"/>
          <w:lang w:bidi="fa-IR"/>
          <w:color w:val="111111"/>
          <w:sz w:val="28"/>
          <w:szCs w:val="28"/>
          <w:rtl/>
        </w:rPr>
        <w:t xml:space="preserve">و هو کما فی الصحاح </w:t>
      </w:r>
      <w:r>
        <w:rPr>
          <w:rStyle w:val="FootnoteReference"/>
        </w:rPr>
        <w:footnoteReference w:id="2393"/>
      </w:r>
      <w:r>
        <w:rPr>
          <w:rFonts w:ascii="IRNazanin" w:hAnsi="IRNazanin" w:eastAsia="IRNazanin" w:cs="IRNazanin"/>
          <w:lang w:bidi="fa-IR"/>
          <w:color w:val="111111"/>
          <w:sz w:val="28"/>
          <w:szCs w:val="28"/>
          <w:rtl/>
        </w:rPr>
        <w:t xml:space="preserve">و عن المصباح </w:t>
      </w:r>
      <w:r>
        <w:rPr>
          <w:rStyle w:val="FootnoteReference"/>
        </w:rPr>
        <w:footnoteReference w:id="2394"/>
      </w:r>
      <w:r>
        <w:rPr>
          <w:rFonts w:ascii="IRNazanin" w:hAnsi="IRNazanin" w:eastAsia="IRNazanin" w:cs="IRNazanin"/>
          <w:lang w:bidi="fa-IR"/>
          <w:color w:val="111111"/>
          <w:sz w:val="28"/>
          <w:szCs w:val="28"/>
          <w:rtl/>
        </w:rPr>
        <w:t xml:space="preserve">:جمع الطعام و حبسه یتربّص به الغلاء لا خلاف فی مرجوحیّته.</w:t>
      </w:r>
    </w:p>
    <w:p>
      <w:pPr>
        <w:pStyle w:val="BookText"/>
      </w:pPr>
      <w:r>
        <w:rPr>
          <w:rFonts w:ascii="IRNazanin" w:hAnsi="IRNazanin" w:eastAsia="IRNazanin" w:cs="IRNazanin"/>
          <w:lang w:bidi="fa-IR"/>
          <w:color w:val="111111"/>
          <w:sz w:val="28"/>
          <w:szCs w:val="28"/>
          <w:rtl/>
        </w:rPr>
        <w:t xml:space="preserve">و قد اختلف فی حرمته،فعن المبسوط </w:t>
      </w:r>
      <w:r>
        <w:rPr>
          <w:rStyle w:val="FootnoteReference"/>
        </w:rPr>
        <w:footnoteReference w:id="2395"/>
      </w:r>
      <w:r>
        <w:rPr>
          <w:rFonts w:ascii="Amiri" w:hAnsi="Amiri" w:eastAsia="Amiri" w:cs="Amiri"/>
          <w:lang w:bidi="ar-SA"/>
          <w:color w:val="111111"/>
          <w:sz w:val="28"/>
          <w:szCs w:val="28"/>
          <w:rtl/>
        </w:rPr>
        <w:t xml:space="preserve">و المقنعة </w:t>
      </w:r>
      <w:r>
        <w:rPr>
          <w:rStyle w:val="FootnoteReference"/>
        </w:rPr>
        <w:footnoteReference w:id="2396"/>
      </w:r>
      <w:r>
        <w:rPr>
          <w:rFonts w:ascii="IRNazanin" w:hAnsi="IRNazanin" w:eastAsia="IRNazanin" w:cs="IRNazanin"/>
          <w:lang w:bidi="fa-IR"/>
          <w:color w:val="111111"/>
          <w:sz w:val="28"/>
          <w:szCs w:val="28"/>
          <w:rtl/>
        </w:rPr>
        <w:t xml:space="preserve">و الحلبی فی کتاب المکاسب </w:t>
      </w:r>
      <w:r>
        <w:rPr>
          <w:rStyle w:val="FootnoteReference"/>
        </w:rPr>
        <w:footnoteReference w:id="2397"/>
      </w:r>
      <w:r>
        <w:rPr>
          <w:rFonts w:ascii="IRNazanin" w:hAnsi="IRNazanin" w:eastAsia="IRNazanin" w:cs="IRNazanin"/>
          <w:lang w:bidi="fa-IR"/>
          <w:color w:val="111111"/>
          <w:sz w:val="28"/>
          <w:szCs w:val="28"/>
          <w:rtl/>
        </w:rPr>
        <w:t xml:space="preserve">و الشرائع </w:t>
      </w:r>
      <w:r>
        <w:rPr>
          <w:rStyle w:val="FootnoteReference"/>
        </w:rPr>
        <w:footnoteReference w:id="2398"/>
      </w:r>
      <w:r>
        <w:rPr>
          <w:rFonts w:ascii="IRNazanin" w:hAnsi="IRNazanin" w:eastAsia="IRNazanin" w:cs="IRNazanin"/>
          <w:lang w:bidi="fa-IR"/>
          <w:color w:val="111111"/>
          <w:sz w:val="28"/>
          <w:szCs w:val="28"/>
          <w:rtl/>
        </w:rPr>
        <w:t xml:space="preserve">و المختلف </w:t>
      </w:r>
      <w:r>
        <w:rPr>
          <w:rStyle w:val="FootnoteReference"/>
        </w:rPr>
        <w:footnoteReference w:id="2399"/>
      </w:r>
      <w:r>
        <w:rPr>
          <w:rFonts w:ascii="IRNazanin" w:hAnsi="IRNazanin" w:eastAsia="IRNazanin" w:cs="IRNazanin"/>
          <w:lang w:bidi="fa-IR"/>
          <w:color w:val="111111"/>
          <w:sz w:val="28"/>
          <w:szCs w:val="28"/>
          <w:rtl/>
        </w:rPr>
        <w:t xml:space="preserve">:الکراهة.</w:t>
      </w:r>
    </w:p>
    <w:p>
      <w:pPr>
        <w:pStyle w:val="BookText"/>
      </w:pPr>
      <w:r>
        <w:rPr>
          <w:rFonts w:ascii="IRNazanin" w:hAnsi="IRNazanin" w:eastAsia="IRNazanin" w:cs="IRNazanin"/>
          <w:lang w:bidi="fa-IR"/>
          <w:color w:val="111111"/>
          <w:sz w:val="28"/>
          <w:szCs w:val="28"/>
          <w:rtl/>
        </w:rPr>
        <w:t xml:space="preserve">و عن کتب الصدوق </w:t>
      </w:r>
      <w:r>
        <w:rPr>
          <w:rStyle w:val="FootnoteReference"/>
        </w:rPr>
        <w:footnoteReference w:id="2400"/>
      </w:r>
      <w:r>
        <w:rPr>
          <w:rFonts w:ascii="IRNazanin" w:hAnsi="IRNazanin" w:eastAsia="IRNazanin" w:cs="IRNazanin"/>
          <w:lang w:bidi="fa-IR"/>
          <w:color w:val="111111"/>
          <w:sz w:val="28"/>
          <w:szCs w:val="28"/>
          <w:rtl/>
        </w:rPr>
        <w:t xml:space="preserve">و الاستبصار </w:t>
      </w:r>
      <w:r>
        <w:rPr>
          <w:rStyle w:val="FootnoteReference"/>
        </w:rPr>
        <w:footnoteReference w:id="2401"/>
      </w:r>
      <w:r>
        <w:rPr>
          <w:rFonts w:ascii="IRNazanin" w:hAnsi="IRNazanin" w:eastAsia="IRNazanin" w:cs="IRNazanin"/>
          <w:lang w:bidi="fa-IR"/>
          <w:color w:val="111111"/>
          <w:sz w:val="28"/>
          <w:szCs w:val="28"/>
          <w:rtl/>
        </w:rPr>
        <w:t xml:space="preserve">و السرائر </w:t>
      </w:r>
      <w:r>
        <w:rPr>
          <w:rStyle w:val="FootnoteReference"/>
        </w:rPr>
        <w:footnoteReference w:id="2402"/>
      </w:r>
      <w:r>
        <w:rPr>
          <w:rFonts w:ascii="IRNazanin" w:hAnsi="IRNazanin" w:eastAsia="IRNazanin" w:cs="IRNazanin"/>
          <w:lang w:bidi="fa-IR"/>
          <w:color w:val="111111"/>
          <w:sz w:val="28"/>
          <w:szCs w:val="28"/>
          <w:rtl/>
        </w:rPr>
        <w:t xml:space="preserve">و القاضی </w:t>
      </w:r>
      <w:r>
        <w:rPr>
          <w:rStyle w:val="FootnoteReference"/>
        </w:rPr>
        <w:footnoteReference w:id="2403"/>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التذکرة </w:t>
      </w:r>
      <w:r>
        <w:rPr>
          <w:rStyle w:val="FootnoteReference"/>
        </w:rPr>
        <w:footnoteReference w:id="2404"/>
      </w:r>
      <w:r>
        <w:rPr>
          <w:rFonts w:ascii="IRNazanin" w:hAnsi="IRNazanin" w:eastAsia="IRNazanin" w:cs="IRNazanin"/>
          <w:lang w:bidi="fa-IR"/>
          <w:color w:val="111111"/>
          <w:sz w:val="28"/>
          <w:szCs w:val="28"/>
          <w:rtl/>
        </w:rPr>
        <w:t xml:space="preserve">و التحریر </w:t>
      </w:r>
      <w:r>
        <w:rPr>
          <w:rStyle w:val="FootnoteReference"/>
        </w:rPr>
        <w:footnoteReference w:id="2405"/>
      </w:r>
      <w:r>
        <w:rPr>
          <w:rFonts w:ascii="IRNazanin" w:hAnsi="IRNazanin" w:eastAsia="IRNazanin" w:cs="IRNazanin"/>
          <w:lang w:bidi="fa-IR"/>
          <w:color w:val="111111"/>
          <w:sz w:val="28"/>
          <w:szCs w:val="28"/>
          <w:rtl/>
        </w:rPr>
        <w:t xml:space="preserve">و الإیضاح </w:t>
      </w:r>
      <w:r>
        <w:rPr>
          <w:rStyle w:val="FootnoteReference"/>
        </w:rPr>
        <w:footnoteReference w:id="2406"/>
      </w:r>
      <w:r>
        <w:rPr>
          <w:rFonts w:ascii="IRNazanin" w:hAnsi="IRNazanin" w:eastAsia="IRNazanin" w:cs="IRNazanin"/>
          <w:lang w:bidi="fa-IR"/>
          <w:color w:val="111111"/>
          <w:sz w:val="28"/>
          <w:szCs w:val="28"/>
          <w:rtl/>
        </w:rPr>
        <w:t xml:space="preserve">و الدروس </w:t>
      </w:r>
      <w:r>
        <w:rPr>
          <w:rStyle w:val="FootnoteReference"/>
        </w:rPr>
        <w:footnoteReference w:id="2407"/>
      </w:r>
      <w:r>
        <w:rPr>
          <w:rFonts w:ascii="IRNazanin" w:hAnsi="IRNazanin" w:eastAsia="IRNazanin" w:cs="IRNazanin"/>
          <w:lang w:bidi="fa-IR"/>
          <w:color w:val="111111"/>
          <w:sz w:val="28"/>
          <w:szCs w:val="28"/>
          <w:rtl/>
        </w:rPr>
        <w:t xml:space="preserve">و جامع المقاصد </w:t>
      </w:r>
      <w:r>
        <w:rPr>
          <w:rStyle w:val="FootnoteReference"/>
        </w:rPr>
        <w:footnoteReference w:id="2408"/>
      </w:r>
      <w:r>
        <w:rPr>
          <w:rFonts w:ascii="Amiri" w:hAnsi="Amiri" w:eastAsia="Amiri" w:cs="Amiri"/>
          <w:lang w:bidi="ar-SA"/>
          <w:color w:val="111111"/>
          <w:sz w:val="28"/>
          <w:szCs w:val="28"/>
          <w:rtl/>
        </w:rPr>
        <w:t xml:space="preserve">و الروضة </w:t>
      </w:r>
      <w:r>
        <w:rPr>
          <w:rStyle w:val="FootnoteReference"/>
        </w:rPr>
        <w:footnoteReference w:id="2409"/>
      </w:r>
      <w:r>
        <w:rPr>
          <w:rFonts w:ascii="IRNazanin" w:hAnsi="IRNazanin" w:eastAsia="IRNazanin" w:cs="IRNazanin"/>
          <w:lang w:bidi="fa-IR"/>
          <w:color w:val="111111"/>
          <w:sz w:val="28"/>
          <w:szCs w:val="28"/>
          <w:rtl/>
        </w:rPr>
        <w:t xml:space="preserve">:التحریم.</w:t>
      </w:r>
    </w:p>
    <w:p>
      <w:pPr>
        <w:pStyle w:val="BookText"/>
      </w:pPr>
      <w:r>
        <w:rPr>
          <w:rFonts w:ascii="IRNazanin" w:hAnsi="IRNazanin" w:eastAsia="IRNazanin" w:cs="IRNazanin"/>
          <w:lang w:bidi="fa-IR"/>
          <w:color w:val="111111"/>
          <w:sz w:val="28"/>
          <w:szCs w:val="28"/>
          <w:rtl/>
        </w:rPr>
        <w:t xml:space="preserve">و عن التنقیح </w:t>
      </w:r>
      <w:r>
        <w:rPr>
          <w:rStyle w:val="FootnoteReference"/>
        </w:rPr>
        <w:footnoteReference w:id="2410"/>
      </w:r>
      <w:r>
        <w:rPr>
          <w:rFonts w:ascii="Amiri" w:hAnsi="Amiri" w:eastAsia="Amiri" w:cs="Amiri"/>
          <w:lang w:bidi="ar-SA"/>
          <w:color w:val="111111"/>
          <w:sz w:val="28"/>
          <w:szCs w:val="28"/>
          <w:rtl/>
        </w:rPr>
        <w:t xml:space="preserve">و المیسیّة </w:t>
      </w:r>
      <w:r>
        <w:rPr>
          <w:rStyle w:val="FootnoteReference"/>
        </w:rPr>
        <w:footnoteReference w:id="2411"/>
      </w:r>
      <w:r>
        <w:rPr>
          <w:rFonts w:ascii="IRNazanin" w:hAnsi="IRNazanin" w:eastAsia="IRNazanin" w:cs="IRNazanin"/>
          <w:lang w:bidi="fa-IR"/>
          <w:color w:val="111111"/>
          <w:sz w:val="28"/>
          <w:szCs w:val="28"/>
          <w:rtl/>
        </w:rPr>
        <w:t xml:space="preserve">:تقویته.و هو الأقوی بشرط عدم باذل الکفایة </w:t>
      </w:r>
      <w:r>
        <w:rPr>
          <w:rStyle w:val="FootnoteReference"/>
        </w:rPr>
        <w:footnoteReference w:id="2412"/>
      </w:r>
      <w:r>
        <w:rPr>
          <w:rFonts w:ascii="IRNazanin" w:hAnsi="IRNazanin" w:eastAsia="IRNazanin" w:cs="IRNazanin"/>
          <w:lang w:bidi="fa-IR"/>
          <w:color w:val="111111"/>
          <w:sz w:val="28"/>
          <w:szCs w:val="28"/>
          <w:rtl/>
        </w:rPr>
        <w:t xml:space="preserve">لصحیحة سالم الحنّاط،قال:«قال لی أبو عبد اللّٰه علیه السلام:</w:t>
      </w:r>
    </w:p>
    <w:p>
      <w:pPr>
        <w:pStyle w:val="BookText"/>
      </w:pPr>
      <w:r>
        <w:rPr>
          <w:rFonts w:ascii="IRNazanin" w:hAnsi="IRNazanin" w:eastAsia="IRNazanin" w:cs="IRNazanin"/>
          <w:lang w:bidi="fa-IR"/>
          <w:color w:val="111111"/>
          <w:sz w:val="28"/>
          <w:szCs w:val="28"/>
          <w:rtl/>
        </w:rPr>
        <w:t xml:space="preserve">ما عملک؟قلت:حنّاط،و ربما قدمت علی نفاق و ربما قدمت علی کساد فحبست.قال:فما یقول مَن قِبَلَک فیه؟قلت:یقولون:محتکرٌ.</w:t>
      </w:r>
    </w:p>
    <w:p>
      <w:pPr>
        <w:pStyle w:val="BookText"/>
      </w:pPr>
      <w:r>
        <w:rPr>
          <w:rFonts w:ascii="IRNazanin" w:hAnsi="IRNazanin" w:eastAsia="IRNazanin" w:cs="IRNazanin"/>
          <w:lang w:bidi="fa-IR"/>
          <w:color w:val="111111"/>
          <w:sz w:val="28"/>
          <w:szCs w:val="28"/>
          <w:rtl/>
        </w:rPr>
        <w:t xml:space="preserve">قال:یبیعه أحد غیرک؟قلت:ما أبیع أنا من ألف جزءٍ جزءاً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قال:لا بأس،إنّما کان ذلک رجل من قریش یقال له:حکیم بن حزام،و کان إذا دخل الطعام المدینة اشتراه کلَّه،فمرّ علیه النبی صلّی اللّٰه علیه و آله فقال له:یا حکیم بن حزام إیّاک أن تحتکر» </w:t>
      </w:r>
      <w:r>
        <w:rPr>
          <w:rStyle w:val="FootnoteReference"/>
        </w:rPr>
        <w:footnoteReference w:id="2414"/>
      </w:r>
      <w:r>
        <w:rPr>
          <w:rFonts w:ascii="Amiri" w:hAnsi="Amiri" w:eastAsia="Amiri" w:cs="Amiri"/>
          <w:lang w:bidi="ar-SA"/>
          <w:color w:val="111111"/>
          <w:sz w:val="28"/>
          <w:szCs w:val="28"/>
          <w:rtl/>
        </w:rPr>
        <w:t xml:space="preserve">،فإنّ الظاهر منه أنّ علّة عدم البأس وجود الباذل،فلولاه حرم.</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صحیحة الحلبی عن أبی عبد اللّٰه علیه السلام:«أنّه سئل عن الحکرة،فقال:إنّما الحکرة أن تشتری طعاماً و لیس فی المصر غیره فتحتکره،فإن کان فی المصر طعام غیره فلا بأس أن تلتمس بسلعتک الفضل»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فی الصحیحة المحکیّة عن الکافی و التهذیب:قال:«و سألته عن الزیت،قال:إن کان </w:t>
      </w:r>
      <w:r>
        <w:rPr>
          <w:rStyle w:val="FootnoteReference"/>
        </w:rPr>
        <w:footnoteReference w:id="2416"/>
      </w:r>
      <w:r>
        <w:rPr>
          <w:rFonts w:ascii="IRNazanin" w:hAnsi="IRNazanin" w:eastAsia="IRNazanin" w:cs="IRNazanin"/>
          <w:lang w:bidi="fa-IR"/>
          <w:color w:val="111111"/>
          <w:sz w:val="28"/>
          <w:szCs w:val="28"/>
          <w:rtl/>
        </w:rPr>
        <w:t xml:space="preserve">عند غیرک فلا بأس بإمساکه»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أمیر المؤمنین علیه السلام فی نهج البلاغة فی کتابه إلی مالک الأشتر:«فامنع من الاحتکار،فإنّ رسول اللّٰه صلّی اللّٰه علیه و آله منع منه.</w:t>
      </w:r>
    </w:p>
    <w:p>
      <w:pPr>
        <w:pStyle w:val="BookText"/>
      </w:pPr>
      <w:r>
        <w:rPr>
          <w:rFonts w:ascii="IRNazanin" w:hAnsi="IRNazanin" w:eastAsia="IRNazanin" w:cs="IRNazanin"/>
          <w:lang w:bidi="fa-IR"/>
          <w:color w:val="111111"/>
          <w:sz w:val="28"/>
          <w:szCs w:val="28"/>
          <w:rtl/>
        </w:rPr>
        <w:t xml:space="preserve">و لیکن البیع بیعاً سمحاً فی موازین </w:t>
      </w:r>
      <w:r>
        <w:rPr>
          <w:rStyle w:val="FootnoteReference"/>
        </w:rPr>
        <w:footnoteReference w:id="2418"/>
      </w:r>
      <w:r>
        <w:rPr>
          <w:rFonts w:ascii="IRNazanin" w:hAnsi="IRNazanin" w:eastAsia="IRNazanin" w:cs="IRNazanin"/>
          <w:lang w:bidi="fa-IR"/>
          <w:color w:val="111111"/>
          <w:sz w:val="28"/>
          <w:szCs w:val="28"/>
          <w:rtl/>
        </w:rPr>
        <w:t xml:space="preserve">عدل </w:t>
      </w:r>
      <w:r>
        <w:rPr>
          <w:rStyle w:val="FootnoteReference"/>
        </w:rPr>
        <w:footnoteReference w:id="2419"/>
      </w:r>
      <w:r>
        <w:rPr>
          <w:rFonts w:ascii="IRNazanin" w:hAnsi="IRNazanin" w:eastAsia="IRNazanin" w:cs="IRNazanin"/>
          <w:lang w:bidi="fa-IR"/>
          <w:color w:val="111111"/>
          <w:sz w:val="28"/>
          <w:szCs w:val="28"/>
          <w:rtl/>
        </w:rPr>
        <w:t xml:space="preserve">لا یجحف بالفریقین:البائع و المبتاع.فمن قارف حکرةً بعد نهیک إیّاه فنکِّل به و عاقب فی غیر إسراف»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الحلبی،قال:«سألته علیه السلام عمّن یحتکر الطعام</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یتربّص به،هل یصلح ذلک؟قال:إن کان الطعام کثیراً یسع الناس فلا بأس به،و إن کان الطعام قلیلاً لا یسع الناس فإنّه یکره أن یحتکر و یترک الناس لیس لهم طعام»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الکراهة فی کلامهم علیهم السلام و إن کان یستعمل فی المکروه و الحرام،إلّا أنّ فی تقییدها بصورة عدم باذلٍ غیره مع ما دلّ علی کراهة الاحتکار مطلقاً،قرینة علی إرادة التحریم.و حمله علی تأکّد الکراهة أیضاً مخالف لظاهر«یکره»کما لا یخفی.</w:t>
      </w:r>
    </w:p>
    <w:p>
      <w:pPr>
        <w:pStyle w:val="BookText"/>
      </w:pPr>
      <w:r>
        <w:rPr>
          <w:rFonts w:ascii="IRNazanin" w:hAnsi="IRNazanin" w:eastAsia="IRNazanin" w:cs="IRNazanin"/>
          <w:lang w:bidi="fa-IR"/>
          <w:color w:val="111111"/>
          <w:sz w:val="28"/>
          <w:szCs w:val="28"/>
          <w:rtl/>
        </w:rPr>
        <w:t xml:space="preserve">و إن شئت قلت:إنّ المراد ب«البأس»فی الشرطیة الأُولی التحریم؛لأنّ الکراهة ثابتة فی هذه الصورة أیضاً،فالشرطیة الثانیة کالمفهوم لها.</w:t>
      </w:r>
    </w:p>
    <w:p>
      <w:pPr>
        <w:pStyle w:val="BookText"/>
      </w:pPr>
      <w:r>
        <w:rPr>
          <w:rFonts w:ascii="IRNazanin" w:hAnsi="IRNazanin" w:eastAsia="IRNazanin" w:cs="IRNazanin"/>
          <w:lang w:bidi="fa-IR"/>
          <w:color w:val="111111"/>
          <w:sz w:val="28"/>
          <w:szCs w:val="28"/>
          <w:rtl/>
        </w:rPr>
        <w:t xml:space="preserve">و یؤیّد التحریم:ما عن المجالس بسنده عن أبی مریم الأنصاری عن أبی جعفر علیه السلام:«قال:قال رسول اللّٰه صلّی اللّٰه علیه و آله:أیّما رجلٍ اشتری طعاماً فحبسه أربعین صباحاً یرید به الغلاء للمسلمین،ثمّ باعه و تصدّق بثمنه لم یکن کفّارةً لما صنع»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السند بعض بنی فضّال،و الظاهر أنّ الروایة مأخوذة من کتبهم التی قال العسکری علیه السلام عند سؤاله عنها:«خذوا بما رووا و ذروا ما رأوا» </w:t>
      </w:r>
      <w:r>
        <w:rPr>
          <w:rStyle w:val="FootnoteReference"/>
        </w:rPr>
        <w:footnoteReference w:id="2423"/>
      </w:r>
      <w:r>
        <w:rPr>
          <w:rFonts w:ascii="IRNazanin" w:hAnsi="IRNazanin" w:eastAsia="IRNazanin" w:cs="IRNazanin"/>
          <w:lang w:bidi="fa-IR"/>
          <w:color w:val="111111"/>
          <w:sz w:val="28"/>
          <w:szCs w:val="28"/>
          <w:rtl/>
        </w:rPr>
        <w:t xml:space="preserve">،ففیه دلیل علی اعتبار ما فی کتبهم،فیُستغنی بذلک</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77" w:name="pg14419_167270"/>
    <w:bookmarkEnd w:id="277"/>
    <w:p>
      <w:pPr>
        <w:pStyle w:val="BookText"/>
      </w:pPr>
      <w:r>
        <w:rPr>
          <w:rFonts w:ascii="IRNazanin" w:hAnsi="IRNazanin" w:eastAsia="IRNazanin" w:cs="IRNazanin"/>
          <w:lang w:bidi="fa-IR"/>
          <w:color w:val="111111"/>
          <w:sz w:val="28"/>
          <w:szCs w:val="28"/>
          <w:rtl/>
        </w:rPr>
        <w:t xml:space="preserve">عن ملاحظة من قبلهم فی السند،و قد ذکرنا </w:t>
      </w:r>
      <w:r>
        <w:rPr>
          <w:rStyle w:val="FootnoteReference"/>
        </w:rPr>
        <w:footnoteReference w:id="2424"/>
      </w:r>
      <w:r>
        <w:rPr>
          <w:rFonts w:ascii="IRNazanin" w:hAnsi="IRNazanin" w:eastAsia="IRNazanin" w:cs="IRNazanin"/>
          <w:lang w:bidi="fa-IR"/>
          <w:color w:val="111111"/>
          <w:sz w:val="28"/>
          <w:szCs w:val="28"/>
          <w:rtl/>
        </w:rPr>
        <w:t xml:space="preserve">:أنّ هذا الحدیث أولی بالدلالة علی عدم وجوب الفحص عمّا قبل هؤلاء من الإجماع الذی ادّعاه الکشّی علی تصحیح ما یصحّ عن جماعة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 أیضاً:ما عن الشیخ الجلیل الشیخ ورّام:من أنّه أرسل عن النبیّ صلّی اللّٰه علیه و آله عن جبرئیل علیه السلام،قال:«اطّلعت علی النار فرأیت فی جهنّم وادیاً فقلت:یا مالک لمن هذا؟قال:لثلاثة:</w:t>
      </w:r>
    </w:p>
    <w:p>
      <w:pPr>
        <w:pStyle w:val="BookText"/>
      </w:pPr>
      <w:r>
        <w:rPr>
          <w:rFonts w:ascii="IRNazanin" w:hAnsi="IRNazanin" w:eastAsia="IRNazanin" w:cs="IRNazanin"/>
          <w:lang w:bidi="fa-IR"/>
          <w:color w:val="111111"/>
          <w:sz w:val="28"/>
          <w:szCs w:val="28"/>
          <w:rtl/>
        </w:rPr>
        <w:t xml:space="preserve">المحتکرین،و المدمنین للخمر،و القوّادین»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ممّا یؤیّد التحریم:ما دلّ علی وجوب البیع علیه،فإنّ إلزامه بذلک ظاهر فی کون الحبس محرّماً؛إذ الإلزام علی ترک المکروه خلاف الظاهر و خلاف قاعدة«سلطنة الناس علی أموالهم».</w:t>
      </w:r>
    </w:p>
    <w:p>
      <w:pPr>
        <w:pStyle w:val="Heading6"/>
      </w:pPr>
      <w:bookmarkStart w:id="1120" w:name="_Toc560"/>
      <w:r>
        <w:t>ثمّ إنّ کشف الإبهام عن أطراف المسألة یتمّ ببیان أُمور</w:t>
      </w:r>
      <w:bookmarkEnd w:id="1120"/>
    </w:p>
    <w:p>
      <w:pPr>
        <w:pStyle w:val="Heading6"/>
      </w:pPr>
      <w:bookmarkStart w:id="1121" w:name="_Toc561"/>
      <w:r>
        <w:t>الأوّل : فی مورد الاحتکار</w:t>
      </w:r>
      <w:bookmarkEnd w:id="1121"/>
    </w:p>
    <w:p>
      <w:pPr>
        <w:pStyle w:val="BookText"/>
      </w:pPr>
      <w:r>
        <w:rPr>
          <w:rFonts w:ascii="IRNazanin" w:hAnsi="IRNazanin" w:eastAsia="IRNazanin" w:cs="IRNazanin"/>
          <w:lang w:bidi="fa-IR"/>
          <w:color w:val="111111"/>
          <w:sz w:val="28"/>
          <w:szCs w:val="28"/>
          <w:rtl/>
        </w:rPr>
        <w:t xml:space="preserve">فإنّ ظاهر التفسیر المتقدّم عن أهل اللغة و بعض الأخبار المتقدّمة:اختصاصه بالطعام.</w:t>
      </w:r>
    </w:p>
    <w:p>
      <w:pPr>
        <w:pStyle w:val="BookText"/>
      </w:pPr>
      <w:r>
        <w:rPr>
          <w:rFonts w:ascii="IRNazanin" w:hAnsi="IRNazanin" w:eastAsia="IRNazanin" w:cs="IRNazanin"/>
          <w:lang w:bidi="fa-IR"/>
          <w:color w:val="111111"/>
          <w:sz w:val="28"/>
          <w:szCs w:val="28"/>
          <w:rtl/>
        </w:rPr>
        <w:t xml:space="preserve">و فی روایة غیاث بن إبراهیم:«لیس الحکرة إلّا فی الحنطة،</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الشعیر،و التمر،و الزبیب»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الفقیه:زیادة:«الزیت» </w:t>
      </w:r>
      <w:r>
        <w:rPr>
          <w:rStyle w:val="FootnoteReference"/>
        </w:rPr>
        <w:footnoteReference w:id="2428"/>
      </w:r>
      <w:r>
        <w:rPr>
          <w:rFonts w:ascii="IRNazanin" w:hAnsi="IRNazanin" w:eastAsia="IRNazanin" w:cs="IRNazanin"/>
          <w:lang w:bidi="fa-IR"/>
          <w:color w:val="111111"/>
          <w:sz w:val="28"/>
          <w:szCs w:val="28"/>
          <w:rtl/>
        </w:rPr>
        <w:t xml:space="preserve">،و قد تقدّم فی بعض الأخبار المتقدّمة دخول الزیت أیضاً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المحکیّ عن قرب الإسناد بروایة أبی البختری عن علیّ علیه السلام:</w:t>
      </w:r>
    </w:p>
    <w:p>
      <w:pPr>
        <w:pStyle w:val="BookText"/>
      </w:pPr>
      <w:r>
        <w:rPr>
          <w:rFonts w:ascii="IRNazanin" w:hAnsi="IRNazanin" w:eastAsia="IRNazanin" w:cs="IRNazanin"/>
          <w:lang w:bidi="fa-IR"/>
          <w:color w:val="111111"/>
          <w:sz w:val="28"/>
          <w:szCs w:val="28"/>
          <w:rtl/>
        </w:rPr>
        <w:t xml:space="preserve">«قال:لیس الحکرة إلّا فی الحنطة و الشعیر و التمر و الزبیب </w:t>
      </w:r>
      <w:r>
        <w:rPr>
          <w:rStyle w:val="FootnoteReference"/>
        </w:rPr>
        <w:footnoteReference w:id="2430"/>
      </w:r>
      <w:r>
        <w:rPr>
          <w:rFonts w:ascii="IRNazanin" w:hAnsi="IRNazanin" w:eastAsia="IRNazanin" w:cs="IRNazanin"/>
          <w:lang w:bidi="fa-IR"/>
          <w:color w:val="111111"/>
          <w:sz w:val="28"/>
          <w:szCs w:val="28"/>
          <w:rtl/>
        </w:rPr>
        <w:t xml:space="preserve">و السمن»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الخصال فی روایة السکونی عن جعفر عن أبیه عن آبائه علیهم السلام:«قال:قال رسول اللّٰه صلّی اللّٰه علیه و آله:الحکرة فی ستّة أقسام </w:t>
      </w:r>
      <w:r>
        <w:rPr>
          <w:rStyle w:val="FootnoteReference"/>
        </w:rPr>
        <w:footnoteReference w:id="2432"/>
      </w:r>
      <w:r>
        <w:rPr>
          <w:rFonts w:ascii="IRNazanin" w:hAnsi="IRNazanin" w:eastAsia="IRNazanin" w:cs="IRNazanin"/>
          <w:lang w:bidi="fa-IR"/>
          <w:color w:val="111111"/>
          <w:sz w:val="28"/>
          <w:szCs w:val="28"/>
          <w:rtl/>
        </w:rPr>
        <w:t xml:space="preserve">الحنطة،و الشعیر،و التمر،و الزیت،و الزبیب،و السمن»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ثبوته فی الغلّات الأربع بزیادة«السمن»لا خلاف فیه ظاهراً،و عن کشف الرموز </w:t>
      </w:r>
      <w:r>
        <w:rPr>
          <w:rStyle w:val="FootnoteReference"/>
        </w:rPr>
        <w:footnoteReference w:id="2434"/>
      </w:r>
      <w:r>
        <w:rPr>
          <w:rFonts w:ascii="IRNazanin" w:hAnsi="IRNazanin" w:eastAsia="IRNazanin" w:cs="IRNazanin"/>
          <w:lang w:bidi="fa-IR"/>
          <w:color w:val="111111"/>
          <w:sz w:val="28"/>
          <w:szCs w:val="28"/>
          <w:rtl/>
        </w:rPr>
        <w:t xml:space="preserve">و ظاهر السرائر </w:t>
      </w:r>
      <w:r>
        <w:rPr>
          <w:rStyle w:val="FootnoteReference"/>
        </w:rPr>
        <w:footnoteReference w:id="2435"/>
      </w:r>
      <w:r>
        <w:rPr>
          <w:rFonts w:ascii="IRNazanin" w:hAnsi="IRNazanin" w:eastAsia="IRNazanin" w:cs="IRNazanin"/>
          <w:lang w:bidi="fa-IR"/>
          <w:color w:val="111111"/>
          <w:sz w:val="28"/>
          <w:szCs w:val="28"/>
          <w:rtl/>
        </w:rPr>
        <w:t xml:space="preserve">:دعوی الاتفاق علیه،</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مجمع الفائدة:نفی الخلاف فیه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الزیت:فقد تقدّم فی غیر واحدٍ من الأخبار؛و لذا اختاره الصدوق </w:t>
      </w:r>
      <w:r>
        <w:rPr>
          <w:rStyle w:val="FootnoteReference"/>
        </w:rPr>
        <w:footnoteReference w:id="2437"/>
      </w:r>
      <w:r>
        <w:rPr>
          <w:rFonts w:ascii="Amiri" w:hAnsi="Amiri" w:eastAsia="Amiri" w:cs="Amiri"/>
          <w:lang w:bidi="ar-SA"/>
          <w:color w:val="111111"/>
          <w:sz w:val="28"/>
          <w:szCs w:val="28"/>
          <w:rtl/>
        </w:rPr>
        <w:t xml:space="preserve">و العلّامة فی التحریر-حیث ذکر أنّ به روایةً حسنةً </w:t>
      </w:r>
      <w:r>
        <w:rPr>
          <w:rStyle w:val="FootnoteReference"/>
        </w:rPr>
        <w:footnoteReference w:id="2438"/>
      </w:r>
      <w:r>
        <w:rPr>
          <w:rFonts w:ascii="IRNazanin" w:hAnsi="IRNazanin" w:eastAsia="IRNazanin" w:cs="IRNazanin"/>
          <w:lang w:bidi="fa-IR"/>
          <w:color w:val="111111"/>
          <w:sz w:val="28"/>
          <w:szCs w:val="28"/>
          <w:rtl/>
        </w:rPr>
        <w:t xml:space="preserve">- و الشهیدان </w:t>
      </w:r>
      <w:r>
        <w:rPr>
          <w:rStyle w:val="FootnoteReference"/>
        </w:rPr>
        <w:footnoteReference w:id="2439"/>
      </w:r>
      <w:r>
        <w:rPr>
          <w:rFonts w:ascii="IRNazanin" w:hAnsi="IRNazanin" w:eastAsia="IRNazanin" w:cs="IRNazanin"/>
          <w:lang w:bidi="fa-IR"/>
          <w:color w:val="111111"/>
          <w:sz w:val="28"/>
          <w:szCs w:val="28"/>
          <w:rtl/>
        </w:rPr>
        <w:t xml:space="preserve">و المحقّق الثانی </w:t>
      </w:r>
      <w:r>
        <w:rPr>
          <w:rStyle w:val="FootnoteReference"/>
        </w:rPr>
        <w:footnoteReference w:id="2440"/>
      </w:r>
      <w:r>
        <w:rPr>
          <w:rFonts w:ascii="IRNazanin" w:hAnsi="IRNazanin" w:eastAsia="IRNazanin" w:cs="IRNazanin"/>
          <w:lang w:bidi="fa-IR"/>
          <w:color w:val="111111"/>
          <w:sz w:val="28"/>
          <w:szCs w:val="28"/>
          <w:rtl/>
        </w:rPr>
        <w:t xml:space="preserve">،و عن إیضاح النافع:أنّ علیه الفتوی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الملح:فقد ألحقه بها فی المبسوط </w:t>
      </w:r>
      <w:r>
        <w:rPr>
          <w:rStyle w:val="FootnoteReference"/>
        </w:rPr>
        <w:footnoteReference w:id="2442"/>
      </w:r>
      <w:r>
        <w:rPr>
          <w:rFonts w:ascii="IRNazanin" w:hAnsi="IRNazanin" w:eastAsia="IRNazanin" w:cs="IRNazanin"/>
          <w:lang w:bidi="fa-IR"/>
          <w:color w:val="111111"/>
          <w:sz w:val="28"/>
          <w:szCs w:val="28"/>
          <w:rtl/>
        </w:rPr>
        <w:t xml:space="preserve">و الوسیلة </w:t>
      </w:r>
      <w:r>
        <w:rPr>
          <w:rStyle w:val="FootnoteReference"/>
        </w:rPr>
        <w:footnoteReference w:id="2443"/>
      </w:r>
      <w:r>
        <w:rPr>
          <w:rFonts w:ascii="IRNazanin" w:hAnsi="IRNazanin" w:eastAsia="IRNazanin" w:cs="IRNazanin"/>
          <w:lang w:bidi="fa-IR"/>
          <w:color w:val="111111"/>
          <w:sz w:val="28"/>
          <w:szCs w:val="28"/>
          <w:rtl/>
        </w:rPr>
        <w:t xml:space="preserve">و التذکرة </w:t>
      </w:r>
      <w:r>
        <w:rPr>
          <w:rStyle w:val="FootnoteReference"/>
        </w:rPr>
        <w:footnoteReference w:id="2444"/>
      </w:r>
      <w:r>
        <w:rPr>
          <w:rFonts w:ascii="IRNazanin" w:hAnsi="IRNazanin" w:eastAsia="IRNazanin" w:cs="IRNazanin"/>
          <w:lang w:bidi="fa-IR"/>
          <w:color w:val="111111"/>
          <w:sz w:val="28"/>
          <w:szCs w:val="28"/>
          <w:rtl/>
        </w:rPr>
        <w:t xml:space="preserve">و نهایة الإحکام </w:t>
      </w:r>
      <w:r>
        <w:rPr>
          <w:rStyle w:val="FootnoteReference"/>
        </w:rPr>
        <w:footnoteReference w:id="2445"/>
      </w:r>
      <w:r>
        <w:rPr>
          <w:rFonts w:ascii="IRNazanin" w:hAnsi="IRNazanin" w:eastAsia="IRNazanin" w:cs="IRNazanin"/>
          <w:lang w:bidi="fa-IR"/>
          <w:color w:val="111111"/>
          <w:sz w:val="28"/>
          <w:szCs w:val="28"/>
          <w:rtl/>
        </w:rPr>
        <w:t xml:space="preserve">و الدروس </w:t>
      </w:r>
      <w:r>
        <w:rPr>
          <w:rStyle w:val="FootnoteReference"/>
        </w:rPr>
        <w:footnoteReference w:id="2446"/>
      </w:r>
      <w:r>
        <w:rPr>
          <w:rFonts w:ascii="IRNazanin" w:hAnsi="IRNazanin" w:eastAsia="IRNazanin" w:cs="IRNazanin"/>
          <w:lang w:bidi="fa-IR"/>
          <w:color w:val="111111"/>
          <w:sz w:val="28"/>
          <w:szCs w:val="28"/>
          <w:rtl/>
        </w:rPr>
        <w:t xml:space="preserve">و المسالک </w:t>
      </w:r>
      <w:r>
        <w:rPr>
          <w:rStyle w:val="FootnoteReference"/>
        </w:rPr>
        <w:footnoteReference w:id="2447"/>
      </w:r>
      <w:r>
        <w:rPr>
          <w:rFonts w:ascii="IRNazanin" w:hAnsi="IRNazanin" w:eastAsia="IRNazanin" w:cs="IRNazanin"/>
          <w:lang w:bidi="fa-IR"/>
          <w:color w:val="111111"/>
          <w:sz w:val="28"/>
          <w:szCs w:val="28"/>
          <w:rtl/>
        </w:rPr>
        <w:t xml:space="preserve">،و لعلّه لفحوی التعلیل الوارد فی بعض الأخبار:من حاجة الناس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78" w:name="pg14419_167273"/>
    <w:bookmarkEnd w:id="278"/>
    <w:p>
      <w:pPr>
        <w:pStyle w:val="Heading6"/>
      </w:pPr>
      <w:bookmarkStart w:id="1122" w:name="_Toc562"/>
      <w:r>
        <w:t>الثانی : [ما هو حد الاحتکار]</w:t>
      </w:r>
      <w:bookmarkEnd w:id="1122"/>
    </w:p>
    <w:p>
      <w:pPr>
        <w:pStyle w:val="BookText"/>
      </w:pPr>
      <w:r>
        <w:rPr>
          <w:rFonts w:ascii="IRNazanin" w:hAnsi="IRNazanin" w:eastAsia="IRNazanin" w:cs="IRNazanin"/>
          <w:lang w:bidi="fa-IR"/>
          <w:color w:val="111111"/>
          <w:sz w:val="28"/>
          <w:szCs w:val="28"/>
          <w:rtl/>
        </w:rPr>
        <w:t xml:space="preserve">روی السکونی عن أبی عبد اللّٰه علیه السلام:«إنّ الحکرة فی الخصب أربعون یوماً،و فی الغلاء و الشدّة ثلاثة أیّامٍ،فما زاد علی الأربعین یوماً فی الخصب،فصاحبه ملعونٌ،و ما زاد فی العسرة علی ثلاثة أیام فصاحبه ملعون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یؤیّدها ظاهر روایة المجالس المتقدّمة </w:t>
      </w:r>
      <w:r>
        <w:rPr>
          <w:rStyle w:val="FootnoteReference"/>
        </w:rPr>
        <w:footnoteReference w:id="2451"/>
      </w:r>
      <w:r>
        <w:rPr>
          <w:rFonts w:ascii="IRNazanin" w:hAnsi="IRNazanin" w:eastAsia="IRNazanin" w:cs="IRNazanin"/>
          <w:lang w:bidi="fa-IR"/>
          <w:color w:val="111111"/>
          <w:sz w:val="28"/>
          <w:szCs w:val="28"/>
          <w:rtl/>
        </w:rPr>
        <w:t xml:space="preserve">و حکی عن الشیخ </w:t>
      </w:r>
      <w:r>
        <w:rPr>
          <w:rStyle w:val="FootnoteReference"/>
        </w:rPr>
        <w:footnoteReference w:id="2452"/>
      </w:r>
      <w:r>
        <w:rPr>
          <w:rFonts w:ascii="IRNazanin" w:hAnsi="IRNazanin" w:eastAsia="IRNazanin" w:cs="IRNazanin"/>
          <w:lang w:bidi="fa-IR"/>
          <w:color w:val="111111"/>
          <w:sz w:val="28"/>
          <w:szCs w:val="28"/>
          <w:rtl/>
        </w:rPr>
        <w:t xml:space="preserve">و محکیّ القاضی </w:t>
      </w:r>
      <w:r>
        <w:rPr>
          <w:rStyle w:val="FootnoteReference"/>
        </w:rPr>
        <w:footnoteReference w:id="2453"/>
      </w:r>
      <w:r>
        <w:rPr>
          <w:rFonts w:ascii="IRNazanin" w:hAnsi="IRNazanin" w:eastAsia="IRNazanin" w:cs="IRNazanin"/>
          <w:lang w:bidi="fa-IR"/>
          <w:color w:val="111111"/>
          <w:sz w:val="28"/>
          <w:szCs w:val="28"/>
          <w:rtl/>
        </w:rPr>
        <w:t xml:space="preserve">و الوسیلة </w:t>
      </w:r>
      <w:r>
        <w:rPr>
          <w:rStyle w:val="FootnoteReference"/>
        </w:rPr>
        <w:footnoteReference w:id="2454"/>
      </w:r>
      <w:r>
        <w:rPr>
          <w:rFonts w:ascii="IRNazanin" w:hAnsi="IRNazanin" w:eastAsia="IRNazanin" w:cs="IRNazanin"/>
          <w:lang w:bidi="fa-IR"/>
          <w:color w:val="111111"/>
          <w:sz w:val="28"/>
          <w:szCs w:val="28"/>
          <w:rtl/>
        </w:rPr>
        <w:t xml:space="preserve">العمل بها،و عن الدروس:أنّ الأظهر تحریمه مع حاجة الناس.و مظنّتها الزیادة علی ثلاثة أیّام فی الغلاء و أربعین فی الرخص؛للروایة </w:t>
      </w:r>
      <w:r>
        <w:rPr>
          <w:rStyle w:val="FootnoteReference"/>
        </w:rPr>
        <w:footnoteReference w:id="24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أمّا تحدیده ب«حاجة الناس»فهو حسنٌ،کما عن المقنعة </w:t>
      </w:r>
      <w:r>
        <w:rPr>
          <w:rStyle w:val="FootnoteReference"/>
        </w:rPr>
        <w:footnoteReference w:id="2456"/>
      </w:r>
      <w:r>
        <w:rPr>
          <w:rFonts w:ascii="IRNazanin" w:hAnsi="IRNazanin" w:eastAsia="IRNazanin" w:cs="IRNazanin"/>
          <w:lang w:bidi="fa-IR"/>
          <w:color w:val="111111"/>
          <w:sz w:val="28"/>
          <w:szCs w:val="28"/>
          <w:rtl/>
        </w:rPr>
        <w:t xml:space="preserve">و غیرها </w:t>
      </w:r>
      <w:r>
        <w:rPr>
          <w:rStyle w:val="FootnoteReference"/>
        </w:rPr>
        <w:footnoteReference w:id="2457"/>
      </w:r>
      <w:r>
        <w:rPr>
          <w:rFonts w:ascii="IRNazanin" w:hAnsi="IRNazanin" w:eastAsia="IRNazanin" w:cs="IRNazanin"/>
          <w:lang w:bidi="fa-IR"/>
          <w:color w:val="111111"/>
          <w:sz w:val="28"/>
          <w:szCs w:val="28"/>
          <w:rtl/>
        </w:rPr>
        <w:t xml:space="preserve">،و یظهر من الأخبار المتقدّمة.</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79" w:name="pg14419_167274"/>
    <w:bookmarkEnd w:id="279"/>
    <w:p>
      <w:pPr>
        <w:pStyle w:val="BookText"/>
      </w:pPr>
      <w:r>
        <w:rPr>
          <w:rFonts w:ascii="IRNazanin" w:hAnsi="IRNazanin" w:eastAsia="IRNazanin" w:cs="IRNazanin"/>
          <w:lang w:bidi="fa-IR"/>
          <w:color w:val="111111"/>
          <w:sz w:val="28"/>
          <w:szCs w:val="28"/>
          <w:rtl/>
        </w:rPr>
        <w:t xml:space="preserve">و أمّا ما ذکره من حمل روایة السکونی علی بیان مظنّة الحاجة،فهو جیّد.و منه یظهر عدم دلالتها علی التحدید بالعددین تعبّداً.</w:t>
      </w:r>
    </w:p>
    <w:p>
      <w:pPr>
        <w:pStyle w:val="Heading6"/>
      </w:pPr>
      <w:bookmarkStart w:id="1123" w:name="_Toc563"/>
      <w:r>
        <w:t>الثالث : [عدم حصر الاحتکار فی شراء الطعام بل مطلق جمعه و حبسه]</w:t>
      </w:r>
      <w:bookmarkEnd w:id="1123"/>
    </w:p>
    <w:p>
      <w:pPr>
        <w:pStyle w:val="BookText"/>
      </w:pPr>
      <w:r>
        <w:rPr>
          <w:rFonts w:ascii="IRNazanin" w:hAnsi="IRNazanin" w:eastAsia="IRNazanin" w:cs="IRNazanin"/>
          <w:lang w:bidi="fa-IR"/>
          <w:color w:val="111111"/>
          <w:sz w:val="28"/>
          <w:szCs w:val="28"/>
          <w:rtl/>
        </w:rPr>
        <w:t xml:space="preserve">مقتضی ظاهر صحیحة الحلبی المتقدّمة </w:t>
      </w:r>
      <w:r>
        <w:rPr>
          <w:rStyle w:val="FootnoteReference"/>
        </w:rPr>
        <w:footnoteReference w:id="2458"/>
      </w:r>
      <w:r>
        <w:rPr>
          <w:rFonts w:ascii="IRNazanin" w:hAnsi="IRNazanin" w:eastAsia="IRNazanin" w:cs="IRNazanin"/>
          <w:lang w:bidi="fa-IR"/>
          <w:color w:val="111111"/>
          <w:sz w:val="28"/>
          <w:szCs w:val="28"/>
          <w:rtl/>
        </w:rPr>
        <w:t xml:space="preserve">فی بادی النظر </w:t>
      </w:r>
      <w:r>
        <w:rPr>
          <w:rStyle w:val="FootnoteReference"/>
        </w:rPr>
        <w:footnoteReference w:id="2459"/>
      </w:r>
      <w:r>
        <w:rPr>
          <w:rFonts w:ascii="IRNazanin" w:hAnsi="IRNazanin" w:eastAsia="IRNazanin" w:cs="IRNazanin"/>
          <w:lang w:bidi="fa-IR"/>
          <w:color w:val="111111"/>
          <w:sz w:val="28"/>
          <w:szCs w:val="28"/>
          <w:rtl/>
        </w:rPr>
        <w:t xml:space="preserve">حصر الاحتکار فی شراء الطعام[لکن الأقوی التعمیم </w:t>
      </w:r>
      <w:r>
        <w:rPr>
          <w:rStyle w:val="FootnoteReference"/>
        </w:rPr>
        <w:footnoteReference w:id="2460"/>
      </w:r>
      <w:r>
        <w:rPr>
          <w:rFonts w:ascii="IRNazanin" w:hAnsi="IRNazanin" w:eastAsia="IRNazanin" w:cs="IRNazanin"/>
          <w:lang w:bidi="fa-IR"/>
          <w:color w:val="111111"/>
          <w:sz w:val="28"/>
          <w:szCs w:val="28"/>
          <w:rtl/>
        </w:rPr>
        <w:t xml:space="preserve">]بقرینة تفریع قوله:«فإن کان فی المصر طعام».</w:t>
      </w:r>
    </w:p>
    <w:p>
      <w:pPr>
        <w:pStyle w:val="BookText"/>
      </w:pPr>
      <w:r>
        <w:rPr>
          <w:rFonts w:ascii="IRNazanin" w:hAnsi="IRNazanin" w:eastAsia="IRNazanin" w:cs="IRNazanin"/>
          <w:lang w:bidi="fa-IR"/>
          <w:color w:val="111111"/>
          <w:sz w:val="28"/>
          <w:szCs w:val="28"/>
          <w:rtl/>
        </w:rPr>
        <w:t xml:space="preserve">و یؤیّد ذلک:ما تقدّم من تفسیر الاحتکار فی کلام أهل اللغة بمطلق جمع الطعام و حبسه </w:t>
      </w:r>
      <w:r>
        <w:rPr>
          <w:rStyle w:val="FootnoteReference"/>
        </w:rPr>
        <w:footnoteReference w:id="2461"/>
      </w:r>
      <w:r>
        <w:rPr>
          <w:rFonts w:ascii="IRNazanin" w:hAnsi="IRNazanin" w:eastAsia="IRNazanin" w:cs="IRNazanin"/>
          <w:lang w:bidi="fa-IR"/>
          <w:color w:val="111111"/>
          <w:sz w:val="28"/>
          <w:szCs w:val="28"/>
          <w:rtl/>
        </w:rPr>
        <w:t xml:space="preserve">،سواء کان بالاشتراء أو بالزرع و الحصاد و الإحراز،إلّا أن یراد جمعه فی ملکه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التعمیم تعلیل الحکم فی بعض الأخبار ب«أن یترک الناس لیس لهم طعام» </w:t>
      </w:r>
      <w:r>
        <w:rPr>
          <w:rStyle w:val="FootnoteReference"/>
        </w:rPr>
        <w:footnoteReference w:id="2463"/>
      </w:r>
      <w:r>
        <w:rPr>
          <w:rFonts w:ascii="IRNazanin" w:hAnsi="IRNazanin" w:eastAsia="IRNazanin" w:cs="IRNazanin"/>
          <w:lang w:bidi="fa-IR"/>
          <w:color w:val="111111"/>
          <w:sz w:val="28"/>
          <w:szCs w:val="28"/>
          <w:rtl/>
        </w:rPr>
        <w:t xml:space="preserve">،و علیه فلا فرق بین أن یکون ذلک من زرعه أو من میراثٍ أو یکون موهوباً له،أو کان قد اشتراه لحاجة فانقضت الحاجة و بقی الطعام لا یحتاج إلیه المالک،فحبسه متربّصاً للغلاء.</w:t>
      </w:r>
    </w:p>
    <w:p>
      <w:pPr>
        <w:pStyle w:val="Heading6"/>
      </w:pPr>
      <w:bookmarkStart w:id="1124" w:name="_Toc564"/>
      <w:r>
        <w:t>الرابع : أقسام حبس الطعام کثیرة</w:t>
      </w:r>
      <w:bookmarkEnd w:id="1124"/>
    </w:p>
    <w:p>
      <w:pPr>
        <w:pStyle w:val="BookText"/>
      </w:pPr>
      <w:r>
        <w:rPr>
          <w:rFonts w:ascii="Amiri" w:hAnsi="Amiri" w:eastAsia="Amiri" w:cs="Amiri"/>
          <w:lang w:bidi="ar-SA"/>
          <w:color w:val="111111"/>
          <w:sz w:val="28"/>
          <w:szCs w:val="28"/>
          <w:rtl/>
        </w:rPr>
        <w:t xml:space="preserve">لأنّ الشخص إمّا أن یکون</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حصّل الطعام لحبسه أو لغرضٍ آخر،أو حصل له من دون تحصیل له.</w:t>
      </w:r>
    </w:p>
    <w:p>
      <w:pPr>
        <w:pStyle w:val="BookText"/>
      </w:pPr>
      <w:r>
        <w:rPr>
          <w:rFonts w:ascii="IRNazanin" w:hAnsi="IRNazanin" w:eastAsia="IRNazanin" w:cs="IRNazanin"/>
          <w:lang w:bidi="fa-IR"/>
          <w:color w:val="111111"/>
          <w:sz w:val="28"/>
          <w:szCs w:val="28"/>
          <w:rtl/>
        </w:rPr>
        <w:t xml:space="preserve">و«الحبس»،إمّا أن یراد منه </w:t>
      </w:r>
      <w:r>
        <w:rPr>
          <w:rStyle w:val="FootnoteReference"/>
        </w:rPr>
        <w:footnoteReference w:id="2464"/>
      </w:r>
      <w:r>
        <w:rPr>
          <w:rFonts w:ascii="IRNazanin" w:hAnsi="IRNazanin" w:eastAsia="IRNazanin" w:cs="IRNazanin"/>
          <w:lang w:bidi="fa-IR"/>
          <w:color w:val="111111"/>
          <w:sz w:val="28"/>
          <w:szCs w:val="28"/>
          <w:rtl/>
        </w:rPr>
        <w:t xml:space="preserve">نفس تقلیل الطعام إضراراً بالناس فی أنفسهم،أو یرید به الغلاء و هو إضرارهم من حیث المال،أو یرید به عدم الخسارة من رأس ماله و إن حصل ذلک لغلاءٍ عارضیٍّ لا یتضرّر به أهل البلد،کما قد یتّفق ورود عسکرٍ أو زوّارٍ </w:t>
      </w:r>
      <w:r>
        <w:rPr>
          <w:rStyle w:val="FootnoteReference"/>
        </w:rPr>
        <w:footnoteReference w:id="2465"/>
      </w:r>
      <w:r>
        <w:rPr>
          <w:rFonts w:ascii="IRNazanin" w:hAnsi="IRNazanin" w:eastAsia="IRNazanin" w:cs="IRNazanin"/>
          <w:lang w:bidi="fa-IR"/>
          <w:color w:val="111111"/>
          <w:sz w:val="28"/>
          <w:szCs w:val="28"/>
          <w:rtl/>
        </w:rPr>
        <w:t xml:space="preserve">فی البلاد و توقّفهم یومین أو ثلاثة،فیحدث للطعام عزّةٌ لا یضرّ بأکثر أهل البلد،و قد یرید ب«الحبس»لغرض آخر المستلزم للغلاء غرضاً آخر.</w:t>
      </w:r>
    </w:p>
    <w:p>
      <w:pPr>
        <w:pStyle w:val="BookText"/>
      </w:pPr>
      <w:r>
        <w:rPr>
          <w:rFonts w:ascii="IRNazanin" w:hAnsi="IRNazanin" w:eastAsia="IRNazanin" w:cs="IRNazanin"/>
          <w:lang w:bidi="fa-IR"/>
          <w:color w:val="111111"/>
          <w:sz w:val="28"/>
          <w:szCs w:val="28"/>
          <w:rtl/>
        </w:rPr>
        <w:t xml:space="preserve">هذا کلّه مع حصول الغلاء بحبسه،و قد یحبس انتظاراً لأیّام الغلاء من دون حصول الغلاء بحبسه،بل لقلّة الطعام آخر السنة،أو لورود عسکرٍ أو زوّارٍ ینفد الطعام.</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حبسه لانتظار أیّام الغلاء،قد یکون للبیع بأزید من قیمة الحال،و قد یکون لحبّ إعانة المضطرّین و لو بالبیع علیهم و الإرفاق بهم.</w:t>
      </w:r>
    </w:p>
    <w:p>
      <w:pPr>
        <w:pStyle w:val="BookText"/>
      </w:pPr>
      <w:r>
        <w:rPr>
          <w:rFonts w:ascii="IRNazanin" w:hAnsi="IRNazanin" w:eastAsia="IRNazanin" w:cs="IRNazanin"/>
          <w:lang w:bidi="fa-IR"/>
          <w:color w:val="111111"/>
          <w:sz w:val="28"/>
          <w:szCs w:val="28"/>
          <w:rtl/>
        </w:rPr>
        <w:t xml:space="preserve">ثمّ حاجة الناس قد یکون لأکلهم،و قد یکون للبذر أو علف الدوابّ،أو الاسترباح بالثمن.</w:t>
      </w:r>
    </w:p>
    <w:p>
      <w:pPr>
        <w:pStyle w:val="BookText"/>
      </w:pPr>
      <w:r>
        <w:rPr>
          <w:rFonts w:ascii="IRNazanin" w:hAnsi="IRNazanin" w:eastAsia="IRNazanin" w:cs="IRNazanin"/>
          <w:lang w:bidi="fa-IR"/>
          <w:color w:val="111111"/>
          <w:sz w:val="28"/>
          <w:szCs w:val="28"/>
          <w:rtl/>
        </w:rPr>
        <w:t xml:space="preserve">و علیک باستخراج </w:t>
      </w:r>
      <w:r>
        <w:rPr>
          <w:rStyle w:val="FootnoteReference"/>
        </w:rPr>
        <w:footnoteReference w:id="2466"/>
      </w:r>
      <w:r>
        <w:rPr>
          <w:rFonts w:ascii="IRNazanin" w:hAnsi="IRNazanin" w:eastAsia="IRNazanin" w:cs="IRNazanin"/>
          <w:lang w:bidi="fa-IR"/>
          <w:color w:val="111111"/>
          <w:sz w:val="28"/>
          <w:szCs w:val="28"/>
          <w:rtl/>
        </w:rPr>
        <w:t xml:space="preserve">أحکام هذه الأقسام و تمییز المباح و المکروه</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80" w:name="pg14419_167276"/>
    <w:bookmarkEnd w:id="280"/>
    <w:p>
      <w:pPr>
        <w:pStyle w:val="BookText"/>
      </w:pPr>
      <w:r>
        <w:rPr>
          <w:rFonts w:ascii="IRNazanin" w:hAnsi="IRNazanin" w:eastAsia="IRNazanin" w:cs="IRNazanin"/>
          <w:lang w:bidi="fa-IR"/>
          <w:color w:val="111111"/>
          <w:sz w:val="28"/>
          <w:szCs w:val="28"/>
          <w:rtl/>
        </w:rPr>
        <w:t xml:space="preserve">و المستحبّ من الحرام.</w:t>
      </w:r>
    </w:p>
    <w:p>
      <w:pPr>
        <w:pStyle w:val="Heading6"/>
      </w:pPr>
      <w:bookmarkStart w:id="1125" w:name="_Toc565"/>
      <w:r>
        <w:t>الخامس : الظاهر عدم الخلاف کما قیل فی إجبار المحتکر علی البیع</w:t>
      </w:r>
      <w:bookmarkEnd w:id="1125"/>
    </w:p>
    <w:p>
      <w:pPr>
        <w:pStyle w:val="BookText"/>
      </w:pPr>
      <w:r>
        <w:rPr>
          <w:rFonts w:ascii="IRNazanin" w:hAnsi="IRNazanin" w:eastAsia="IRNazanin" w:cs="IRNazanin"/>
          <w:lang w:bidi="fa-IR"/>
          <w:color w:val="111111"/>
          <w:sz w:val="28"/>
          <w:szCs w:val="28"/>
          <w:rtl/>
        </w:rPr>
        <w:t xml:space="preserve">الخامس:الظاهر عدم الخلاف کما قیل </w:t>
      </w:r>
      <w:r>
        <w:rPr>
          <w:rStyle w:val="FootnoteReference"/>
        </w:rPr>
        <w:footnoteReference w:id="2467"/>
      </w:r>
      <w:r>
        <w:rPr>
          <w:rFonts w:ascii="IRNazanin" w:hAnsi="IRNazanin" w:eastAsia="IRNazanin" w:cs="IRNazanin"/>
          <w:lang w:bidi="fa-IR"/>
          <w:color w:val="111111"/>
          <w:sz w:val="28"/>
          <w:szCs w:val="28"/>
          <w:rtl/>
        </w:rPr>
        <w:t xml:space="preserve">فی إجبار المحتکر علی البیع،</w:t>
      </w:r>
    </w:p>
    <w:p>
      <w:pPr>
        <w:pStyle w:val="BookText"/>
      </w:pPr>
      <w:r>
        <w:rPr>
          <w:rFonts w:ascii="IRNazanin" w:hAnsi="IRNazanin" w:eastAsia="IRNazanin" w:cs="IRNazanin"/>
          <w:lang w:bidi="fa-IR"/>
          <w:color w:val="111111"/>
          <w:sz w:val="28"/>
          <w:szCs w:val="28"/>
          <w:rtl/>
        </w:rPr>
        <w:t xml:space="preserve">حتّی علی القول بالکراهة،بل عن المهذّب البارع:الإجماع </w:t>
      </w:r>
      <w:r>
        <w:rPr>
          <w:rStyle w:val="FootnoteReference"/>
        </w:rPr>
        <w:footnoteReference w:id="2468"/>
      </w:r>
      <w:r>
        <w:rPr>
          <w:rFonts w:ascii="IRNazanin" w:hAnsi="IRNazanin" w:eastAsia="IRNazanin" w:cs="IRNazanin"/>
          <w:lang w:bidi="fa-IR"/>
          <w:color w:val="111111"/>
          <w:sz w:val="28"/>
          <w:szCs w:val="28"/>
          <w:rtl/>
        </w:rPr>
        <w:t xml:space="preserve">، و عن التنقیح </w:t>
      </w:r>
      <w:r>
        <w:rPr>
          <w:rStyle w:val="FootnoteReference"/>
        </w:rPr>
        <w:footnoteReference w:id="2469"/>
      </w:r>
      <w:r>
        <w:rPr>
          <w:rFonts w:ascii="IRNazanin" w:hAnsi="IRNazanin" w:eastAsia="IRNazanin" w:cs="IRNazanin"/>
          <w:lang w:bidi="fa-IR"/>
          <w:color w:val="111111"/>
          <w:sz w:val="28"/>
          <w:szCs w:val="28"/>
          <w:rtl/>
        </w:rPr>
        <w:t xml:space="preserve">کما عن الحدائق </w:t>
      </w:r>
      <w:r>
        <w:rPr>
          <w:rStyle w:val="FootnoteReference"/>
        </w:rPr>
        <w:footnoteReference w:id="2470"/>
      </w:r>
      <w:r>
        <w:rPr>
          <w:rFonts w:ascii="IRNazanin" w:hAnsi="IRNazanin" w:eastAsia="IRNazanin" w:cs="IRNazanin"/>
          <w:lang w:bidi="fa-IR"/>
          <w:color w:val="111111"/>
          <w:sz w:val="28"/>
          <w:szCs w:val="28"/>
          <w:rtl/>
        </w:rPr>
        <w:t xml:space="preserve">-:عدم الخلاف فیه،و هو الدلیل المخرج عن قاعدة عدم الإجبار لغیر الواجب؛و لذا ذکرنا:أنّ ظاهر أدلّة الإجبار تدلّ علی التحریم </w:t>
      </w:r>
      <w:r>
        <w:rPr>
          <w:rStyle w:val="FootnoteReference"/>
        </w:rPr>
        <w:footnoteReference w:id="2471"/>
      </w:r>
      <w:r>
        <w:rPr>
          <w:rFonts w:ascii="IRNazanin" w:hAnsi="IRNazanin" w:eastAsia="IRNazanin" w:cs="IRNazanin"/>
          <w:lang w:bidi="fa-IR"/>
          <w:color w:val="111111"/>
          <w:sz w:val="28"/>
          <w:szCs w:val="28"/>
          <w:rtl/>
        </w:rPr>
        <w:t xml:space="preserve">لأنّ إلزام غیر اللازم خلاف القاعدة.</w:t>
      </w:r>
    </w:p>
    <w:p>
      <w:pPr>
        <w:pStyle w:val="BookText"/>
      </w:pPr>
      <w:r>
        <w:rPr>
          <w:rFonts w:ascii="IRNazanin" w:hAnsi="IRNazanin" w:eastAsia="IRNazanin" w:cs="IRNazanin"/>
          <w:lang w:bidi="fa-IR"/>
          <w:color w:val="111111"/>
          <w:sz w:val="28"/>
          <w:szCs w:val="28"/>
          <w:rtl/>
        </w:rPr>
        <w:t xml:space="preserve">نعم لا یسعّر علیه إجماعاً،کما عن السرائر،و زاد وجود الأخبار المتواترة </w:t>
      </w:r>
      <w:r>
        <w:rPr>
          <w:rStyle w:val="FootnoteReference"/>
        </w:rPr>
        <w:footnoteReference w:id="2472"/>
      </w:r>
      <w:r>
        <w:rPr>
          <w:rFonts w:ascii="IRNazanin" w:hAnsi="IRNazanin" w:eastAsia="IRNazanin" w:cs="IRNazanin"/>
          <w:lang w:bidi="fa-IR"/>
          <w:color w:val="111111"/>
          <w:sz w:val="28"/>
          <w:szCs w:val="28"/>
          <w:rtl/>
        </w:rPr>
        <w:t xml:space="preserve">،و عن المبسوط:عدم الخلاف فیه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عن المقنعة:أنّه یُسعّر علیه بما یراه الحاکم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جماعة </w:t>
      </w:r>
      <w:r>
        <w:rPr>
          <w:rStyle w:val="FootnoteReference"/>
        </w:rPr>
        <w:footnoteReference w:id="2475"/>
      </w:r>
      <w:r>
        <w:rPr>
          <w:rFonts w:ascii="Amiri" w:hAnsi="Amiri" w:eastAsia="Amiri" w:cs="Amiri"/>
          <w:lang w:bidi="ar-SA"/>
          <w:color w:val="111111"/>
          <w:sz w:val="28"/>
          <w:szCs w:val="28"/>
          <w:rtl/>
        </w:rPr>
        <w:t xml:space="preserve">منهم العلّامة </w:t>
      </w:r>
      <w:r>
        <w:rPr>
          <w:rStyle w:val="FootnoteReference"/>
        </w:rPr>
        <w:footnoteReference w:id="2476"/>
      </w:r>
      <w:r>
        <w:rPr>
          <w:rFonts w:ascii="IRNazanin" w:hAnsi="IRNazanin" w:eastAsia="IRNazanin" w:cs="IRNazanin"/>
          <w:lang w:bidi="fa-IR"/>
          <w:color w:val="111111"/>
          <w:sz w:val="28"/>
          <w:szCs w:val="28"/>
          <w:rtl/>
        </w:rPr>
        <w:t xml:space="preserve">و ولده </w:t>
      </w:r>
      <w:r>
        <w:rPr>
          <w:rStyle w:val="FootnoteReference"/>
        </w:rPr>
        <w:footnoteReference w:id="2477"/>
      </w:r>
      <w:r>
        <w:rPr>
          <w:rFonts w:ascii="IRNazanin" w:hAnsi="IRNazanin" w:eastAsia="IRNazanin" w:cs="IRNazanin"/>
          <w:lang w:bidi="fa-IR"/>
          <w:color w:val="111111"/>
          <w:sz w:val="28"/>
          <w:szCs w:val="28"/>
          <w:rtl/>
        </w:rPr>
        <w:t xml:space="preserve">و الشهید </w:t>
      </w:r>
      <w:r>
        <w:rPr>
          <w:rStyle w:val="FootnoteReference"/>
        </w:rPr>
        <w:footnoteReference w:id="2478"/>
      </w:r>
      <w:r>
        <w:rPr>
          <w:rFonts w:ascii="Amiri" w:hAnsi="Amiri" w:eastAsia="Amiri" w:cs="Amiri"/>
          <w:lang w:bidi="ar-SA"/>
          <w:color w:val="111111"/>
          <w:sz w:val="28"/>
          <w:szCs w:val="28"/>
          <w:rtl/>
        </w:rPr>
        <w:t xml:space="preserve">-:أنّه یسعّر</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إن أجحف بالثمن؛لنفی الضرر،و عن المیسی </w:t>
      </w:r>
      <w:r>
        <w:rPr>
          <w:rStyle w:val="FootnoteReference"/>
        </w:rPr>
        <w:footnoteReference w:id="2479"/>
      </w:r>
      <w:r>
        <w:rPr>
          <w:rFonts w:ascii="IRNazanin" w:hAnsi="IRNazanin" w:eastAsia="IRNazanin" w:cs="IRNazanin"/>
          <w:lang w:bidi="fa-IR"/>
          <w:color w:val="111111"/>
          <w:sz w:val="28"/>
          <w:szCs w:val="28"/>
          <w:rtl/>
        </w:rPr>
        <w:t xml:space="preserve">و الشهید الثانی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یؤمر بالنزول من دون تسعیر؛جمعاً بین النهی عن التسعیر، و الجبر </w:t>
      </w:r>
      <w:r>
        <w:rPr>
          <w:rStyle w:val="FootnoteReference"/>
        </w:rPr>
        <w:footnoteReference w:id="2481"/>
      </w:r>
      <w:r>
        <w:rPr>
          <w:rFonts w:ascii="IRNazanin" w:hAnsi="IRNazanin" w:eastAsia="IRNazanin" w:cs="IRNazanin"/>
          <w:lang w:bidi="fa-IR"/>
          <w:color w:val="111111"/>
          <w:sz w:val="28"/>
          <w:szCs w:val="28"/>
          <w:rtl/>
        </w:rPr>
        <w:t xml:space="preserve">بنفی الإضرار.</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81" w:name="pg14419_167278"/>
    <w:bookmarkEnd w:id="281"/>
    <w:p>
      <w:pPr>
        <w:pStyle w:val="Heading6"/>
      </w:pPr>
      <w:bookmarkStart w:id="1126" w:name="_Toc566"/>
      <w:r>
        <w:t>خاتمة : و من أهمّ آداب التجارة الإجمال فی الطلب و الاقتصاد فیه</w:t>
      </w:r>
      <w:bookmarkEnd w:id="1126"/>
    </w:p>
    <w:p>
      <w:pPr>
        <w:pStyle w:val="BookText"/>
      </w:pPr>
      <w:r>
        <w:rPr>
          <w:rFonts w:ascii="IRNazanin" w:hAnsi="IRNazanin" w:eastAsia="IRNazanin" w:cs="IRNazanin"/>
          <w:lang w:bidi="fa-IR"/>
          <w:color w:val="111111"/>
          <w:sz w:val="28"/>
          <w:szCs w:val="28"/>
          <w:rtl/>
        </w:rPr>
        <w:t xml:space="preserve">ففی مرسلة ابن فضّال عن رجل عن أبی عبد اللّٰه علیه السلام:«لیکن طلبک للمعیشة فوق کسب المضیّع و دون طلب الحریص الراضی بدنیاه المطمئنّ إلیها،و لکن أنزل نفسک من ذلک منزلة المنصف المتعفّف،ترفع نفسک عن منزلة الواهن الضعیف و تکسب ما لا بدّ للمؤمن منه؛إنّ الذین أُعطوا المال ثمّ لم یشکروا،لا مال لهم»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الثمالی عن أبی جعفر علیه السلام«قال:قال رسول اللّٰه صلّی اللّٰه علیه و آله فی حجّة الوداع:ألا إنّ الروح الأمین نفث فی رَوْعی:</w:t>
      </w:r>
    </w:p>
    <w:p>
      <w:pPr>
        <w:pStyle w:val="BookText"/>
      </w:pPr>
      <w:r>
        <w:rPr>
          <w:rFonts w:ascii="Amiri" w:hAnsi="Amiri" w:eastAsia="Amiri" w:cs="Amiri"/>
          <w:lang w:bidi="ar-SA"/>
          <w:color w:val="111111"/>
          <w:sz w:val="28"/>
          <w:szCs w:val="28"/>
          <w:rtl/>
        </w:rPr>
        <w:t xml:space="preserve">أنّه لن تموت نفس حتّی تستکمل رزقها،فاتّقوا اللّٰه و أجملوا فی الطلب، و لا یحملنّکم استبطاء شیءٍ من الرزق أن تطلبوه بشیءٍ من معصیة اللّٰه؛ فإنّ اللّٰه تبارک و تعالی قسّم الأرزاق فی خلقه حلالاً و لم یقسمها حراماً، فمن اتّقی اللّٰه و صبر آتاه اللّٰه برزقه من حِلِّه،و من هتک حجاب الستر و عجّل فأخذه من غیر حلّه قصّ </w:t>
      </w:r>
      <w:r>
        <w:rPr>
          <w:rStyle w:val="FootnoteReference"/>
        </w:rPr>
        <w:footnoteReference w:id="2483"/>
      </w:r>
      <w:r>
        <w:rPr>
          <w:rFonts w:ascii="IRNazanin" w:hAnsi="IRNazanin" w:eastAsia="IRNazanin" w:cs="IRNazanin"/>
          <w:lang w:bidi="fa-IR"/>
          <w:color w:val="111111"/>
          <w:sz w:val="28"/>
          <w:szCs w:val="28"/>
          <w:rtl/>
        </w:rPr>
        <w:t xml:space="preserve">به من رزقه الحلال و حوسب علیه</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 علیه السلام:«أنّه کان أمیر المؤمنین علیه السلام کثیراً مّا یقول:اعلموا علماً یقیناً أنّ اللّٰه عزّ و جلّ لم یجعل للعبد و إن اشتدّ جهده و عظمت حیلته و کثرت مکائدته </w:t>
      </w:r>
      <w:r>
        <w:rPr>
          <w:rStyle w:val="FootnoteReference"/>
        </w:rPr>
        <w:footnoteReference w:id="2485"/>
      </w:r>
      <w:r>
        <w:rPr>
          <w:rFonts w:ascii="IRNazanin" w:hAnsi="IRNazanin" w:eastAsia="IRNazanin" w:cs="IRNazanin"/>
          <w:lang w:bidi="fa-IR"/>
          <w:color w:val="111111"/>
          <w:sz w:val="28"/>
          <w:szCs w:val="28"/>
          <w:rtl/>
        </w:rPr>
        <w:t xml:space="preserve">أن یسبق ما سمّی له فی الذکر الحکیم،و لم یحل بین </w:t>
      </w:r>
      <w:r>
        <w:rPr>
          <w:rStyle w:val="FootnoteReference"/>
        </w:rPr>
        <w:footnoteReference w:id="2486"/>
      </w:r>
      <w:r>
        <w:rPr>
          <w:rFonts w:ascii="IRNazanin" w:hAnsi="IRNazanin" w:eastAsia="IRNazanin" w:cs="IRNazanin"/>
          <w:lang w:bidi="fa-IR"/>
          <w:color w:val="111111"/>
          <w:sz w:val="28"/>
          <w:szCs w:val="28"/>
          <w:rtl/>
        </w:rPr>
        <w:t xml:space="preserve">العبد فی ضعفه و قلّة حیلته أن یبلغ ما سمّی له فی الذکر الحکیم.</w:t>
      </w:r>
    </w:p>
    <w:p>
      <w:pPr>
        <w:pStyle w:val="BookText"/>
      </w:pPr>
      <w:r>
        <w:rPr>
          <w:rFonts w:ascii="Amiri" w:hAnsi="Amiri" w:eastAsia="Amiri" w:cs="Amiri"/>
          <w:lang w:bidi="ar-SA"/>
          <w:color w:val="111111"/>
          <w:sz w:val="28"/>
          <w:szCs w:val="28"/>
          <w:rtl/>
        </w:rPr>
        <w:t xml:space="preserve">أیّها الناس،إنّه لن یزداد امرؤٌ نقیراً لحذقه </w:t>
      </w:r>
      <w:r>
        <w:rPr>
          <w:rStyle w:val="FootnoteReference"/>
        </w:rPr>
        <w:footnoteReference w:id="2487"/>
      </w:r>
      <w:r>
        <w:rPr>
          <w:rFonts w:ascii="IRNazanin" w:hAnsi="IRNazanin" w:eastAsia="IRNazanin" w:cs="IRNazanin"/>
          <w:lang w:bidi="fa-IR"/>
          <w:color w:val="111111"/>
          <w:sz w:val="28"/>
          <w:szCs w:val="28"/>
          <w:rtl/>
        </w:rPr>
        <w:t xml:space="preserve">،و لم ینقص امرؤٌ نقیراً لحمقه </w:t>
      </w:r>
      <w:r>
        <w:rPr>
          <w:rStyle w:val="FootnoteReference"/>
        </w:rPr>
        <w:footnoteReference w:id="2488"/>
      </w:r>
      <w:r>
        <w:rPr>
          <w:rFonts w:ascii="IRNazanin" w:hAnsi="IRNazanin" w:eastAsia="IRNazanin" w:cs="IRNazanin"/>
          <w:lang w:bidi="fa-IR"/>
          <w:color w:val="111111"/>
          <w:sz w:val="28"/>
          <w:szCs w:val="28"/>
          <w:rtl/>
        </w:rPr>
        <w:t xml:space="preserve">،فالعالم بهذا العامل به أعظم الناس راحةً فی منفعته، و العالم بهذا التارک له أعظم الناس شغلاً فی مضرّته،و ربّ مُنعَمٍ علیه مُستَدْرَجٍ بالإحسان إلیه،و ربّ مغرور فی الناس مصنوع له،فأبق </w:t>
      </w:r>
      <w:r>
        <w:rPr>
          <w:rStyle w:val="FootnoteReference"/>
        </w:rPr>
        <w:footnoteReference w:id="2489"/>
      </w:r>
      <w:r>
        <w:rPr>
          <w:rFonts w:ascii="Amiri" w:hAnsi="Amiri" w:eastAsia="Amiri" w:cs="Amiri"/>
          <w:lang w:bidi="ar-SA"/>
          <w:color w:val="111111"/>
          <w:sz w:val="28"/>
          <w:szCs w:val="28"/>
          <w:rtl/>
        </w:rPr>
        <w:t xml:space="preserve">أیّها الساعی من سعیک،و أقصر من عجلتک،و انتبه من سِنَة غفلتک، و تفکّر فیما جاء عن اللّٰه عزّ و جلّ علی لسان نبیّه صلّی اللّٰه علیه و آله»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عبد اللّٰه بن سلیمان،قال:«سمعت أبا عبد اللّٰه علیه السلام یقول:إنّ اللّٰه عزّ و جلّ وسّع فی أرزاق الحمقی لیعتبر العقلاء،و یعلموا أنّ الدنیا لیس یُنال ما فیها بعمل و لا حیلة»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مرفوعة سهل بن زیاد أنّه قال:«قال أمیر المؤمنین علیه السلام:کم من متعب نفسه مقتَّر علیه </w:t>
      </w:r>
      <w:r>
        <w:rPr>
          <w:rStyle w:val="FootnoteReference"/>
        </w:rPr>
        <w:footnoteReference w:id="2492"/>
      </w:r>
      <w:r>
        <w:rPr>
          <w:rFonts w:ascii="IRNazanin" w:hAnsi="IRNazanin" w:eastAsia="IRNazanin" w:cs="IRNazanin"/>
          <w:lang w:bidi="fa-IR"/>
          <w:color w:val="111111"/>
          <w:sz w:val="28"/>
          <w:szCs w:val="28"/>
          <w:rtl/>
        </w:rPr>
        <w:t xml:space="preserve">،و کم من مقتصد فی الطلب قد ساعدته المقادیر»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علیّ بن عبد العزیز قال:«قال أبو عبد اللّٰه علیه السلام:</w:t>
      </w:r>
    </w:p>
    <w:p>
      <w:pPr>
        <w:pStyle w:val="BookText"/>
      </w:pPr>
      <w:r>
        <w:rPr>
          <w:rFonts w:ascii="IRNazanin" w:hAnsi="IRNazanin" w:eastAsia="IRNazanin" w:cs="IRNazanin"/>
          <w:lang w:bidi="fa-IR"/>
          <w:color w:val="111111"/>
          <w:sz w:val="28"/>
          <w:szCs w:val="28"/>
          <w:rtl/>
        </w:rPr>
        <w:t xml:space="preserve">ما فعل عمر بن مسلم؟قلت:جعلت فداک!أقبل علی العبادة و ترک التجارة،فقال:ویحه!أما علم أنّ تارک الطلب لا تستجاب له دعوته </w:t>
      </w:r>
      <w:r>
        <w:rPr>
          <w:rStyle w:val="FootnoteReference"/>
        </w:rPr>
        <w:footnoteReference w:id="2494"/>
      </w:r>
      <w:r>
        <w:rPr>
          <w:rFonts w:ascii="Amiri" w:hAnsi="Amiri" w:eastAsia="Amiri" w:cs="Amiri"/>
          <w:lang w:bidi="ar-SA"/>
          <w:color w:val="111111"/>
          <w:sz w:val="28"/>
          <w:szCs w:val="28"/>
          <w:rtl/>
        </w:rPr>
        <w:t xml:space="preserve">؟إنّ قوماً من أصحاب رسول اللّٰه صلّی اللّٰه علیه و آله لمّا نزل قوله تعالی: وَ مَنْ یَتَّقِ اللّٰهَ یَجْعَلْ لَهُ مَخْرَجاً وَ یَرْزُقْهُ مِنْ حَیْثُ لاٰ یَحْتَسِبُ </w:t>
      </w:r>
      <w:r>
        <w:rPr>
          <w:rStyle w:val="FootnoteReference"/>
        </w:rPr>
        <w:footnoteReference w:id="2495"/>
      </w:r>
      <w:r>
        <w:rPr>
          <w:rFonts w:ascii="IRNazanin" w:hAnsi="IRNazanin" w:eastAsia="IRNazanin" w:cs="IRNazanin"/>
          <w:lang w:bidi="fa-IR"/>
          <w:color w:val="111111"/>
          <w:sz w:val="28"/>
          <w:szCs w:val="28"/>
          <w:rtl/>
        </w:rPr>
        <w:t xml:space="preserve">أغلقوا الأبواب و أقبلوا علی العبادة و قالوا:قد کُفینا!فبلغ ذلک النبی صلّی اللّٰه علیه و آله فأرسل إلیهم،فقال لهم:ما دعاکم إلی ما صنعتم؟فقالوا:یا رسول اللّٰه تکفّل اللّٰه تعالی </w:t>
      </w:r>
      <w:r>
        <w:rPr>
          <w:rStyle w:val="FootnoteReference"/>
        </w:rPr>
        <w:footnoteReference w:id="2496"/>
      </w:r>
      <w:r>
        <w:rPr>
          <w:rFonts w:ascii="IRNazanin" w:hAnsi="IRNazanin" w:eastAsia="IRNazanin" w:cs="IRNazanin"/>
          <w:lang w:bidi="fa-IR"/>
          <w:color w:val="111111"/>
          <w:sz w:val="28"/>
          <w:szCs w:val="28"/>
          <w:rtl/>
        </w:rPr>
        <w:t xml:space="preserve">لنا بأرزاقنا فأقبلنا علی العبادة.فقال صلّی اللّٰه علیه و آله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من فعل ذلک لم یستجب له،علیکم بالطلب»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 روایة أنّه:«لیس منّا من ترک آخرته لدنیاه،و لا من ترک دنیاه لآخرته»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أیضاً </w:t>
      </w:r>
      <w:r>
        <w:rPr>
          <w:rStyle w:val="FootnoteReference"/>
        </w:rPr>
        <w:footnoteReference w:id="2500"/>
      </w:r>
      <w:r>
        <w:rPr>
          <w:rFonts w:ascii="IRNazanin" w:hAnsi="IRNazanin" w:eastAsia="IRNazanin" w:cs="IRNazanin"/>
          <w:lang w:bidi="fa-IR"/>
          <w:color w:val="111111"/>
          <w:sz w:val="28"/>
          <w:szCs w:val="28"/>
          <w:rtl/>
        </w:rPr>
        <w:t xml:space="preserve">حدیث داود </w:t>
      </w:r>
      <w:r>
        <w:rPr>
          <w:rStyle w:val="FootnoteReference"/>
        </w:rPr>
        <w:footnoteReference w:id="2501"/>
      </w:r>
      <w:r>
        <w:rPr>
          <w:rFonts w:ascii="IRNazanin" w:hAnsi="IRNazanin" w:eastAsia="IRNazanin" w:cs="IRNazanin"/>
          <w:lang w:bidi="fa-IR"/>
          <w:color w:val="111111"/>
          <w:sz w:val="28"/>
          <w:szCs w:val="28"/>
          <w:rtl/>
        </w:rPr>
        <w:t xml:space="preserve">علی نبیّنا و آله و علیه السلام و علی جمیع أنبیائه الصلاة و السلام،بعد الحمد للّٰه الملک العلّام،علی ما أنعم علینا بالنعم الجسام التی من أعظمها الاشتغال بمطالعة و کتابة کلمات أولیائه الکرام التی هی مصابیح الظلام للخاصّ و العامّ.</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82" w:name="pg14419_167282"/>
    <w:bookmarkEnd w:id="282"/>
    <w:p>
      <w:pPr>
        <w:pStyle w:val="Heading3"/>
      </w:pPr>
      <w:bookmarkStart w:id="1127" w:name="_Toc567"/>
      <w:r>
        <w:t>فقه 5 (المکاسب : از «کتاب الخیارات» تا پایان «خیار العیب»)</w:t>
      </w:r>
      <w:bookmarkEnd w:id="1127"/>
    </w:p>
    <w:p>
      <w:pPr>
        <w:pStyle w:val="Heading4"/>
      </w:pPr>
      <w:bookmarkStart w:id="1128" w:name="_Toc568"/>
      <w:r>
        <w:t>المجلد 5</w:t>
      </w:r>
      <w:bookmarkEnd w:id="1128"/>
    </w:p>
    <w:p>
      <w:pPr>
        <w:pStyle w:val="Heading5"/>
      </w:pPr>
      <w:bookmarkStart w:id="1129" w:name="_Toc569"/>
      <w:r>
        <w:t>اشارة</w:t>
      </w:r>
      <w:bookmarkEnd w:id="1129"/>
    </w:p>
    <w:p>
      <w:pPr>
        <w:pStyle w:val="BookText"/>
      </w:pPr>
      <w:r>
        <w:rPr>
          <w:rFonts w:ascii="IRNazanin" w:hAnsi="IRNazanin" w:eastAsia="IRNazanin" w:cs="IRNazanin"/>
          <w:lang w:bidi="fa-IR"/>
          <w:color w:val="111111"/>
          <w:sz w:val="28"/>
          <w:szCs w:val="28"/>
          <w:rtl/>
        </w:rPr>
        <w:t xml:space="preserve">سرشناسه : انصاری، مرتضی بن محمدامین، ۱۲۱۴ - ۱۲۸۱ق.</w:t>
      </w:r>
    </w:p>
    <w:p>
      <w:pPr>
        <w:pStyle w:val="BookText"/>
      </w:pPr>
      <w:r>
        <w:rPr>
          <w:rFonts w:ascii="IRNazanin" w:hAnsi="IRNazanin" w:eastAsia="IRNazanin" w:cs="IRNazanin"/>
          <w:lang w:bidi="fa-IR"/>
          <w:color w:val="111111"/>
          <w:sz w:val="28"/>
          <w:szCs w:val="28"/>
          <w:rtl/>
        </w:rPr>
        <w:t xml:space="preserve">عنوان و نام پدیدآور : المکاسب / المولف مرتضی الانصاری؛ اعداد لجنه تحقیق تراث الشیخ الاعظم.</w:t>
      </w:r>
    </w:p>
    <w:p>
      <w:pPr>
        <w:pStyle w:val="BookText"/>
      </w:pPr>
      <w:r>
        <w:rPr>
          <w:rFonts w:ascii="IRNazanin" w:hAnsi="IRNazanin" w:eastAsia="IRNazanin" w:cs="IRNazanin"/>
          <w:lang w:bidi="fa-IR"/>
          <w:color w:val="111111"/>
          <w:sz w:val="28"/>
          <w:szCs w:val="28"/>
          <w:rtl/>
        </w:rPr>
        <w:t xml:space="preserve">مشخصات نشر : قم : مجمع الفکر الاسلامی، ۱۴13ه.ق</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۱۹۰/۱ /الف‌۸م‌۷ ۱۳۰۰ی‌الف</w:t>
      </w:r>
    </w:p>
    <w:p>
      <w:pPr>
        <w:pStyle w:val="BookText"/>
      </w:pPr>
      <w:r>
        <w:rPr>
          <w:rFonts w:ascii="IRNazanin" w:hAnsi="IRNazanin" w:eastAsia="IRNazanin" w:cs="IRNazanin"/>
          <w:lang w:bidi="fa-IR"/>
          <w:color w:val="111111"/>
          <w:sz w:val="28"/>
          <w:szCs w:val="28"/>
          <w:rtl/>
        </w:rPr>
        <w:t xml:space="preserve">رده بندی دیویی : ۲۹۷/۳۷۲</w:t>
      </w:r>
    </w:p>
    <w:p>
      <w:pPr>
        <w:pStyle w:val="BookText"/>
      </w:pPr>
      <w:r>
        <w:rPr>
          <w:rFonts w:ascii="IRNazanin" w:hAnsi="IRNazanin" w:eastAsia="IRNazanin" w:cs="IRNazanin"/>
          <w:lang w:bidi="fa-IR"/>
          <w:color w:val="111111"/>
          <w:sz w:val="28"/>
          <w:szCs w:val="28"/>
          <w:rtl/>
        </w:rPr>
        <w:t xml:space="preserve">شماره کتابشناسی ملی : م‌۷۸-۱۹۳۷</w:t>
      </w:r>
    </w:p>
    <w:p>
      <w:pPr>
        <w:pStyle w:val="BookText"/>
      </w:pPr>
      <w:r>
        <w:rPr>
          <w:rFonts w:ascii="IRNazanin" w:hAnsi="IRNazanin" w:eastAsia="IRNazanin" w:cs="IRNazanin"/>
          <w:lang w:bidi="fa-IR"/>
          <w:color w:val="111111"/>
          <w:sz w:val="28"/>
          <w:szCs w:val="28"/>
          <w:rtl/>
        </w:rPr>
        <w:t xml:space="preserve">توضیح : این کتاب از مهمترین کتابهای فقهی شیعه تألیف شیخ الفقهاء و المجتهدین، شیخ اعظم مرتضی بن محمد امین تستری نجفی انصاری ( م ۱۲۸۱ ق) می باشد و در باب معاملات محسوب می شود و از زمان تألیف تا کنون متن درسی حوزه های علمی شیعه قرار گرفته است، مؤلف بطور استدلالی به مباحث معاملات نظر دوخته و به ذکر و تحلیل کلمات فقهای پیشین توجه عمیقی داشته است و وجوه مختلف یک مسئله فقهی را با تردیدهای ویژه خود، ترسیم می نماید مؤلف در این کتاب به سه مبحث مهم پرداخته است: مکاسب محرمه، بیع، خیارات و پایان کتاب به برخی رساله های متفرقه اختصاص یافته است که عناوین آنها عبارتند از: تقیه، عدالت، قضا از میت، مواسعه و مضایقه، ارث، قاعده من ملک شیئا ملک الاقرار به، نفی ضرر، رضاع، مجرد عقد بر زن موجب تحریم او بر پدر و پسر عقد کننده می گردد.</w:t>
      </w:r>
    </w:p>
    <w:p>
      <w:pPr>
        <w:pStyle w:val="BookText"/>
      </w:pPr>
      <w:r>
        <w:rPr>
          <w:rFonts w:ascii="IRNazanin" w:hAnsi="IRNazanin" w:eastAsia="IRNazanin" w:cs="IRNazanin"/>
          <w:lang w:bidi="fa-IR"/>
          <w:color w:val="111111"/>
          <w:sz w:val="28"/>
          <w:szCs w:val="28"/>
          <w:rtl/>
        </w:rPr>
        <w:t xml:space="preserve">کتاب المکاسب شامل کتاب‌های مکاسب محرمه ، بیع و خیارات است که بعدها ۹ کتاب دیگر به آنها ملحق شده‌اند که عبارتند از: کتاب تقیه، رسالة فی العدالة، رسالة فی القضاء عن المیت، رسالة فی المواسعة و المضایقة، رسالة فی قاعدة من ملک شیئا ملک الإقرار به، رسالة فی قاعدة لا ضرر، رسالة فی المصاهرة، و در آخر هم کتاب مواریث که بسیار مختصر می‌باشد.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1130" w:name="_Toc570"/>
      <w:r>
        <w:t>اشارة</w:t>
      </w:r>
      <w:bookmarkEnd w:id="1130"/>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83" w:name="pg14419_167288"/>
    <w:bookmarkEnd w:id="283"/>
    <w:p>
      <w:pPr>
        <w:pStyle w:val="Heading5"/>
      </w:pPr>
      <w:bookmarkStart w:id="1131" w:name="_Toc571"/>
      <w:r>
        <w:t>[مقدمة التحقیق]</w:t>
      </w:r>
      <w:bookmarkEnd w:id="1131"/>
    </w:p>
    <w:p>
      <w:pPr>
        <w:pStyle w:val="BookText"/>
      </w:pPr>
      <w:r>
        <w:rPr>
          <w:rFonts w:ascii="Amiri" w:hAnsi="Amiri" w:eastAsia="Amiri" w:cs="Amiri"/>
          <w:lang w:bidi="ar-SA"/>
          <w:color w:val="111111"/>
          <w:sz w:val="28"/>
          <w:szCs w:val="28"/>
          <w:rtl/>
        </w:rPr>
        <w:t xml:space="preserve">بِسْمِ اللّٰهِ الرَّحْمٰنِ الرَّحِیمِ الحمد للّٰه ربّ العالمین،و الصلاة و السلام علی نبیّه المصطفی و أهل بیته الطاهرین.</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فقد تمّ بعون اللّٰه و فضله تحقیق القسم الثالث من کتاب المکاسب للشیخ الأعظم الأنصاری قدّس سرّه الذی تضمّن مباحث الخیارات و النقد و النسیئة و القبض،بعد أن أکملنا القسمین الأوّلین منه،و هما:المکاسب المحرّمة و البیع.</w:t>
      </w:r>
    </w:p>
    <w:p>
      <w:pPr>
        <w:pStyle w:val="BookText"/>
      </w:pPr>
      <w:r>
        <w:rPr>
          <w:rFonts w:ascii="IRNazanin" w:hAnsi="IRNazanin" w:eastAsia="IRNazanin" w:cs="IRNazanin"/>
          <w:lang w:bidi="fa-IR"/>
          <w:color w:val="111111"/>
          <w:sz w:val="28"/>
          <w:szCs w:val="28"/>
          <w:rtl/>
        </w:rPr>
        <w:t xml:space="preserve">و قد أشرنا فی مقدّمة الجزء الأوّل إلی حصولنا علی مصوّرة النسخة الأصلیّة لقسم الخیارات من مکتبة الإمام الرضا علیه السلام بمشهد المقدّسة.و ذکرنا خصوصیّاتها و أنّا رمزنا لها ب«ق».</w:t>
      </w:r>
    </w:p>
    <w:p>
      <w:pPr>
        <w:pStyle w:val="BookText"/>
      </w:pPr>
      <w:r>
        <w:rPr>
          <w:rFonts w:ascii="IRNazanin" w:hAnsi="IRNazanin" w:eastAsia="IRNazanin" w:cs="IRNazanin"/>
          <w:lang w:bidi="fa-IR"/>
          <w:color w:val="111111"/>
          <w:sz w:val="28"/>
          <w:szCs w:val="28"/>
          <w:rtl/>
        </w:rPr>
        <w:t xml:space="preserve">و بناءً علی ما تقدّم کان عملنا فی هذا القسم وفقاً للآتی:</w:t>
      </w:r>
    </w:p>
    <w:p>
      <w:pPr>
        <w:pStyle w:val="BookText"/>
      </w:pPr>
      <w:r>
        <w:rPr>
          <w:rFonts w:ascii="IRNazanin" w:hAnsi="IRNazanin" w:eastAsia="IRNazanin" w:cs="IRNazanin"/>
          <w:lang w:bidi="fa-IR"/>
          <w:color w:val="111111"/>
          <w:sz w:val="28"/>
          <w:szCs w:val="28"/>
          <w:rtl/>
        </w:rPr>
        <w:t xml:space="preserve">أوّلاً:اکتفینا فی تحقیق هذا القسم و هو قسم الخیارات و مباحث النقد و النسیئة و القبض بالنسخة الأصلیّة«ق»و نسخة«ش»،أمّا سائر النسخ فلم نُشر إلیها إلّا عند الضرورة.</w:t>
      </w:r>
    </w:p>
    <w:p>
      <w:pPr>
        <w:pStyle w:val="BookText"/>
      </w:pPr>
      <w:r>
        <w:rPr>
          <w:rFonts w:ascii="IRNazanin" w:hAnsi="IRNazanin" w:eastAsia="IRNazanin" w:cs="IRNazanin"/>
          <w:lang w:bidi="fa-IR"/>
          <w:color w:val="111111"/>
          <w:sz w:val="28"/>
          <w:szCs w:val="28"/>
          <w:rtl/>
        </w:rPr>
        <w:t xml:space="preserve">ثانیاً:رجّحنا نسخة الأصل علی غیرها عند الاختلاف إلّا إذا</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خطؤها فرجّحنا غیرها مع الإشارة إلی ذلک فی الهامش.</w:t>
      </w:r>
    </w:p>
    <w:p>
      <w:pPr>
        <w:pStyle w:val="BookText"/>
      </w:pPr>
      <w:r>
        <w:rPr>
          <w:rFonts w:ascii="IRNazanin" w:hAnsi="IRNazanin" w:eastAsia="IRNazanin" w:cs="IRNazanin"/>
          <w:lang w:bidi="fa-IR"/>
          <w:color w:val="111111"/>
          <w:sz w:val="28"/>
          <w:szCs w:val="28"/>
          <w:rtl/>
        </w:rPr>
        <w:t xml:space="preserve">ثالثاً:أثبتنا الزیادات الضروریّة من نسخة«ش»أو غیرها فی المتن بین معقوفتین،و جعلنا غیرها فی الهامش.</w:t>
      </w:r>
    </w:p>
    <w:p>
      <w:pPr>
        <w:pStyle w:val="BookText"/>
      </w:pPr>
      <w:r>
        <w:rPr>
          <w:rFonts w:ascii="IRNazanin" w:hAnsi="IRNazanin" w:eastAsia="IRNazanin" w:cs="IRNazanin"/>
          <w:lang w:bidi="fa-IR"/>
          <w:color w:val="111111"/>
          <w:sz w:val="28"/>
          <w:szCs w:val="28"/>
          <w:rtl/>
        </w:rPr>
        <w:t xml:space="preserve">رابعاً:لم نذکر الزیادات أو الاختلافات التی ثبت کونها مغلوطة أو کانت خالیة من الفائدة.</w:t>
      </w:r>
    </w:p>
    <w:p>
      <w:pPr>
        <w:pStyle w:val="BookText"/>
      </w:pPr>
      <w:r>
        <w:rPr>
          <w:rFonts w:ascii="IRNazanin" w:hAnsi="IRNazanin" w:eastAsia="IRNazanin" w:cs="IRNazanin"/>
          <w:lang w:bidi="fa-IR"/>
          <w:color w:val="111111"/>
          <w:sz w:val="28"/>
          <w:szCs w:val="28"/>
          <w:rtl/>
        </w:rPr>
        <w:t xml:space="preserve">خامساً:افتقدت نسخة الأصل بعض الصفحات فأبدلناها بنسخة «ف»؛لأنّها کانت أقرب النسخ إلی الأصل.</w:t>
      </w:r>
    </w:p>
    <w:p>
      <w:pPr>
        <w:pStyle w:val="BookText"/>
      </w:pPr>
      <w:r>
        <w:rPr>
          <w:rFonts w:ascii="IRNazanin" w:hAnsi="IRNazanin" w:eastAsia="IRNazanin" w:cs="IRNazanin"/>
          <w:lang w:bidi="fa-IR"/>
          <w:color w:val="111111"/>
          <w:sz w:val="28"/>
          <w:szCs w:val="28"/>
          <w:rtl/>
        </w:rPr>
        <w:t xml:space="preserve">و بذلک جاء هذا القسم من کتاب المکاسب بحمد اللّٰه أقرب إلی الأصل،بل مطابقاً معه.</w:t>
      </w:r>
    </w:p>
    <w:p>
      <w:pPr>
        <w:pStyle w:val="BookText"/>
      </w:pPr>
      <w:r>
        <w:rPr>
          <w:rFonts w:ascii="IRNazanin" w:hAnsi="IRNazanin" w:eastAsia="IRNazanin" w:cs="IRNazanin"/>
          <w:lang w:bidi="fa-IR"/>
          <w:color w:val="111111"/>
          <w:sz w:val="28"/>
          <w:szCs w:val="28"/>
          <w:rtl/>
        </w:rPr>
        <w:t xml:space="preserve">و أخیراً نودّ أن نوجّه شکرنا لجمیع الإخوة الذین بذلوا جهودهم فی إصدار الکتاب ضمن مجموعة تراث الشیخ الأعظم قدّس سرّه جامعاً بین الدقّة فی التحقیق و الجودة فی الإخراج،سواء الذین ذکرناهم فی مقدّمة الجزء الأوّل و من اشترکوا معهم بعد ذلک،سیّما حجّة الإسلام و المسلمین الشیخ محمّد حسین الأحمدی الشاهرودی.</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pStyle w:val="BookText"/>
      </w:pPr>
      <w:r>
        <w:rPr>
          <w:rFonts w:ascii="IRNazanin" w:hAnsi="IRNazanin" w:eastAsia="IRNazanin" w:cs="IRNazanin"/>
          <w:lang w:bidi="fa-IR"/>
          <w:color w:val="111111"/>
          <w:sz w:val="28"/>
          <w:szCs w:val="28"/>
          <w:rtl/>
        </w:rPr>
        <w:t xml:space="preserve">مسؤول لجنة التحقیق محمّد علی الأنصاری</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84" w:name="pg14419_167290"/>
    <w:bookmarkEnd w:id="284"/>
    <w:p>
      <w:pPr>
        <w:pStyle w:val="Heading5"/>
      </w:pPr>
      <w:bookmarkStart w:id="1132" w:name="_Toc572"/>
      <w:r>
        <w:t>القول فی الخیار و أقسامه و أحکامه</w:t>
      </w:r>
      <w:bookmarkEnd w:id="1132"/>
    </w:p>
    <w:p>
      <w:pPr>
        <w:pStyle w:val="Heading6"/>
      </w:pPr>
      <w:bookmarkStart w:id="1133" w:name="_Toc573"/>
      <w:r>
        <w:t>اشارة</w:t>
      </w:r>
      <w:bookmarkEnd w:id="1133"/>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محمّد و آله الطاهرین و لعنة اللّٰه علی أعدائهم أجمعین.</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85" w:name="pg14419_167292"/>
    <w:bookmarkEnd w:id="285"/>
    <w:p>
      <w:pPr>
        <w:pStyle w:val="Heading6"/>
      </w:pPr>
      <w:bookmarkStart w:id="1134" w:name="_Toc574"/>
      <w:r>
        <w:t>مقدّمتان</w:t>
      </w:r>
      <w:bookmarkEnd w:id="1134"/>
    </w:p>
    <w:p>
      <w:pPr>
        <w:pStyle w:val="Heading6"/>
      </w:pPr>
      <w:bookmarkStart w:id="1135" w:name="_Toc575"/>
      <w:r>
        <w:t>الاُولی : [فی معنی الخیار]</w:t>
      </w:r>
      <w:bookmarkEnd w:id="11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الخیار لغةً:اسم مصدرٍ من«الاختیار»،غُلّب فی کلمات جماعةٍ من المتأخّرین فی«مِلْکِ فسخ العقد» </w:t>
      </w:r>
      <w:r>
        <w:rPr>
          <w:rStyle w:val="FootnoteReference"/>
        </w:rPr>
        <w:footnoteReference w:id="2502"/>
      </w:r>
      <w:r>
        <w:rPr>
          <w:rFonts w:ascii="IRNazanin" w:hAnsi="IRNazanin" w:eastAsia="IRNazanin" w:cs="IRNazanin"/>
          <w:lang w:bidi="fa-IR"/>
          <w:color w:val="111111"/>
          <w:sz w:val="28"/>
          <w:szCs w:val="28"/>
          <w:rtl/>
        </w:rPr>
        <w:t xml:space="preserve">علی ما فسّره به فی موضعٍ من الإیضاح </w:t>
      </w:r>
      <w:r>
        <w:rPr>
          <w:rStyle w:val="FootnoteReference"/>
        </w:rPr>
        <w:footnoteReference w:id="2503"/>
      </w:r>
      <w:r>
        <w:rPr>
          <w:rFonts w:ascii="IRNazanin" w:hAnsi="IRNazanin" w:eastAsia="IRNazanin" w:cs="IRNazanin"/>
          <w:lang w:bidi="fa-IR"/>
          <w:color w:val="111111"/>
          <w:sz w:val="28"/>
          <w:szCs w:val="28"/>
          <w:rtl/>
        </w:rPr>
        <w:t xml:space="preserve">،فیدخل ملک الفسخ فی العقود الجائزة و فی عقد الفضولی، و ملک الوارث ردَّ العقد علی ما زاد علی الثلث،و ملک العمّة و الخالة لفسخ العقد علی بنت الأخ و الأُخت،و ملک الأمة المزوّجة من عبدٍ فسخ العقد إذا أُعتقت،و ملک کلٍّ من الزوجین للفسخ بالعیوب.</w:t>
      </w:r>
    </w:p>
    <w:p>
      <w:pPr>
        <w:pStyle w:val="BookText"/>
      </w:pPr>
      <w:r>
        <w:rPr>
          <w:rFonts w:ascii="IRNazanin" w:hAnsi="IRNazanin" w:eastAsia="IRNazanin" w:cs="IRNazanin"/>
          <w:lang w:bidi="fa-IR"/>
          <w:color w:val="111111"/>
          <w:sz w:val="28"/>
          <w:szCs w:val="28"/>
          <w:rtl/>
        </w:rPr>
        <w:t xml:space="preserve">و لعلّ التعبیر ب«المِلْک»للتنبیه علی أنّ الخیار من الحقوق لا من</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الأحکام،فیخرج ما کان من قبیل الإجازة و الردّ لعقد الفضولی و التسلّط علی فسخ العقود الجائزة،فإنّ ذلک من الأحکام الشرعیّة لا من الحقوق؛ و لذا لا تورّث و لا تسقط بالإسقاط.</w:t>
      </w:r>
    </w:p>
    <w:p>
      <w:pPr>
        <w:pStyle w:val="BookText"/>
      </w:pPr>
      <w:r>
        <w:rPr>
          <w:rFonts w:ascii="Amiri" w:hAnsi="Amiri" w:eastAsia="Amiri" w:cs="Amiri"/>
          <w:lang w:bidi="ar-SA"/>
          <w:color w:val="111111"/>
          <w:sz w:val="28"/>
          <w:szCs w:val="28"/>
          <w:rtl/>
        </w:rPr>
        <w:t xml:space="preserve">و قد یعرّف بأنّه:مِلْک إقرار العقد و إزالته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الخدشة فیه بأنّه:</w:t>
      </w:r>
    </w:p>
    <w:p>
      <w:pPr>
        <w:pStyle w:val="BookText"/>
      </w:pPr>
      <w:r>
        <w:rPr>
          <w:rFonts w:ascii="IRNazanin" w:hAnsi="IRNazanin" w:eastAsia="IRNazanin" w:cs="IRNazanin"/>
          <w:lang w:bidi="fa-IR"/>
          <w:color w:val="111111"/>
          <w:sz w:val="28"/>
          <w:szCs w:val="28"/>
          <w:rtl/>
        </w:rPr>
        <w:t xml:space="preserve">إن أُرید من«إقرار العقد»إبقاؤه علی حاله بترک الفسخ،فذکره مستدرَکٌ؛لأنّ القدرة علی الفسخ عین القدرة علی ترکه؛إذ القدرة لا تتعلّق بأحد الطرفین.</w:t>
      </w:r>
    </w:p>
    <w:p>
      <w:pPr>
        <w:pStyle w:val="BookText"/>
      </w:pPr>
      <w:r>
        <w:rPr>
          <w:rFonts w:ascii="IRNazanin" w:hAnsi="IRNazanin" w:eastAsia="IRNazanin" w:cs="IRNazanin"/>
          <w:lang w:bidi="fa-IR"/>
          <w:color w:val="111111"/>
          <w:sz w:val="28"/>
          <w:szCs w:val="28"/>
          <w:rtl/>
        </w:rPr>
        <w:t xml:space="preserve">و إن أُرید منه إلزام العقد و جعله غیر قابلٍ لأن یفسخ،ففیه:أنّ مرجعه إلی إسقاط حقّ الخیار،فلا یؤخذ فی تعریف نفس الخیار،مع أنّ ظاهر الإلزام فی مقابل الفسخ جعله لازماً مطلقاً،فینتقض بالخیار المشترک،فإنّ لکلٍّ منهما إلزامه من طرفه لا مطلقاً.</w:t>
      </w:r>
    </w:p>
    <w:p>
      <w:pPr>
        <w:pStyle w:val="BookText"/>
      </w:pPr>
      <w:r>
        <w:rPr>
          <w:rFonts w:ascii="IRNazanin" w:hAnsi="IRNazanin" w:eastAsia="IRNazanin" w:cs="IRNazanin"/>
          <w:lang w:bidi="fa-IR"/>
          <w:color w:val="111111"/>
          <w:sz w:val="28"/>
          <w:szCs w:val="28"/>
          <w:rtl/>
        </w:rPr>
        <w:t xml:space="preserve">ثمّ إنّ ما ذکرناه من معنی الخیار هو المتبادر منه </w:t>
      </w:r>
      <w:r>
        <w:rPr>
          <w:rStyle w:val="FootnoteReference"/>
        </w:rPr>
        <w:footnoteReference w:id="2505"/>
      </w:r>
      <w:r>
        <w:rPr>
          <w:rFonts w:ascii="IRNazanin" w:hAnsi="IRNazanin" w:eastAsia="IRNazanin" w:cs="IRNazanin"/>
          <w:lang w:bidi="fa-IR"/>
          <w:color w:val="111111"/>
          <w:sz w:val="28"/>
          <w:szCs w:val="28"/>
          <w:rtl/>
        </w:rPr>
        <w:t xml:space="preserve">عند الإطلاق فی کلمات المتأخّرین،و إلّا فإطلاقه فی الأخبار </w:t>
      </w:r>
      <w:r>
        <w:rPr>
          <w:rStyle w:val="FootnoteReference"/>
        </w:rPr>
        <w:footnoteReference w:id="2506"/>
      </w:r>
      <w:r>
        <w:rPr>
          <w:rFonts w:ascii="IRNazanin" w:hAnsi="IRNazanin" w:eastAsia="IRNazanin" w:cs="IRNazanin"/>
          <w:lang w:bidi="fa-IR"/>
          <w:color w:val="111111"/>
          <w:sz w:val="28"/>
          <w:szCs w:val="28"/>
          <w:rtl/>
        </w:rPr>
        <w:t xml:space="preserve">و کلمات الأصحاب علی سلطنة الإجازة و الردّ لعقد الفضولی و سلطنة الرجوع فی الهبة و غیرهما من أفراد السلطنة شائع.</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86" w:name="pg14419_167294"/>
    <w:bookmarkEnd w:id="286"/>
    <w:p>
      <w:pPr>
        <w:pStyle w:val="Heading6"/>
      </w:pPr>
      <w:bookmarkStart w:id="1136" w:name="_Toc576"/>
      <w:r>
        <w:t>الثانیة : [الأصل فی البیع اللزوم]</w:t>
      </w:r>
      <w:bookmarkEnd w:id="1136"/>
    </w:p>
    <w:p>
      <w:pPr>
        <w:pStyle w:val="Heading6"/>
      </w:pPr>
      <w:bookmarkStart w:id="1137" w:name="_Toc577"/>
      <w:r>
        <w:t>اشارة</w:t>
      </w:r>
      <w:bookmarkEnd w:id="1137"/>
    </w:p>
    <w:p>
      <w:pPr>
        <w:pStyle w:val="BookText"/>
      </w:pPr>
      <w:r>
        <w:rPr>
          <w:rFonts w:ascii="IRNazanin" w:hAnsi="IRNazanin" w:eastAsia="IRNazanin" w:cs="IRNazanin"/>
          <w:lang w:bidi="fa-IR"/>
          <w:color w:val="111111"/>
          <w:sz w:val="28"/>
          <w:szCs w:val="28"/>
          <w:rtl/>
        </w:rPr>
        <w:t xml:space="preserve">ذکر غیر واحدٍ </w:t>
      </w:r>
      <w:r>
        <w:rPr>
          <w:rStyle w:val="FootnoteReference"/>
        </w:rPr>
        <w:footnoteReference w:id="2507"/>
      </w:r>
      <w:r>
        <w:rPr>
          <w:rFonts w:ascii="Amiri" w:hAnsi="Amiri" w:eastAsia="Amiri" w:cs="Amiri"/>
          <w:lang w:bidi="ar-SA"/>
          <w:color w:val="111111"/>
          <w:sz w:val="28"/>
          <w:szCs w:val="28"/>
          <w:rtl/>
        </w:rPr>
        <w:t xml:space="preserve">تبعاً للعلّامة فی کتبه </w:t>
      </w:r>
      <w:r>
        <w:rPr>
          <w:rStyle w:val="FootnoteReference"/>
        </w:rPr>
        <w:footnoteReference w:id="2508"/>
      </w:r>
      <w:r>
        <w:rPr>
          <w:rFonts w:ascii="IRNazanin" w:hAnsi="IRNazanin" w:eastAsia="IRNazanin" w:cs="IRNazanin"/>
          <w:lang w:bidi="fa-IR"/>
          <w:color w:val="111111"/>
          <w:sz w:val="28"/>
          <w:szCs w:val="28"/>
          <w:rtl/>
        </w:rPr>
        <w:t xml:space="preserve">:أنّ الأصل فی البیع اللزوم.قال فی التذکرة:الأصل فی البیع اللزوم؛لأنّ الشارع وضعه [مفیداً </w:t>
      </w:r>
      <w:r>
        <w:rPr>
          <w:rStyle w:val="FootnoteReference"/>
        </w:rPr>
        <w:footnoteReference w:id="2509"/>
      </w:r>
      <w:r>
        <w:rPr>
          <w:rFonts w:ascii="IRNazanin" w:hAnsi="IRNazanin" w:eastAsia="IRNazanin" w:cs="IRNazanin"/>
          <w:lang w:bidi="fa-IR"/>
          <w:color w:val="111111"/>
          <w:sz w:val="28"/>
          <w:szCs w:val="28"/>
          <w:rtl/>
        </w:rPr>
        <w:t xml:space="preserve">]لنقل الملک،و الأصل الاستصحاب،و الغرض تمکّن کلٍّ من المتعاقدین من التصرّف فیما صار إلیه،و إنّما یتمّ باللزوم لیأمن من نقض صاحبه علیه </w:t>
      </w:r>
      <w:r>
        <w:rPr>
          <w:rStyle w:val="FootnoteReference"/>
        </w:rPr>
        <w:footnoteReference w:id="2510"/>
      </w:r>
      <w:r>
        <w:rPr>
          <w:rFonts w:ascii="IRNazanin" w:hAnsi="IRNazanin" w:eastAsia="IRNazanin" w:cs="IRNazanin"/>
          <w:lang w:bidi="fa-IR"/>
          <w:color w:val="111111"/>
          <w:sz w:val="28"/>
          <w:szCs w:val="28"/>
          <w:rtl/>
        </w:rPr>
        <w:t xml:space="preserve">،انتهی.</w:t>
      </w:r>
    </w:p>
    <w:p>
      <w:pPr>
        <w:pStyle w:val="Heading6"/>
      </w:pPr>
      <w:bookmarkStart w:id="1138" w:name="_Toc578"/>
      <w:r>
        <w:t>[معانی الأصل]</w:t>
      </w:r>
      <w:bookmarkEnd w:id="1138"/>
    </w:p>
    <w:p>
      <w:pPr>
        <w:pStyle w:val="Heading6"/>
      </w:pPr>
      <w:bookmarkStart w:id="1139" w:name="_Toc579"/>
      <w:r>
        <w:t>اشارة</w:t>
      </w:r>
      <w:bookmarkEnd w:id="1139"/>
    </w:p>
    <w:p>
      <w:pPr>
        <w:pStyle w:val="BookText"/>
      </w:pPr>
      <w:r>
        <w:rPr>
          <w:rFonts w:ascii="IRNazanin" w:hAnsi="IRNazanin" w:eastAsia="IRNazanin" w:cs="IRNazanin"/>
          <w:lang w:bidi="fa-IR"/>
          <w:color w:val="111111"/>
          <w:sz w:val="28"/>
          <w:szCs w:val="28"/>
          <w:rtl/>
        </w:rPr>
        <w:t xml:space="preserve">أقول:المستفاد من کلمات جماعةٍ أنّ الأصل هنا قابلٌ لإرادة معانٍ</w:t>
      </w:r>
    </w:p>
    <w:p>
      <w:pPr>
        <w:pStyle w:val="Heading6"/>
      </w:pPr>
      <w:bookmarkStart w:id="1140" w:name="_Toc580"/>
      <w:r>
        <w:t>الأوّل : الراجح</w:t>
      </w:r>
      <w:bookmarkEnd w:id="11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احتمله فی جامع المقاصد مستنداً فی تصحیحه إلی الغلبة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87" w:name="pg14419_167295"/>
    <w:bookmarkEnd w:id="287"/>
    <w:p>
      <w:pPr>
        <w:pStyle w:val="BookText"/>
      </w:pPr>
      <w:r>
        <w:rPr>
          <w:rFonts w:ascii="IRNazanin" w:hAnsi="IRNazanin" w:eastAsia="IRNazanin" w:cs="IRNazanin"/>
          <w:lang w:bidi="fa-IR"/>
          <w:color w:val="111111"/>
          <w:sz w:val="28"/>
          <w:szCs w:val="28"/>
          <w:rtl/>
        </w:rPr>
        <w:t xml:space="preserve">و فیه:أنّه إن أراد غلبة الأفراد،فغالبها ینعقد جائزاً لأجل خیار المجلس أو الحیوان أو الشرط،و إن أراد غلبة الأزمان،فهی لا تنفع فی الأفراد المشکوکة؛مع أنّه لا یناسب ما فی القواعد من قوله:و إنّما یخرج من الأصل لأمرین:ثبوتِ خیارٍ أو ظهورِ عیب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Heading6"/>
      </w:pPr>
      <w:bookmarkStart w:id="1141" w:name="_Toc581"/>
      <w:r>
        <w:t>الثانی : القاعدة المستفادة من العمومات التی یجب الرجوع إلیها عند الشکّ فی بعض الأفراد أو بعض الأحوال</w:t>
      </w:r>
      <w:bookmarkEnd w:id="1141"/>
    </w:p>
    <w:p>
      <w:pPr>
        <w:pStyle w:val="BookText"/>
      </w:pPr>
      <w:r>
        <w:rPr>
          <w:rStyle w:val="FootnoteReference"/>
        </w:rPr>
        <w:footnoteReference w:id="25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هذا حسنٌ،لکن لا یناسب ما ذکره فی التذکرة فی توجیه الأصل.</w:t>
      </w:r>
    </w:p>
    <w:p>
      <w:pPr>
        <w:pStyle w:val="Heading6"/>
      </w:pPr>
      <w:bookmarkStart w:id="1142" w:name="_Toc582"/>
      <w:r>
        <w:t>الثالث : الاستصحاب</w:t>
      </w:r>
      <w:bookmarkEnd w:id="1142"/>
    </w:p>
    <w:p>
      <w:pPr>
        <w:pStyle w:val="BookText"/>
      </w:pPr>
      <w:r>
        <w:rPr>
          <w:rStyle w:val="FootnoteReference"/>
        </w:rPr>
        <w:footnoteReference w:id="2514"/>
      </w:r>
      <w:r>
        <w:rPr>
          <w:rFonts w:ascii="IRNazanin" w:hAnsi="IRNazanin" w:eastAsia="IRNazanin" w:cs="IRNazanin"/>
          <w:lang w:bidi="fa-IR"/>
          <w:color w:val="111111"/>
          <w:sz w:val="28"/>
          <w:szCs w:val="28"/>
          <w:rtl/>
        </w:rPr>
        <w:t xml:space="preserve">
،و مرجعه إلی أصالة عدم ارتفاع أثر العقد بمجرّد فسخ أحدهما.</w:t>
      </w:r>
    </w:p>
    <w:p>
      <w:pPr>
        <w:pStyle w:val="BookText"/>
      </w:pPr>
      <w:r>
        <w:rPr>
          <w:rFonts w:ascii="Amiri" w:hAnsi="Amiri" w:eastAsia="Amiri" w:cs="Amiri"/>
          <w:lang w:bidi="ar-SA"/>
          <w:color w:val="111111"/>
          <w:sz w:val="28"/>
          <w:szCs w:val="28"/>
          <w:rtl/>
        </w:rPr>
        <w:t xml:space="preserve">و هذا حسنٌ.</w:t>
      </w:r>
    </w:p>
    <w:p>
      <w:pPr>
        <w:pStyle w:val="Heading6"/>
      </w:pPr>
      <w:bookmarkStart w:id="1143" w:name="_Toc583"/>
      <w:r>
        <w:t>الرابع : المعنی اللغوی</w:t>
      </w:r>
      <w:bookmarkEnd w:id="1143"/>
    </w:p>
    <w:p>
      <w:pPr>
        <w:pStyle w:val="BookText"/>
      </w:pPr>
      <w:r>
        <w:rPr>
          <w:rFonts w:ascii="IRNazanin" w:hAnsi="IRNazanin" w:eastAsia="IRNazanin" w:cs="IRNazanin"/>
          <w:lang w:bidi="fa-IR"/>
          <w:color w:val="111111"/>
          <w:sz w:val="28"/>
          <w:szCs w:val="28"/>
          <w:rtl/>
        </w:rPr>
        <w:t xml:space="preserve">بمعنی أنّ وضع البیع و بناءَه عرفاً و شرعاً علی اللزوم و صیرورة المالک الأوّل کالأجنبی،و إنّما جعل الخیار فیه حقّا خارجیّاً لأحدهما أو لهما،یسقط بالإسقاط و بغیره.و لیس البیع کالهبة التی حَکَم الشارع فیها بجواز رجوع الواهب،بمعنی کونه حکماً شرعیّاً له أصلاً و بالذات بحیث لا یقبل الإسقاط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88" w:name="pg14419_167296"/>
    <w:bookmarkEnd w:id="288"/>
    <w:p>
      <w:pPr>
        <w:pStyle w:val="BookText"/>
      </w:pPr>
      <w:r>
        <w:rPr>
          <w:rFonts w:ascii="IRNazanin" w:hAnsi="IRNazanin" w:eastAsia="IRNazanin" w:cs="IRNazanin"/>
          <w:lang w:bidi="fa-IR"/>
          <w:color w:val="111111"/>
          <w:sz w:val="28"/>
          <w:szCs w:val="28"/>
          <w:rtl/>
        </w:rPr>
        <w:t xml:space="preserve">و من هنا ظهر:أنّ ثبوت خیار المجلس فی أوّل أزمنة انعقاد البیع لا ینافی کونه فی حدّ ذاته مبنیّاً علی اللزوم؛لأنّ الخیار حقٌّ خارجیٌّ قابلٌ للانفکاک.نعم،لو کان فی أوّل انعقاده محکوماً شرعاً بجواز الرجوع بحیث یکون حکماً فیه،لا حقّا مجعولاً قابلاً للسقوط،کان منافیاً لبنائه علی اللزوم.فالأصل هنا کما قیل </w:t>
      </w:r>
      <w:r>
        <w:rPr>
          <w:rStyle w:val="FootnoteReference"/>
        </w:rPr>
        <w:footnoteReference w:id="2516"/>
      </w:r>
      <w:r>
        <w:rPr>
          <w:rFonts w:ascii="IRNazanin" w:hAnsi="IRNazanin" w:eastAsia="IRNazanin" w:cs="IRNazanin"/>
          <w:lang w:bidi="fa-IR"/>
          <w:color w:val="111111"/>
          <w:sz w:val="28"/>
          <w:szCs w:val="28"/>
          <w:rtl/>
        </w:rPr>
        <w:t xml:space="preserve">نظیر قولهم:إنّ الأصل فی الجسم الاستدارة،فإنّه لا ینافی کون أکثر الأجسام علی غیر الاستدارة لأجل القاسر الخارجی.</w:t>
      </w:r>
    </w:p>
    <w:p>
      <w:pPr>
        <w:pStyle w:val="BookText"/>
      </w:pPr>
      <w:r>
        <w:rPr>
          <w:rFonts w:ascii="IRNazanin" w:hAnsi="IRNazanin" w:eastAsia="IRNazanin" w:cs="IRNazanin"/>
          <w:lang w:bidi="fa-IR"/>
          <w:color w:val="111111"/>
          <w:sz w:val="28"/>
          <w:szCs w:val="28"/>
          <w:rtl/>
        </w:rPr>
        <w:t xml:space="preserve">و ممّا ذکرنا ظهر وجه النظر فی کلام صاحب الوافیة،حیث أنکر هذا الأصل لأجل خیار المجلس </w:t>
      </w:r>
      <w:r>
        <w:rPr>
          <w:rStyle w:val="FootnoteReference"/>
        </w:rPr>
        <w:footnoteReference w:id="2517"/>
      </w:r>
      <w:r>
        <w:rPr>
          <w:rFonts w:ascii="IRNazanin" w:hAnsi="IRNazanin" w:eastAsia="IRNazanin" w:cs="IRNazanin"/>
          <w:lang w:bidi="fa-IR"/>
          <w:color w:val="111111"/>
          <w:sz w:val="28"/>
          <w:szCs w:val="28"/>
          <w:rtl/>
        </w:rPr>
        <w:t xml:space="preserve">.إلّا أن یرید أنّ الأصل بعد ثبوت خیار المجلس بقاء عدم اللزوم،و سیأتی ما فیه.</w:t>
      </w:r>
    </w:p>
    <w:p>
      <w:pPr>
        <w:pStyle w:val="Heading6"/>
      </w:pPr>
      <w:bookmarkStart w:id="1144" w:name="_Toc584"/>
      <w:r>
        <w:t>بقی الکلام فی معنی قول العلّامة فی القواعد و التذکرة</w:t>
      </w:r>
      <w:bookmarkEnd w:id="1144"/>
    </w:p>
    <w:p>
      <w:pPr>
        <w:pStyle w:val="BookText"/>
      </w:pPr>
      <w:r>
        <w:rPr>
          <w:rFonts w:ascii="IRNazanin" w:hAnsi="IRNazanin" w:eastAsia="IRNazanin" w:cs="IRNazanin"/>
          <w:lang w:bidi="fa-IR"/>
          <w:color w:val="111111"/>
          <w:sz w:val="28"/>
          <w:szCs w:val="28"/>
          <w:rtl/>
        </w:rPr>
        <w:t xml:space="preserve">«إنّه لا یخرج من هذا الأصل إلّا بأمرین:ثبوت خیارٍ،أو ظهور عیب».فإنّ ظاهره أنّ ظهور العیب سببٌ لتزلزل البیع فی مقابل الخیار،مع أنّه من أسباب الخیار.</w:t>
      </w:r>
    </w:p>
    <w:p>
      <w:pPr>
        <w:pStyle w:val="BookText"/>
      </w:pPr>
      <w:r>
        <w:rPr>
          <w:rFonts w:ascii="IRNazanin" w:hAnsi="IRNazanin" w:eastAsia="IRNazanin" w:cs="IRNazanin"/>
          <w:lang w:bidi="fa-IR"/>
          <w:color w:val="111111"/>
          <w:sz w:val="28"/>
          <w:szCs w:val="28"/>
          <w:rtl/>
        </w:rPr>
        <w:t xml:space="preserve">و توجیهه بعطف الخاصّ علی العامّ کما فی جامع المقاصد </w:t>
      </w:r>
      <w:r>
        <w:rPr>
          <w:rStyle w:val="FootnoteReference"/>
        </w:rPr>
        <w:footnoteReference w:id="2518"/>
      </w:r>
      <w:r>
        <w:rPr>
          <w:rFonts w:ascii="IRNazanin" w:hAnsi="IRNazanin" w:eastAsia="IRNazanin" w:cs="IRNazanin"/>
          <w:lang w:bidi="fa-IR"/>
          <w:color w:val="111111"/>
          <w:sz w:val="28"/>
          <w:szCs w:val="28"/>
          <w:rtl/>
        </w:rPr>
        <w:t xml:space="preserve">- غیر ظاهر؛إذ لم یعطف العیب علی أسباب الخیار،بل عطف علی نفسه،و هو مباینٌ له لا أعمّ.</w:t>
      </w:r>
    </w:p>
    <w:p>
      <w:pPr>
        <w:pStyle w:val="BookText"/>
      </w:pPr>
      <w:r>
        <w:rPr>
          <w:rFonts w:ascii="IRNazanin" w:hAnsi="IRNazanin" w:eastAsia="IRNazanin" w:cs="IRNazanin"/>
          <w:lang w:bidi="fa-IR"/>
          <w:color w:val="111111"/>
          <w:sz w:val="28"/>
          <w:szCs w:val="28"/>
          <w:rtl/>
        </w:rPr>
        <w:t xml:space="preserve">نعم،قد یساعد علیه ما فی التذکرة من قوله:و إنّما یخرج عن</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بأمرین:أحدهما:ثبوت الخیار لهما أو لأحدهما من غیر نقصٍ فی أحد العوضین،بل للتروّی خاصّةً.و الثانی:ظهور عیبٍ فی أحد العوضین </w:t>
      </w:r>
      <w:r>
        <w:rPr>
          <w:rStyle w:val="FootnoteReference"/>
        </w:rPr>
        <w:footnoteReference w:id="251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حاصل التوجیه-علی هذا-:أنّ الخروج عن اللزوم لا یکون إلّا بتزلزل العقد لأجل الخیار،و المراد بالخیار فی المعطوف علیه ما کان ثابتاً بأصل الشرع أو بجعل المتعاقدین،لا لاقتضاء نقصٍ فی أحد العوضین،و بظهور العیب ما کان الخیار لنقص أحد العوضین.</w:t>
      </w:r>
    </w:p>
    <w:p>
      <w:pPr>
        <w:pStyle w:val="BookText"/>
      </w:pPr>
      <w:r>
        <w:rPr>
          <w:rFonts w:ascii="IRNazanin" w:hAnsi="IRNazanin" w:eastAsia="IRNazanin" w:cs="IRNazanin"/>
          <w:lang w:bidi="fa-IR"/>
          <w:color w:val="111111"/>
          <w:sz w:val="28"/>
          <w:szCs w:val="28"/>
          <w:rtl/>
        </w:rPr>
        <w:t xml:space="preserve">لکنّه مع عدم تمامه تکلّفٌ فی عبارة القواعد؛مع أنّه فی التذکرة ذکر فی الأمر الأوّل الذی هو الخیار فصولاً سبعة بعدد أسباب الخیار، و جعل السابع منها خیار العیب،و تکلّم فیه کثیراً </w:t>
      </w:r>
      <w:r>
        <w:rPr>
          <w:rStyle w:val="FootnoteReference"/>
        </w:rPr>
        <w:footnoteReference w:id="2520"/>
      </w:r>
      <w:r>
        <w:rPr>
          <w:rFonts w:ascii="IRNazanin" w:hAnsi="IRNazanin" w:eastAsia="IRNazanin" w:cs="IRNazanin"/>
          <w:lang w:bidi="fa-IR"/>
          <w:color w:val="111111"/>
          <w:sz w:val="28"/>
          <w:szCs w:val="28"/>
          <w:rtl/>
        </w:rPr>
        <w:t xml:space="preserve">.و مقتضی التوجیه:</w:t>
      </w:r>
    </w:p>
    <w:p>
      <w:pPr>
        <w:pStyle w:val="BookText"/>
      </w:pPr>
      <w:r>
        <w:rPr>
          <w:rFonts w:ascii="IRNazanin" w:hAnsi="IRNazanin" w:eastAsia="IRNazanin" w:cs="IRNazanin"/>
          <w:lang w:bidi="fa-IR"/>
          <w:color w:val="111111"/>
          <w:sz w:val="28"/>
          <w:szCs w:val="28"/>
          <w:rtl/>
        </w:rPr>
        <w:t xml:space="preserve">أن یتکلّم فی الأمر الأوّل فیما عدا خیار العیب.</w:t>
      </w:r>
    </w:p>
    <w:p>
      <w:pPr>
        <w:pStyle w:val="BookText"/>
      </w:pPr>
      <w:r>
        <w:rPr>
          <w:rFonts w:ascii="IRNazanin" w:hAnsi="IRNazanin" w:eastAsia="IRNazanin" w:cs="IRNazanin"/>
          <w:lang w:bidi="fa-IR"/>
          <w:color w:val="111111"/>
          <w:sz w:val="28"/>
          <w:szCs w:val="28"/>
          <w:rtl/>
        </w:rPr>
        <w:t xml:space="preserve">و یمکن توجیه ذلک:بأنّ العیب سببٌ مستقلٌّ لتزلزل العقد فی مقابل الخیار،فإنّ نفس ثبوت الأرش بمقتضی العیب و إن لم یثبت خیار الفسخ،موجبٌ لاسترداد جزءٍ من الثمن،فالعقد بالنسبة إلی جزءٍ من الثمن متزلزلٌ قابلٌ لإبقائه فی ملک البائع و إخراجه عنه،و یکفی فی تزلزل العقد مِلْکُ إخراجِ جزءٍ ممّا مَلِکَه البائع بالعقد عن مِلْکِه.و إن شئت قلت:إنّ مرجع ذلک إلی مِلْک فسخ العقد الواقع علی مجموع العوضین من حیث المجموع،و نقض مقتضاه من تملک کلٍّ من مجموع العوضین فی مقابل الآخر.</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89" w:name="pg14419_167298"/>
    <w:bookmarkEnd w:id="289"/>
    <w:p>
      <w:pPr>
        <w:pStyle w:val="BookText"/>
      </w:pPr>
      <w:r>
        <w:rPr>
          <w:rFonts w:ascii="Amiri" w:hAnsi="Amiri" w:eastAsia="Amiri" w:cs="Amiri"/>
          <w:lang w:bidi="ar-SA"/>
          <w:color w:val="111111"/>
          <w:sz w:val="28"/>
          <w:szCs w:val="28"/>
          <w:rtl/>
        </w:rPr>
        <w:t xml:space="preserve">لکنّه مبنیٌّ علی کون الأرش جزءاً حقیقیّا من الثمن-کما عن بعض العامّة </w:t>
      </w:r>
      <w:r>
        <w:rPr>
          <w:rStyle w:val="FootnoteReference"/>
        </w:rPr>
        <w:footnoteReference w:id="2521"/>
      </w:r>
      <w:r>
        <w:rPr>
          <w:rFonts w:ascii="IRNazanin" w:hAnsi="IRNazanin" w:eastAsia="IRNazanin" w:cs="IRNazanin"/>
          <w:lang w:bidi="fa-IR"/>
          <w:color w:val="111111"/>
          <w:sz w:val="28"/>
          <w:szCs w:val="28"/>
          <w:rtl/>
        </w:rPr>
        <w:t xml:space="preserve">لیتحقّق انفساخ العقد بالنسبة إلیه عند استرداده.</w:t>
      </w:r>
    </w:p>
    <w:p>
      <w:pPr>
        <w:pStyle w:val="BookText"/>
      </w:pPr>
      <w:r>
        <w:rPr>
          <w:rFonts w:ascii="IRNazanin" w:hAnsi="IRNazanin" w:eastAsia="IRNazanin" w:cs="IRNazanin"/>
          <w:lang w:bidi="fa-IR"/>
          <w:color w:val="111111"/>
          <w:sz w:val="28"/>
          <w:szCs w:val="28"/>
          <w:rtl/>
        </w:rPr>
        <w:t xml:space="preserve">و قد صرّح العلّامة فی کتبه:بأنّه لا یعتبر فی الأرش کونه جزءاً من الثمن،بل له إبداله؛لأنّ الأرش غرامة </w:t>
      </w:r>
      <w:r>
        <w:rPr>
          <w:rStyle w:val="FootnoteReference"/>
        </w:rPr>
        <w:footnoteReference w:id="2522"/>
      </w:r>
      <w:r>
        <w:rPr>
          <w:rFonts w:ascii="IRNazanin" w:hAnsi="IRNazanin" w:eastAsia="IRNazanin" w:cs="IRNazanin"/>
          <w:lang w:bidi="fa-IR"/>
          <w:color w:val="111111"/>
          <w:sz w:val="28"/>
          <w:szCs w:val="28"/>
          <w:rtl/>
        </w:rPr>
        <w:t xml:space="preserve">.و حینئذٍ فثبوت الأرش لا یوجب تزلزلاً فی العقد.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إنّ«الأصل»بالمعنی الرابع إنّما ینفع مع الشکّ فی ثبوت خیارٍ فی خصوص البیع؛لأنّ الخیار حقٌّ خارجیٌّ یحتاج ثبوته إلی الدلیل.</w:t>
      </w:r>
    </w:p>
    <w:p>
      <w:pPr>
        <w:pStyle w:val="BookText"/>
      </w:pPr>
      <w:r>
        <w:rPr>
          <w:rFonts w:ascii="IRNazanin" w:hAnsi="IRNazanin" w:eastAsia="IRNazanin" w:cs="IRNazanin"/>
          <w:lang w:bidi="fa-IR"/>
          <w:color w:val="111111"/>
          <w:sz w:val="28"/>
          <w:szCs w:val="28"/>
          <w:rtl/>
        </w:rPr>
        <w:t xml:space="preserve">أمّا لو شکّ فی عقدٍ آخر من حیث اللزوم و الجواز فلا یقتضی ذلک الأصل لزومه؛لأنّ مرجع الشکّ حینئذٍ إلی الشکّ فی الحکم الشرعی.</w:t>
      </w:r>
    </w:p>
    <w:p>
      <w:pPr>
        <w:pStyle w:val="BookText"/>
      </w:pPr>
      <w:r>
        <w:rPr>
          <w:rFonts w:ascii="IRNazanin" w:hAnsi="IRNazanin" w:eastAsia="IRNazanin" w:cs="IRNazanin"/>
          <w:lang w:bidi="fa-IR"/>
          <w:color w:val="111111"/>
          <w:sz w:val="28"/>
          <w:szCs w:val="28"/>
          <w:rtl/>
        </w:rPr>
        <w:t xml:space="preserve">و أمّا الأصل بالمعنی الأوّل فقد عرفت عدم تمامه.</w:t>
      </w:r>
    </w:p>
    <w:p>
      <w:pPr>
        <w:pStyle w:val="BookText"/>
      </w:pPr>
      <w:r>
        <w:rPr>
          <w:rFonts w:ascii="IRNazanin" w:hAnsi="IRNazanin" w:eastAsia="IRNazanin" w:cs="IRNazanin"/>
          <w:lang w:bidi="fa-IR"/>
          <w:color w:val="111111"/>
          <w:sz w:val="28"/>
          <w:szCs w:val="28"/>
          <w:rtl/>
        </w:rPr>
        <w:t xml:space="preserve">و أمّا بمعنی الاستصحاب فیجری فی البیع و غیره إذا شکّ فی لزومه و جوازه.</w:t>
      </w:r>
    </w:p>
    <w:p>
      <w:pPr>
        <w:pStyle w:val="Heading6"/>
      </w:pPr>
      <w:bookmarkStart w:id="1145" w:name="_Toc585"/>
      <w:r>
        <w:t>[الأدلة علی أصالة اللزوم]</w:t>
      </w:r>
      <w:bookmarkEnd w:id="1145"/>
    </w:p>
    <w:p>
      <w:pPr>
        <w:pStyle w:val="Heading6"/>
      </w:pPr>
      <w:bookmarkStart w:id="1146" w:name="_Toc586"/>
      <w:r>
        <w:t>اشارة</w:t>
      </w:r>
      <w:bookmarkEnd w:id="1146"/>
    </w:p>
    <w:p>
      <w:pPr>
        <w:pStyle w:val="BookText"/>
      </w:pPr>
      <w:r>
        <w:rPr>
          <w:rFonts w:ascii="IRNazanin" w:hAnsi="IRNazanin" w:eastAsia="IRNazanin" w:cs="IRNazanin"/>
          <w:lang w:bidi="fa-IR"/>
          <w:color w:val="111111"/>
          <w:sz w:val="28"/>
          <w:szCs w:val="28"/>
          <w:rtl/>
        </w:rPr>
        <w:t xml:space="preserve">و أمّا بمعنی القاعدة فیجری فی البیع و غیره؛لأنّ أکثر العمومات الدالّة علی هذا المطلب یعمّ غیر البیع،و قد أشرنا فی مسألة المعاطاة إلیها،و نذکرها هنا تسهیلاً علی الطالب:</w:t>
      </w:r>
    </w:p>
    <w:p>
      <w:pPr>
        <w:pStyle w:val="Heading6"/>
      </w:pPr>
      <w:bookmarkStart w:id="1147" w:name="_Toc587"/>
      <w:r>
        <w:t>[الاستدلال بآیة أوفوا بالعقود]</w:t>
      </w:r>
      <w:bookmarkEnd w:id="1147"/>
    </w:p>
    <w:p>
      <w:pPr>
        <w:pStyle w:val="BookText"/>
      </w:pPr>
      <w:r>
        <w:rPr>
          <w:rFonts w:ascii="Amiri" w:hAnsi="Amiri" w:eastAsia="Amiri" w:cs="Amiri"/>
          <w:lang w:bidi="ar-SA"/>
          <w:color w:val="111111"/>
          <w:sz w:val="28"/>
          <w:szCs w:val="28"/>
          <w:rtl/>
        </w:rPr>
        <w:t xml:space="preserve">فمنها:قوله تعالی: أَوْفُوا بِالْعُقُودِ </w:t>
      </w:r>
      <w:r>
        <w:rPr>
          <w:rStyle w:val="FootnoteReference"/>
        </w:rPr>
        <w:footnoteReference w:id="2523"/>
      </w:r>
      <w:r>
        <w:rPr>
          <w:rFonts w:ascii="IRNazanin" w:hAnsi="IRNazanin" w:eastAsia="IRNazanin" w:cs="IRNazanin"/>
          <w:lang w:bidi="fa-IR"/>
          <w:color w:val="111111"/>
          <w:sz w:val="28"/>
          <w:szCs w:val="28"/>
          <w:rtl/>
        </w:rPr>
        <w:t xml:space="preserve">دلّ علی وجوب الوفاء بکلّ عقد.و المراد بالعقد:مطلق العهد کما فسّر به فی صحیحة ابن سنان المرویّة فی تفسیر علیّ بن إبراهیم </w:t>
      </w:r>
      <w:r>
        <w:rPr>
          <w:rStyle w:val="FootnoteReference"/>
        </w:rPr>
        <w:footnoteReference w:id="2524"/>
      </w:r>
      <w:r>
        <w:rPr>
          <w:rFonts w:ascii="Amiri" w:hAnsi="Amiri" w:eastAsia="Amiri" w:cs="Amiri"/>
          <w:lang w:bidi="ar-SA"/>
          <w:color w:val="111111"/>
          <w:sz w:val="28"/>
          <w:szCs w:val="28"/>
          <w:rtl/>
        </w:rPr>
        <w:t xml:space="preserve">أو ما یسمّی عقداً لغةً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عرفاً.و المراد بوجوب الوفاء:العمل بما اقتضاه العقد فی نفسه بحسب دلالته اللفظیّة،نظیر الوفاء بالنذر،فإذا دلّ العقد مثلاً علی تملیک العاقد ماله من غیره وجب العمل بما یقتضیه التملیک </w:t>
      </w:r>
      <w:r>
        <w:rPr>
          <w:rStyle w:val="FootnoteReference"/>
        </w:rPr>
        <w:footnoteReference w:id="2525"/>
      </w:r>
      <w:r>
        <w:rPr>
          <w:rFonts w:ascii="IRNazanin" w:hAnsi="IRNazanin" w:eastAsia="IRNazanin" w:cs="IRNazanin"/>
          <w:lang w:bidi="fa-IR"/>
          <w:color w:val="111111"/>
          <w:sz w:val="28"/>
          <w:szCs w:val="28"/>
          <w:rtl/>
        </w:rPr>
        <w:t xml:space="preserve">من ترتیب آثار ملکیّة ذلک الغیر له،فأخذه من یده بغیر رضاه و التصرّف فیه کذلک نقضٌ لمقتضی ذلک العهد،فهو حرام.</w:t>
      </w:r>
    </w:p>
    <w:p>
      <w:pPr>
        <w:pStyle w:val="BookText"/>
      </w:pPr>
      <w:r>
        <w:rPr>
          <w:rFonts w:ascii="IRNazanin" w:hAnsi="IRNazanin" w:eastAsia="IRNazanin" w:cs="IRNazanin"/>
          <w:lang w:bidi="fa-IR"/>
          <w:color w:val="111111"/>
          <w:sz w:val="28"/>
          <w:szCs w:val="28"/>
          <w:rtl/>
        </w:rPr>
        <w:t xml:space="preserve">فإذا حرم بإطلاق الآیة جمیع ما یکون نقضاً لمضمون العقد -و منها التصرّفات الواقعة بعد فسخ المتصرّف من دون رضا صاحبه- کان هذا لازماً مساویاً للزوم العقد و عدم انفساخه بمجرّد فسخ أحدهما، فیستدلّ بالحکم التکلیفی علی الحکم الوضعی أعنی فساد الفسخ من أحدهما بغیر رضا الآخر،و هو معنی اللزوم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ظهر ضعف ما قیل:من أنّ معنی وجوب الوفاء بالعقد:</w:t>
      </w:r>
    </w:p>
    <w:p>
      <w:pPr>
        <w:pStyle w:val="BookText"/>
      </w:pPr>
      <w:r>
        <w:rPr>
          <w:rFonts w:ascii="IRNazanin" w:hAnsi="IRNazanin" w:eastAsia="IRNazanin" w:cs="IRNazanin"/>
          <w:lang w:bidi="fa-IR"/>
          <w:color w:val="111111"/>
          <w:sz w:val="28"/>
          <w:szCs w:val="28"/>
          <w:rtl/>
        </w:rPr>
        <w:t xml:space="preserve">العملُ بما یقتضیه من لزومٍ و جواز </w:t>
      </w:r>
      <w:r>
        <w:rPr>
          <w:rStyle w:val="FootnoteReference"/>
        </w:rPr>
        <w:footnoteReference w:id="2527"/>
      </w:r>
      <w:r>
        <w:rPr>
          <w:rFonts w:ascii="IRNazanin" w:hAnsi="IRNazanin" w:eastAsia="IRNazanin" w:cs="IRNazanin"/>
          <w:lang w:bidi="fa-IR"/>
          <w:color w:val="111111"/>
          <w:sz w:val="28"/>
          <w:szCs w:val="28"/>
          <w:rtl/>
        </w:rPr>
        <w:t xml:space="preserve">،فلا یتمّ الاستدلال به علی اللزوم.</w:t>
      </w:r>
    </w:p>
    <w:p>
      <w:pPr>
        <w:pStyle w:val="BookText"/>
      </w:pPr>
      <w:r>
        <w:rPr>
          <w:rFonts w:ascii="IRNazanin" w:hAnsi="IRNazanin" w:eastAsia="IRNazanin" w:cs="IRNazanin"/>
          <w:lang w:bidi="fa-IR"/>
          <w:color w:val="111111"/>
          <w:sz w:val="28"/>
          <w:szCs w:val="28"/>
          <w:rtl/>
        </w:rPr>
        <w:t xml:space="preserve">توضیح الضعف:أنّ اللزوم و الجواز من الأحکام الشرعیّة للعقد، و لیسا من مقتضیات العقد فی نفسه مع قطع النظر عن حکم الشارع.</w:t>
      </w:r>
    </w:p>
    <w:p>
      <w:pPr>
        <w:pStyle w:val="BookText"/>
      </w:pPr>
      <w:r>
        <w:rPr>
          <w:rFonts w:ascii="IRNazanin" w:hAnsi="IRNazanin" w:eastAsia="IRNazanin" w:cs="IRNazanin"/>
          <w:lang w:bidi="fa-IR"/>
          <w:color w:val="111111"/>
          <w:sz w:val="28"/>
          <w:szCs w:val="28"/>
          <w:rtl/>
        </w:rPr>
        <w:t xml:space="preserve">نعم،هذا المعنی-أعنی:وجوب الوفاء بما یقتضیه العقد فی نفسه-یصیر بدلالة الآیة حکماً شرعیّاً للعقد،مساویاً للّزوم.</w:t>
      </w:r>
    </w:p>
    <w:p>
      <w:pPr>
        <w:pStyle w:val="BookText"/>
      </w:pPr>
      <w:r>
        <w:rPr>
          <w:rFonts w:ascii="IRNazanin" w:hAnsi="IRNazanin" w:eastAsia="IRNazanin" w:cs="IRNazanin"/>
          <w:lang w:bidi="fa-IR"/>
          <w:color w:val="111111"/>
          <w:sz w:val="28"/>
          <w:szCs w:val="28"/>
          <w:rtl/>
        </w:rPr>
        <w:t xml:space="preserve">و أضعف من ذلک:ما نشأ من عدم التفطّن لوجه دلالة الآیة علی</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0" w:name="pg14419_167300"/>
    <w:bookmarkEnd w:id="290"/>
    <w:p>
      <w:pPr>
        <w:pStyle w:val="BookText"/>
      </w:pPr>
      <w:r>
        <w:rPr>
          <w:rFonts w:ascii="Amiri" w:hAnsi="Amiri" w:eastAsia="Amiri" w:cs="Amiri"/>
          <w:lang w:bidi="ar-SA"/>
          <w:color w:val="111111"/>
          <w:sz w:val="28"/>
          <w:szCs w:val="28"/>
          <w:rtl/>
        </w:rPr>
        <w:t xml:space="preserve">اللزوم-مع الاعتراف بأصل الدلالة لمتابعة المشهور-و هو </w:t>
      </w:r>
      <w:r>
        <w:rPr>
          <w:rStyle w:val="FootnoteReference"/>
        </w:rPr>
        <w:footnoteReference w:id="2528"/>
      </w:r>
      <w:r>
        <w:rPr>
          <w:rFonts w:ascii="Amiri" w:hAnsi="Amiri" w:eastAsia="Amiri" w:cs="Amiri"/>
          <w:lang w:bidi="ar-SA"/>
          <w:color w:val="111111"/>
          <w:sz w:val="28"/>
          <w:szCs w:val="28"/>
          <w:rtl/>
        </w:rPr>
        <w:t xml:space="preserve">:أنّ المفهوم من الآیة عرفاً حکمان:تکلیفیٌّ و وضعیٌّ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أن لیس المستفاد منها إلّا حکمٌ واحدٌ تکلیفیٌّ یستلزم حکماً وضعیّاً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6"/>
      </w:pPr>
      <w:bookmarkStart w:id="1148" w:name="_Toc588"/>
      <w:r>
        <w:t>[الاستدلال بآیة أحل الله البیع]</w:t>
      </w:r>
      <w:bookmarkEnd w:id="1148"/>
    </w:p>
    <w:p>
      <w:pPr>
        <w:pStyle w:val="BookText"/>
      </w:pPr>
      <w:r>
        <w:rPr>
          <w:rFonts w:ascii="Amiri" w:hAnsi="Amiri" w:eastAsia="Amiri" w:cs="Amiri"/>
          <w:lang w:bidi="ar-SA"/>
          <w:color w:val="111111"/>
          <w:sz w:val="28"/>
          <w:szCs w:val="28"/>
          <w:rtl/>
        </w:rPr>
        <w:t xml:space="preserve">و من ذلک یظهر لک الوجه فی دلالة قوله تعالی: أَحَلَّ اللّٰهُ الْبَیْعَ </w:t>
      </w:r>
      <w:r>
        <w:rPr>
          <w:rStyle w:val="FootnoteReference"/>
        </w:rPr>
        <w:footnoteReference w:id="2531"/>
      </w:r>
      <w:r>
        <w:rPr>
          <w:rFonts w:ascii="IRNazanin" w:hAnsi="IRNazanin" w:eastAsia="IRNazanin" w:cs="IRNazanin"/>
          <w:lang w:bidi="fa-IR"/>
          <w:color w:val="111111"/>
          <w:sz w:val="28"/>
          <w:szCs w:val="28"/>
          <w:rtl/>
        </w:rPr>
        <w:t xml:space="preserve">علی اللزوم،فإنّ حلّیة البیع التی لا یراد منها إلّا حلّیة جمیع التصرّفات المترتّبة علیه التی منها ما یقع بعد فسخ أحد المتبایعین بغیر رضا الآخر مستلزمةٌ لعدم تأثیر ذلک الفسخ و کونه لغواً غیر مؤثّر.</w:t>
      </w:r>
    </w:p>
    <w:p>
      <w:pPr>
        <w:pStyle w:val="Heading6"/>
      </w:pPr>
      <w:bookmarkStart w:id="1149" w:name="_Toc589"/>
      <w:r>
        <w:t>[الاستدلال بآیة تجارة عن تراض]</w:t>
      </w:r>
      <w:bookmarkEnd w:id="1149"/>
    </w:p>
    <w:p>
      <w:pPr>
        <w:pStyle w:val="BookText"/>
      </w:pPr>
      <w:r>
        <w:rPr>
          <w:rFonts w:ascii="IRNazanin" w:hAnsi="IRNazanin" w:eastAsia="IRNazanin" w:cs="IRNazanin"/>
          <w:lang w:bidi="fa-IR"/>
          <w:color w:val="111111"/>
          <w:sz w:val="28"/>
          <w:szCs w:val="28"/>
          <w:rtl/>
        </w:rPr>
        <w:t xml:space="preserve">و منه یظهر وجه الاستدلال علی اللزوم بإطلاق حلّیة أکل المال بالتجارة عن تراضٍ </w:t>
      </w:r>
      <w:r>
        <w:rPr>
          <w:rStyle w:val="FootnoteReference"/>
        </w:rPr>
        <w:footnoteReference w:id="2532"/>
      </w:r>
      <w:r>
        <w:rPr>
          <w:rFonts w:ascii="Amiri" w:hAnsi="Amiri" w:eastAsia="Amiri" w:cs="Amiri"/>
          <w:lang w:bidi="ar-SA"/>
          <w:color w:val="111111"/>
          <w:sz w:val="28"/>
          <w:szCs w:val="28"/>
          <w:rtl/>
        </w:rPr>
        <w:t xml:space="preserve">،فإنّه یدلّ علی أنّ التجارة سببٌ لحلّیة التصرّف بقولٍ مطلق حتّی بعد فسخ أحدهما من دون رضا الآخر.</w:t>
      </w:r>
    </w:p>
    <w:p>
      <w:pPr>
        <w:pStyle w:val="BookText"/>
      </w:pPr>
      <w:r>
        <w:rPr>
          <w:rFonts w:ascii="IRNazanin" w:hAnsi="IRNazanin" w:eastAsia="IRNazanin" w:cs="IRNazanin"/>
          <w:lang w:bidi="fa-IR"/>
          <w:color w:val="111111"/>
          <w:sz w:val="28"/>
          <w:szCs w:val="28"/>
          <w:rtl/>
        </w:rPr>
        <w:t xml:space="preserve">فدلالة الآیات الثلاث علی أصالة اللزوم علی نهجٍ واحد،لکن الإنصاف أنّ فی دلالة الآیتین بأنفسهما علی اللزوم نظراً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91" w:name="pg14419_167301"/>
    <w:bookmarkEnd w:id="291"/>
    <w:p>
      <w:pPr>
        <w:pStyle w:val="Heading6"/>
      </w:pPr>
      <w:bookmarkStart w:id="1150" w:name="_Toc590"/>
      <w:r>
        <w:t>[الاستدلال بآیة أکل المال بالباطل]</w:t>
      </w:r>
      <w:bookmarkEnd w:id="1150"/>
    </w:p>
    <w:p>
      <w:pPr>
        <w:pStyle w:val="BookText"/>
      </w:pPr>
      <w:r>
        <w:rPr>
          <w:rFonts w:ascii="Amiri" w:hAnsi="Amiri" w:eastAsia="Amiri" w:cs="Amiri"/>
          <w:lang w:bidi="ar-SA"/>
          <w:color w:val="111111"/>
          <w:sz w:val="28"/>
          <w:szCs w:val="28"/>
          <w:rtl/>
        </w:rPr>
        <w:t xml:space="preserve">و منها:قوله تعالی: وَ لاٰ تَأْکُلُوا أَمْوٰالَکُمْ بَیْنَکُمْ بِالْبٰاطِلِ </w:t>
      </w:r>
      <w:r>
        <w:rPr>
          <w:rStyle w:val="FootnoteReference"/>
        </w:rPr>
        <w:footnoteReference w:id="2534"/>
      </w:r>
      <w:r>
        <w:rPr>
          <w:rFonts w:ascii="IRNazanin" w:hAnsi="IRNazanin" w:eastAsia="IRNazanin" w:cs="IRNazanin"/>
          <w:lang w:bidi="fa-IR"/>
          <w:color w:val="111111"/>
          <w:sz w:val="28"/>
          <w:szCs w:val="28"/>
          <w:rtl/>
        </w:rPr>
        <w:t xml:space="preserve">دلّ علی حرمة الأکل بکلّ وجهٍ یسمّی باطلاً عرفاً،و موارد ترخیص الشارع لیس من الباطل،فإنّ أکل المارّة من ثمر </w:t>
      </w:r>
      <w:r>
        <w:rPr>
          <w:rStyle w:val="FootnoteReference"/>
        </w:rPr>
        <w:footnoteReference w:id="2535"/>
      </w:r>
      <w:r>
        <w:rPr>
          <w:rFonts w:ascii="IRNazanin" w:hAnsi="IRNazanin" w:eastAsia="IRNazanin" w:cs="IRNazanin"/>
          <w:lang w:bidi="fa-IR"/>
          <w:color w:val="111111"/>
          <w:sz w:val="28"/>
          <w:szCs w:val="28"/>
          <w:rtl/>
        </w:rPr>
        <w:t xml:space="preserve">الأشجار التی یمرّ بها باطلٌ لو لا إذن الشارع الکاشف عن عدم بطلانه،و کذلک الأخذ بالشفعة و الخیار؛فإنّ رخصة الشارع فی الأخذ بهما </w:t>
      </w:r>
      <w:r>
        <w:rPr>
          <w:rStyle w:val="FootnoteReference"/>
        </w:rPr>
        <w:footnoteReference w:id="2536"/>
      </w:r>
      <w:r>
        <w:rPr>
          <w:rFonts w:ascii="IRNazanin" w:hAnsi="IRNazanin" w:eastAsia="IRNazanin" w:cs="IRNazanin"/>
          <w:lang w:bidi="fa-IR"/>
          <w:color w:val="111111"/>
          <w:sz w:val="28"/>
          <w:szCs w:val="28"/>
          <w:rtl/>
        </w:rPr>
        <w:t xml:space="preserve">یکشف عن ثبوت حقٍّ لذوی الخیار و الشفعة؛و ما نحن فیه من هذا القبیل،فإنّ أخذ مال الغیر و تملّکه من دون إذن صاحبه باطلٌ عرفاً.</w:t>
      </w:r>
    </w:p>
    <w:p>
      <w:pPr>
        <w:pStyle w:val="BookText"/>
      </w:pPr>
      <w:r>
        <w:rPr>
          <w:rFonts w:ascii="IRNazanin" w:hAnsi="IRNazanin" w:eastAsia="IRNazanin" w:cs="IRNazanin"/>
          <w:lang w:bidi="fa-IR"/>
          <w:color w:val="111111"/>
          <w:sz w:val="28"/>
          <w:szCs w:val="28"/>
          <w:rtl/>
        </w:rPr>
        <w:t xml:space="preserve">نعم،لو دلّ الشارع علی جوازه کما فی العقود الجائزة بالذات أو بالعارض کشف ذلک عن حقٍّ للفاسخ متعلّقٍ بالعین.</w:t>
      </w:r>
    </w:p>
    <w:p>
      <w:pPr>
        <w:pStyle w:val="Heading6"/>
      </w:pPr>
      <w:bookmarkStart w:id="1151" w:name="_Toc591"/>
      <w:r>
        <w:t>[الاستدلال بروایتی لا یحل مال امرئ مسلم و الناس مسلطون]</w:t>
      </w:r>
      <w:bookmarkEnd w:id="1151"/>
    </w:p>
    <w:p>
      <w:pPr>
        <w:pStyle w:val="BookText"/>
      </w:pPr>
      <w:r>
        <w:rPr>
          <w:rFonts w:ascii="IRNazanin" w:hAnsi="IRNazanin" w:eastAsia="IRNazanin" w:cs="IRNazanin"/>
          <w:lang w:bidi="fa-IR"/>
          <w:color w:val="111111"/>
          <w:sz w:val="28"/>
          <w:szCs w:val="28"/>
          <w:rtl/>
        </w:rPr>
        <w:t xml:space="preserve">و ممّا ذکرنا یظهر وجه الاستدلال بقوله صلّی اللّٰه علیه و آله و سلم:«لا یحلّ مال امرئٍ مسلمٍ إلّا عن طیب نفسه»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منها:قوله صلّی اللّٰه علیه و آله و سلم:«الناس مسلّطون علی أموالهم» </w:t>
      </w:r>
      <w:r>
        <w:rPr>
          <w:rStyle w:val="FootnoteReference"/>
        </w:rPr>
        <w:footnoteReference w:id="2538"/>
      </w:r>
      <w:r>
        <w:rPr>
          <w:rFonts w:ascii="IRNazanin" w:hAnsi="IRNazanin" w:eastAsia="IRNazanin" w:cs="IRNazanin"/>
          <w:lang w:bidi="fa-IR"/>
          <w:color w:val="111111"/>
          <w:sz w:val="28"/>
          <w:szCs w:val="28"/>
          <w:rtl/>
        </w:rPr>
        <w:t xml:space="preserve">فإنّ مقتضی السلطنة التی أمضاها الشارع:أن لا یجوز أخذه من یده و تملّکه علیه من دون رضاه؛و لذا استدلّ المحقّق فی الشرائع علی عدم جواز رجوع المقرض فیما أقرضه:بأنّ فائدة الملک التسلّط </w:t>
      </w:r>
      <w:r>
        <w:rPr>
          <w:rStyle w:val="FootnoteReference"/>
        </w:rPr>
        <w:footnoteReference w:id="2539"/>
      </w:r>
      <w:r>
        <w:rPr>
          <w:rFonts w:ascii="Amiri" w:hAnsi="Amiri" w:eastAsia="Amiri" w:cs="Amiri"/>
          <w:lang w:bidi="ar-SA"/>
          <w:color w:val="111111"/>
          <w:sz w:val="28"/>
          <w:szCs w:val="28"/>
          <w:rtl/>
        </w:rPr>
        <w:t xml:space="preserve">.و نحوه العلّامة</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92" w:name="pg14419_167302"/>
    <w:bookmarkEnd w:id="292"/>
    <w:p>
      <w:pPr>
        <w:pStyle w:val="BookText"/>
      </w:pPr>
      <w:r>
        <w:rPr>
          <w:rFonts w:ascii="IRNazanin" w:hAnsi="IRNazanin" w:eastAsia="IRNazanin" w:cs="IRNazanin"/>
          <w:lang w:bidi="fa-IR"/>
          <w:color w:val="111111"/>
          <w:sz w:val="28"/>
          <w:szCs w:val="28"/>
          <w:rtl/>
        </w:rPr>
        <w:t xml:space="preserve">فی بعض کتبه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جواز العقد الراجع إلی تسلّط الفاسخ علی تملّک ما انتقل عنه و صار مالاً لغیره و أخذه منه بغیر رضاه منافٍ لهذا العموم.</w:t>
      </w:r>
    </w:p>
    <w:p>
      <w:pPr>
        <w:pStyle w:val="Heading6"/>
      </w:pPr>
      <w:bookmarkStart w:id="1152" w:name="_Toc592"/>
      <w:r>
        <w:t>[الاستدلال بروایة المؤمنون عند شروطهم]</w:t>
      </w:r>
      <w:bookmarkEnd w:id="1152"/>
    </w:p>
    <w:p>
      <w:pPr>
        <w:pStyle w:val="BookText"/>
      </w:pPr>
      <w:r>
        <w:rPr>
          <w:rFonts w:ascii="IRNazanin" w:hAnsi="IRNazanin" w:eastAsia="IRNazanin" w:cs="IRNazanin"/>
          <w:lang w:bidi="fa-IR"/>
          <w:color w:val="111111"/>
          <w:sz w:val="28"/>
          <w:szCs w:val="28"/>
          <w:rtl/>
        </w:rPr>
        <w:t xml:space="preserve">و منها:قوله صلّی اللّٰه علیه و آله و سلم:«المؤمنون عند شروطهم» </w:t>
      </w:r>
      <w:r>
        <w:rPr>
          <w:rStyle w:val="FootnoteReference"/>
        </w:rPr>
        <w:footnoteReference w:id="2541"/>
      </w:r>
      <w:r>
        <w:rPr>
          <w:rFonts w:ascii="IRNazanin" w:hAnsi="IRNazanin" w:eastAsia="IRNazanin" w:cs="IRNazanin"/>
          <w:lang w:bidi="fa-IR"/>
          <w:color w:val="111111"/>
          <w:sz w:val="28"/>
          <w:szCs w:val="28"/>
          <w:rtl/>
        </w:rPr>
        <w:t xml:space="preserve">.و قد استدلّ به علی اللزوم غیر واحدٍ منهم المحقّق الأردبیلی قدّس سرّه </w:t>
      </w:r>
      <w:r>
        <w:rPr>
          <w:rStyle w:val="FootnoteReference"/>
        </w:rPr>
        <w:footnoteReference w:id="2542"/>
      </w:r>
      <w:r>
        <w:rPr>
          <w:rFonts w:ascii="Amiri" w:hAnsi="Amiri" w:eastAsia="Amiri" w:cs="Amiri"/>
          <w:lang w:bidi="ar-SA"/>
          <w:color w:val="111111"/>
          <w:sz w:val="28"/>
          <w:szCs w:val="28"/>
          <w:rtl/>
        </w:rPr>
        <w:t xml:space="preserve">بناءً علی أنّ الشرط مطلق الإلزام و الالتزام و لو ابتداءً من غیر ربطٍ بعقدٍ آخر،فإنّ العقد علی هذا شرطٌ،فیجب الوقوف عنده و یحرم التعدّی عنه،فیدلّ علی اللزوم بالتقریب المتقدّم فی أَوْفُوا بِالْعُقُودِ .</w:t>
      </w:r>
    </w:p>
    <w:p>
      <w:pPr>
        <w:pStyle w:val="BookText"/>
      </w:pPr>
      <w:r>
        <w:rPr>
          <w:rFonts w:ascii="IRNazanin" w:hAnsi="IRNazanin" w:eastAsia="IRNazanin" w:cs="IRNazanin"/>
          <w:lang w:bidi="fa-IR"/>
          <w:color w:val="111111"/>
          <w:sz w:val="28"/>
          <w:szCs w:val="28"/>
          <w:rtl/>
        </w:rPr>
        <w:t xml:space="preserve">لکن لا یبعد منع صدق الشرط فی الالتزامات الابتدائیّة،بل المتبادر عرفاً هو الإلزام التابع،کما یشهد به موارد استعمال هذا اللفظ حتّی فی مثل قوله علیه السلام فی دعاء التوبة:«و لک یا ربِّ شرطی أن لا أعود فی مکروهک،و عهدی أن أهجر جمیع معاصیک» </w:t>
      </w:r>
      <w:r>
        <w:rPr>
          <w:rStyle w:val="FootnoteReference"/>
        </w:rPr>
        <w:footnoteReference w:id="2543"/>
      </w:r>
      <w:r>
        <w:rPr>
          <w:rFonts w:ascii="IRNazanin" w:hAnsi="IRNazanin" w:eastAsia="IRNazanin" w:cs="IRNazanin"/>
          <w:lang w:bidi="fa-IR"/>
          <w:color w:val="111111"/>
          <w:sz w:val="28"/>
          <w:szCs w:val="28"/>
          <w:rtl/>
        </w:rPr>
        <w:t xml:space="preserve">،و قوله علیه السلام فی أوّل دعاء الندبة:«بعد أن شرطت علیهم الزهد فی درجات هذه الدنیا» </w:t>
      </w:r>
      <w:r>
        <w:rPr>
          <w:rStyle w:val="FootnoteReference"/>
        </w:rPr>
        <w:footnoteReference w:id="2544"/>
      </w:r>
      <w:r>
        <w:rPr>
          <w:rFonts w:ascii="IRNazanin" w:hAnsi="IRNazanin" w:eastAsia="IRNazanin" w:cs="IRNazanin"/>
          <w:lang w:bidi="fa-IR"/>
          <w:color w:val="111111"/>
          <w:sz w:val="28"/>
          <w:szCs w:val="28"/>
          <w:rtl/>
        </w:rPr>
        <w:t xml:space="preserve">کما لا یخفی علی من تأمّلها.</w:t>
      </w:r>
    </w:p>
    <w:p>
      <w:pPr>
        <w:pStyle w:val="BookText"/>
      </w:pPr>
      <w:r>
        <w:rPr>
          <w:rFonts w:ascii="IRNazanin" w:hAnsi="IRNazanin" w:eastAsia="IRNazanin" w:cs="IRNazanin"/>
          <w:lang w:bidi="fa-IR"/>
          <w:color w:val="111111"/>
          <w:sz w:val="28"/>
          <w:szCs w:val="28"/>
          <w:rtl/>
        </w:rPr>
        <w:t xml:space="preserve">مع أنّ کلام بعض أهل اللغة یساعد علی ما ادّعینا من الاختصاص،</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93" w:name="pg14419_167303"/>
    <w:bookmarkEnd w:id="293"/>
    <w:p>
      <w:pPr>
        <w:pStyle w:val="BookText"/>
      </w:pPr>
      <w:r>
        <w:rPr>
          <w:rFonts w:ascii="IRNazanin" w:hAnsi="IRNazanin" w:eastAsia="IRNazanin" w:cs="IRNazanin"/>
          <w:lang w:bidi="fa-IR"/>
          <w:color w:val="111111"/>
          <w:sz w:val="28"/>
          <w:szCs w:val="28"/>
          <w:rtl/>
        </w:rPr>
        <w:t xml:space="preserve">ففی القاموس:الشرط إلزام الشیء و التزامه فی البیع و نحوه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6"/>
      </w:pPr>
      <w:bookmarkStart w:id="1153" w:name="_Toc593"/>
      <w:r>
        <w:t>و منها : الأخبار المستفیضة</w:t>
      </w:r>
      <w:bookmarkEnd w:id="1153"/>
    </w:p>
    <w:p>
      <w:pPr>
        <w:pStyle w:val="BookText"/>
      </w:pPr>
      <w:r>
        <w:rPr>
          <w:rFonts w:ascii="Amiri" w:hAnsi="Amiri" w:eastAsia="Amiri" w:cs="Amiri"/>
          <w:lang w:bidi="ar-SA"/>
          <w:color w:val="111111"/>
          <w:sz w:val="28"/>
          <w:szCs w:val="28"/>
          <w:rtl/>
        </w:rPr>
        <w:t xml:space="preserve">فی أنّ«البیّعان </w:t>
      </w:r>
      <w:r>
        <w:rPr>
          <w:rStyle w:val="FootnoteReference"/>
        </w:rPr>
        <w:footnoteReference w:id="2546"/>
      </w:r>
      <w:r>
        <w:rPr>
          <w:rFonts w:ascii="IRNazanin" w:hAnsi="IRNazanin" w:eastAsia="IRNazanin" w:cs="IRNazanin"/>
          <w:lang w:bidi="fa-IR"/>
          <w:color w:val="111111"/>
          <w:sz w:val="28"/>
          <w:szCs w:val="28"/>
          <w:rtl/>
        </w:rPr>
        <w:t xml:space="preserve">بالخیار ما لم یفترقا» </w:t>
      </w:r>
      <w:r>
        <w:rPr>
          <w:rStyle w:val="FootnoteReference"/>
        </w:rPr>
        <w:footnoteReference w:id="2547"/>
      </w:r>
      <w:r>
        <w:rPr>
          <w:rFonts w:ascii="IRNazanin" w:hAnsi="IRNazanin" w:eastAsia="IRNazanin" w:cs="IRNazanin"/>
          <w:lang w:bidi="fa-IR"/>
          <w:color w:val="111111"/>
          <w:sz w:val="28"/>
          <w:szCs w:val="28"/>
          <w:rtl/>
        </w:rPr>
        <w:t xml:space="preserve">، و أنّه«إذا افترقا وجب البیع» </w:t>
      </w:r>
      <w:r>
        <w:rPr>
          <w:rStyle w:val="FootnoteReference"/>
        </w:rPr>
        <w:footnoteReference w:id="2548"/>
      </w:r>
      <w:r>
        <w:rPr>
          <w:rFonts w:ascii="IRNazanin" w:hAnsi="IRNazanin" w:eastAsia="IRNazanin" w:cs="IRNazanin"/>
          <w:lang w:bidi="fa-IR"/>
          <w:color w:val="111111"/>
          <w:sz w:val="28"/>
          <w:szCs w:val="28"/>
          <w:rtl/>
        </w:rPr>
        <w:t xml:space="preserve">،و أنّه«لا خیار لهما بعد الرضا»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جملةٌ من العمومات الدالّة علی لزوم البیع عموماً أو خصوصاً.</w:t>
      </w:r>
    </w:p>
    <w:p>
      <w:pPr>
        <w:pStyle w:val="BookText"/>
      </w:pPr>
      <w:r>
        <w:rPr>
          <w:rFonts w:ascii="IRNazanin" w:hAnsi="IRNazanin" w:eastAsia="IRNazanin" w:cs="IRNazanin"/>
          <w:lang w:bidi="fa-IR"/>
          <w:color w:val="111111"/>
          <w:sz w:val="28"/>
          <w:szCs w:val="28"/>
          <w:rtl/>
        </w:rPr>
        <w:t xml:space="preserve">و قد عرفت أنّ ذلک مقتضی الاستصحاب أیضاً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Heading6"/>
      </w:pPr>
      <w:bookmarkStart w:id="1154" w:name="_Toc594"/>
      <w:r>
        <w:t>[مقتضی الاستصحاب أیضا اللزوم]</w:t>
      </w:r>
      <w:bookmarkEnd w:id="1154"/>
    </w:p>
    <w:p>
      <w:pPr>
        <w:pStyle w:val="BookText"/>
      </w:pPr>
      <w:r>
        <w:rPr>
          <w:rFonts w:ascii="IRNazanin" w:hAnsi="IRNazanin" w:eastAsia="IRNazanin" w:cs="IRNazanin"/>
          <w:lang w:bidi="fa-IR"/>
          <w:color w:val="111111"/>
          <w:sz w:val="28"/>
          <w:szCs w:val="28"/>
          <w:rtl/>
        </w:rPr>
        <w:t xml:space="preserve">و ربما یقال:إنّ مقتضی الاستصحاب عدم انقطاع علاقة المالک </w:t>
      </w:r>
      <w:r>
        <w:rPr>
          <w:rStyle w:val="FootnoteReference"/>
        </w:rPr>
        <w:footnoteReference w:id="2551"/>
      </w:r>
      <w:r>
        <w:rPr>
          <w:rFonts w:ascii="IRNazanin" w:hAnsi="IRNazanin" w:eastAsia="IRNazanin" w:cs="IRNazanin"/>
          <w:lang w:bidi="fa-IR"/>
          <w:color w:val="111111"/>
          <w:sz w:val="28"/>
          <w:szCs w:val="28"/>
          <w:rtl/>
        </w:rPr>
        <w:t xml:space="preserve">، فإنّ الظاهر من کلماتهم عدم انقطاع علاقة المالک عن العین التی له فیها الرجوع،و هذا الاستصحاب حاکمٌ علی الاستصحاب المتقدّم المقتضی للّزوم.و رُدّ بأنّه:</w:t>
      </w:r>
    </w:p>
    <w:p>
      <w:pPr>
        <w:pStyle w:val="BookText"/>
      </w:pPr>
      <w:r>
        <w:rPr>
          <w:rFonts w:ascii="IRNazanin" w:hAnsi="IRNazanin" w:eastAsia="IRNazanin" w:cs="IRNazanin"/>
          <w:lang w:bidi="fa-IR"/>
          <w:color w:val="111111"/>
          <w:sz w:val="28"/>
          <w:szCs w:val="28"/>
          <w:rtl/>
        </w:rPr>
        <w:t xml:space="preserve">إن أُرید بقاء علاقة الملک أو علاقةٍ تتفرّع علی الملک،فلا ریب</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94" w:name="pg14419_167304"/>
    <w:bookmarkEnd w:id="294"/>
    <w:p>
      <w:pPr>
        <w:pStyle w:val="BookText"/>
      </w:pPr>
      <w:r>
        <w:rPr>
          <w:rFonts w:ascii="IRNazanin" w:hAnsi="IRNazanin" w:eastAsia="IRNazanin" w:cs="IRNazanin"/>
          <w:lang w:bidi="fa-IR"/>
          <w:color w:val="111111"/>
          <w:sz w:val="28"/>
          <w:szCs w:val="28"/>
          <w:rtl/>
        </w:rPr>
        <w:t xml:space="preserve">فی زوالها بزوال الملک.</w:t>
      </w:r>
    </w:p>
    <w:p>
      <w:pPr>
        <w:pStyle w:val="BookText"/>
      </w:pPr>
      <w:r>
        <w:rPr>
          <w:rFonts w:ascii="IRNazanin" w:hAnsi="IRNazanin" w:eastAsia="IRNazanin" w:cs="IRNazanin"/>
          <w:lang w:bidi="fa-IR"/>
          <w:color w:val="111111"/>
          <w:sz w:val="28"/>
          <w:szCs w:val="28"/>
          <w:rtl/>
        </w:rPr>
        <w:t xml:space="preserve">و إن أُرید بها سلطنة إعادة العین فی ملکه،فهذه علاقة یستحیل اجتماعها مع الملک،و إنّما تحدث بعد زوال الملک لدلالة دلیلٍ؛فإذا فقد الدلیل فالأصل عدمها.</w:t>
      </w:r>
    </w:p>
    <w:p>
      <w:pPr>
        <w:pStyle w:val="BookText"/>
      </w:pPr>
      <w:r>
        <w:rPr>
          <w:rFonts w:ascii="IRNazanin" w:hAnsi="IRNazanin" w:eastAsia="IRNazanin" w:cs="IRNazanin"/>
          <w:lang w:bidi="fa-IR"/>
          <w:color w:val="111111"/>
          <w:sz w:val="28"/>
          <w:szCs w:val="28"/>
          <w:rtl/>
        </w:rPr>
        <w:t xml:space="preserve">و إن أُرید بها العلاقة التی کانت فی مجلس البیع،فإنّها تستصحب عند الشکّ،فیصیر الأصل فی البیع بقاء الخیار،کما یقال:الأصل فی الهبة بقاء جوازها بعد التصرّف،فی مقابل من جعلها لازمةً بالتصرّف،ففیه مع عدم جریانه فیما لا خیار فیه فی المجلس،بل مطلقاً بناءً علی أنّ الواجب هنا الرجوع فی زمان الشکّ إلی عموم أَوْفُوا </w:t>
      </w:r>
      <w:r>
        <w:rPr>
          <w:rStyle w:val="FootnoteReference"/>
        </w:rPr>
        <w:footnoteReference w:id="2552"/>
      </w:r>
      <w:r>
        <w:rPr>
          <w:rFonts w:ascii="IRNazanin" w:hAnsi="IRNazanin" w:eastAsia="IRNazanin" w:cs="IRNazanin"/>
          <w:lang w:bidi="fa-IR"/>
          <w:color w:val="111111"/>
          <w:sz w:val="28"/>
          <w:szCs w:val="28"/>
          <w:rtl/>
        </w:rPr>
        <w:t xml:space="preserve">لا الاستصحاب-:</w:t>
      </w:r>
    </w:p>
    <w:p>
      <w:pPr>
        <w:pStyle w:val="BookText"/>
      </w:pPr>
      <w:r>
        <w:rPr>
          <w:rFonts w:ascii="IRNazanin" w:hAnsi="IRNazanin" w:eastAsia="IRNazanin" w:cs="IRNazanin"/>
          <w:lang w:bidi="fa-IR"/>
          <w:color w:val="111111"/>
          <w:sz w:val="28"/>
          <w:szCs w:val="28"/>
          <w:rtl/>
        </w:rPr>
        <w:t xml:space="preserve">أنّه لا یجدی بعد تواتر الأخبار بانقطاع الخیار مع الافتراق،فیبقی ذلک الاستصحاب سلیماً عن الحاکم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6"/>
      </w:pPr>
      <w:bookmarkStart w:id="1155" w:name="_Toc595"/>
      <w:r>
        <w:t>[ظاهر المختلف أن الأصل عدم اللزوم و المناقشة فیه]</w:t>
      </w:r>
      <w:bookmarkEnd w:id="115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إنّه یظهر من المختلف فی مسألة أنّ المسابقة لازمة أو جائزة-:أنّ الأصل عدم اللزوم </w:t>
      </w:r>
      <w:r>
        <w:rPr>
          <w:rStyle w:val="FootnoteReference"/>
        </w:rPr>
        <w:footnoteReference w:id="2554"/>
      </w:r>
      <w:r>
        <w:rPr>
          <w:rFonts w:ascii="Amiri" w:hAnsi="Amiri" w:eastAsia="Amiri" w:cs="Amiri"/>
          <w:lang w:bidi="ar-SA"/>
          <w:color w:val="111111"/>
          <w:sz w:val="28"/>
          <w:szCs w:val="28"/>
          <w:rtl/>
        </w:rPr>
        <w:t xml:space="preserve">،و لم یردّه من تأخّر عنه </w:t>
      </w:r>
      <w:r>
        <w:rPr>
          <w:rStyle w:val="FootnoteReference"/>
        </w:rPr>
        <w:footnoteReference w:id="2555"/>
      </w:r>
      <w:r>
        <w:rPr>
          <w:rFonts w:ascii="Amiri" w:hAnsi="Amiri" w:eastAsia="Amiri" w:cs="Amiri"/>
          <w:lang w:bidi="ar-SA"/>
          <w:color w:val="111111"/>
          <w:sz w:val="28"/>
          <w:szCs w:val="28"/>
          <w:rtl/>
        </w:rPr>
        <w:t xml:space="preserve">إلّا بعموم قوله تعالی: أَوْفُوا بِالْعُقُودِ </w:t>
      </w:r>
      <w:r>
        <w:rPr>
          <w:rStyle w:val="FootnoteReference"/>
        </w:rPr>
        <w:footnoteReference w:id="2556"/>
      </w:r>
      <w:r>
        <w:rPr>
          <w:rFonts w:ascii="Amiri" w:hAnsi="Amiri" w:eastAsia="Amiri" w:cs="Amiri"/>
          <w:lang w:bidi="ar-SA"/>
          <w:color w:val="111111"/>
          <w:sz w:val="28"/>
          <w:szCs w:val="28"/>
          <w:rtl/>
        </w:rPr>
        <w:t xml:space="preserve">،و لم یُعلم </w:t>
      </w:r>
      <w:r>
        <w:rPr>
          <w:rStyle w:val="FootnoteReference"/>
        </w:rPr>
        <w:footnoteReference w:id="2557"/>
      </w:r>
      <w:r>
        <w:rPr>
          <w:rFonts w:ascii="IRNazanin" w:hAnsi="IRNazanin" w:eastAsia="IRNazanin" w:cs="IRNazanin"/>
          <w:lang w:bidi="fa-IR"/>
          <w:color w:val="111111"/>
          <w:sz w:val="28"/>
          <w:szCs w:val="28"/>
          <w:rtl/>
        </w:rPr>
        <w:t xml:space="preserve">وجهٌ صحیحٌ لتقریر هذا الأصل.نعم،هو حسنٌ فی خصوص عقد المسابقة و شبهه ممّا لا یتضمّن</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95" w:name="pg14419_167305"/>
    <w:bookmarkEnd w:id="295"/>
    <w:p>
      <w:pPr>
        <w:pStyle w:val="BookText"/>
      </w:pPr>
      <w:r>
        <w:rPr>
          <w:rFonts w:ascii="IRNazanin" w:hAnsi="IRNazanin" w:eastAsia="IRNazanin" w:cs="IRNazanin"/>
          <w:lang w:bidi="fa-IR"/>
          <w:color w:val="111111"/>
          <w:sz w:val="28"/>
          <w:szCs w:val="28"/>
          <w:rtl/>
        </w:rPr>
        <w:t xml:space="preserve">تملیکاً أو تسلیطاً؛لیکون الأصل بقاء ذلک الأثر و عدم زواله بدون رضا الطرفین.</w:t>
      </w:r>
    </w:p>
    <w:p>
      <w:pPr>
        <w:pStyle w:val="Heading6"/>
      </w:pPr>
      <w:bookmarkStart w:id="1156" w:name="_Toc596"/>
      <w:r>
        <w:t>[إذا شک فی عقد أنه من مصادیق العقد اللازم أو الجائز]</w:t>
      </w:r>
      <w:bookmarkEnd w:id="1156"/>
    </w:p>
    <w:p>
      <w:pPr>
        <w:pStyle w:val="BookText"/>
      </w:pPr>
      <w:r>
        <w:rPr>
          <w:rFonts w:ascii="IRNazanin" w:hAnsi="IRNazanin" w:eastAsia="IRNazanin" w:cs="IRNazanin"/>
          <w:lang w:bidi="fa-IR"/>
          <w:color w:val="111111"/>
          <w:sz w:val="28"/>
          <w:szCs w:val="28"/>
          <w:rtl/>
        </w:rPr>
        <w:t xml:space="preserve">ثمّ إنّ ما ذکرنا من العمومات المثبتة لأصالة اللزوم إنّما هو فی الشکّ فی حکم الشارع باللزوم،و یجری أیضاً فیما إذا شکّ فی عقدٍ خارجیٍّ أنّه من مصادیق العقد اللازم أو الجائز </w:t>
      </w:r>
      <w:r>
        <w:rPr>
          <w:rStyle w:val="FootnoteReference"/>
        </w:rPr>
        <w:footnoteReference w:id="2558"/>
      </w:r>
      <w:r>
        <w:rPr>
          <w:rFonts w:ascii="IRNazanin" w:hAnsi="IRNazanin" w:eastAsia="IRNazanin" w:cs="IRNazanin"/>
          <w:lang w:bidi="fa-IR"/>
          <w:color w:val="111111"/>
          <w:sz w:val="28"/>
          <w:szCs w:val="28"/>
          <w:rtl/>
        </w:rPr>
        <w:t xml:space="preserve">،بناءً علی أنّ المرجع فی الفرد المردّد بین عنوانی العامّ و المخصّص إلی العموم.و أمّا بناءً علی خلاف ذلک،فالواجب الرجوع عند الشکّ فی اللزوم إلی الأصل،بمعنی استصحاب الأثر و عدم زواله بمجرّد فسخ أحد المتعاقدین،إلّا أن یکون هنا أصلٌ موضوعیٌّ یثبت العقد الجائز،کما إذا شکّ فی أنّ الواقع هبةٌ أو صدقةٌ،فإنّ الأصل عدم قصد القربة،فیحکم بالهبة الجائزة.</w:t>
      </w:r>
    </w:p>
    <w:p>
      <w:pPr>
        <w:pStyle w:val="BookText"/>
      </w:pPr>
      <w:r>
        <w:rPr>
          <w:rFonts w:ascii="IRNazanin" w:hAnsi="IRNazanin" w:eastAsia="IRNazanin" w:cs="IRNazanin"/>
          <w:lang w:bidi="fa-IR"/>
          <w:color w:val="111111"/>
          <w:sz w:val="28"/>
          <w:szCs w:val="28"/>
          <w:rtl/>
        </w:rPr>
        <w:t xml:space="preserve">لکن الاستصحاب المذکور إنّما ینفع فی إثبات صفة اللزوم،و أمّا تعیین العقد اللازم حتّی یترتّب علیه سائر آثار العقد اللازم کما إذا أُرید تعیین البیع عند الشکّ فیه و فی الهبة فلا،بل یُرجع فی أثر کلّ عقدٍ إلی ما یقتضیه الأصل بالنسبة إلیه،فإذا شکّ فی اشتغال الذمّة بالعوض حکم بالبراءة التی هی من آثار الهبة،و إذا شکّ فی الضمان مع فساد العقد حکم بالضمان؛لعموم«علی الید»إن کان هو المستند فی الضمان بالعقود الفاسدة،و إن کان المستند دخوله فی«ضمان العین»أو قلنا بأنّ خروج الهبة من ذلک العموم مانعٌ عن الرجوع إلیه فیما احتمل کونه مصداقاً لها،کان الأصل البراءة أیضاً.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96" w:name="pg14419_167306"/>
    <w:bookmarkEnd w:id="296"/>
    <w:p>
      <w:pPr>
        <w:pStyle w:val="Heading6"/>
      </w:pPr>
      <w:bookmarkStart w:id="1157" w:name="_Toc597"/>
      <w:r>
        <w:t>فی أقسام الخیار</w:t>
      </w:r>
      <w:bookmarkEnd w:id="1157"/>
    </w:p>
    <w:p>
      <w:pPr>
        <w:pStyle w:val="Heading6"/>
      </w:pPr>
      <w:bookmarkStart w:id="1158" w:name="_Toc598"/>
      <w:r>
        <w:t>اشارة</w:t>
      </w:r>
      <w:bookmarkEnd w:id="1158"/>
    </w:p>
    <w:p>
      <w:pPr>
        <w:pStyle w:val="BookText"/>
      </w:pPr>
      <w:r>
        <w:rPr>
          <w:rFonts w:ascii="IRNazanin" w:hAnsi="IRNazanin" w:eastAsia="IRNazanin" w:cs="IRNazanin"/>
          <w:lang w:bidi="fa-IR"/>
          <w:color w:val="111111"/>
          <w:sz w:val="28"/>
          <w:szCs w:val="28"/>
          <w:rtl/>
        </w:rPr>
        <w:t xml:space="preserve">و هی کثیرةٌ إلّا أنّ أکثرها متفرّقةٌ،و المجتمع منها فی کلِّ کتابٍ سبعةٌ،و قد أنهاها بعضهم إلی أزید من ذلک،حتّی أنّ المذکور فی اللمعة مجتمعاً أربعة عشر </w:t>
      </w:r>
      <w:r>
        <w:rPr>
          <w:rStyle w:val="FootnoteReference"/>
        </w:rPr>
        <w:footnoteReference w:id="2559"/>
      </w:r>
      <w:r>
        <w:rPr>
          <w:rFonts w:ascii="IRNazanin" w:hAnsi="IRNazanin" w:eastAsia="IRNazanin" w:cs="IRNazanin"/>
          <w:lang w:bidi="fa-IR"/>
          <w:color w:val="111111"/>
          <w:sz w:val="28"/>
          <w:szCs w:val="28"/>
          <w:rtl/>
        </w:rPr>
        <w:t xml:space="preserve">،مع عدم ذکره لبعضها،و نحن نقتفی أثَر المقتصِر علی السبعة کالمحقّق </w:t>
      </w:r>
      <w:r>
        <w:rPr>
          <w:rStyle w:val="FootnoteReference"/>
        </w:rPr>
        <w:footnoteReference w:id="2560"/>
      </w:r>
      <w:r>
        <w:rPr>
          <w:rFonts w:ascii="Amiri" w:hAnsi="Amiri" w:eastAsia="Amiri" w:cs="Amiri"/>
          <w:lang w:bidi="ar-SA"/>
          <w:color w:val="111111"/>
          <w:sz w:val="28"/>
          <w:szCs w:val="28"/>
          <w:rtl/>
        </w:rPr>
        <w:t xml:space="preserve">و العلّامة </w:t>
      </w:r>
      <w:r>
        <w:rPr>
          <w:rStyle w:val="FootnoteReference"/>
        </w:rPr>
        <w:footnoteReference w:id="2561"/>
      </w:r>
      <w:r>
        <w:rPr>
          <w:rFonts w:ascii="IRNazanin" w:hAnsi="IRNazanin" w:eastAsia="IRNazanin" w:cs="IRNazanin"/>
          <w:lang w:bidi="fa-IR"/>
          <w:color w:val="111111"/>
          <w:sz w:val="28"/>
          <w:szCs w:val="28"/>
          <w:rtl/>
        </w:rPr>
        <w:t xml:space="preserve">قدّس سرّهما لأنّ ما عداها لا یستحقّ عنواناً مستقلا،إذ لیس له أحکامٌ مغایرةٌ لسائر أنواع الخیار،فنقول و باللّٰه التوفیق</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97" w:name="pg14419_167308"/>
    <w:bookmarkEnd w:id="297"/>
    <w:p>
      <w:pPr>
        <w:pStyle w:val="Heading6"/>
      </w:pPr>
      <w:bookmarkStart w:id="1159" w:name="_Toc599"/>
      <w:r>
        <w:t>الأوّل : فی خیار المجلس</w:t>
      </w:r>
      <w:bookmarkEnd w:id="1159"/>
    </w:p>
    <w:p>
      <w:pPr>
        <w:pStyle w:val="Heading6"/>
      </w:pPr>
      <w:bookmarkStart w:id="1160" w:name="_Toc600"/>
      <w:r>
        <w:t>اشارة</w:t>
      </w:r>
      <w:bookmarkEnd w:id="1160"/>
    </w:p>
    <w:p>
      <w:pPr>
        <w:pStyle w:val="BookText"/>
      </w:pPr>
      <w:r>
        <w:rPr>
          <w:rFonts w:ascii="IRNazanin" w:hAnsi="IRNazanin" w:eastAsia="IRNazanin" w:cs="IRNazanin"/>
          <w:lang w:bidi="fa-IR"/>
          <w:color w:val="111111"/>
          <w:sz w:val="28"/>
          <w:szCs w:val="28"/>
          <w:rtl/>
        </w:rPr>
        <w:t xml:space="preserve">و المراد ب«المجلس»مطلق مکان المتبایعین حین البیع،و إنّما عبّر بفرده الغالب،و إضافة الخیار إلیه لاختصاصه به و ارتفاعه بانقضائه الذی هو الافتراق.</w:t>
      </w:r>
    </w:p>
    <w:p>
      <w:pPr>
        <w:pStyle w:val="BookText"/>
      </w:pPr>
      <w:r>
        <w:rPr>
          <w:rFonts w:ascii="IRNazanin" w:hAnsi="IRNazanin" w:eastAsia="IRNazanin" w:cs="IRNazanin"/>
          <w:lang w:bidi="fa-IR"/>
          <w:color w:val="111111"/>
          <w:sz w:val="28"/>
          <w:szCs w:val="28"/>
          <w:rtl/>
        </w:rPr>
        <w:t xml:space="preserve">و لا خلاف بین الإمامیّة فی ثبوت هذا الخیار،و النصوص به مستفیضة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الموثّق الحاکی لقول علیّ علیه السلام:«إذا صفق الرجل علی البیع فقد وجب» </w:t>
      </w:r>
      <w:r>
        <w:rPr>
          <w:rStyle w:val="FootnoteReference"/>
        </w:rPr>
        <w:footnoteReference w:id="2563"/>
      </w:r>
      <w:r>
        <w:rPr>
          <w:rFonts w:ascii="Amiri" w:hAnsi="Amiri" w:eastAsia="Amiri" w:cs="Amiri"/>
          <w:lang w:bidi="ar-SA"/>
          <w:color w:val="111111"/>
          <w:sz w:val="28"/>
          <w:szCs w:val="28"/>
          <w:rtl/>
        </w:rPr>
        <w:t xml:space="preserve">مطروحٌ أو مؤوّلٌ.</w:t>
      </w:r>
    </w:p>
    <w:p>
      <w:pPr>
        <w:pStyle w:val="BookText"/>
      </w:pPr>
      <w:r>
        <w:rPr>
          <w:rFonts w:ascii="IRNazanin" w:hAnsi="IRNazanin" w:eastAsia="IRNazanin" w:cs="IRNazanin"/>
          <w:lang w:bidi="fa-IR"/>
          <w:color w:val="111111"/>
          <w:sz w:val="28"/>
          <w:szCs w:val="28"/>
          <w:rtl/>
        </w:rPr>
        <w:t xml:space="preserve">و لا فرق بین أقسام البیع و أنواع المبیع.نعم،سیجیء استثناء بعض أشخاص المبیع کالمنعتق علی المشتری.</w:t>
      </w:r>
    </w:p>
    <w:p>
      <w:pPr>
        <w:pStyle w:val="Heading6"/>
      </w:pPr>
      <w:bookmarkStart w:id="1161" w:name="_Toc601"/>
      <w:r>
        <w:t>و تنقیح مباحث هذا الخیار و مسقطاته یحصل برسم مسائل:</w:t>
      </w:r>
      <w:bookmarkEnd w:id="1161"/>
    </w:p>
    <w:p>
      <w:pPr>
        <w:pStyle w:val="Heading6"/>
      </w:pPr>
      <w:bookmarkStart w:id="1162" w:name="_Toc602"/>
      <w:r>
        <w:t>اشارة</w:t>
      </w:r>
      <w:bookmarkEnd w:id="1162"/>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98" w:name="pg14419_167309"/>
    <w:bookmarkEnd w:id="298"/>
    <w:p>
      <w:pPr>
        <w:pStyle w:val="Heading6"/>
      </w:pPr>
      <w:bookmarkStart w:id="1163" w:name="_Toc603"/>
      <w:r>
        <w:t>[مسائل فی خیار المجلس]</w:t>
      </w:r>
      <w:bookmarkEnd w:id="1163"/>
    </w:p>
    <w:p>
      <w:pPr>
        <w:pStyle w:val="Heading6"/>
      </w:pPr>
      <w:bookmarkStart w:id="1164" w:name="_Toc604"/>
      <w:r>
        <w:t>مسألة : لا إشکال فی ثبوته للمتبایعین إذا کانا أصیلین</w:t>
      </w:r>
      <w:bookmarkEnd w:id="11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لا فی ثبوته للوکیلین فی الجملة.و هل یثبت لهما مطلقاً؟خلاف.</w:t>
      </w:r>
    </w:p>
    <w:p>
      <w:pPr>
        <w:pStyle w:val="BookText"/>
      </w:pPr>
      <w:r>
        <w:rPr>
          <w:rFonts w:ascii="IRNazanin" w:hAnsi="IRNazanin" w:eastAsia="IRNazanin" w:cs="IRNazanin"/>
          <w:lang w:bidi="fa-IR"/>
          <w:color w:val="111111"/>
          <w:sz w:val="28"/>
          <w:szCs w:val="28"/>
          <w:rtl/>
        </w:rPr>
        <w:t xml:space="preserve">قال فی التذکرة:لو اشتری الوکیل أو باع أو تعاقد الوکیلان تعلّق الخیار بهما و بالموکّلین مع حضورهما فی المجلس،و إلّا فبالوکیلین، فلو مات الوکیل فی المجلس و الموکّل غائبٌ انتقل الخیار إلیه؛لأنّ ملکه أقوی من ملک الوارث.و للشافعیّة قولان:أحدهما:أنّه یتعلّق بالموکّل، و الآخر:أنّه یتعلّق بالوکیل </w:t>
      </w:r>
      <w:r>
        <w:rPr>
          <w:rStyle w:val="FootnoteReference"/>
        </w:rPr>
        <w:footnoteReference w:id="2564"/>
      </w:r>
      <w:r>
        <w:rPr>
          <w:rFonts w:ascii="IRNazanin" w:hAnsi="IRNazanin" w:eastAsia="IRNazanin" w:cs="IRNazanin"/>
          <w:lang w:bidi="fa-IR"/>
          <w:color w:val="111111"/>
          <w:sz w:val="28"/>
          <w:szCs w:val="28"/>
          <w:rtl/>
        </w:rPr>
        <w:t xml:space="preserve">،انتهی.</w:t>
      </w:r>
    </w:p>
    <w:p>
      <w:pPr>
        <w:pStyle w:val="Heading6"/>
      </w:pPr>
      <w:bookmarkStart w:id="1165" w:name="_Toc605"/>
      <w:r>
        <w:t>[أقسام الوکیل]</w:t>
      </w:r>
      <w:bookmarkEnd w:id="1165"/>
    </w:p>
    <w:p>
      <w:pPr>
        <w:pStyle w:val="Heading6"/>
      </w:pPr>
      <w:bookmarkStart w:id="1166" w:name="_Toc606"/>
      <w:r>
        <w:t>[1-أن یکون وکیلا فی مجرد إجراء العقد]</w:t>
      </w:r>
      <w:bookmarkEnd w:id="1166"/>
    </w:p>
    <w:p>
      <w:pPr>
        <w:pStyle w:val="BookText"/>
      </w:pPr>
      <w:r>
        <w:rPr>
          <w:rFonts w:ascii="IRNazanin" w:hAnsi="IRNazanin" w:eastAsia="IRNazanin" w:cs="IRNazanin"/>
          <w:lang w:bidi="fa-IR"/>
          <w:color w:val="111111"/>
          <w:sz w:val="28"/>
          <w:szCs w:val="28"/>
          <w:rtl/>
        </w:rPr>
        <w:t xml:space="preserve">أقول:و الأولی أن یقال:إنّ الوکیل إن کان وکیلاً فی مجرّد إجراء العقد،فالظاهر عدم ثبوت الخیار لهما وفاقاً لجماعةٍ منهم المحقّق و الشهید الثانیان </w:t>
      </w:r>
      <w:r>
        <w:rPr>
          <w:rStyle w:val="FootnoteReference"/>
        </w:rPr>
        <w:footnoteReference w:id="2565"/>
      </w:r>
      <w:r>
        <w:rPr>
          <w:rFonts w:ascii="IRNazanin" w:hAnsi="IRNazanin" w:eastAsia="IRNazanin" w:cs="IRNazanin"/>
          <w:lang w:bidi="fa-IR"/>
          <w:color w:val="111111"/>
          <w:sz w:val="28"/>
          <w:szCs w:val="28"/>
          <w:rtl/>
        </w:rPr>
        <w:t xml:space="preserve">لأنّ المتبادر من النصّ غیرهما و إن عمّمناه لبعض أفراد الوکیل </w:t>
      </w:r>
      <w:r>
        <w:rPr>
          <w:rStyle w:val="FootnoteReference"/>
        </w:rPr>
        <w:footnoteReference w:id="2566"/>
      </w:r>
      <w:r>
        <w:rPr>
          <w:rFonts w:ascii="IRNazanin" w:hAnsi="IRNazanin" w:eastAsia="IRNazanin" w:cs="IRNazanin"/>
          <w:lang w:bidi="fa-IR"/>
          <w:color w:val="111111"/>
          <w:sz w:val="28"/>
          <w:szCs w:val="28"/>
          <w:rtl/>
        </w:rPr>
        <w:t xml:space="preserve">و لم نقل بما قیل </w:t>
      </w:r>
      <w:r>
        <w:rPr>
          <w:rStyle w:val="FootnoteReference"/>
        </w:rPr>
        <w:footnoteReference w:id="2567"/>
      </w:r>
      <w:r>
        <w:rPr>
          <w:rFonts w:ascii="IRNazanin" w:hAnsi="IRNazanin" w:eastAsia="IRNazanin" w:cs="IRNazanin"/>
          <w:lang w:bidi="fa-IR"/>
          <w:color w:val="111111"/>
          <w:sz w:val="28"/>
          <w:szCs w:val="28"/>
          <w:rtl/>
        </w:rPr>
        <w:t xml:space="preserve">تبعاً لجامع المقاصد </w:t>
      </w:r>
      <w:r>
        <w:rPr>
          <w:rStyle w:val="FootnoteReference"/>
        </w:rPr>
        <w:footnoteReference w:id="2568"/>
      </w:r>
      <w:r>
        <w:rPr>
          <w:rFonts w:ascii="IRNazanin" w:hAnsi="IRNazanin" w:eastAsia="IRNazanin" w:cs="IRNazanin"/>
          <w:lang w:bidi="fa-IR"/>
          <w:color w:val="111111"/>
          <w:sz w:val="28"/>
          <w:szCs w:val="28"/>
          <w:rtl/>
        </w:rPr>
        <w:t xml:space="preserve">بانصرافه</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بحکم الغلبة إلی خصوص العاقد المالک؛مضافاً إلی أنّ مفاد أدلّة الخیار إثبات حقٍّ و سلطنةٍ لکلٍّ من المتعاقدین علی ما انتقل إلی الآخر بعد الفراغ عن تسلّطه علی ما انتقل إلیه،فلا یثبت بها هذا التسلّط لو لم یکن مفروغاً عنه فی الخارج.</w:t>
      </w:r>
    </w:p>
    <w:p>
      <w:pPr>
        <w:pStyle w:val="BookText"/>
      </w:pPr>
      <w:r>
        <w:rPr>
          <w:rFonts w:ascii="IRNazanin" w:hAnsi="IRNazanin" w:eastAsia="IRNazanin" w:cs="IRNazanin"/>
          <w:lang w:bidi="fa-IR"/>
          <w:color w:val="111111"/>
          <w:sz w:val="28"/>
          <w:szCs w:val="28"/>
          <w:rtl/>
        </w:rPr>
        <w:t xml:space="preserve">أ لا تری:أنّه لو شکّ المشتری فی کون المبیع ممّن ینعتق علیه لقرابةٍ أو یجب صرفه لنفقةٍ أو إعتاقه لنذرٍ،فلا یمکن الحکم بعدم وجوبه لأدلّة الخیار،بزعم إثباتها للخیار المستلزم لجواز ردّه علی البائع و عدم وجوب عتقه.</w:t>
      </w:r>
    </w:p>
    <w:p>
      <w:pPr>
        <w:pStyle w:val="BookText"/>
      </w:pPr>
      <w:r>
        <w:rPr>
          <w:rFonts w:ascii="IRNazanin" w:hAnsi="IRNazanin" w:eastAsia="IRNazanin" w:cs="IRNazanin"/>
          <w:lang w:bidi="fa-IR"/>
          <w:color w:val="111111"/>
          <w:sz w:val="28"/>
          <w:szCs w:val="28"/>
          <w:rtl/>
        </w:rPr>
        <w:t xml:space="preserve">هذا مضافاً إلی ملاحظة بعض أخبار هذا الخیار المقرون فیه بینه و بین خیار الحیوان </w:t>
      </w:r>
      <w:r>
        <w:rPr>
          <w:rStyle w:val="FootnoteReference"/>
        </w:rPr>
        <w:footnoteReference w:id="2569"/>
      </w:r>
      <w:r>
        <w:rPr>
          <w:rFonts w:ascii="IRNazanin" w:hAnsi="IRNazanin" w:eastAsia="IRNazanin" w:cs="IRNazanin"/>
          <w:lang w:bidi="fa-IR"/>
          <w:color w:val="111111"/>
          <w:sz w:val="28"/>
          <w:szCs w:val="28"/>
          <w:rtl/>
        </w:rPr>
        <w:t xml:space="preserve">،الذی لا یرضی الفقیه بالتزام ثبوته للوکیل فی إجراء الصیغة،فإنّ المقام و إن لم یکن من تعارض المطلق و المقیّد إلّا أنّ سیاق الجمیع یشهد باتّحاد المراد من لفظ«المتبایعین»،مع أنّ ملاحظة حکمة الخیار تبعّد ثبوته للوکیل المذکور؛مضافاً إلی أدلّة سائر الخیارات، فإنّ القول بثبوتها لمُوقع الصیغة لا ینبغی من الفقیه.</w:t>
      </w:r>
    </w:p>
    <w:p>
      <w:pPr>
        <w:pStyle w:val="BookText"/>
      </w:pPr>
      <w:r>
        <w:rPr>
          <w:rFonts w:ascii="IRNazanin" w:hAnsi="IRNazanin" w:eastAsia="IRNazanin" w:cs="IRNazanin"/>
          <w:lang w:bidi="fa-IR"/>
          <w:color w:val="111111"/>
          <w:sz w:val="28"/>
          <w:szCs w:val="28"/>
          <w:rtl/>
        </w:rPr>
        <w:t xml:space="preserve">و الظاهر عدم دخوله فی إطلاق العبارة المتقدّمة عن التذکرة </w:t>
      </w:r>
      <w:r>
        <w:rPr>
          <w:rStyle w:val="FootnoteReference"/>
        </w:rPr>
        <w:footnoteReference w:id="2570"/>
      </w:r>
      <w:r>
        <w:rPr>
          <w:rFonts w:ascii="IRNazanin" w:hAnsi="IRNazanin" w:eastAsia="IRNazanin" w:cs="IRNazanin"/>
          <w:lang w:bidi="fa-IR"/>
          <w:color w:val="111111"/>
          <w:sz w:val="28"/>
          <w:szCs w:val="28"/>
          <w:rtl/>
        </w:rPr>
        <w:t xml:space="preserve">، فإنّ الظاهر من قوله:«اشتری الوکیل أو باع»تصرّف الوکیل بالبیع و الشراء،لا مجرّد إیقاع الصیغة.</w:t>
      </w:r>
    </w:p>
    <w:p>
      <w:pPr>
        <w:pStyle w:val="BookText"/>
      </w:pPr>
      <w:r>
        <w:rPr>
          <w:rFonts w:ascii="IRNazanin" w:hAnsi="IRNazanin" w:eastAsia="IRNazanin" w:cs="IRNazanin"/>
          <w:lang w:bidi="fa-IR"/>
          <w:color w:val="111111"/>
          <w:sz w:val="28"/>
          <w:szCs w:val="28"/>
          <w:rtl/>
        </w:rPr>
        <w:t xml:space="preserve">و من جمیع ذلک یظهر ضعف القول بثبوته للوکیلین المذکورین،کما</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99" w:name="pg14419_167311"/>
    <w:bookmarkEnd w:id="299"/>
    <w:p>
      <w:pPr>
        <w:pStyle w:val="BookText"/>
      </w:pPr>
      <w:r>
        <w:rPr>
          <w:rFonts w:ascii="IRNazanin" w:hAnsi="IRNazanin" w:eastAsia="IRNazanin" w:cs="IRNazanin"/>
          <w:lang w:bidi="fa-IR"/>
          <w:color w:val="111111"/>
          <w:sz w:val="28"/>
          <w:szCs w:val="28"/>
          <w:rtl/>
        </w:rPr>
        <w:t xml:space="preserve">هو ظاهر الحدائق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أضعف منه تعمیم الحکم لصورة منع الموکّل من الفسخ بزعم:</w:t>
      </w:r>
    </w:p>
    <w:p>
      <w:pPr>
        <w:pStyle w:val="BookText"/>
      </w:pPr>
      <w:r>
        <w:rPr>
          <w:rFonts w:ascii="IRNazanin" w:hAnsi="IRNazanin" w:eastAsia="IRNazanin" w:cs="IRNazanin"/>
          <w:lang w:bidi="fa-IR"/>
          <w:color w:val="111111"/>
          <w:sz w:val="28"/>
          <w:szCs w:val="28"/>
          <w:rtl/>
        </w:rPr>
        <w:t xml:space="preserve">أنّ الخیار حقٌّ ثبت للعاقد بمجرّد إجرائه للعقد،فلا یبطل بمنع الموکّل.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علی المختار،فهل یثبت للموکِّلَین؟فیه إشکالٌ:</w:t>
      </w:r>
    </w:p>
    <w:p>
      <w:pPr>
        <w:pStyle w:val="BookText"/>
      </w:pPr>
      <w:r>
        <w:rPr>
          <w:rFonts w:ascii="IRNazanin" w:hAnsi="IRNazanin" w:eastAsia="IRNazanin" w:cs="IRNazanin"/>
          <w:lang w:bidi="fa-IR"/>
          <w:color w:val="111111"/>
          <w:sz w:val="28"/>
          <w:szCs w:val="28"/>
          <w:rtl/>
        </w:rPr>
        <w:t xml:space="preserve">من أنّ الظاهر من«البیّعین»فی النصّ المتعاقدان،فلا یعمّ الموکّلین؛ و ذکروا:أنّه لو حلف علی عدم البیع لم یحنث ببیع وکیله.</w:t>
      </w:r>
    </w:p>
    <w:p>
      <w:pPr>
        <w:pStyle w:val="BookText"/>
      </w:pPr>
      <w:r>
        <w:rPr>
          <w:rFonts w:ascii="IRNazanin" w:hAnsi="IRNazanin" w:eastAsia="IRNazanin" w:cs="IRNazanin"/>
          <w:lang w:bidi="fa-IR"/>
          <w:color w:val="111111"/>
          <w:sz w:val="28"/>
          <w:szCs w:val="28"/>
          <w:rtl/>
        </w:rPr>
        <w:t xml:space="preserve">و من أنّ الوکیلین فیما نحن فیه کالآلة للمالکین،و نسبة الفعل إلیهما شائعة،و لذا لا یتبادر من قوله:«باع فلان ملکه الکذائی» کونه مباشراً للصیغة.و عدم الحِنث بمجرّد التوکیل فی إجراء الصیغة ممنوعٌ.</w:t>
      </w:r>
    </w:p>
    <w:p>
      <w:pPr>
        <w:pStyle w:val="BookText"/>
      </w:pPr>
      <w:r>
        <w:rPr>
          <w:rFonts w:ascii="IRNazanin" w:hAnsi="IRNazanin" w:eastAsia="IRNazanin" w:cs="IRNazanin"/>
          <w:lang w:bidi="fa-IR"/>
          <w:color w:val="111111"/>
          <w:sz w:val="28"/>
          <w:szCs w:val="28"/>
          <w:rtl/>
        </w:rPr>
        <w:t xml:space="preserve">فالأقوی ثبوته لهما و لکن مع حضورهما فی مجلس العقد،و المراد به مجلسهما المضاف عرفاً إلی العقد،فلو جلس هذا فی مکانٍ و ذاک فی مکانٍ آخر فاطّلعا علی عقد الوکیلین،فمجرّد ذلک لا یوجب الخیار لهما، إلّا إذا صدق کون مکانیهما مجلساً لذلک العقد،بحیث یکون الوکیلان ک:لسانی الموکّلین،و العبرة بافتراق الموکّلین عن هذا المجلس لا بالوکیلین.</w:t>
      </w:r>
    </w:p>
    <w:p>
      <w:pPr>
        <w:pStyle w:val="BookText"/>
      </w:pPr>
      <w:r>
        <w:rPr>
          <w:rFonts w:ascii="IRNazanin" w:hAnsi="IRNazanin" w:eastAsia="IRNazanin" w:cs="IRNazanin"/>
          <w:lang w:bidi="fa-IR"/>
          <w:color w:val="111111"/>
          <w:sz w:val="28"/>
          <w:szCs w:val="28"/>
          <w:rtl/>
        </w:rPr>
        <w:t xml:space="preserve">هذا کلّه إن کان وکیلاً فی مجرّد إیقاع العقد.</w:t>
      </w:r>
    </w:p>
    <w:p>
      <w:pPr>
        <w:pStyle w:val="Heading6"/>
      </w:pPr>
      <w:bookmarkStart w:id="1167" w:name="_Toc607"/>
      <w:r>
        <w:t>[2-أن یکون وکیلا مستقلا فی التصرف المالی]</w:t>
      </w:r>
      <w:bookmarkEnd w:id="1167"/>
    </w:p>
    <w:p>
      <w:pPr>
        <w:pStyle w:val="BookText"/>
      </w:pPr>
      <w:r>
        <w:rPr>
          <w:rFonts w:ascii="IRNazanin" w:hAnsi="IRNazanin" w:eastAsia="IRNazanin" w:cs="IRNazanin"/>
          <w:lang w:bidi="fa-IR"/>
          <w:color w:val="111111"/>
          <w:sz w:val="28"/>
          <w:szCs w:val="28"/>
          <w:rtl/>
        </w:rPr>
        <w:t xml:space="preserve">و إن کان وکیلاً فی التصرّف المالی کأکثر الوکلاء،فإن کان مستقلا فی التصرّف فی مال الموکّل بحیث یشمل فسخ المعاوضة بعد تحقّقها نظیر العامل فی القراض و أولیاء القاصرین فالظاهر ثبوت الخیار له،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لعموم النصّ.</w:t>
      </w:r>
    </w:p>
    <w:p>
      <w:pPr>
        <w:pStyle w:val="BookText"/>
      </w:pPr>
      <w:r>
        <w:rPr>
          <w:rFonts w:ascii="IRNazanin" w:hAnsi="IRNazanin" w:eastAsia="IRNazanin" w:cs="IRNazanin"/>
          <w:lang w:bidi="fa-IR"/>
          <w:color w:val="111111"/>
          <w:sz w:val="28"/>
          <w:szCs w:val="28"/>
          <w:rtl/>
        </w:rPr>
        <w:t xml:space="preserve">و دعوی تبادر المالکین ممنوعةٌ،خصوصاً إذا استندت إلی الغلبة، فإنّ معاملة الوکلاء و الأولیاء لا تحصی.</w:t>
      </w:r>
    </w:p>
    <w:p>
      <w:pPr>
        <w:pStyle w:val="BookText"/>
      </w:pPr>
      <w:r>
        <w:rPr>
          <w:rFonts w:ascii="IRNazanin" w:hAnsi="IRNazanin" w:eastAsia="IRNazanin" w:cs="IRNazanin"/>
          <w:lang w:bidi="fa-IR"/>
          <w:color w:val="111111"/>
          <w:sz w:val="28"/>
          <w:szCs w:val="28"/>
          <w:rtl/>
        </w:rPr>
        <w:t xml:space="preserve">و هل یثبت للموکّلین أیضاً مع حضورهما کما تقدّم عن التذکرة </w:t>
      </w:r>
      <w:r>
        <w:rPr>
          <w:rStyle w:val="FootnoteReference"/>
        </w:rPr>
        <w:footnoteReference w:id="2572"/>
      </w:r>
      <w:r>
        <w:rPr>
          <w:rFonts w:ascii="Amiri" w:hAnsi="Amiri" w:eastAsia="Amiri" w:cs="Amiri"/>
          <w:lang w:bidi="ar-SA"/>
          <w:color w:val="111111"/>
          <w:sz w:val="28"/>
          <w:szCs w:val="28"/>
          <w:rtl/>
        </w:rPr>
        <w:t xml:space="preserve">؟ إشکالٌ:</w:t>
      </w:r>
    </w:p>
    <w:p>
      <w:pPr>
        <w:pStyle w:val="BookText"/>
      </w:pPr>
      <w:r>
        <w:rPr>
          <w:rFonts w:ascii="IRNazanin" w:hAnsi="IRNazanin" w:eastAsia="IRNazanin" w:cs="IRNazanin"/>
          <w:lang w:bidi="fa-IR"/>
          <w:color w:val="111111"/>
          <w:sz w:val="28"/>
          <w:szCs w:val="28"/>
          <w:rtl/>
        </w:rPr>
        <w:t xml:space="preserve">من تبادر المتعاقدین من النصّ،و قد تقدّم عدم حِنث الحالف علی ترک البیع ببیع وکیله.</w:t>
      </w:r>
    </w:p>
    <w:p>
      <w:pPr>
        <w:pStyle w:val="BookText"/>
      </w:pPr>
      <w:r>
        <w:rPr>
          <w:rFonts w:ascii="IRNazanin" w:hAnsi="IRNazanin" w:eastAsia="IRNazanin" w:cs="IRNazanin"/>
          <w:lang w:bidi="fa-IR"/>
          <w:color w:val="111111"/>
          <w:sz w:val="28"/>
          <w:szCs w:val="28"/>
          <w:rtl/>
        </w:rPr>
        <w:t xml:space="preserve">و من أنّ المستفاد من أدلّة سائر الخیارات و خیار الحیوان المقرون بهذا الخیار فی بعض النصوص </w:t>
      </w:r>
      <w:r>
        <w:rPr>
          <w:rStyle w:val="FootnoteReference"/>
        </w:rPr>
        <w:footnoteReference w:id="2573"/>
      </w:r>
      <w:r>
        <w:rPr>
          <w:rFonts w:ascii="Amiri" w:hAnsi="Amiri" w:eastAsia="Amiri" w:cs="Amiri"/>
          <w:lang w:bidi="ar-SA"/>
          <w:color w:val="111111"/>
          <w:sz w:val="28"/>
          <w:szCs w:val="28"/>
          <w:rtl/>
        </w:rPr>
        <w:t xml:space="preserve">:کون الخیار حقّا لصاحب المال،شُرّع </w:t>
      </w:r>
      <w:r>
        <w:rPr>
          <w:rStyle w:val="FootnoteReference"/>
        </w:rPr>
        <w:footnoteReference w:id="2574"/>
      </w:r>
      <w:r>
        <w:rPr>
          <w:rFonts w:ascii="IRNazanin" w:hAnsi="IRNazanin" w:eastAsia="IRNazanin" w:cs="IRNazanin"/>
          <w:lang w:bidi="fa-IR"/>
          <w:color w:val="111111"/>
          <w:sz w:val="28"/>
          <w:szCs w:val="28"/>
          <w:rtl/>
        </w:rPr>
        <w:t xml:space="preserve">إرفاقاً له،و أنّ ثبوته للوکیل لکونه نائباً عنه یستلزم ثبوته للمنوب عنه، إلّا أن یدّعی مدخلیّة المباشرة للعقد،فلا یثبت لغیر المباشر.</w:t>
      </w:r>
    </w:p>
    <w:p>
      <w:pPr>
        <w:pStyle w:val="BookText"/>
      </w:pPr>
      <w:r>
        <w:rPr>
          <w:rFonts w:ascii="IRNazanin" w:hAnsi="IRNazanin" w:eastAsia="IRNazanin" w:cs="IRNazanin"/>
          <w:lang w:bidi="fa-IR"/>
          <w:color w:val="111111"/>
          <w:sz w:val="28"/>
          <w:szCs w:val="28"/>
          <w:rtl/>
        </w:rPr>
        <w:t xml:space="preserve">و لکن الوجه الأخیر لا یخلو عن قوّةٍ.</w:t>
      </w:r>
    </w:p>
    <w:p>
      <w:pPr>
        <w:pStyle w:val="BookText"/>
      </w:pPr>
      <w:r>
        <w:rPr>
          <w:rFonts w:ascii="IRNazanin" w:hAnsi="IRNazanin" w:eastAsia="IRNazanin" w:cs="IRNazanin"/>
          <w:lang w:bidi="fa-IR"/>
          <w:color w:val="111111"/>
          <w:sz w:val="28"/>
          <w:szCs w:val="28"/>
          <w:rtl/>
        </w:rPr>
        <w:t xml:space="preserve">و حینئذٍ فقد یتحقّق فی عقدٍ واحدٍ الخیار لأشخاصٍ کثیرةٍ من طرفٍ واحدٍ أو من الطرفین،فکلّ من سبق من أهل الطرف الواحد إلی إعماله نفذ و سقط خیار الباقین بلزوم العقد أو بانفساخه،و لیس المقام من تقدیم الفاسخ علی المجیز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00" w:name="pg14419_167313"/>
    <w:bookmarkEnd w:id="300"/>
    <w:p>
      <w:pPr>
        <w:pStyle w:val="BookText"/>
      </w:pPr>
      <w:r>
        <w:rPr>
          <w:rFonts w:ascii="IRNazanin" w:hAnsi="IRNazanin" w:eastAsia="IRNazanin" w:cs="IRNazanin"/>
          <w:lang w:bidi="fa-IR"/>
          <w:color w:val="111111"/>
          <w:sz w:val="28"/>
          <w:szCs w:val="28"/>
          <w:rtl/>
        </w:rPr>
        <w:t xml:space="preserve">ثمّ علی المختار من ثبوته للموکِّلین،فهل العبرة فیه بتفرّقهما عن مجلسهما حال العقد،أو عن مجلس العقد،أو بتفرّق المتعاقدین،أو بتفرّق الکلّ،فیکفی بقاء أصیلٍ مع وکیل الآخر </w:t>
      </w:r>
      <w:r>
        <w:rPr>
          <w:rStyle w:val="FootnoteReference"/>
        </w:rPr>
        <w:footnoteReference w:id="2576"/>
      </w:r>
      <w:r>
        <w:rPr>
          <w:rFonts w:ascii="IRNazanin" w:hAnsi="IRNazanin" w:eastAsia="IRNazanin" w:cs="IRNazanin"/>
          <w:lang w:bidi="fa-IR"/>
          <w:color w:val="111111"/>
          <w:sz w:val="28"/>
          <w:szCs w:val="28"/>
          <w:rtl/>
        </w:rPr>
        <w:t xml:space="preserve">فی مجلس العقد؟ وجوهٌ،أقواها الأخیر.</w:t>
      </w:r>
    </w:p>
    <w:p>
      <w:pPr>
        <w:pStyle w:val="Heading6"/>
      </w:pPr>
      <w:bookmarkStart w:id="1168" w:name="_Toc608"/>
      <w:r>
        <w:t>[3-أن لا یکون مستقلا فی التصرف]</w:t>
      </w:r>
      <w:bookmarkEnd w:id="11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إن لم یکن مستقلا فی التصرّف فی مال الموکّل قبل العقد و بعده،بل کان وکیلاً فی التصرّف علی وجه المعاوضة کما إذا قال له:اشتر لی عبداً فالظاهر حینئذٍ عدم الخیار للوکیل،لا لانصراف الإطلاق إلی غیر ذلک،بل لما ذکرنا فی القسم الأوّل </w:t>
      </w:r>
      <w:r>
        <w:rPr>
          <w:rStyle w:val="FootnoteReference"/>
        </w:rPr>
        <w:footnoteReference w:id="2577"/>
      </w:r>
      <w:r>
        <w:rPr>
          <w:rFonts w:ascii="IRNazanin" w:hAnsi="IRNazanin" w:eastAsia="IRNazanin" w:cs="IRNazanin"/>
          <w:lang w:bidi="fa-IR"/>
          <w:color w:val="111111"/>
          <w:sz w:val="28"/>
          <w:szCs w:val="28"/>
          <w:rtl/>
        </w:rPr>
        <w:t xml:space="preserve">:من أنّ إطلاق أدلّة الخیار مسوقٌ لإفادة سلطنة کلٍّ من العاقدین علی ما نقله عنه بعد الفراغ عن تمکّنه من ردّ ما انتقل إلیه،فلا تنهض لإثبات هذا التمکّن عند الشکّ فیه،و لا لتخصیص ما دلّ علی سلطنة الموکّل علی ما انتقل إلیه المستلزمة لعدم جواز تصرّف الوکیل فیه بردّه إلی مالکه الأصلی.</w:t>
      </w:r>
    </w:p>
    <w:p>
      <w:pPr>
        <w:pStyle w:val="BookText"/>
      </w:pPr>
      <w:r>
        <w:rPr>
          <w:rFonts w:ascii="IRNazanin" w:hAnsi="IRNazanin" w:eastAsia="IRNazanin" w:cs="IRNazanin"/>
          <w:lang w:bidi="fa-IR"/>
          <w:color w:val="111111"/>
          <w:sz w:val="28"/>
          <w:szCs w:val="28"/>
          <w:rtl/>
        </w:rPr>
        <w:t xml:space="preserve">و فی ثبوته للموکّلین ما تقدّم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اعتبار الافتراق عن مجلس العقد کما عرفت فی سابقه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6"/>
      </w:pPr>
      <w:bookmarkStart w:id="1169" w:name="_Toc609"/>
      <w:r>
        <w:t>[هل للموکل تفویض حق الخیار إلی الوکیل؟]</w:t>
      </w:r>
      <w:bookmarkEnd w:id="1169"/>
    </w:p>
    <w:p>
      <w:pPr>
        <w:pStyle w:val="BookText"/>
      </w:pPr>
      <w:r>
        <w:rPr>
          <w:rFonts w:ascii="IRNazanin" w:hAnsi="IRNazanin" w:eastAsia="IRNazanin" w:cs="IRNazanin"/>
          <w:lang w:bidi="fa-IR"/>
          <w:color w:val="111111"/>
          <w:sz w:val="28"/>
          <w:szCs w:val="28"/>
          <w:rtl/>
        </w:rPr>
        <w:t xml:space="preserve">ثمّ هل للموکّل بناءً علی ثبوت الخیار له تفویض الأمر إلی الوکیل بحیث یصیر ذا حقٍّ خیاری؟الأقوی العدم؛لأنّ المتیقّن من</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01" w:name="pg14419_167314"/>
    <w:bookmarkEnd w:id="301"/>
    <w:p>
      <w:pPr>
        <w:pStyle w:val="BookText"/>
      </w:pPr>
      <w:r>
        <w:rPr>
          <w:rFonts w:ascii="IRNazanin" w:hAnsi="IRNazanin" w:eastAsia="IRNazanin" w:cs="IRNazanin"/>
          <w:lang w:bidi="fa-IR"/>
          <w:color w:val="111111"/>
          <w:sz w:val="28"/>
          <w:szCs w:val="28"/>
          <w:rtl/>
        </w:rPr>
        <w:t xml:space="preserve">الدلیل ثبوت الخیار للعاقد فی صورة القول به عند العقد لا لحوقه له بعده.نعم،یمکن توکیله فی الفسخ أو فی مطلق التصرّف فسخاً أو التزاماً.</w:t>
      </w:r>
    </w:p>
    <w:p>
      <w:pPr>
        <w:pStyle w:val="Heading6"/>
      </w:pPr>
      <w:bookmarkStart w:id="1170" w:name="_Toc610"/>
      <w:r>
        <w:t>[عدم ثبوت الخیار للفضولی]</w:t>
      </w:r>
      <w:bookmarkEnd w:id="1170"/>
    </w:p>
    <w:p>
      <w:pPr>
        <w:pStyle w:val="BookText"/>
      </w:pPr>
      <w:r>
        <w:rPr>
          <w:rFonts w:ascii="IRNazanin" w:hAnsi="IRNazanin" w:eastAsia="IRNazanin" w:cs="IRNazanin"/>
          <w:lang w:bidi="fa-IR"/>
          <w:color w:val="111111"/>
          <w:sz w:val="28"/>
          <w:szCs w:val="28"/>
          <w:rtl/>
        </w:rPr>
        <w:t xml:space="preserve">و ممّا ذکرنا اتّضح عدم ثبوت الخیار للفضولیّین و إن جعلنا الإجازة کاشفةً،لا لعدم صدق«المتبایعین»؛لأنّ البیع النقل و لا نقل هنا-کما قیل </w:t>
      </w:r>
      <w:r>
        <w:rPr>
          <w:rStyle w:val="FootnoteReference"/>
        </w:rPr>
        <w:footnoteReference w:id="2580"/>
      </w:r>
      <w:r>
        <w:rPr>
          <w:rFonts w:ascii="IRNazanin" w:hAnsi="IRNazanin" w:eastAsia="IRNazanin" w:cs="IRNazanin"/>
          <w:lang w:bidi="fa-IR"/>
          <w:color w:val="111111"/>
          <w:sz w:val="28"/>
          <w:szCs w:val="28"/>
          <w:rtl/>
        </w:rPr>
        <w:t xml:space="preserve">-لاندفاعه بأنّ البیع النقل العرفی،و هو موجودٌ هنا.</w:t>
      </w:r>
    </w:p>
    <w:p>
      <w:pPr>
        <w:pStyle w:val="BookText"/>
      </w:pPr>
      <w:r>
        <w:rPr>
          <w:rFonts w:ascii="IRNazanin" w:hAnsi="IRNazanin" w:eastAsia="IRNazanin" w:cs="IRNazanin"/>
          <w:lang w:bidi="fa-IR"/>
          <w:color w:val="111111"/>
          <w:sz w:val="28"/>
          <w:szCs w:val="28"/>
          <w:rtl/>
        </w:rPr>
        <w:t xml:space="preserve">نعم،ربما کان ظاهر الأخبار حصول الملک شرعاً بالبیع،و هذا المعنی منتفٍ فی الفضولی قبل الإجازة.</w:t>
      </w:r>
    </w:p>
    <w:p>
      <w:pPr>
        <w:pStyle w:val="BookText"/>
      </w:pPr>
      <w:r>
        <w:rPr>
          <w:rFonts w:ascii="IRNazanin" w:hAnsi="IRNazanin" w:eastAsia="IRNazanin" w:cs="IRNazanin"/>
          <w:lang w:bidi="fa-IR"/>
          <w:color w:val="111111"/>
          <w:sz w:val="28"/>
          <w:szCs w:val="28"/>
          <w:rtl/>
        </w:rPr>
        <w:t xml:space="preserve">و یندفع أیضاً:بأنّ مقتضی ذلک عدم الخیار فی الصرف و السلم قبل القبض،مع أنّ هذا المعنی لا یصحّ علی مذهب الشیخ القائل بتوقّف الملک علی انقضاء الخیار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فالوجه فی عدم ثبوته للفضولیّین فحوی ما تقدّم:من عدم ثبوته للوکیلین الغیر المستقلّین </w:t>
      </w:r>
      <w:r>
        <w:rPr>
          <w:rStyle w:val="FootnoteReference"/>
        </w:rPr>
        <w:footnoteReference w:id="2582"/>
      </w:r>
      <w:r>
        <w:rPr>
          <w:rFonts w:ascii="IRNazanin" w:hAnsi="IRNazanin" w:eastAsia="IRNazanin" w:cs="IRNazanin"/>
          <w:lang w:bidi="fa-IR"/>
          <w:color w:val="111111"/>
          <w:sz w:val="28"/>
          <w:szCs w:val="28"/>
          <w:rtl/>
        </w:rPr>
        <w:t xml:space="preserve">.نعم،فی ثبوته للمالکین بعد الإجازة مع حضورهما فی مجلس العقد وجهٌ.و اعتبار مجلس الإجازة علی القول بالنقل،له وجهٌ.خصوصاً علی القول بأنّ الإجازة عقدٌ مستأنف، علی ما تقدّم توضیحه فی مسألة عقد الفضولی </w:t>
      </w:r>
      <w:r>
        <w:rPr>
          <w:rStyle w:val="FootnoteReference"/>
        </w:rPr>
        <w:footnoteReference w:id="2583"/>
      </w:r>
      <w:r>
        <w:rPr>
          <w:rFonts w:ascii="IRNazanin" w:hAnsi="IRNazanin" w:eastAsia="IRNazanin" w:cs="IRNazanin"/>
          <w:lang w:bidi="fa-IR"/>
          <w:color w:val="111111"/>
          <w:sz w:val="28"/>
          <w:szCs w:val="28"/>
          <w:rtl/>
        </w:rPr>
        <w:t xml:space="preserve">.و یکفی حینئذٍ الإنشاء أصالةً من أحدهما،و الإجازة من الآخر إذا جمعهما مجلسٌ</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عرفاً.نعم،یحتمل فی أصل[المسألة </w:t>
      </w:r>
      <w:r>
        <w:rPr>
          <w:rStyle w:val="FootnoteReference"/>
        </w:rPr>
        <w:footnoteReference w:id="2584"/>
      </w:r>
      <w:r>
        <w:rPr>
          <w:rFonts w:ascii="IRNazanin" w:hAnsi="IRNazanin" w:eastAsia="IRNazanin" w:cs="IRNazanin"/>
          <w:lang w:bidi="fa-IR"/>
          <w:color w:val="111111"/>
          <w:sz w:val="28"/>
          <w:szCs w:val="28"/>
          <w:rtl/>
        </w:rPr>
        <w:t xml:space="preserve">]أن تکون الإجازة من المجیز التزاماً بالعقد،فلا خیار بعدها خصوصاً إذا کانت بلفظ«التزمت»، فتأمّل.</w:t>
      </w:r>
    </w:p>
    <w:p>
      <w:pPr>
        <w:pStyle w:val="BookText"/>
      </w:pPr>
      <w:r>
        <w:rPr>
          <w:rFonts w:ascii="IRNazanin" w:hAnsi="IRNazanin" w:eastAsia="IRNazanin" w:cs="IRNazanin"/>
          <w:lang w:bidi="fa-IR"/>
          <w:color w:val="111111"/>
          <w:sz w:val="28"/>
          <w:szCs w:val="28"/>
          <w:rtl/>
        </w:rPr>
        <w:t xml:space="preserve">و لا فرق فی الفضولیّین بین الغاصب و غیره،فلو تبایع غاصبان ثمّ تفاسخا لم یزُل العقد عن قابلیّة لحوق الإجازة،بخلاف ما لو ردّ الموجب منهما قبل قبول الآخر،لاختلال صورة المعاقدة،و اللّٰه العالم.</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02" w:name="pg14419_167316"/>
    <w:bookmarkEnd w:id="302"/>
    <w:p>
      <w:pPr>
        <w:pStyle w:val="Heading6"/>
      </w:pPr>
      <w:bookmarkStart w:id="1171" w:name="_Toc611"/>
      <w:r>
        <w:t>مسألة : [هل یثبت الخیار إذا کان العاقد واحدا؟]</w:t>
      </w:r>
      <w:bookmarkEnd w:id="1171"/>
    </w:p>
    <w:p>
      <w:pPr>
        <w:pStyle w:val="BookText"/>
      </w:pPr>
      <w:r>
        <w:rPr>
          <w:rFonts w:ascii="IRNazanin" w:hAnsi="IRNazanin" w:eastAsia="IRNazanin" w:cs="IRNazanin"/>
          <w:lang w:bidi="fa-IR"/>
          <w:color w:val="111111"/>
          <w:sz w:val="28"/>
          <w:szCs w:val="28"/>
          <w:rtl/>
        </w:rPr>
        <w:t xml:space="preserve">لو کان العاقد واحداً لنفسه أو غیره عن نفسه أو غیره ولایةً أو وکالةً علی وجهٍ یثبت له الخیار مع التعدّد بأن کان ولیّاً أو وکیلاً مستقلا فی التصرّف فالمحکیّ عن ظاهر الخلاف و القاضی و المحقّق </w:t>
      </w:r>
      <w:r>
        <w:rPr>
          <w:rStyle w:val="FootnoteReference"/>
        </w:rPr>
        <w:footnoteReference w:id="2585"/>
      </w:r>
      <w:r>
        <w:rPr>
          <w:rFonts w:ascii="Amiri" w:hAnsi="Amiri" w:eastAsia="Amiri" w:cs="Amiri"/>
          <w:lang w:bidi="ar-SA"/>
          <w:color w:val="111111"/>
          <w:sz w:val="28"/>
          <w:szCs w:val="28"/>
          <w:rtl/>
        </w:rPr>
        <w:t xml:space="preserve">و العلّامة </w:t>
      </w:r>
      <w:r>
        <w:rPr>
          <w:rStyle w:val="FootnoteReference"/>
        </w:rPr>
        <w:footnoteReference w:id="2586"/>
      </w:r>
      <w:r>
        <w:rPr>
          <w:rFonts w:ascii="IRNazanin" w:hAnsi="IRNazanin" w:eastAsia="IRNazanin" w:cs="IRNazanin"/>
          <w:lang w:bidi="fa-IR"/>
          <w:color w:val="111111"/>
          <w:sz w:val="28"/>
          <w:szCs w:val="28"/>
          <w:rtl/>
        </w:rPr>
        <w:t xml:space="preserve">و الشهیدین </w:t>
      </w:r>
      <w:r>
        <w:rPr>
          <w:rStyle w:val="FootnoteReference"/>
        </w:rPr>
        <w:footnoteReference w:id="2587"/>
      </w:r>
      <w:r>
        <w:rPr>
          <w:rFonts w:ascii="IRNazanin" w:hAnsi="IRNazanin" w:eastAsia="IRNazanin" w:cs="IRNazanin"/>
          <w:lang w:bidi="fa-IR"/>
          <w:color w:val="111111"/>
          <w:sz w:val="28"/>
          <w:szCs w:val="28"/>
          <w:rtl/>
        </w:rPr>
        <w:t xml:space="preserve">و المحقّق الثانی </w:t>
      </w:r>
      <w:r>
        <w:rPr>
          <w:rStyle w:val="FootnoteReference"/>
        </w:rPr>
        <w:footnoteReference w:id="2588"/>
      </w:r>
      <w:r>
        <w:rPr>
          <w:rFonts w:ascii="IRNazanin" w:hAnsi="IRNazanin" w:eastAsia="IRNazanin" w:cs="IRNazanin"/>
          <w:lang w:bidi="fa-IR"/>
          <w:color w:val="111111"/>
          <w:sz w:val="28"/>
          <w:szCs w:val="28"/>
          <w:rtl/>
        </w:rPr>
        <w:t xml:space="preserve">و المحقّق المیسی </w:t>
      </w:r>
      <w:r>
        <w:rPr>
          <w:rStyle w:val="FootnoteReference"/>
        </w:rPr>
        <w:footnoteReference w:id="2589"/>
      </w:r>
      <w:r>
        <w:rPr>
          <w:rFonts w:ascii="IRNazanin" w:hAnsi="IRNazanin" w:eastAsia="IRNazanin" w:cs="IRNazanin"/>
          <w:lang w:bidi="fa-IR"/>
          <w:color w:val="111111"/>
          <w:sz w:val="28"/>
          <w:szCs w:val="28"/>
          <w:rtl/>
        </w:rPr>
        <w:t xml:space="preserve">و الصیمری </w:t>
      </w:r>
      <w:r>
        <w:rPr>
          <w:rStyle w:val="FootnoteReference"/>
        </w:rPr>
        <w:footnoteReference w:id="2590"/>
      </w:r>
      <w:r>
        <w:rPr>
          <w:rFonts w:ascii="IRNazanin" w:hAnsi="IRNazanin" w:eastAsia="IRNazanin" w:cs="IRNazanin"/>
          <w:lang w:bidi="fa-IR"/>
          <w:color w:val="111111"/>
          <w:sz w:val="28"/>
          <w:szCs w:val="28"/>
          <w:rtl/>
        </w:rPr>
        <w:t xml:space="preserve">و غیرهم،ثبوتُ هذا الخیار له عن الاثنین؛لأنّه بائعٌ و مشترٍ،فله ما لکلٍّ منهما کسائر أحکامهما الثابتة لهما من حیث کونهما متبایعین.</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احتمال کون الخیار لکلٍّ منهما بشرط انفراده بإنشائه فلا یثبت مع قیام العنوانین بشخصٍ واحد،مندفعٌ باستقرار سائر أحکام المتبایعین، و جعل الغایة التفرّق المستلزم للتعدّد مبنیٌّ علی الغالب.</w:t>
      </w:r>
    </w:p>
    <w:p>
      <w:pPr>
        <w:pStyle w:val="BookText"/>
      </w:pPr>
      <w:r>
        <w:rPr>
          <w:rFonts w:ascii="IRNazanin" w:hAnsi="IRNazanin" w:eastAsia="IRNazanin" w:cs="IRNazanin"/>
          <w:lang w:bidi="fa-IR"/>
          <w:color w:val="111111"/>
          <w:sz w:val="28"/>
          <w:szCs w:val="28"/>
          <w:rtl/>
        </w:rPr>
        <w:t xml:space="preserve">خلافاً للمحکیّ فی التحریر من القول بالعدم </w:t>
      </w:r>
      <w:r>
        <w:rPr>
          <w:rStyle w:val="FootnoteReference"/>
        </w:rPr>
        <w:footnoteReference w:id="2591"/>
      </w:r>
      <w:r>
        <w:rPr>
          <w:rFonts w:ascii="Amiri" w:hAnsi="Amiri" w:eastAsia="Amiri" w:cs="Amiri"/>
          <w:lang w:bidi="ar-SA"/>
          <w:color w:val="111111"/>
          <w:sz w:val="28"/>
          <w:szCs w:val="28"/>
          <w:rtl/>
        </w:rPr>
        <w:t xml:space="preserve">،و استقربه فخر الدین قدّس اللّٰه سرّه </w:t>
      </w:r>
      <w:r>
        <w:rPr>
          <w:rStyle w:val="FootnoteReference"/>
        </w:rPr>
        <w:footnoteReference w:id="2592"/>
      </w:r>
      <w:r>
        <w:rPr>
          <w:rFonts w:ascii="IRNazanin" w:hAnsi="IRNazanin" w:eastAsia="IRNazanin" w:cs="IRNazanin"/>
          <w:lang w:bidi="fa-IR"/>
          <w:color w:val="111111"/>
          <w:sz w:val="28"/>
          <w:szCs w:val="28"/>
          <w:rtl/>
        </w:rPr>
        <w:t xml:space="preserve">،و مال إلیه المحقّق الأردبیلی </w:t>
      </w:r>
      <w:r>
        <w:rPr>
          <w:rStyle w:val="FootnoteReference"/>
        </w:rPr>
        <w:footnoteReference w:id="2593"/>
      </w:r>
      <w:r>
        <w:rPr>
          <w:rFonts w:ascii="IRNazanin" w:hAnsi="IRNazanin" w:eastAsia="IRNazanin" w:cs="IRNazanin"/>
          <w:lang w:bidi="fa-IR"/>
          <w:color w:val="111111"/>
          <w:sz w:val="28"/>
          <w:szCs w:val="28"/>
          <w:rtl/>
        </w:rPr>
        <w:t xml:space="preserve">و الفاضل الخراسانی </w:t>
      </w:r>
      <w:r>
        <w:rPr>
          <w:rStyle w:val="FootnoteReference"/>
        </w:rPr>
        <w:footnoteReference w:id="2594"/>
      </w:r>
      <w:r>
        <w:rPr>
          <w:rFonts w:ascii="IRNazanin" w:hAnsi="IRNazanin" w:eastAsia="IRNazanin" w:cs="IRNazanin"/>
          <w:lang w:bidi="fa-IR"/>
          <w:color w:val="111111"/>
          <w:sz w:val="28"/>
          <w:szCs w:val="28"/>
          <w:rtl/>
        </w:rPr>
        <w:t xml:space="preserve">و المحدّث البحرانی </w:t>
      </w:r>
      <w:r>
        <w:rPr>
          <w:rStyle w:val="FootnoteReference"/>
        </w:rPr>
        <w:footnoteReference w:id="2595"/>
      </w:r>
      <w:r>
        <w:rPr>
          <w:rFonts w:ascii="IRNazanin" w:hAnsi="IRNazanin" w:eastAsia="IRNazanin" w:cs="IRNazanin"/>
          <w:lang w:bidi="fa-IR"/>
          <w:color w:val="111111"/>
          <w:sz w:val="28"/>
          <w:szCs w:val="28"/>
          <w:rtl/>
        </w:rPr>
        <w:t xml:space="preserve">،و استظهره بعض الأفاضل ممّن عاصرناهم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عن قوّةٍ بالنظر إلی ظاهر النصّ؛لأنّ الموضوع فیه صورة التعدّد،و الغایة فیه الافتراق المستلزم للتعدّد،و لولاها لأمکن استظهار کون التعدّد فی الموضوع لبیان حکم کلٍّ من البائع و المشتری کسائر أحکامهما؛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إذ لا یفرِّق العرف بین قوله:«المتبایعان کذا»و قوله:</w:t>
      </w:r>
    </w:p>
    <w:p>
      <w:pPr>
        <w:pStyle w:val="BookText"/>
      </w:pPr>
      <w:r>
        <w:rPr>
          <w:rFonts w:ascii="IRNazanin" w:hAnsi="IRNazanin" w:eastAsia="IRNazanin" w:cs="IRNazanin"/>
          <w:lang w:bidi="fa-IR"/>
          <w:color w:val="111111"/>
          <w:sz w:val="28"/>
          <w:szCs w:val="28"/>
          <w:rtl/>
        </w:rPr>
        <w:t xml:space="preserve">«لکلٍّ من البائع و المشتری»،إلّا أنّ التقیید بقوله:«حتّی یفترقا»ظاهرٌ فی اختصاص الحکم بصورة إمکان فرض الغایة،و لا یمکن فرض التفرّق فی غیر المتعدّد.</w:t>
      </w:r>
    </w:p>
    <w:p>
      <w:pPr>
        <w:pStyle w:val="BookText"/>
      </w:pPr>
      <w:r>
        <w:rPr>
          <w:rFonts w:ascii="Amiri" w:hAnsi="Amiri" w:eastAsia="Amiri" w:cs="Amiri"/>
          <w:lang w:bidi="ar-SA"/>
          <w:color w:val="111111"/>
          <w:sz w:val="28"/>
          <w:szCs w:val="28"/>
          <w:rtl/>
        </w:rPr>
        <w:t xml:space="preserve">و منه یظهر سقوط القول بأنّ کلمة«حتّی»تدخل علی الممکن و المستحیل،إلّا أن یدّعی أنّ التفرّق غایةٌ مختصّةٌ بصورة التعدّد،</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مخصّصةٌ للحکم بها.</w:t>
      </w:r>
    </w:p>
    <w:p>
      <w:pPr>
        <w:pStyle w:val="BookText"/>
      </w:pPr>
      <w:r>
        <w:rPr>
          <w:rFonts w:ascii="IRNazanin" w:hAnsi="IRNazanin" w:eastAsia="IRNazanin" w:cs="IRNazanin"/>
          <w:lang w:bidi="fa-IR"/>
          <w:color w:val="111111"/>
          <w:sz w:val="28"/>
          <w:szCs w:val="28"/>
          <w:rtl/>
        </w:rPr>
        <w:t xml:space="preserve">و بالجملة،فحکم المشهور بالنظر إلی ظاهر اللفظ مشکلٌ.نعم، لا یبعد بَعد تنقیح المناط،لکن الإشکال فیه.و الأولی التوقّف،تبعاً للتحریر و جامع المقاصد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قلنا بالخیار،فالظاهر بقاؤه إلی أن یسقط بأحد المسقطات غیر التفرّق.</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03" w:name="pg14419_167319"/>
    <w:bookmarkEnd w:id="303"/>
    <w:p>
      <w:pPr>
        <w:pStyle w:val="Heading6"/>
      </w:pPr>
      <w:bookmarkStart w:id="1172" w:name="_Toc612"/>
      <w:r>
        <w:t>مسألة : قد یستثنی بعض أشخاص المبیع عن عموم ثبوت هذا الخیار</w:t>
      </w:r>
      <w:bookmarkEnd w:id="1172"/>
    </w:p>
    <w:p>
      <w:pPr>
        <w:pStyle w:val="Heading6"/>
      </w:pPr>
      <w:bookmarkStart w:id="1173" w:name="_Toc613"/>
      <w:r>
        <w:t>منها : من ینعتق علی أحد المتبایعین</w:t>
      </w:r>
      <w:bookmarkEnd w:id="1173"/>
    </w:p>
    <w:p>
      <w:pPr>
        <w:pStyle w:val="BookText"/>
      </w:pPr>
      <w:r>
        <w:rPr>
          <w:rFonts w:ascii="IRNazanin" w:hAnsi="IRNazanin" w:eastAsia="IRNazanin" w:cs="IRNazanin"/>
          <w:lang w:bidi="fa-IR"/>
          <w:color w:val="111111"/>
          <w:sz w:val="28"/>
          <w:szCs w:val="28"/>
          <w:rtl/>
        </w:rPr>
        <w:t xml:space="preserve">و المشهور کما قیل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الخیار مطلقاً،بل عن ظاهر المسالک أنّه محلّ وفاق </w:t>
      </w:r>
      <w:r>
        <w:rPr>
          <w:rStyle w:val="FootnoteReference"/>
        </w:rPr>
        <w:footnoteReference w:id="2599"/>
      </w:r>
      <w:r>
        <w:rPr>
          <w:rFonts w:ascii="IRNazanin" w:hAnsi="IRNazanin" w:eastAsia="IRNazanin" w:cs="IRNazanin"/>
          <w:lang w:bidi="fa-IR"/>
          <w:color w:val="111111"/>
          <w:sz w:val="28"/>
          <w:szCs w:val="28"/>
          <w:rtl/>
        </w:rPr>
        <w:t xml:space="preserve">.و احتمل فی الدروس ثبوت الخیار للبائع </w:t>
      </w:r>
      <w:r>
        <w:rPr>
          <w:rStyle w:val="FootnoteReference"/>
        </w:rPr>
        <w:footnoteReference w:id="2600"/>
      </w:r>
      <w:r>
        <w:rPr>
          <w:rFonts w:ascii="IRNazanin" w:hAnsi="IRNazanin" w:eastAsia="IRNazanin" w:cs="IRNazanin"/>
          <w:lang w:bidi="fa-IR"/>
          <w:color w:val="111111"/>
          <w:sz w:val="28"/>
          <w:szCs w:val="28"/>
          <w:rtl/>
        </w:rPr>
        <w:t xml:space="preserve">.و الکلام فیه مبنیٌّ علی قول المشهور:</w:t>
      </w:r>
    </w:p>
    <w:p>
      <w:pPr>
        <w:pStyle w:val="BookText"/>
      </w:pPr>
      <w:r>
        <w:rPr>
          <w:rFonts w:ascii="IRNazanin" w:hAnsi="IRNazanin" w:eastAsia="IRNazanin" w:cs="IRNazanin"/>
          <w:lang w:bidi="fa-IR"/>
          <w:color w:val="111111"/>
          <w:sz w:val="28"/>
          <w:szCs w:val="28"/>
          <w:rtl/>
        </w:rPr>
        <w:t xml:space="preserve">من عدم توقّف الملک علی انقضاء الخیار،و إلّا فلا إشکال فی ثبوت الخیار.</w:t>
      </w:r>
    </w:p>
    <w:p>
      <w:pPr>
        <w:pStyle w:val="BookText"/>
      </w:pPr>
      <w:r>
        <w:rPr>
          <w:rFonts w:ascii="IRNazanin" w:hAnsi="IRNazanin" w:eastAsia="IRNazanin" w:cs="IRNazanin"/>
          <w:lang w:bidi="fa-IR"/>
          <w:color w:val="111111"/>
          <w:sz w:val="28"/>
          <w:szCs w:val="28"/>
          <w:rtl/>
        </w:rPr>
        <w:t xml:space="preserve">و الظاهر أنّه لا إشکال فی عدم ثبوت الخیار بالنسبة إلی نفس العین؛لأنّ مقتضی الأدلّة الانعتاق بمجرّد الملک،و الفسخ بالخیار من حینه لا من أصله،و لا دلیل علی زواله بالفسخ مع قیام الدلیل علی عدم</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الحرّیة بعد تحقّقها إلّا علی احتمالٍ ضعّفه فی التحریر فیما لو ظهر من ینعتق علیه معیباً </w:t>
      </w:r>
      <w:r>
        <w:rPr>
          <w:rStyle w:val="FootnoteReference"/>
        </w:rPr>
        <w:footnoteReference w:id="2601"/>
      </w:r>
      <w:r>
        <w:rPr>
          <w:rFonts w:ascii="Amiri" w:hAnsi="Amiri" w:eastAsia="Amiri" w:cs="Amiri"/>
          <w:lang w:bidi="ar-SA"/>
          <w:color w:val="111111"/>
          <w:sz w:val="28"/>
          <w:szCs w:val="28"/>
          <w:rtl/>
        </w:rPr>
        <w:t xml:space="preserve">مبنیٍّ علی تزلزل العتق.</w:t>
      </w:r>
    </w:p>
    <w:p>
      <w:pPr>
        <w:pStyle w:val="BookText"/>
      </w:pPr>
      <w:r>
        <w:rPr>
          <w:rFonts w:ascii="IRNazanin" w:hAnsi="IRNazanin" w:eastAsia="IRNazanin" w:cs="IRNazanin"/>
          <w:lang w:bidi="fa-IR"/>
          <w:color w:val="111111"/>
          <w:sz w:val="28"/>
          <w:szCs w:val="28"/>
          <w:rtl/>
        </w:rPr>
        <w:t xml:space="preserve">و أمّا الخیار بالنسبة إلی أخذ القیمة،فقد یقال </w:t>
      </w:r>
      <w:r>
        <w:rPr>
          <w:rStyle w:val="FootnoteReference"/>
        </w:rPr>
        <w:footnoteReference w:id="2602"/>
      </w:r>
      <w:r>
        <w:rPr>
          <w:rFonts w:ascii="Amiri" w:hAnsi="Amiri" w:eastAsia="Amiri" w:cs="Amiri"/>
          <w:lang w:bidi="ar-SA"/>
          <w:color w:val="111111"/>
          <w:sz w:val="28"/>
          <w:szCs w:val="28"/>
          <w:rtl/>
        </w:rPr>
        <w:t xml:space="preserve">:[إنّه </w:t>
      </w:r>
      <w:r>
        <w:rPr>
          <w:rStyle w:val="FootnoteReference"/>
        </w:rPr>
        <w:footnoteReference w:id="2603"/>
      </w:r>
      <w:r>
        <w:rPr>
          <w:rFonts w:ascii="IRNazanin" w:hAnsi="IRNazanin" w:eastAsia="IRNazanin" w:cs="IRNazanin"/>
          <w:lang w:bidi="fa-IR"/>
          <w:color w:val="111111"/>
          <w:sz w:val="28"/>
          <w:szCs w:val="28"/>
          <w:rtl/>
        </w:rPr>
        <w:t xml:space="preserve">]مقتضی الجمع بین أدلّة الخیار و دلیل عدم عود الحرّ إلی الرقّیة،فیفرض المنعتق کالتالف،فلمن انتقل إلیه أن یدفع القیمة و یستردّ الثمن.و ما فی التذکرة:</w:t>
      </w:r>
    </w:p>
    <w:p>
      <w:pPr>
        <w:pStyle w:val="BookText"/>
      </w:pPr>
      <w:r>
        <w:rPr>
          <w:rFonts w:ascii="IRNazanin" w:hAnsi="IRNazanin" w:eastAsia="IRNazanin" w:cs="IRNazanin"/>
          <w:lang w:bidi="fa-IR"/>
          <w:color w:val="111111"/>
          <w:sz w:val="28"/>
          <w:szCs w:val="28"/>
          <w:rtl/>
        </w:rPr>
        <w:t xml:space="preserve">من أنّه وطّن نفسه علی الغبن المالی،و المقصود من الخیار أن ینظر و یتروّی لدفع الغبن عن نفسه ممنوعٌ؛لأنّ التوطین علی شرائه عالماً بانعتاقه علیه لیس توطیناً علی الغبن من حیث المعاملة،و کذا لمن انتقل عنه أن یدفع الثمن و یأخذ القیمة.و ما فی التذکرة:من تغلیب جانب العتق </w:t>
      </w:r>
      <w:r>
        <w:rPr>
          <w:rStyle w:val="FootnoteReference"/>
        </w:rPr>
        <w:footnoteReference w:id="2604"/>
      </w:r>
      <w:r>
        <w:rPr>
          <w:rFonts w:ascii="IRNazanin" w:hAnsi="IRNazanin" w:eastAsia="IRNazanin" w:cs="IRNazanin"/>
          <w:lang w:bidi="fa-IR"/>
          <w:color w:val="111111"/>
          <w:sz w:val="28"/>
          <w:szCs w:val="28"/>
          <w:rtl/>
        </w:rPr>
        <w:t xml:space="preserve">إنّما یجدی مانعاً عن دفع العین.</w:t>
      </w:r>
    </w:p>
    <w:p>
      <w:pPr>
        <w:pStyle w:val="BookText"/>
      </w:pPr>
      <w:r>
        <w:rPr>
          <w:rFonts w:ascii="IRNazanin" w:hAnsi="IRNazanin" w:eastAsia="IRNazanin" w:cs="IRNazanin"/>
          <w:lang w:bidi="fa-IR"/>
          <w:color w:val="111111"/>
          <w:sz w:val="28"/>
          <w:szCs w:val="28"/>
          <w:rtl/>
        </w:rPr>
        <w:t xml:space="preserve">لکنّ الإنصاف:أنّه لا وجه للخیار لمن انتقل إلیه؛لأنّ شراءه إتلافٌ له فی الحقیقة و إخراجٌ له عن المالیّة،و سیجیء سقوط الخیار بالإتلاف بل بأدنی تصرّف </w:t>
      </w:r>
      <w:r>
        <w:rPr>
          <w:rStyle w:val="FootnoteReference"/>
        </w:rPr>
        <w:footnoteReference w:id="2605"/>
      </w:r>
      <w:r>
        <w:rPr>
          <w:rFonts w:ascii="IRNazanin" w:hAnsi="IRNazanin" w:eastAsia="IRNazanin" w:cs="IRNazanin"/>
          <w:lang w:bidi="fa-IR"/>
          <w:color w:val="111111"/>
          <w:sz w:val="28"/>
          <w:szCs w:val="28"/>
          <w:rtl/>
        </w:rPr>
        <w:t xml:space="preserve">،فعدم ثبوته به أولی.و منه یظهر عدم ثبوت الخیار لمن انتقل عنه؛لأنّ بیعه ممّن ینعتق علیه إقدامٌ علی إتلافه و إخراجه عن المالیّة.</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الحاصل:أنّا إذا قلنا:إنّ الملک فی من ینعتق علیه تقدیریٌّ لا تحقیقی،فالمعاملة علیه من المتبایعین مواطاةٌ علی إخراجه عن المالیّة، و سلکه فی سلک ما لا یتموّل.لکنّه حسنٌ مع علمهما،فتأمّل.</w:t>
      </w:r>
    </w:p>
    <w:p>
      <w:pPr>
        <w:pStyle w:val="BookText"/>
      </w:pPr>
      <w:r>
        <w:rPr>
          <w:rFonts w:ascii="IRNazanin" w:hAnsi="IRNazanin" w:eastAsia="IRNazanin" w:cs="IRNazanin"/>
          <w:lang w:bidi="fa-IR"/>
          <w:color w:val="111111"/>
          <w:sz w:val="28"/>
          <w:szCs w:val="28"/>
          <w:rtl/>
        </w:rPr>
        <w:t xml:space="preserve">و قد یقال </w:t>
      </w:r>
      <w:r>
        <w:rPr>
          <w:rStyle w:val="FootnoteReference"/>
        </w:rPr>
        <w:footnoteReference w:id="2606"/>
      </w:r>
      <w:r>
        <w:rPr>
          <w:rFonts w:ascii="IRNazanin" w:hAnsi="IRNazanin" w:eastAsia="IRNazanin" w:cs="IRNazanin"/>
          <w:lang w:bidi="fa-IR"/>
          <w:color w:val="111111"/>
          <w:sz w:val="28"/>
          <w:szCs w:val="28"/>
          <w:rtl/>
        </w:rPr>
        <w:t xml:space="preserve">:إنّ ثبوت الخیار لمن انتقل عنه مبنیٌّ علی أنّ الخیار و الانعتاق هل یحصلان بمجرّد البیع أو بعد ثبوت الملک آناً ما،أو الأوّل بالأوّل و الثانی بالثانی،أو العکس؟ فعلی الأوّلین و الأخیر یقوی القول بالعدم؛لأنصیّة أخبار العتق و کون القیمة بدل العین،فیمتنع استحقاقها من دون المبدل،و لسبق تعلّقه علی الأخیر.و یحتمل قریباً الثبوت؛جمعاً بین الحقّین و دفعاً للمنافاة من البین،و عملاً بالنصّین و بالإجماع علی عدم إمکان زوال ید البائع عن العوضین،و تنزیلاً للفسخ منزلة الأرش مع ظهور عیبٍ فی أحدهما، و للعتق منزلة تلف العین،و لأنهم حکموا بجواز الفسخ و الرجوع إلی القیمة فیما إذا باع بشرط العتق فظهر کونه ممّن ینعتق علی المشتری،أو تعیّب بما یوجب ذلک.و الظاهر عدم الفرق بینه و بین المقام.</w:t>
      </w:r>
    </w:p>
    <w:p>
      <w:pPr>
        <w:pStyle w:val="BookText"/>
      </w:pPr>
      <w:r>
        <w:rPr>
          <w:rFonts w:ascii="IRNazanin" w:hAnsi="IRNazanin" w:eastAsia="IRNazanin" w:cs="IRNazanin"/>
          <w:lang w:bidi="fa-IR"/>
          <w:color w:val="111111"/>
          <w:sz w:val="28"/>
          <w:szCs w:val="28"/>
          <w:rtl/>
        </w:rPr>
        <w:t xml:space="preserve">و علی الثالث یتّجه الثانی؛لما مرّ،و لسبق تعلّق حقّ الخیار و عروض العتق.</w:t>
      </w:r>
    </w:p>
    <w:p>
      <w:pPr>
        <w:pStyle w:val="BookText"/>
      </w:pPr>
      <w:r>
        <w:rPr>
          <w:rFonts w:ascii="IRNazanin" w:hAnsi="IRNazanin" w:eastAsia="IRNazanin" w:cs="IRNazanin"/>
          <w:lang w:bidi="fa-IR"/>
          <w:color w:val="111111"/>
          <w:sz w:val="28"/>
          <w:szCs w:val="28"/>
          <w:rtl/>
        </w:rPr>
        <w:t xml:space="preserve">ثمّ قال:و حیث کان المختار فی الخیار:أنّه بمجرّد العقد،و فی العتق:أنّه بعد الملک،و دلّ ظاهر الأخبار و کلام الأصحاب علی أنّ أحکام العقود و الإیقاعات تتبعها بمجرّد حصولها إذا لم یمنع عنها مانعٌ، من غیر فرقٍ بین الخیار و غیره،بل قد صرّحوا بأنّ الخیار یثبت بعد</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و أنّه علّةٌ و المعلول لا یتخلّف عن علّته،کما أنّ الانعتاق لا یتخلّف عن الملک،فالأقرب هو الأخیر،کما هو ظاهر المختلف و التحریر </w:t>
      </w:r>
      <w:r>
        <w:rPr>
          <w:rStyle w:val="FootnoteReference"/>
        </w:rPr>
        <w:footnoteReference w:id="2607"/>
      </w:r>
      <w:r>
        <w:rPr>
          <w:rFonts w:ascii="IRNazanin" w:hAnsi="IRNazanin" w:eastAsia="IRNazanin" w:cs="IRNazanin"/>
          <w:lang w:bidi="fa-IR"/>
          <w:color w:val="111111"/>
          <w:sz w:val="28"/>
          <w:szCs w:val="28"/>
          <w:rtl/>
        </w:rPr>
        <w:t xml:space="preserve">و مال إلیه الشهید </w:t>
      </w:r>
      <w:r>
        <w:rPr>
          <w:rStyle w:val="FootnoteReference"/>
        </w:rPr>
        <w:footnoteReference w:id="2608"/>
      </w:r>
      <w:r>
        <w:rPr>
          <w:rFonts w:ascii="IRNazanin" w:hAnsi="IRNazanin" w:eastAsia="IRNazanin" w:cs="IRNazanin"/>
          <w:lang w:bidi="fa-IR"/>
          <w:color w:val="111111"/>
          <w:sz w:val="28"/>
          <w:szCs w:val="28"/>
          <w:rtl/>
        </w:rPr>
        <w:t xml:space="preserve">إن لم یثبت الإجماع علی خلافه،و یؤیّده إطلاق الأکثر و دعوی ابن زهرة الإجماع علی ثبوت خیار المجلس فی جمیع ضروب البیع </w:t>
      </w:r>
      <w:r>
        <w:rPr>
          <w:rStyle w:val="FootnoteReference"/>
        </w:rPr>
        <w:footnoteReference w:id="2609"/>
      </w:r>
      <w:r>
        <w:rPr>
          <w:rFonts w:ascii="IRNazanin" w:hAnsi="IRNazanin" w:eastAsia="IRNazanin" w:cs="IRNazanin"/>
          <w:lang w:bidi="fa-IR"/>
          <w:color w:val="111111"/>
          <w:sz w:val="28"/>
          <w:szCs w:val="28"/>
          <w:rtl/>
        </w:rPr>
        <w:t xml:space="preserve">من غیر استثناءٍ </w:t>
      </w:r>
      <w:r>
        <w:rPr>
          <w:rStyle w:val="FootnoteReference"/>
        </w:rPr>
        <w:footnoteReference w:id="2610"/>
      </w:r>
      <w:r>
        <w:rPr>
          <w:rFonts w:ascii="IRNazanin" w:hAnsi="IRNazanin" w:eastAsia="IRNazanin" w:cs="IRNazanin"/>
          <w:lang w:bidi="fa-IR"/>
          <w:color w:val="111111"/>
          <w:sz w:val="28"/>
          <w:szCs w:val="28"/>
          <w:rtl/>
        </w:rPr>
        <w:t xml:space="preserve">.انتهی کلامه </w:t>
      </w:r>
      <w:r>
        <w:rPr>
          <w:rStyle w:val="FootnoteReference"/>
        </w:rPr>
        <w:footnoteReference w:id="2611"/>
      </w:r>
      <w:r>
        <w:rPr>
          <w:rFonts w:ascii="IRNazanin" w:hAnsi="IRNazanin" w:eastAsia="IRNazanin" w:cs="IRNazanin"/>
          <w:lang w:bidi="fa-IR"/>
          <w:color w:val="111111"/>
          <w:sz w:val="28"/>
          <w:szCs w:val="28"/>
          <w:rtl/>
        </w:rPr>
        <w:t xml:space="preserve">،رفع مقامه.</w:t>
      </w:r>
    </w:p>
    <w:p>
      <w:pPr>
        <w:pStyle w:val="BookText"/>
      </w:pPr>
      <w:r>
        <w:rPr>
          <w:rFonts w:ascii="IRNazanin" w:hAnsi="IRNazanin" w:eastAsia="IRNazanin" w:cs="IRNazanin"/>
          <w:lang w:bidi="fa-IR"/>
          <w:color w:val="111111"/>
          <w:sz w:val="28"/>
          <w:szCs w:val="28"/>
          <w:rtl/>
        </w:rPr>
        <w:t xml:space="preserve">أقول:إن قلنا:إنّه یعتبر فی فسخ العقد بالخیار أو بالتقایل خروج الملک عن ملک مَن انتقل إلیه إلی ملک مَن انتقل عنه نظراً إلی أنّ خروج أحد العوضین عن ملک أحدهما یستلزم دخول الآخر فیه و لو تقدیراً لم یکن وجهٌ للخیار فیما نحن فیه و لو قلنا بکون الخیار بمجرّد العقد و الانعتاق عقیب الملک آناً ما،إذ برفع العقد لا یقبل المنعتق علیه لأن یخرج من ملک المشتری إلی ملک البائع و لو تقدیراً؛إذ ملکیّة المشتری لمن ینعتق علیه لیس علی وجهٍ یترتّب علیه سوی الانعتاق، و لا یجوز تقدیره بعد الفسخ قبل الانعتاق خارجاً عن ملک المشتری إلی ملک البائع ثمّ انعتاقه مضموناً علی المشتری،کما لو فرض بیع المشتری للمبیع فی زمن الخیار ثمّ فسخ البائع.</w:t>
      </w:r>
    </w:p>
    <w:p>
      <w:pPr>
        <w:pStyle w:val="BookText"/>
      </w:pPr>
      <w:r>
        <w:rPr>
          <w:rFonts w:ascii="IRNazanin" w:hAnsi="IRNazanin" w:eastAsia="IRNazanin" w:cs="IRNazanin"/>
          <w:lang w:bidi="fa-IR"/>
          <w:color w:val="111111"/>
          <w:sz w:val="28"/>
          <w:szCs w:val="28"/>
          <w:rtl/>
        </w:rPr>
        <w:t xml:space="preserve">و الحاصل:أنّ الفاسخ یتلقّی الملک من المفسوخ علیه،و هذا غیر</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فیما نحن فیه.</w:t>
      </w:r>
    </w:p>
    <w:p>
      <w:pPr>
        <w:pStyle w:val="BookText"/>
      </w:pPr>
      <w:r>
        <w:rPr>
          <w:rFonts w:ascii="IRNazanin" w:hAnsi="IRNazanin" w:eastAsia="IRNazanin" w:cs="IRNazanin"/>
          <w:lang w:bidi="fa-IR"/>
          <w:color w:val="111111"/>
          <w:sz w:val="28"/>
          <w:szCs w:val="28"/>
          <w:rtl/>
        </w:rPr>
        <w:t xml:space="preserve">و إن قلنا:إنّ الفسخ لا یقتضی أزید من ردّ العین إن کان موجوداً و بدله إن کان تالفاً أو کالتالف،و لا یعتبر فی صورة التلف إمکان تقدیر تلقّی الفاسخ الملک من المفسوخ علیه و تملّکه منه،بل یکفی أن تکون العین المضمونةُ قبل الفسخ بثمنها مضمونةً بعد الفسخ بقیمتها مع التلف کما یشهد به الحکم بجواز الفسخ و الرجوع إلی القیمة فیما </w:t>
      </w:r>
      <w:r>
        <w:rPr>
          <w:rStyle w:val="FootnoteReference"/>
        </w:rPr>
        <w:footnoteReference w:id="2612"/>
      </w:r>
      <w:r>
        <w:rPr>
          <w:rFonts w:ascii="Amiri" w:hAnsi="Amiri" w:eastAsia="Amiri" w:cs="Amiri"/>
          <w:lang w:bidi="ar-SA"/>
          <w:color w:val="111111"/>
          <w:sz w:val="28"/>
          <w:szCs w:val="28"/>
          <w:rtl/>
        </w:rPr>
        <w:t xml:space="preserve">تقدّم من </w:t>
      </w:r>
      <w:r>
        <w:rPr>
          <w:rStyle w:val="FootnoteReference"/>
        </w:rPr>
        <w:footnoteReference w:id="2613"/>
      </w:r>
      <w:r>
        <w:rPr>
          <w:rFonts w:ascii="IRNazanin" w:hAnsi="IRNazanin" w:eastAsia="IRNazanin" w:cs="IRNazanin"/>
          <w:lang w:bidi="fa-IR"/>
          <w:color w:val="111111"/>
          <w:sz w:val="28"/>
          <w:szCs w:val="28"/>
          <w:rtl/>
        </w:rPr>
        <w:t xml:space="preserve">مسألة البیع بشرط العتق ثمّ ظهور المبیع منعتقاً علی المشتری </w:t>
      </w:r>
      <w:r>
        <w:rPr>
          <w:rStyle w:val="FootnoteReference"/>
        </w:rPr>
        <w:footnoteReference w:id="2614"/>
      </w:r>
      <w:r>
        <w:rPr>
          <w:rFonts w:ascii="IRNazanin" w:hAnsi="IRNazanin" w:eastAsia="IRNazanin" w:cs="IRNazanin"/>
          <w:lang w:bidi="fa-IR"/>
          <w:color w:val="111111"/>
          <w:sz w:val="28"/>
          <w:szCs w:val="28"/>
          <w:rtl/>
        </w:rPr>
        <w:t xml:space="preserve">،و حکمهم برجوع الفاسخ إلی القیمة لو وجد العین منتقلةً بعقدٍ لازمٍ مع عدم إمکان تقدیر عود الملک قبل الانتقال الذی هو بمنزلة التلف إلی الفاسخ کان الأوفق بعمومات الخیار القول به هنا و الرجوع إلی القیمة،إلّا مع إقدام المتبایعین علی المعاملة مع العلم بکونه ممّن ینعتق علیه،فالأقوی العدم؛لأنّهما قد تواطئا علی إخراجه عن المالیّة الذی هو بمنزلة إتلافه.</w:t>
      </w:r>
    </w:p>
    <w:p>
      <w:pPr>
        <w:pStyle w:val="BookText"/>
      </w:pPr>
      <w:r>
        <w:rPr>
          <w:rFonts w:ascii="IRNazanin" w:hAnsi="IRNazanin" w:eastAsia="IRNazanin" w:cs="IRNazanin"/>
          <w:lang w:bidi="fa-IR"/>
          <w:color w:val="111111"/>
          <w:sz w:val="28"/>
          <w:szCs w:val="28"/>
          <w:rtl/>
        </w:rPr>
        <w:t xml:space="preserve">و بالجملة،فإنّ الخیار حقٌّ فی العین،و إنّما یتعلّق بالبدل بعد تعذّره لا ابتداءً،فإذا کان نقل العین إبطالاً لمالیّته و تفویتاً لمحلّ الخیار و </w:t>
      </w:r>
      <w:r>
        <w:rPr>
          <w:rStyle w:val="FootnoteReference"/>
        </w:rPr>
        <w:footnoteReference w:id="2615"/>
      </w:r>
      <w:r>
        <w:rPr>
          <w:rFonts w:ascii="IRNazanin" w:hAnsi="IRNazanin" w:eastAsia="IRNazanin" w:cs="IRNazanin"/>
          <w:lang w:bidi="fa-IR"/>
          <w:color w:val="111111"/>
          <w:sz w:val="28"/>
          <w:szCs w:val="28"/>
          <w:rtl/>
        </w:rPr>
        <w:t xml:space="preserve">کان کتفویت نفس الخیار باشتراط سقوطه،فلم یحدث حقٌّ فی العین حتّی یتعلّق ببدله.</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04" w:name="pg14419_167324"/>
    <w:bookmarkEnd w:id="304"/>
    <w:p>
      <w:pPr>
        <w:pStyle w:val="BookText"/>
      </w:pPr>
      <w:r>
        <w:rPr>
          <w:rFonts w:ascii="IRNazanin" w:hAnsi="IRNazanin" w:eastAsia="IRNazanin" w:cs="IRNazanin"/>
          <w:lang w:bidi="fa-IR"/>
          <w:color w:val="111111"/>
          <w:sz w:val="28"/>
          <w:szCs w:val="28"/>
          <w:rtl/>
        </w:rPr>
        <w:t xml:space="preserve">و قد صرّح بعضهم بارتفاع خیار البائع بإتلاف المبیع </w:t>
      </w:r>
      <w:r>
        <w:rPr>
          <w:rStyle w:val="FootnoteReference"/>
        </w:rPr>
        <w:footnoteReference w:id="2616"/>
      </w:r>
      <w:r>
        <w:rPr>
          <w:rFonts w:ascii="IRNazanin" w:hAnsi="IRNazanin" w:eastAsia="IRNazanin" w:cs="IRNazanin"/>
          <w:lang w:bidi="fa-IR"/>
          <w:color w:val="111111"/>
          <w:sz w:val="28"/>
          <w:szCs w:val="28"/>
          <w:rtl/>
        </w:rPr>
        <w:t xml:space="preserve">و نقله إلی من ینعتق علیه کالإتلاف له من حیث المالیّة،فدفع الخیار به أولی و أهون من رفعه،فتأمّل.</w:t>
      </w:r>
    </w:p>
    <w:p>
      <w:pPr>
        <w:pStyle w:val="Heading6"/>
      </w:pPr>
      <w:bookmarkStart w:id="1174" w:name="_Toc614"/>
      <w:r>
        <w:t>و منها : العبد المسلم المشتری من الکافر</w:t>
      </w:r>
      <w:bookmarkEnd w:id="1174"/>
    </w:p>
    <w:p>
      <w:pPr>
        <w:pStyle w:val="BookText"/>
      </w:pPr>
      <w:r>
        <w:rPr>
          <w:rFonts w:ascii="IRNazanin" w:hAnsi="IRNazanin" w:eastAsia="IRNazanin" w:cs="IRNazanin"/>
          <w:lang w:bidi="fa-IR"/>
          <w:color w:val="111111"/>
          <w:sz w:val="28"/>
          <w:szCs w:val="28"/>
          <w:rtl/>
        </w:rPr>
        <w:t xml:space="preserve">بناءً علی عدم تملّک الکافر للمسلم اختیاراً،فإنّه قد یقال بعدم ثبوت الخیار لأحدهما.أمّا بالنسبة إلی العین فلفرض عدم جواز تملّک الکافر للمسلم و تملیکه إیّاه، و أمّا بالنسبة إلی القیمة فلما تقدّم:من أنّ الفسخ یتوقّف علی رجوع العین إلی مالکه الأصلی و لو تقدیراً </w:t>
      </w:r>
      <w:r>
        <w:rPr>
          <w:rStyle w:val="FootnoteReference"/>
        </w:rPr>
        <w:footnoteReference w:id="2617"/>
      </w:r>
      <w:r>
        <w:rPr>
          <w:rFonts w:ascii="IRNazanin" w:hAnsi="IRNazanin" w:eastAsia="IRNazanin" w:cs="IRNazanin"/>
          <w:lang w:bidi="fa-IR"/>
          <w:color w:val="111111"/>
          <w:sz w:val="28"/>
          <w:szCs w:val="28"/>
          <w:rtl/>
        </w:rPr>
        <w:t xml:space="preserve">لتکون مضمونةً له بقیمته علی من انتقل إلیه،و رجوع المسلم إلی الکافر غیر جائزٍ،و هذا هو المحکیّ عن حواشی الشهید رحمه اللّٰه حیث قال:إنّه یباع و لا یثبت له خیار المجلس و لا الشرط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یرید بذلک عدم ثبوت الخیار للکافر فقط و إن ثبت للمشتری،فیوافق مقتضی کلام فخر الدین قدّس سرّه فی الإیضاح:من أنّ البیع بالنسبة إلی الکافر استنقاذٌ،و بالنسبة إلی المشتری کالبیع </w:t>
      </w:r>
      <w:r>
        <w:rPr>
          <w:rStyle w:val="FootnoteReference"/>
        </w:rPr>
        <w:footnoteReference w:id="2619"/>
      </w:r>
      <w:r>
        <w:rPr>
          <w:rFonts w:ascii="Amiri" w:hAnsi="Amiri" w:eastAsia="Amiri" w:cs="Amiri"/>
          <w:lang w:bidi="ar-SA"/>
          <w:color w:val="111111"/>
          <w:sz w:val="28"/>
          <w:szCs w:val="28"/>
          <w:rtl/>
        </w:rPr>
        <w:t xml:space="preserve">بناءً منه علی عدم تملّک السیّد الکافر له؛لأنّ الملک سبیلٌ،و إنّما له حقّ استیفاء</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ثمنه منه.</w:t>
      </w:r>
    </w:p>
    <w:p>
      <w:pPr>
        <w:pStyle w:val="BookText"/>
      </w:pPr>
      <w:r>
        <w:rPr>
          <w:rFonts w:ascii="IRNazanin" w:hAnsi="IRNazanin" w:eastAsia="IRNazanin" w:cs="IRNazanin"/>
          <w:lang w:bidi="fa-IR"/>
          <w:color w:val="111111"/>
          <w:sz w:val="28"/>
          <w:szCs w:val="28"/>
          <w:rtl/>
        </w:rPr>
        <w:t xml:space="preserve">لکنّ الإنصاف:أنّه علی هذا التقدیر لا دلیل علی ثبوت الخیار للمشتری أیضاً؛لأنّ الظاهر من قوله:«البیّعان بالخیار» </w:t>
      </w:r>
      <w:r>
        <w:rPr>
          <w:rStyle w:val="FootnoteReference"/>
        </w:rPr>
        <w:footnoteReference w:id="2620"/>
      </w:r>
      <w:r>
        <w:rPr>
          <w:rFonts w:ascii="IRNazanin" w:hAnsi="IRNazanin" w:eastAsia="IRNazanin" w:cs="IRNazanin"/>
          <w:lang w:bidi="fa-IR"/>
          <w:color w:val="111111"/>
          <w:sz w:val="28"/>
          <w:szCs w:val="28"/>
          <w:rtl/>
        </w:rPr>
        <w:t xml:space="preserve">اختصاص الخیار بصورة تحقّق البیع من الطرفین؛مع أنّه لا معنی لتحقّق العقد البیعی من طرفٍ واحد،فإنّ شروط البیع إن کانت موجودة تحقّق من الطرفین و إلّا لم یتحقّق أصلاً،کما اعترف به بعضهم </w:t>
      </w:r>
      <w:r>
        <w:rPr>
          <w:rStyle w:val="FootnoteReference"/>
        </w:rPr>
        <w:footnoteReference w:id="2621"/>
      </w:r>
      <w:r>
        <w:rPr>
          <w:rFonts w:ascii="IRNazanin" w:hAnsi="IRNazanin" w:eastAsia="IRNazanin" w:cs="IRNazanin"/>
          <w:lang w:bidi="fa-IR"/>
          <w:color w:val="111111"/>
          <w:sz w:val="28"/>
          <w:szCs w:val="28"/>
          <w:rtl/>
        </w:rPr>
        <w:t xml:space="preserve">فی مسألة بیع الکافر الحربی من ینعتق علیه.</w:t>
      </w:r>
    </w:p>
    <w:p>
      <w:pPr>
        <w:pStyle w:val="BookText"/>
      </w:pPr>
      <w:r>
        <w:rPr>
          <w:rFonts w:ascii="IRNazanin" w:hAnsi="IRNazanin" w:eastAsia="IRNazanin" w:cs="IRNazanin"/>
          <w:lang w:bidi="fa-IR"/>
          <w:color w:val="111111"/>
          <w:sz w:val="28"/>
          <w:szCs w:val="28"/>
          <w:rtl/>
        </w:rPr>
        <w:t xml:space="preserve">و الأقوی فی المسألة وفاقاً لظاهر الأکثر </w:t>
      </w:r>
      <w:r>
        <w:rPr>
          <w:rStyle w:val="FootnoteReference"/>
        </w:rPr>
        <w:footnoteReference w:id="2622"/>
      </w:r>
      <w:r>
        <w:rPr>
          <w:rFonts w:ascii="Amiri" w:hAnsi="Amiri" w:eastAsia="Amiri" w:cs="Amiri"/>
          <w:lang w:bidi="ar-SA"/>
          <w:color w:val="111111"/>
          <w:sz w:val="28"/>
          <w:szCs w:val="28"/>
          <w:rtl/>
        </w:rPr>
        <w:t xml:space="preserve">و صریح کثیرٍ </w:t>
      </w:r>
      <w:r>
        <w:rPr>
          <w:rStyle w:val="FootnoteReference"/>
        </w:rPr>
        <w:footnoteReference w:id="2623"/>
      </w:r>
      <w:r>
        <w:rPr>
          <w:rFonts w:ascii="IRNazanin" w:hAnsi="IRNazanin" w:eastAsia="IRNazanin" w:cs="IRNazanin"/>
          <w:lang w:bidi="fa-IR"/>
          <w:color w:val="111111"/>
          <w:sz w:val="28"/>
          <w:szCs w:val="28"/>
          <w:rtl/>
        </w:rPr>
        <w:t xml:space="preserve">ثبوت الخیار فی المقام،و إن تردّد فی القواعد بین استرداد العین و </w:t>
      </w:r>
      <w:r>
        <w:rPr>
          <w:rStyle w:val="FootnoteReference"/>
        </w:rPr>
        <w:footnoteReference w:id="2624"/>
      </w:r>
      <w:r>
        <w:rPr>
          <w:rFonts w:ascii="IRNazanin" w:hAnsi="IRNazanin" w:eastAsia="IRNazanin" w:cs="IRNazanin"/>
          <w:lang w:bidi="fa-IR"/>
          <w:color w:val="111111"/>
          <w:sz w:val="28"/>
          <w:szCs w:val="28"/>
          <w:rtl/>
        </w:rPr>
        <w:t xml:space="preserve">القیمة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ذکرنا:من أنّ الرجوع بالقیمة مبنیٌّ علی إمکان تقدیر الملک فی ملک المالک الأصلی،لو أغمضنا عن منعه کما تقدّم فی المسألة السابقة </w:t>
      </w:r>
      <w:r>
        <w:rPr>
          <w:rStyle w:val="FootnoteReference"/>
        </w:rPr>
        <w:footnoteReference w:id="2626"/>
      </w:r>
      <w:r>
        <w:rPr>
          <w:rFonts w:ascii="IRNazanin" w:hAnsi="IRNazanin" w:eastAsia="IRNazanin" w:cs="IRNazanin"/>
          <w:lang w:bidi="fa-IR"/>
          <w:color w:val="111111"/>
          <w:sz w:val="28"/>
          <w:szCs w:val="28"/>
          <w:rtl/>
        </w:rPr>
        <w:t xml:space="preserve">غیر قادحٍ هنا؛لأنّ تقدیر المسلم فی ملک الکافر بمقدارٍ یثبت علیه بدله لیس سبیلاً للکافر علی المسلم،و لذا جوّزنا له شراء من</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05" w:name="pg14419_167326"/>
    <w:bookmarkEnd w:id="305"/>
    <w:p>
      <w:pPr>
        <w:pStyle w:val="BookText"/>
      </w:pPr>
      <w:r>
        <w:rPr>
          <w:rFonts w:ascii="IRNazanin" w:hAnsi="IRNazanin" w:eastAsia="IRNazanin" w:cs="IRNazanin"/>
          <w:lang w:bidi="fa-IR"/>
          <w:color w:val="111111"/>
          <w:sz w:val="28"/>
          <w:szCs w:val="28"/>
          <w:rtl/>
        </w:rPr>
        <w:t xml:space="preserve">ینعتق علیه.و قد مرّ بعض الکلام فی ذلک فی شروط المتعاقدین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6"/>
      </w:pPr>
      <w:bookmarkStart w:id="1175" w:name="_Toc615"/>
      <w:r>
        <w:t>و منها : شراء العبد نفسه بناءً علی جوازه</w:t>
      </w:r>
      <w:bookmarkEnd w:id="1175"/>
    </w:p>
    <w:p>
      <w:pPr>
        <w:pStyle w:val="BookText"/>
      </w:pPr>
      <w:r>
        <w:rPr>
          <w:rFonts w:ascii="IRNazanin" w:hAnsi="IRNazanin" w:eastAsia="IRNazanin" w:cs="IRNazanin"/>
          <w:lang w:bidi="fa-IR"/>
          <w:color w:val="111111"/>
          <w:sz w:val="28"/>
          <w:szCs w:val="28"/>
          <w:rtl/>
        </w:rPr>
        <w:t xml:space="preserve">فإنّ الظاهر عدم الخیار فیه و لو بالنسبة إلی القیمة؛لعدم شمول أدلّة الخیار له،و اختاره فی التذکرة </w:t>
      </w:r>
      <w:r>
        <w:rPr>
          <w:rStyle w:val="FootnoteReference"/>
        </w:rPr>
        <w:footnoteReference w:id="2628"/>
      </w:r>
      <w:r>
        <w:rPr>
          <w:rFonts w:ascii="Amiri" w:hAnsi="Amiri" w:eastAsia="Amiri" w:cs="Amiri"/>
          <w:lang w:bidi="ar-SA"/>
          <w:color w:val="111111"/>
          <w:sz w:val="28"/>
          <w:szCs w:val="28"/>
          <w:rtl/>
        </w:rPr>
        <w:t xml:space="preserve">.و فیها أیضاً:أنّه لو اشتری جَمَداً فی شدّة الحرّ ففی الخیار إشکالٌ </w:t>
      </w:r>
      <w:r>
        <w:rPr>
          <w:rStyle w:val="FootnoteReference"/>
        </w:rPr>
        <w:footnoteReference w:id="2629"/>
      </w:r>
      <w:r>
        <w:rPr>
          <w:rFonts w:ascii="IRNazanin" w:hAnsi="IRNazanin" w:eastAsia="IRNazanin" w:cs="IRNazanin"/>
          <w:lang w:bidi="fa-IR"/>
          <w:color w:val="111111"/>
          <w:sz w:val="28"/>
          <w:szCs w:val="28"/>
          <w:rtl/>
        </w:rPr>
        <w:t xml:space="preserve">.و لعلّه من جهة احتمال اعتبار قابلیّة العین للبقاء بعد العقد لیتعلّق بها الخیار،فلا یندفع الإشکال بما فی جامع المقاصد:من أنّ الخیار لا یسقط بالتلف </w:t>
      </w:r>
      <w:r>
        <w:rPr>
          <w:rStyle w:val="FootnoteReference"/>
        </w:rPr>
        <w:footnoteReference w:id="2630"/>
      </w:r>
      <w:r>
        <w:rPr>
          <w:rFonts w:ascii="IRNazanin" w:hAnsi="IRNazanin" w:eastAsia="IRNazanin" w:cs="IRNazanin"/>
          <w:lang w:bidi="fa-IR"/>
          <w:color w:val="111111"/>
          <w:sz w:val="28"/>
          <w:szCs w:val="28"/>
          <w:rtl/>
        </w:rPr>
        <w:t xml:space="preserve">لأنّه لا یسقط به إذا ثبت قبله،فتأمّل.</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06" w:name="pg14419_167327"/>
    <w:bookmarkEnd w:id="306"/>
    <w:p>
      <w:pPr>
        <w:pStyle w:val="Heading6"/>
      </w:pPr>
      <w:bookmarkStart w:id="1176" w:name="_Toc616"/>
      <w:r>
        <w:t>مسألة : لا یثبت خیار المجلس فی شیءٍ من العقود سوی البیع عند علمائنا</w:t>
      </w:r>
      <w:bookmarkEnd w:id="1176"/>
    </w:p>
    <w:p>
      <w:pPr>
        <w:pStyle w:val="BookText"/>
      </w:pPr>
      <w:r>
        <w:rPr>
          <w:rFonts w:ascii="IRNazanin" w:hAnsi="IRNazanin" w:eastAsia="IRNazanin" w:cs="IRNazanin"/>
          <w:lang w:bidi="fa-IR"/>
          <w:color w:val="111111"/>
          <w:sz w:val="28"/>
          <w:szCs w:val="28"/>
          <w:rtl/>
        </w:rPr>
        <w:t xml:space="preserve">کما فی التذکرة </w:t>
      </w:r>
      <w:r>
        <w:rPr>
          <w:rStyle w:val="FootnoteReference"/>
        </w:rPr>
        <w:footnoteReference w:id="2631"/>
      </w:r>
      <w:r>
        <w:rPr>
          <w:rFonts w:ascii="IRNazanin" w:hAnsi="IRNazanin" w:eastAsia="IRNazanin" w:cs="IRNazanin"/>
          <w:lang w:bidi="fa-IR"/>
          <w:color w:val="111111"/>
          <w:sz w:val="28"/>
          <w:szCs w:val="28"/>
          <w:rtl/>
        </w:rPr>
        <w:t xml:space="preserve">،و عن تعلیق الإرشاد </w:t>
      </w:r>
      <w:r>
        <w:rPr>
          <w:rStyle w:val="FootnoteReference"/>
        </w:rPr>
        <w:footnoteReference w:id="2632"/>
      </w:r>
      <w:r>
        <w:rPr>
          <w:rFonts w:ascii="IRNazanin" w:hAnsi="IRNazanin" w:eastAsia="IRNazanin" w:cs="IRNazanin"/>
          <w:lang w:bidi="fa-IR"/>
          <w:color w:val="111111"/>
          <w:sz w:val="28"/>
          <w:szCs w:val="28"/>
          <w:rtl/>
        </w:rPr>
        <w:t xml:space="preserve">و غیرهما </w:t>
      </w:r>
      <w:r>
        <w:rPr>
          <w:rStyle w:val="FootnoteReference"/>
        </w:rPr>
        <w:footnoteReference w:id="2633"/>
      </w:r>
      <w:r>
        <w:rPr>
          <w:rFonts w:ascii="IRNazanin" w:hAnsi="IRNazanin" w:eastAsia="IRNazanin" w:cs="IRNazanin"/>
          <w:lang w:bidi="fa-IR"/>
          <w:color w:val="111111"/>
          <w:sz w:val="28"/>
          <w:szCs w:val="28"/>
          <w:rtl/>
        </w:rPr>
        <w:t xml:space="preserve">.و عن الغنیة:</w:t>
      </w:r>
    </w:p>
    <w:p>
      <w:pPr>
        <w:pStyle w:val="BookText"/>
      </w:pPr>
      <w:r>
        <w:rPr>
          <w:rFonts w:ascii="IRNazanin" w:hAnsi="IRNazanin" w:eastAsia="IRNazanin" w:cs="IRNazanin"/>
          <w:lang w:bidi="fa-IR"/>
          <w:color w:val="111111"/>
          <w:sz w:val="28"/>
          <w:szCs w:val="28"/>
          <w:rtl/>
        </w:rPr>
        <w:t xml:space="preserve">الإجماع علیه </w:t>
      </w:r>
      <w:r>
        <w:rPr>
          <w:rStyle w:val="FootnoteReference"/>
        </w:rPr>
        <w:footnoteReference w:id="2634"/>
      </w:r>
      <w:r>
        <w:rPr>
          <w:rFonts w:ascii="IRNazanin" w:hAnsi="IRNazanin" w:eastAsia="IRNazanin" w:cs="IRNazanin"/>
          <w:lang w:bidi="fa-IR"/>
          <w:color w:val="111111"/>
          <w:sz w:val="28"/>
          <w:szCs w:val="28"/>
          <w:rtl/>
        </w:rPr>
        <w:t xml:space="preserve">.و صرّح الشیخ فی غیر موضعٍ من المبسوط بذلک أیضاً </w:t>
      </w:r>
      <w:r>
        <w:rPr>
          <w:rStyle w:val="FootnoteReference"/>
        </w:rPr>
        <w:footnoteReference w:id="2635"/>
      </w:r>
      <w:r>
        <w:rPr>
          <w:rFonts w:ascii="IRNazanin" w:hAnsi="IRNazanin" w:eastAsia="IRNazanin" w:cs="IRNazanin"/>
          <w:lang w:bidi="fa-IR"/>
          <w:color w:val="111111"/>
          <w:sz w:val="28"/>
          <w:szCs w:val="28"/>
          <w:rtl/>
        </w:rPr>
        <w:t xml:space="preserve">، بل عن الخلاف:الإجماع علی عدم دخوله فی الوکالة و العاریة و القراض و الحوالة و الودیعة </w:t>
      </w:r>
      <w:r>
        <w:rPr>
          <w:rStyle w:val="FootnoteReference"/>
        </w:rPr>
        <w:footnoteReference w:id="2636"/>
      </w:r>
      <w:r>
        <w:rPr>
          <w:rFonts w:ascii="IRNazanin" w:hAnsi="IRNazanin" w:eastAsia="IRNazanin" w:cs="IRNazanin"/>
          <w:lang w:bidi="fa-IR"/>
          <w:color w:val="111111"/>
          <w:sz w:val="28"/>
          <w:szCs w:val="28"/>
          <w:rtl/>
        </w:rPr>
        <w:t xml:space="preserve">.إلّا أنّه فی المبسوط بعد ذکر جملةٍ من العقود التی یدخلها الخیار و التی لا یدخلها قال:و أمّا الوکالة و الودیعة و العاریة</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القراض و الجعالة فلا یمنع من دخول الخیارین فیها مانعٌ </w:t>
      </w:r>
      <w:r>
        <w:rPr>
          <w:rStyle w:val="FootnoteReference"/>
        </w:rPr>
        <w:footnoteReference w:id="26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مراده خیار المجلس و الشرط.و حکی نحوه عن القاضی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یُعلم معنی الخیار فی هذه العقود </w:t>
      </w:r>
      <w:r>
        <w:rPr>
          <w:rStyle w:val="FootnoteReference"/>
        </w:rPr>
        <w:footnoteReference w:id="2639"/>
      </w:r>
      <w:r>
        <w:rPr>
          <w:rFonts w:ascii="IRNazanin" w:hAnsi="IRNazanin" w:eastAsia="IRNazanin" w:cs="IRNazanin"/>
          <w:lang w:bidi="fa-IR"/>
          <w:color w:val="111111"/>
          <w:sz w:val="28"/>
          <w:szCs w:val="28"/>
          <w:rtl/>
        </w:rPr>
        <w:t xml:space="preserve">،بل جزم فی التذکرة:بأنّه لا معنی للخیار فیها؛لأنّ الخیار فیها أبداً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احتمل فی الدروس:أن یراد بذلک عدم جواز التصرّف قبل انقضاء الخیار </w:t>
      </w:r>
      <w:r>
        <w:rPr>
          <w:rStyle w:val="FootnoteReference"/>
        </w:rPr>
        <w:footnoteReference w:id="2641"/>
      </w:r>
      <w:r>
        <w:rPr>
          <w:rFonts w:ascii="IRNazanin" w:hAnsi="IRNazanin" w:eastAsia="IRNazanin" w:cs="IRNazanin"/>
          <w:lang w:bidi="fa-IR"/>
          <w:color w:val="111111"/>
          <w:sz w:val="28"/>
          <w:szCs w:val="28"/>
          <w:rtl/>
        </w:rPr>
        <w:t xml:space="preserve">.و لعلّ مراده التصرّف المرخّص فیه شرعاً للقابل فی هذه العقود،لا الموجب؛إذ لا معنی لتوقّف جواز تصرّف المالک فی هذه العقود علی انقضاء الخیار،و </w:t>
      </w:r>
      <w:r>
        <w:rPr>
          <w:rStyle w:val="FootnoteReference"/>
        </w:rPr>
        <w:footnoteReference w:id="2642"/>
      </w:r>
      <w:r>
        <w:rPr>
          <w:rFonts w:ascii="IRNazanin" w:hAnsi="IRNazanin" w:eastAsia="IRNazanin" w:cs="IRNazanin"/>
          <w:lang w:bidi="fa-IR"/>
          <w:color w:val="111111"/>
          <w:sz w:val="28"/>
          <w:szCs w:val="28"/>
          <w:rtl/>
        </w:rPr>
        <w:t xml:space="preserve">لأنّ أثر هذه العقود تمکّن غیر المالک من التصرّف،فهو الذی یمکن توقّفه علی انقضاء الخیار الذی جعل الشیخ قدّس سرّه أثر البیع متوقّفاً علیه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الإنصاف:أنّ تتبّع کلام الشیخ فی المبسوط فی هذا المقام یشهد بعدم إرادته هذا المعنی،فإنّه صرّح فی مواضع قبل هذا الکلام و بعده باختصاص خیار المجلس بالبیع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یخطر بالبال:أنّ مراده دخول الخیارین فی هذه العقود إذا وقعت فی ضمن عقد البیع،فتنفسخ بفسخه فی المجلس؛و هذا المعنی و إن کان بعیداً فی نفسه،إلّا أنّ ملاحظة کلام الشیخ فی المقام یقرّبه إلی الذهن،و قد ذکر نظیر ذلک فی جریان الخیارین فی الرهن و الضمان </w:t>
      </w:r>
      <w:r>
        <w:rPr>
          <w:rStyle w:val="FootnoteReference"/>
        </w:rPr>
        <w:footnoteReference w:id="2645"/>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کان،فلا إشکال فی أصل هذه المسألة.</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07" w:name="pg14419_167330"/>
    <w:bookmarkEnd w:id="307"/>
    <w:p>
      <w:pPr>
        <w:pStyle w:val="Heading6"/>
      </w:pPr>
      <w:bookmarkStart w:id="1177" w:name="_Toc617"/>
      <w:r>
        <w:t>مسألة : مبدأ هذا الخیار من حین العقد</w:t>
      </w:r>
      <w:bookmarkEnd w:id="1177"/>
    </w:p>
    <w:p>
      <w:pPr>
        <w:pStyle w:val="BookText"/>
      </w:pPr>
      <w:r>
        <w:rPr>
          <w:rFonts w:ascii="Amiri" w:hAnsi="Amiri" w:eastAsia="Amiri" w:cs="Amiri"/>
          <w:lang w:bidi="ar-SA"/>
          <w:color w:val="111111"/>
          <w:sz w:val="28"/>
          <w:szCs w:val="28"/>
          <w:rtl/>
        </w:rPr>
        <w:t xml:space="preserve">لأنّ ظاهر النصّ </w:t>
      </w:r>
      <w:r>
        <w:rPr>
          <w:rStyle w:val="FootnoteReference"/>
        </w:rPr>
        <w:footnoteReference w:id="2647"/>
      </w:r>
      <w:r>
        <w:rPr>
          <w:rFonts w:ascii="IRNazanin" w:hAnsi="IRNazanin" w:eastAsia="IRNazanin" w:cs="IRNazanin"/>
          <w:lang w:bidi="fa-IR"/>
          <w:color w:val="111111"/>
          <w:sz w:val="28"/>
          <w:szCs w:val="28"/>
          <w:rtl/>
        </w:rPr>
        <w:t xml:space="preserve">کون البیع علّةً تامّة،و مقتضاه کظاهر الفتاوی شمول الحکم للصرف و السلم قبل القبض.و لا إشکال فیه لو قلنا بوجوب التقابض فی المجلس فی الصرف و السلم وجوباً تکلیفیّاً،إمّا للزوم الربا کما صرّح به فی صرف التذکرة </w:t>
      </w:r>
      <w:r>
        <w:rPr>
          <w:rStyle w:val="FootnoteReference"/>
        </w:rPr>
        <w:footnoteReference w:id="2648"/>
      </w:r>
      <w:r>
        <w:rPr>
          <w:rFonts w:ascii="IRNazanin" w:hAnsi="IRNazanin" w:eastAsia="IRNazanin" w:cs="IRNazanin"/>
          <w:lang w:bidi="fa-IR"/>
          <w:color w:val="111111"/>
          <w:sz w:val="28"/>
          <w:szCs w:val="28"/>
          <w:rtl/>
        </w:rPr>
        <w:t xml:space="preserve">و إمّا لوجوب الوفاء بالعقد و إن لم یکن بنفسه مملّکاً؛لأنّ ثمرة الخیار حینئذٍ جواز الفسخ،فلا یجب التقابض.</w:t>
      </w:r>
    </w:p>
    <w:p>
      <w:pPr>
        <w:pStyle w:val="BookText"/>
      </w:pPr>
      <w:r>
        <w:rPr>
          <w:rFonts w:ascii="IRNazanin" w:hAnsi="IRNazanin" w:eastAsia="IRNazanin" w:cs="IRNazanin"/>
          <w:lang w:bidi="fa-IR"/>
          <w:color w:val="111111"/>
          <w:sz w:val="28"/>
          <w:szCs w:val="28"/>
          <w:rtl/>
        </w:rPr>
        <w:t xml:space="preserve">أمّا لو قلنا بعدم وجوب التقابض و جواز ترکه إلی التفرّق المبطل للعقد،ففی أثر الخیار خفاءٌ،لأنّ المفروض بقاء سلطنة کلٍّ من المتعاقدین علی ملکه و عدم حقٍّ لأحدهما فی مال الآخر.و یمکن أن یکون أثر الخیار خروج العقد بفسخ ذی الخیار عن قابلیّة لحوق القبض المملّک، فلو فرض اشتراط سقوط الخیار فی العقد لم یخرج العقد بفسخ المشروط</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عن قابلیّة التأثیر.</w:t>
      </w:r>
    </w:p>
    <w:p>
      <w:pPr>
        <w:pStyle w:val="BookText"/>
      </w:pPr>
      <w:r>
        <w:rPr>
          <w:rFonts w:ascii="IRNazanin" w:hAnsi="IRNazanin" w:eastAsia="IRNazanin" w:cs="IRNazanin"/>
          <w:lang w:bidi="fa-IR"/>
          <w:color w:val="111111"/>
          <w:sz w:val="28"/>
          <w:szCs w:val="28"/>
          <w:rtl/>
        </w:rPr>
        <w:t xml:space="preserve">قال فی التذکرة:لو تقابضا فی عقد الصرف ثمّ أجازا فی المجلس لزم العقد،و إن أجازا قبل التقابض فکذلک،و علیهما التقابض،فإن تفرّقا قبله انفسخ العقد،ثمّ إن تفرّقا عن تراضٍ لم یحکم بعصیانهما، فإن انفرد أحدهما بالمفارقة عصی </w:t>
      </w:r>
      <w:r>
        <w:rPr>
          <w:rStyle w:val="FootnoteReference"/>
        </w:rPr>
        <w:footnoteReference w:id="264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الدروس:یثبت یعنی خیار المجلس فی الصرف،تقابضا أو لا،فإن التزما به قبل القبض وجب التقابض،فلو هرب أحدهما عصی و انفسخ العقد،و لو هرب قبل الالتزام فلا معصیة.و یحتمل قویّاً عدم العصیان مطلقاً؛لأنّ للقبض مدخلاً فی اللزوم فله ترکه </w:t>
      </w:r>
      <w:r>
        <w:rPr>
          <w:rStyle w:val="FootnoteReference"/>
        </w:rPr>
        <w:footnoteReference w:id="265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صرّح الشیخ أیضاً فی المبسوط بثبوت التخایر فی الصرف قبل التقابض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الوجه فی کون مبدأ الخیار للمالکین الحاضرین فی مجلس عقد الفضولیّین علی القول بثبوت الخیار لهما من زمان إجازتهما علی القول بالنقل،و کذا علی الکشف،مع احتمال کونه من زمان العقد.</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08" w:name="pg14419_167332"/>
    <w:bookmarkEnd w:id="308"/>
    <w:p>
      <w:pPr>
        <w:pStyle w:val="Heading6"/>
      </w:pPr>
      <w:bookmarkStart w:id="1178" w:name="_Toc618"/>
      <w:r>
        <w:t>القول فی مسقطات الخیار</w:t>
      </w:r>
      <w:bookmarkEnd w:id="1178"/>
    </w:p>
    <w:p>
      <w:pPr>
        <w:pStyle w:val="Heading6"/>
      </w:pPr>
      <w:bookmarkStart w:id="1179" w:name="_Toc619"/>
      <w:r>
        <w:t>اشارة</w:t>
      </w:r>
      <w:bookmarkEnd w:id="1179"/>
    </w:p>
    <w:p>
      <w:pPr>
        <w:pStyle w:val="BookText"/>
      </w:pPr>
      <w:r>
        <w:rPr>
          <w:rFonts w:ascii="IRNazanin" w:hAnsi="IRNazanin" w:eastAsia="IRNazanin" w:cs="IRNazanin"/>
          <w:lang w:bidi="fa-IR"/>
          <w:color w:val="111111"/>
          <w:sz w:val="28"/>
          <w:szCs w:val="28"/>
          <w:rtl/>
        </w:rPr>
        <w:t xml:space="preserve">و هی أربعة علی ما ذکرها فی التذکرة </w:t>
      </w:r>
      <w:r>
        <w:rPr>
          <w:rStyle w:val="FootnoteReference"/>
        </w:rPr>
        <w:footnoteReference w:id="2652"/>
      </w:r>
      <w:r>
        <w:rPr>
          <w:rFonts w:ascii="IRNazanin" w:hAnsi="IRNazanin" w:eastAsia="IRNazanin" w:cs="IRNazanin"/>
          <w:lang w:bidi="fa-IR"/>
          <w:color w:val="111111"/>
          <w:sz w:val="28"/>
          <w:szCs w:val="28"/>
          <w:rtl/>
        </w:rPr>
        <w:t xml:space="preserve">-:اشتراط سقوطه فی ضمن العقد،و إسقاطه بعد العقد،و التفرّق،و التصرّف.</w:t>
      </w:r>
    </w:p>
    <w:p>
      <w:pPr>
        <w:pStyle w:val="BookText"/>
      </w:pPr>
      <w:r>
        <w:rPr>
          <w:rFonts w:ascii="IRNazanin" w:hAnsi="IRNazanin" w:eastAsia="IRNazanin" w:cs="IRNazanin"/>
          <w:lang w:bidi="fa-IR"/>
          <w:color w:val="111111"/>
          <w:sz w:val="28"/>
          <w:szCs w:val="28"/>
          <w:rtl/>
        </w:rPr>
        <w:t xml:space="preserve">فیقع الکلام فی مسائل:</w:t>
      </w:r>
    </w:p>
    <w:p>
      <w:pPr>
        <w:pStyle w:val="Heading6"/>
      </w:pPr>
      <w:bookmarkStart w:id="1180" w:name="_Toc620"/>
      <w:r>
        <w:t>مسألة : [المسقط الأول اشتراط السقوط فی ضمن العقد]</w:t>
      </w:r>
      <w:bookmarkEnd w:id="1180"/>
    </w:p>
    <w:p>
      <w:pPr>
        <w:pStyle w:val="Heading6"/>
      </w:pPr>
      <w:bookmarkStart w:id="1181" w:name="_Toc621"/>
      <w:r>
        <w:t>اشارة</w:t>
      </w:r>
      <w:bookmarkEnd w:id="11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لا خلاف ظاهراً فی سقوط هذا الخیار باشتراط سقوطه فی ضمن العقد،و عن الغنیة:الإجماع علیه </w:t>
      </w:r>
      <w:r>
        <w:rPr>
          <w:rStyle w:val="FootnoteReference"/>
        </w:rPr>
        <w:footnoteReference w:id="2653"/>
      </w:r>
      <w:r>
        <w:rPr>
          <w:rFonts w:ascii="IRNazanin" w:hAnsi="IRNazanin" w:eastAsia="IRNazanin" w:cs="IRNazanin"/>
          <w:lang w:bidi="fa-IR"/>
          <w:color w:val="111111"/>
          <w:sz w:val="28"/>
          <w:szCs w:val="28"/>
          <w:rtl/>
        </w:rPr>
        <w:t xml:space="preserve">.و یدلّ علیه قبل ذلک عموم المستفیض:«المؤمنون </w:t>
      </w:r>
      <w:r>
        <w:rPr>
          <w:rStyle w:val="FootnoteReference"/>
        </w:rPr>
        <w:footnoteReference w:id="2654"/>
      </w:r>
      <w:r>
        <w:rPr>
          <w:rFonts w:ascii="IRNazanin" w:hAnsi="IRNazanin" w:eastAsia="IRNazanin" w:cs="IRNazanin"/>
          <w:lang w:bidi="fa-IR"/>
          <w:color w:val="111111"/>
          <w:sz w:val="28"/>
          <w:szCs w:val="28"/>
          <w:rtl/>
        </w:rPr>
        <w:t xml:space="preserve">أو المسلمون </w:t>
      </w:r>
      <w:r>
        <w:rPr>
          <w:rStyle w:val="FootnoteReference"/>
        </w:rPr>
        <w:footnoteReference w:id="2655"/>
      </w:r>
      <w:r>
        <w:rPr>
          <w:rFonts w:ascii="IRNazanin" w:hAnsi="IRNazanin" w:eastAsia="IRNazanin" w:cs="IRNazanin"/>
          <w:lang w:bidi="fa-IR"/>
          <w:color w:val="111111"/>
          <w:sz w:val="28"/>
          <w:szCs w:val="28"/>
          <w:rtl/>
        </w:rPr>
        <w:t xml:space="preserve">عند شروطهم».</w:t>
      </w:r>
    </w:p>
    <w:p>
      <w:pPr>
        <w:pStyle w:val="Heading6"/>
      </w:pPr>
      <w:bookmarkStart w:id="1182" w:name="_Toc622"/>
      <w:r>
        <w:t>[توهم معارضة اشتراط السقوط لعموم أدلة الخیار و دفعه]</w:t>
      </w:r>
      <w:bookmarkEnd w:id="1182"/>
    </w:p>
    <w:p>
      <w:pPr>
        <w:pStyle w:val="BookText"/>
      </w:pPr>
      <w:r>
        <w:rPr>
          <w:rFonts w:ascii="IRNazanin" w:hAnsi="IRNazanin" w:eastAsia="IRNazanin" w:cs="IRNazanin"/>
          <w:lang w:bidi="fa-IR"/>
          <w:color w:val="111111"/>
          <w:sz w:val="28"/>
          <w:szCs w:val="28"/>
          <w:rtl/>
        </w:rPr>
        <w:t xml:space="preserve">و قد یتخیّل معارضته لعموم </w:t>
      </w:r>
      <w:r>
        <w:rPr>
          <w:rStyle w:val="FootnoteReference"/>
        </w:rPr>
        <w:footnoteReference w:id="2656"/>
      </w:r>
      <w:r>
        <w:rPr>
          <w:rFonts w:ascii="IRNazanin" w:hAnsi="IRNazanin" w:eastAsia="IRNazanin" w:cs="IRNazanin"/>
          <w:lang w:bidi="fa-IR"/>
          <w:color w:val="111111"/>
          <w:sz w:val="28"/>
          <w:szCs w:val="28"/>
          <w:rtl/>
        </w:rPr>
        <w:t xml:space="preserve">أدلّة الخیار،و یرجّح علی تلک الأدلّة</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بالمرجّحات </w:t>
      </w:r>
      <w:r>
        <w:rPr>
          <w:rStyle w:val="FootnoteReference"/>
        </w:rPr>
        <w:footnoteReference w:id="2657"/>
      </w:r>
      <w:r>
        <w:rPr>
          <w:rFonts w:ascii="IRNazanin" w:hAnsi="IRNazanin" w:eastAsia="IRNazanin" w:cs="IRNazanin"/>
          <w:lang w:bidi="fa-IR"/>
          <w:color w:val="111111"/>
          <w:sz w:val="28"/>
          <w:szCs w:val="28"/>
          <w:rtl/>
        </w:rPr>
        <w:t xml:space="preserve">و هو ضعیفٌ؛لأنّ الترجیح من حیث الدلالة و السند مفقودٌ، و موافقة عمل الأصحاب لا یصیر مرجّحاً بعد العلم بانحصار مستندهم فی عموم أدلّة الشروط،کما یظهر من کتبهم.</w:t>
      </w:r>
    </w:p>
    <w:p>
      <w:pPr>
        <w:pStyle w:val="BookText"/>
      </w:pPr>
      <w:r>
        <w:rPr>
          <w:rFonts w:ascii="Amiri" w:hAnsi="Amiri" w:eastAsia="Amiri" w:cs="Amiri"/>
          <w:lang w:bidi="ar-SA"/>
          <w:color w:val="111111"/>
          <w:sz w:val="28"/>
          <w:szCs w:val="28"/>
          <w:rtl/>
        </w:rPr>
        <w:t xml:space="preserve">و نحوه فی الضعف التمسّک بعموم أَوْفُوا بِالْعُقُودِ </w:t>
      </w:r>
      <w:r>
        <w:rPr>
          <w:rStyle w:val="FootnoteReference"/>
        </w:rPr>
        <w:footnoteReference w:id="2658"/>
      </w:r>
      <w:r>
        <w:rPr>
          <w:rFonts w:ascii="IRNazanin" w:hAnsi="IRNazanin" w:eastAsia="IRNazanin" w:cs="IRNazanin"/>
          <w:lang w:bidi="fa-IR"/>
          <w:color w:val="111111"/>
          <w:sz w:val="28"/>
          <w:szCs w:val="28"/>
          <w:rtl/>
        </w:rPr>
        <w:t xml:space="preserve">بناءً علی صیرورة شرط عدم الخیار کالجزء من العقد الذی یجب الوفاء به؛إذ فیه:أنّ أدلّة الخیار أخصّ،فیخصّص بها العموم.</w:t>
      </w:r>
    </w:p>
    <w:p>
      <w:pPr>
        <w:pStyle w:val="BookText"/>
      </w:pPr>
      <w:r>
        <w:rPr>
          <w:rFonts w:ascii="IRNazanin" w:hAnsi="IRNazanin" w:eastAsia="IRNazanin" w:cs="IRNazanin"/>
          <w:lang w:bidi="fa-IR"/>
          <w:color w:val="111111"/>
          <w:sz w:val="28"/>
          <w:szCs w:val="28"/>
          <w:rtl/>
        </w:rPr>
        <w:t xml:space="preserve">بل الوجه مع انحصار المستند فی عموم دلیل الشروط-عدم نهوض أدلّة الخیار للمعارضة؛لأنّها مسوقةٌ لبیان ثبوت الخیار بأصل الشرع،فلا ینافی سقوطه بالمسقط الخارجی و هو الشرط؛لوجوب العمل به شرعاً.بل التأمّل فی دلیل الشرط یقضی بأنّ المقصود منه رفع الید عن الأحکام الأصلیّة الثابتة للمشروطات قبل وقوعها فی حیّز الاشتراط، فلا تعارضه أدلّة تلک الأحکام،فحاله حال أدلّة وجوب الوفاء بالنذر و العهد فی عدم مزاحمتها بأدلّة أحکام الأفعال المنذورة لو لا النذر.</w:t>
      </w:r>
    </w:p>
    <w:p>
      <w:pPr>
        <w:pStyle w:val="BookText"/>
      </w:pPr>
      <w:r>
        <w:rPr>
          <w:rFonts w:ascii="IRNazanin" w:hAnsi="IRNazanin" w:eastAsia="IRNazanin" w:cs="IRNazanin"/>
          <w:lang w:bidi="fa-IR"/>
          <w:color w:val="111111"/>
          <w:sz w:val="28"/>
          <w:szCs w:val="28"/>
          <w:rtl/>
        </w:rPr>
        <w:t xml:space="preserve">و یشهد لما ذکرنا من حکومة أدلّة الشرط و عدم معارضتها للأحکام الأصلیّة حتّی یحتاج إلی المرجّح استشهاد الإمام فی کثیرٍ من الأخبار بهذا العموم علی مخالفة کثیرٍ من الأحکام الأصلیّة.</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مالک بن عطیّة،قال:«سألت أبا عبد اللّٰه علیه السلام عن رجلٍ کان له أبٌ مملوک و کان تحت أبیه جاریةٌ مکاتبة قد أدّت بعض ما علیها،فقال لها ابن العبد:هل لکِ أن أُعینک فی مکاتبتک حتّی تؤدّی ما علیکِ بشرط أن لا یکون لک الخیار </w:t>
      </w:r>
      <w:r>
        <w:rPr>
          <w:rStyle w:val="FootnoteReference"/>
        </w:rPr>
        <w:footnoteReference w:id="2659"/>
      </w:r>
      <w:r>
        <w:rPr>
          <w:rFonts w:ascii="IRNazanin" w:hAnsi="IRNazanin" w:eastAsia="IRNazanin" w:cs="IRNazanin"/>
          <w:lang w:bidi="fa-IR"/>
          <w:color w:val="111111"/>
          <w:sz w:val="28"/>
          <w:szCs w:val="28"/>
          <w:rtl/>
        </w:rPr>
        <w:t xml:space="preserve">علی أبی إذا أنت ملکت نفسکِ؟قالت:نعم،فأعطاها فی مکاتبتها علی أن لا یکون لها الخیار بعد ذلک.قال علیه السلام:لا یکون لها الخیار،المسلمون عند شروطهم»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محمولةٌ بقرینة الإجماع علی عدم لزوم الشروط الابتدائیّة- علی صورة وقوع الاشتراط فی ضمن عقدٍ لازم،أو المصالحة علی إسقاط الخیار المتحقّق سببه بالمکاتبة بذلک المال.</w:t>
      </w:r>
    </w:p>
    <w:p>
      <w:pPr>
        <w:pStyle w:val="BookText"/>
      </w:pPr>
      <w:r>
        <w:rPr>
          <w:rFonts w:ascii="IRNazanin" w:hAnsi="IRNazanin" w:eastAsia="IRNazanin" w:cs="IRNazanin"/>
          <w:lang w:bidi="fa-IR"/>
          <w:color w:val="111111"/>
          <w:sz w:val="28"/>
          <w:szCs w:val="28"/>
          <w:rtl/>
        </w:rPr>
        <w:t xml:space="preserve">و کیف کان،فالاستدلال فیها بقاعدة الشروط علی نفی الخیار الثابت بالعمومات دلیلٌ علی حکومتها علیها،لا معارضتها المحوجة إلی التماس المرجّح.</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نعم،قد یستشکل التمسّک بدلیل الشروط فی المقام من وجوه:</w:t>
      </w:r>
    </w:p>
    <w:p>
      <w:pPr>
        <w:pStyle w:val="BookText"/>
      </w:pPr>
      <w:r>
        <w:rPr>
          <w:rFonts w:ascii="IRNazanin" w:hAnsi="IRNazanin" w:eastAsia="IRNazanin" w:cs="IRNazanin"/>
          <w:lang w:bidi="fa-IR"/>
          <w:color w:val="111111"/>
          <w:sz w:val="28"/>
          <w:szCs w:val="28"/>
          <w:rtl/>
        </w:rPr>
        <w:t xml:space="preserve">الأوّل:أنّ الشرط یجب الوفاء به إذا کان العقد المشروط فیه لازماً؛لأنّ الشرط </w:t>
      </w:r>
      <w:r>
        <w:rPr>
          <w:rStyle w:val="FootnoteReference"/>
        </w:rPr>
        <w:footnoteReference w:id="2661"/>
      </w:r>
      <w:r>
        <w:rPr>
          <w:rFonts w:ascii="IRNazanin" w:hAnsi="IRNazanin" w:eastAsia="IRNazanin" w:cs="IRNazanin"/>
          <w:lang w:bidi="fa-IR"/>
          <w:color w:val="111111"/>
          <w:sz w:val="28"/>
          <w:szCs w:val="28"/>
          <w:rtl/>
        </w:rPr>
        <w:t xml:space="preserve">فی ضمن العقد الجائز لا یزید حکمه علی أصل العقد،بل هو کالوعد،فلزوم الشرط یتوقّف علی لزوم العقد،فلو ثبت لزوم العقد بلزوم الشرط لزم الدور.</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هذا الشرط مخالفٌ لمقتضی العقد علی ما هو ظاهر قوله:«البیّعان بالخیار»فاشتراط عدم کونهما بالخیار اشتراطٌ لعدم بعض مقتضیات العقد.</w:t>
      </w:r>
    </w:p>
    <w:p>
      <w:pPr>
        <w:pStyle w:val="BookText"/>
      </w:pPr>
      <w:r>
        <w:rPr>
          <w:rFonts w:ascii="IRNazanin" w:hAnsi="IRNazanin" w:eastAsia="IRNazanin" w:cs="IRNazanin"/>
          <w:lang w:bidi="fa-IR"/>
          <w:color w:val="111111"/>
          <w:sz w:val="28"/>
          <w:szCs w:val="28"/>
          <w:rtl/>
        </w:rPr>
        <w:t xml:space="preserve">الثالث:ما استدلّ به بعض الشافعیّة علی عدم جواز اشتراط السقوط:من أنّ إسقاط الخیار فی ضمن العقد إسقاطٌ لما لم یجب؛ لأنّ الخیار لا یحدث إلّا بعد البیع،فإسقاطه فیه کإسقاطه قبله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شیءٌ من هذه الوجوه لا یصلح للاستشکال.</w:t>
      </w:r>
    </w:p>
    <w:p>
      <w:pPr>
        <w:pStyle w:val="BookText"/>
      </w:pPr>
      <w:r>
        <w:rPr>
          <w:rFonts w:ascii="IRNazanin" w:hAnsi="IRNazanin" w:eastAsia="IRNazanin" w:cs="IRNazanin"/>
          <w:lang w:bidi="fa-IR"/>
          <w:color w:val="111111"/>
          <w:sz w:val="28"/>
          <w:szCs w:val="28"/>
          <w:rtl/>
        </w:rPr>
        <w:t xml:space="preserve">أمّا الأوّل؛فلأنّ الخارج من عموم الشروط </w:t>
      </w:r>
      <w:r>
        <w:rPr>
          <w:rStyle w:val="FootnoteReference"/>
        </w:rPr>
        <w:footnoteReference w:id="2663"/>
      </w:r>
      <w:r>
        <w:rPr>
          <w:rFonts w:ascii="IRNazanin" w:hAnsi="IRNazanin" w:eastAsia="IRNazanin" w:cs="IRNazanin"/>
          <w:lang w:bidi="fa-IR"/>
          <w:color w:val="111111"/>
          <w:sz w:val="28"/>
          <w:szCs w:val="28"/>
          <w:rtl/>
        </w:rPr>
        <w:t xml:space="preserve">:الشروط الابتدائیّة، لأنّها کالوعد،و الواقعة فی ضمن العقود الجائزة بالذات أو بالخیار مع بقائها علی الجواز؛لأنّ الحکم بلزوم الشرط مع فرض جواز العقد المشروط به ممّا لا یجتمعان؛لأنّ الشرط تابعٌ و کالتقیید للعقد المشروط به.أمّا إذا کان نفس مؤدّی الشرط لزوم ذلک العقد المشروط به-کما فیما نحن فیه-لا التزاماً آخر مغایراً لالتزام أصل العقد،فلزومه الثابت بمقتضی عموم وجوب الوفاء بالشرط عین لزوم العقد،فلا یلزم تفکیکٌ بین التابع و المتبوع فی اللزوم و الجواز.</w:t>
      </w:r>
    </w:p>
    <w:p>
      <w:pPr>
        <w:pStyle w:val="BookText"/>
      </w:pPr>
      <w:r>
        <w:rPr>
          <w:rFonts w:ascii="IRNazanin" w:hAnsi="IRNazanin" w:eastAsia="IRNazanin" w:cs="IRNazanin"/>
          <w:lang w:bidi="fa-IR"/>
          <w:color w:val="111111"/>
          <w:sz w:val="28"/>
          <w:szCs w:val="28"/>
          <w:rtl/>
        </w:rPr>
        <w:t xml:space="preserve">و أمّا الثانی؛فلأنّ الخیار حقٌّ للمتعاقدین اقتضاه العقد لو خُلّی و نفسه،فلا ینافی سقوطه بالشرط.</w:t>
      </w:r>
    </w:p>
    <w:p>
      <w:pPr>
        <w:pStyle w:val="BookText"/>
      </w:pPr>
      <w:r>
        <w:rPr>
          <w:rFonts w:ascii="IRNazanin" w:hAnsi="IRNazanin" w:eastAsia="IRNazanin" w:cs="IRNazanin"/>
          <w:lang w:bidi="fa-IR"/>
          <w:color w:val="111111"/>
          <w:sz w:val="28"/>
          <w:szCs w:val="28"/>
          <w:rtl/>
        </w:rPr>
        <w:t xml:space="preserve">و بعبارةٍ أُخری:المقتضی للخیار العقد بشرط لا،لا طبیعة العقد من حیث هی حتّی لا یوجد بدونه.و قوله:«البیّعان بالخیار»و إن کان</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09" w:name="pg14419_167336"/>
    <w:bookmarkEnd w:id="309"/>
    <w:p>
      <w:pPr>
        <w:pStyle w:val="BookText"/>
      </w:pPr>
      <w:r>
        <w:rPr>
          <w:rFonts w:ascii="IRNazanin" w:hAnsi="IRNazanin" w:eastAsia="IRNazanin" w:cs="IRNazanin"/>
          <w:lang w:bidi="fa-IR"/>
          <w:color w:val="111111"/>
          <w:sz w:val="28"/>
          <w:szCs w:val="28"/>
          <w:rtl/>
        </w:rPr>
        <w:t xml:space="preserve">له ظهورٌ فی العلّیة التامّة،إلّا أنّ المتبادر من إطلاقه صورة الخلوّ عن شرط السقوط؛مع أنّ مقتضی الجمع بینه و بین دلیل الشرط کون العقد مقتضیاً،لا تمام العلّة لیکون التخلّف ممتنعاً شرعاً.</w:t>
      </w:r>
    </w:p>
    <w:p>
      <w:pPr>
        <w:pStyle w:val="BookText"/>
      </w:pPr>
      <w:r>
        <w:rPr>
          <w:rFonts w:ascii="IRNazanin" w:hAnsi="IRNazanin" w:eastAsia="IRNazanin" w:cs="IRNazanin"/>
          <w:lang w:bidi="fa-IR"/>
          <w:color w:val="111111"/>
          <w:sz w:val="28"/>
          <w:szCs w:val="28"/>
          <w:rtl/>
        </w:rPr>
        <w:t xml:space="preserve">نعم،یبقی الکلام فی دفع توهّم:أنّه لو بُنی علی الجمع بهذا الوجه بین دلیل الشرط و عمومات الکتاب و السنّة لم یبقَ شرطٌ مخالفٌ للکتاب و السنّة،بل و لا لمقتضی العقد.و محلّ ذلک و إن کان فی باب الشروط، إلّا أنّ مجمل القول فی دفع ذلک فیما نحن فیه:أنّا حیث علمنا بالنصّ و الإجماع أنّ الخیار حقٌّ مالیٌّ قابلٌ للإسقاط و الإرث،لم یکن سقوطه منافیاً للمشروع </w:t>
      </w:r>
      <w:r>
        <w:rPr>
          <w:rStyle w:val="FootnoteReference"/>
        </w:rPr>
        <w:footnoteReference w:id="2664"/>
      </w:r>
      <w:r>
        <w:rPr>
          <w:rFonts w:ascii="IRNazanin" w:hAnsi="IRNazanin" w:eastAsia="IRNazanin" w:cs="IRNazanin"/>
          <w:lang w:bidi="fa-IR"/>
          <w:color w:val="111111"/>
          <w:sz w:val="28"/>
          <w:szCs w:val="28"/>
          <w:rtl/>
        </w:rPr>
        <w:t xml:space="preserve">،فلم یکن اشتراطه اشتراط المنافی،کما لو اشترطا فی هذا العقد سقوط الخیار[فی عقد آخر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666"/>
      </w:r>
      <w:r>
        <w:rPr>
          <w:rFonts w:ascii="IRNazanin" w:hAnsi="IRNazanin" w:eastAsia="IRNazanin" w:cs="IRNazanin"/>
          <w:lang w:bidi="fa-IR"/>
          <w:color w:val="111111"/>
          <w:sz w:val="28"/>
          <w:szCs w:val="28"/>
          <w:rtl/>
        </w:rPr>
        <w:t xml:space="preserve">عن الثالث بما عرفت:من أنّ المتبادر من النصّ المثبت للخیار صورة الخلوّ عن الاشتراط و إقدام المتبایعین علی عدم الخیار،ففائدة الشرط إبطال المقتضی لا إثبات المانع.</w:t>
      </w:r>
    </w:p>
    <w:p>
      <w:pPr>
        <w:pStyle w:val="BookText"/>
      </w:pPr>
      <w:r>
        <w:rPr>
          <w:rFonts w:ascii="IRNazanin" w:hAnsi="IRNazanin" w:eastAsia="IRNazanin" w:cs="IRNazanin"/>
          <w:lang w:bidi="fa-IR"/>
          <w:color w:val="111111"/>
          <w:sz w:val="28"/>
          <w:szCs w:val="28"/>
          <w:rtl/>
        </w:rPr>
        <w:t xml:space="preserve">و یمکن أن یستأنس لدفع الإشکال من هذا الوجه الثالث و من سابقه بصحیحة مالک بن عطیّة المتقدّمة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Heading6"/>
      </w:pPr>
      <w:bookmarkStart w:id="1183" w:name="_Toc623"/>
      <w:r>
        <w:t>ثمّ إنّ هذا الشرط یتصوّر علی وجوه</w:t>
      </w:r>
      <w:bookmarkEnd w:id="1183"/>
    </w:p>
    <w:p>
      <w:pPr>
        <w:pStyle w:val="Heading6"/>
      </w:pPr>
      <w:bookmarkStart w:id="1184" w:name="_Toc624"/>
      <w:r>
        <w:t>أحدها : أن یشترط عدم الخیار</w:t>
      </w:r>
      <w:bookmarkEnd w:id="11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هذا هو مراد المشهور من</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10" w:name="pg14419_167337"/>
    <w:bookmarkEnd w:id="310"/>
    <w:p>
      <w:pPr>
        <w:pStyle w:val="BookText"/>
      </w:pPr>
      <w:r>
        <w:rPr>
          <w:rFonts w:ascii="IRNazanin" w:hAnsi="IRNazanin" w:eastAsia="IRNazanin" w:cs="IRNazanin"/>
          <w:lang w:bidi="fa-IR"/>
          <w:color w:val="111111"/>
          <w:sz w:val="28"/>
          <w:szCs w:val="28"/>
          <w:rtl/>
        </w:rPr>
        <w:t xml:space="preserve">اشتراط السقوط فیقول:«بعت بشرط أن لا یثبت بیننا خیار المجلس» کما مثّل به فی الخلاف و المبسوط و الغنیة و التذکرة </w:t>
      </w:r>
      <w:r>
        <w:rPr>
          <w:rStyle w:val="FootnoteReference"/>
        </w:rPr>
        <w:footnoteReference w:id="2668"/>
      </w:r>
      <w:r>
        <w:rPr>
          <w:rFonts w:ascii="IRNazanin" w:hAnsi="IRNazanin" w:eastAsia="IRNazanin" w:cs="IRNazanin"/>
          <w:lang w:bidi="fa-IR"/>
          <w:color w:val="111111"/>
          <w:sz w:val="28"/>
          <w:szCs w:val="28"/>
          <w:rtl/>
        </w:rPr>
        <w:t xml:space="preserve">لأنّ المراد بالسقوط هنا عدم الثبوت،لا الارتفاع.</w:t>
      </w:r>
    </w:p>
    <w:p>
      <w:pPr>
        <w:pStyle w:val="Heading6"/>
      </w:pPr>
      <w:bookmarkStart w:id="1185" w:name="_Toc625"/>
      <w:r>
        <w:t>الثانی : أن یشترط عدم الفسخ</w:t>
      </w:r>
      <w:bookmarkEnd w:id="1185"/>
    </w:p>
    <w:p>
      <w:pPr>
        <w:pStyle w:val="BookText"/>
      </w:pPr>
      <w:r>
        <w:rPr>
          <w:rFonts w:ascii="IRNazanin" w:hAnsi="IRNazanin" w:eastAsia="IRNazanin" w:cs="IRNazanin"/>
          <w:lang w:bidi="fa-IR"/>
          <w:color w:val="111111"/>
          <w:sz w:val="28"/>
          <w:szCs w:val="28"/>
          <w:rtl/>
        </w:rPr>
        <w:t xml:space="preserve">فیقول:«بعت بشرط أن لا أفسخ فی المجلس»فیرجع إلی التزام ترک حقّه،فلو خالف الشرط و فسخ فیحتمل قویّاً عدم نفوذ الفسخ؛لأنّ وجوب الوفاء بالشرط مستلزم لوجوب إجباره علیه و عدم سلطنته علی ترکه،کما لو باع منذور التصدّق به علی ما ذهب إلیه </w:t>
      </w:r>
      <w:r>
        <w:rPr>
          <w:rStyle w:val="FootnoteReference"/>
        </w:rPr>
        <w:footnoteReference w:id="2669"/>
      </w:r>
      <w:r>
        <w:rPr>
          <w:rFonts w:ascii="IRNazanin" w:hAnsi="IRNazanin" w:eastAsia="IRNazanin" w:cs="IRNazanin"/>
          <w:lang w:bidi="fa-IR"/>
          <w:color w:val="111111"/>
          <w:sz w:val="28"/>
          <w:szCs w:val="28"/>
          <w:rtl/>
        </w:rPr>
        <w:t xml:space="preserve">غیر واحد </w:t>
      </w:r>
      <w:r>
        <w:rPr>
          <w:rStyle w:val="FootnoteReference"/>
        </w:rPr>
        <w:footnoteReference w:id="2670"/>
      </w:r>
      <w:r>
        <w:rPr>
          <w:rFonts w:ascii="IRNazanin" w:hAnsi="IRNazanin" w:eastAsia="IRNazanin" w:cs="IRNazanin"/>
          <w:lang w:bidi="fa-IR"/>
          <w:color w:val="111111"/>
          <w:sz w:val="28"/>
          <w:szCs w:val="28"/>
          <w:rtl/>
        </w:rPr>
        <w:t xml:space="preserve">فمخالفة الشرط و هو الفسخ غیر نافذةٍ فی حقّه.و یحتمل النفوذ،لعموم دلیل الخیار، و الالتزام بترک الفسخ لا یوجب فساد الفسخ علی ما قاله بعضهم:من أنّ بیع منذور التصدّق حِنثٌ موجبٌ للکفّارة،لا فاسدٌ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فلا فائدة فی هذا غیر الإثم علی مخالفته،إذ ما یترتّب</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11" w:name="pg14419_167338"/>
    <w:bookmarkEnd w:id="311"/>
    <w:p>
      <w:pPr>
        <w:pStyle w:val="BookText"/>
      </w:pPr>
      <w:r>
        <w:rPr>
          <w:rFonts w:ascii="IRNazanin" w:hAnsi="IRNazanin" w:eastAsia="IRNazanin" w:cs="IRNazanin"/>
          <w:lang w:bidi="fa-IR"/>
          <w:color w:val="111111"/>
          <w:sz w:val="28"/>
          <w:szCs w:val="28"/>
          <w:rtl/>
        </w:rPr>
        <w:t xml:space="preserve">علی مخالفة الشرط فی غیر هذا المقام من تسلّط المشروط له علی الفسخ لو خولف الشرط غیر مترتّب هنا.</w:t>
      </w:r>
    </w:p>
    <w:p>
      <w:pPr>
        <w:pStyle w:val="BookText"/>
      </w:pPr>
      <w:r>
        <w:rPr>
          <w:rFonts w:ascii="IRNazanin" w:hAnsi="IRNazanin" w:eastAsia="IRNazanin" w:cs="IRNazanin"/>
          <w:lang w:bidi="fa-IR"/>
          <w:color w:val="111111"/>
          <w:sz w:val="28"/>
          <w:szCs w:val="28"/>
          <w:rtl/>
        </w:rPr>
        <w:t xml:space="preserve">و الاحتمال الأوّل أوفق بعموم وجوب الوفاء بالشرط الدالّ علی وجوب ترتّب آثار الشرط،و هو عدم الفسخ فی جمیع الأحوال حتّی بعد الفسخ،فیستلزم ذلک کون الفسخ الواقع لغواً،کما تقدّم نظیره فی الاستدلال بعموم وجوب الوفاء بالعقد علی کون فسخ أحدهما منفرداً لغواً لا یرفع وجوب الوفاء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6"/>
      </w:pPr>
      <w:bookmarkStart w:id="1186" w:name="_Toc626"/>
      <w:r>
        <w:t>الثالث : أن یشترط إسقاط الخیار</w:t>
      </w:r>
      <w:bookmarkEnd w:id="1186"/>
    </w:p>
    <w:p>
      <w:pPr>
        <w:pStyle w:val="BookText"/>
      </w:pPr>
      <w:r>
        <w:rPr>
          <w:rFonts w:ascii="IRNazanin" w:hAnsi="IRNazanin" w:eastAsia="IRNazanin" w:cs="IRNazanin"/>
          <w:lang w:bidi="fa-IR"/>
          <w:color w:val="111111"/>
          <w:sz w:val="28"/>
          <w:szCs w:val="28"/>
          <w:rtl/>
        </w:rPr>
        <w:t xml:space="preserve">و مقتضی ظاهره:وجوب الإسقاط بعد العقد،فلو أخلّ به و فسخ العقد،ففی تأثیر الفسخ الوجهان المتقدّمان،و الأقوی عدم التأثیر.</w:t>
      </w:r>
    </w:p>
    <w:p>
      <w:pPr>
        <w:pStyle w:val="BookText"/>
      </w:pPr>
      <w:r>
        <w:rPr>
          <w:rFonts w:ascii="IRNazanin" w:hAnsi="IRNazanin" w:eastAsia="IRNazanin" w:cs="IRNazanin"/>
          <w:lang w:bidi="fa-IR"/>
          <w:color w:val="111111"/>
          <w:sz w:val="28"/>
          <w:szCs w:val="28"/>
          <w:rtl/>
        </w:rPr>
        <w:t xml:space="preserve">و هل للمشروط له الفسخُ بمجرّد عدم إسقاط المشترط الخیارَ بعد العقد و إن لم یفسخ؟وجهان:من عدم حصول الشرط،و من أنّ المقصود منه إبقاء العقد،فلا یحصل التخلّف إلّا إذا فسخ.</w:t>
      </w:r>
    </w:p>
    <w:p>
      <w:pPr>
        <w:pStyle w:val="BookText"/>
      </w:pPr>
      <w:r>
        <w:rPr>
          <w:rFonts w:ascii="IRNazanin" w:hAnsi="IRNazanin" w:eastAsia="IRNazanin" w:cs="IRNazanin"/>
          <w:lang w:bidi="fa-IR"/>
          <w:color w:val="111111"/>
          <w:sz w:val="28"/>
          <w:szCs w:val="28"/>
          <w:rtl/>
        </w:rPr>
        <w:t xml:space="preserve">و الأولی:بناءً علی القول بعدم تأثیر الفسخ هو عدم الخیار؛لعدم تخلّف الشرط.و علی القول بتأثیره ثبوت الخیار؛لأنّه قد یکون الغرض من الشرط عدم تزلزل العقد و یکون بقاء المشترط علی سلطنة الفسخ مخالفاً لمصلحة المشروط له،و قد یموت ذو الخیار و ینتقل إلی وارثه.</w:t>
      </w:r>
    </w:p>
    <w:p>
      <w:pPr>
        <w:pStyle w:val="Heading6"/>
      </w:pPr>
      <w:bookmarkStart w:id="1187" w:name="_Toc627"/>
      <w:r>
        <w:t>بقی الکلام فی أنّ المشهور : أنّ تأثیر الشرط إنّما هو مع ذکره فی متن العقد</w:t>
      </w:r>
      <w:bookmarkEnd w:id="1187"/>
    </w:p>
    <w:p>
      <w:pPr>
        <w:pStyle w:val="BookText"/>
      </w:pPr>
      <w:r>
        <w:rPr>
          <w:rFonts w:ascii="IRNazanin" w:hAnsi="IRNazanin" w:eastAsia="IRNazanin" w:cs="IRNazanin"/>
          <w:lang w:bidi="fa-IR"/>
          <w:color w:val="111111"/>
          <w:sz w:val="28"/>
          <w:szCs w:val="28"/>
          <w:rtl/>
        </w:rPr>
        <w:t xml:space="preserve">فلو ذکراه قبله لم یفد،لعدم الدلیل علی وجوب الوفاء به.</w:t>
      </w:r>
    </w:p>
    <w:p>
      <w:pPr>
        <w:pStyle w:val="BookText"/>
      </w:pPr>
      <w:r>
        <w:rPr>
          <w:rFonts w:ascii="IRNazanin" w:hAnsi="IRNazanin" w:eastAsia="IRNazanin" w:cs="IRNazanin"/>
          <w:lang w:bidi="fa-IR"/>
          <w:color w:val="111111"/>
          <w:sz w:val="28"/>
          <w:szCs w:val="28"/>
          <w:rtl/>
        </w:rPr>
        <w:t xml:space="preserve">و صدق الشرط علی غیر المذکور فی العقد غیر ثابت؛لأنّ المتبادر عرفاً</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الإلزام و الالتزام المرتبط بمطلبٍ آخر؛و قد تقدّم عن القاموس:أنّه الإلزام و الالتزام فی البیع و نحوه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الشیخ و القاضی تأثیر الشرط المتقدّم.</w:t>
      </w:r>
    </w:p>
    <w:p>
      <w:pPr>
        <w:pStyle w:val="BookText"/>
      </w:pPr>
      <w:r>
        <w:rPr>
          <w:rFonts w:ascii="IRNazanin" w:hAnsi="IRNazanin" w:eastAsia="IRNazanin" w:cs="IRNazanin"/>
          <w:lang w:bidi="fa-IR"/>
          <w:color w:val="111111"/>
          <w:sz w:val="28"/>
          <w:szCs w:val="28"/>
          <w:rtl/>
        </w:rPr>
        <w:t xml:space="preserve">قال فی محکیّ الخلاف:لو شرطا قبل العقد أن لا یثبت بینهما خیارٌ بعد العقد صحّ الشرط و لزم العقد بنفس الإیجاب و القبول.ثمّ نقل الخلاف عن بعض أصحاب الشافعی.ثمّ قال:دلیلنا:أنّه لا مانع من هذا الشرط و الأصل جوازه و عموم الأخبار فی جواز الشرط یشمل هذا الموضع </w:t>
      </w:r>
      <w:r>
        <w:rPr>
          <w:rStyle w:val="FootnoteReference"/>
        </w:rPr>
        <w:footnoteReference w:id="2674"/>
      </w:r>
      <w:r>
        <w:rPr>
          <w:rFonts w:ascii="IRNazanin" w:hAnsi="IRNazanin" w:eastAsia="IRNazanin" w:cs="IRNazanin"/>
          <w:lang w:bidi="fa-IR"/>
          <w:color w:val="111111"/>
          <w:sz w:val="28"/>
          <w:szCs w:val="28"/>
          <w:rtl/>
        </w:rPr>
        <w:t xml:space="preserve">،انتهی.و نحوه المحکیّ عن جواهر القاضی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المختلف علی ما حکی عنه بعد ذلک:و عندی فی ذلک نظرٌ،فإنّ الشرط إنّما یعتبر حکمه لو وقع فی متن العقد،نعم لو شرطا قبل العقد و تبایعا علی ذلک الشرط صحّ ما شرطاه </w:t>
      </w:r>
      <w:r>
        <w:rPr>
          <w:rStyle w:val="FootnoteReference"/>
        </w:rPr>
        <w:footnoteReference w:id="26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أقول:التبایع علی ذلک الشرط إن کان بالإشارة إلیه فی العقد بأن یقول مثلاً:«بعت علی ما ذکر»فهو من المذکور فی متن العقد، و إن کان بالقصد إلیه و البناء علیه عند الإنشاء،فهذا هو ظاهر کلام الشیخ.</w:t>
      </w:r>
    </w:p>
    <w:p>
      <w:pPr>
        <w:pStyle w:val="BookText"/>
      </w:pPr>
      <w:r>
        <w:rPr>
          <w:rFonts w:ascii="IRNazanin" w:hAnsi="IRNazanin" w:eastAsia="IRNazanin" w:cs="IRNazanin"/>
          <w:lang w:bidi="fa-IR"/>
          <w:color w:val="111111"/>
          <w:sz w:val="28"/>
          <w:szCs w:val="28"/>
          <w:rtl/>
        </w:rPr>
        <w:t xml:space="preserve">نعم،یحتمل أن یرید الصورة الاُولی </w:t>
      </w:r>
      <w:r>
        <w:rPr>
          <w:rStyle w:val="FootnoteReference"/>
        </w:rPr>
        <w:footnoteReference w:id="2677"/>
      </w:r>
      <w:r>
        <w:rPr>
          <w:rFonts w:ascii="IRNazanin" w:hAnsi="IRNazanin" w:eastAsia="IRNazanin" w:cs="IRNazanin"/>
          <w:lang w:bidi="fa-IR"/>
          <w:color w:val="111111"/>
          <w:sz w:val="28"/>
          <w:szCs w:val="28"/>
          <w:rtl/>
        </w:rPr>
        <w:t xml:space="preserve">،و هذا هو المناسب للاستدلال</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بعدم المانع من هذا الاشتراط.و یؤیّده أیضاً،بل یعیّنه:أنّ بعض أصحاب الشافعی إنّما یخالف فی صحّة هذا الاشتراط فی متن العقد،و قد صرّح فی التذکرة بذکر خلاف بعض الشافعیّة فی اشتراط عدم الخیار فی متن العقد،و استدلّ عنهم بأنّ الخیار بعد تمام العقد،فلا یصحّ إسقاطه قبل تمامه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ملاحظة عنوان المسألة فی الخلاف و التذکرة و استدلال الشیخ علی الجواز و استدلال </w:t>
      </w:r>
      <w:r>
        <w:rPr>
          <w:rStyle w:val="FootnoteReference"/>
        </w:rPr>
        <w:footnoteReference w:id="2679"/>
      </w:r>
      <w:r>
        <w:rPr>
          <w:rFonts w:ascii="IRNazanin" w:hAnsi="IRNazanin" w:eastAsia="IRNazanin" w:cs="IRNazanin"/>
          <w:lang w:bidi="fa-IR"/>
          <w:color w:val="111111"/>
          <w:sz w:val="28"/>
          <w:szCs w:val="28"/>
          <w:rtl/>
        </w:rPr>
        <w:t xml:space="preserve">بعض الشافعیّة علی المنع یکاد یوجب القطع بعدم إرادة الشیخ صورة ترک الشرط فی متن العقد.</w:t>
      </w:r>
    </w:p>
    <w:p>
      <w:pPr>
        <w:pStyle w:val="BookText"/>
      </w:pPr>
      <w:r>
        <w:rPr>
          <w:rFonts w:ascii="IRNazanin" w:hAnsi="IRNazanin" w:eastAsia="IRNazanin" w:cs="IRNazanin"/>
          <w:lang w:bidi="fa-IR"/>
          <w:color w:val="111111"/>
          <w:sz w:val="28"/>
          <w:szCs w:val="28"/>
          <w:rtl/>
        </w:rPr>
        <w:t xml:space="preserve">و کیف کان،فالأقوی أنّ الشرط الغیر المذکور فی متن العقد غیر مؤثّر؛لأنّه لا یلزم بنفس اشتراطه السابق؛لأنّ المتحقّق فی السابق إمّا وعدٌ بالتزام،أو التزامٌ تبرّعیٌّ لا یجب الوفاء به،و العقد اللاحق و إن وقع مبنیّاً علیه لا یُلزمه،لأنّ الشرط إلزامٌ مستقلٌّ لا یرتبط بالتزام العقد إلّا بجعل المتکلّم،و إلّا فهو بنفسه لیس من متعلّقات الکلام العقدی مثل العوضین و قیودهما حتّی یقدّر </w:t>
      </w:r>
      <w:r>
        <w:rPr>
          <w:rStyle w:val="FootnoteReference"/>
        </w:rPr>
        <w:footnoteReference w:id="2680"/>
      </w:r>
      <w:r>
        <w:rPr>
          <w:rFonts w:ascii="IRNazanin" w:hAnsi="IRNazanin" w:eastAsia="IRNazanin" w:cs="IRNazanin"/>
          <w:lang w:bidi="fa-IR"/>
          <w:color w:val="111111"/>
          <w:sz w:val="28"/>
          <w:szCs w:val="28"/>
          <w:rtl/>
        </w:rPr>
        <w:t xml:space="preserve">منویّاً،فیکون کالمحذوف النحوی بعد نصب القرینة،فإنّ من باع داره فی حال بنائه-فی الواقع- علی عدم الخیار له لم یحصل له فی ضمن بیعه إنشاء التزام بعدم الخیار و لم یُقیِّد إنشاءَه بشیءٍ.بخلاف قوله:«بعتک علی أن لا خیار[لی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12" w:name="pg14419_167341"/>
    <w:bookmarkEnd w:id="312"/>
    <w:p>
      <w:pPr>
        <w:pStyle w:val="BookText"/>
      </w:pPr>
      <w:r>
        <w:rPr>
          <w:rFonts w:ascii="IRNazanin" w:hAnsi="IRNazanin" w:eastAsia="IRNazanin" w:cs="IRNazanin"/>
          <w:lang w:bidi="fa-IR"/>
          <w:color w:val="111111"/>
          <w:sz w:val="28"/>
          <w:szCs w:val="28"/>
          <w:rtl/>
        </w:rPr>
        <w:t xml:space="preserve">الذی مؤدّاه بعتک ملتزماً علی نفسی و بانیاً علی أن لا خیار لی،فإنّ إنشاءه للبیع قد اعتبر مقیّداً بإنشائه التزامَ عدم الخیار.</w:t>
      </w:r>
    </w:p>
    <w:p>
      <w:pPr>
        <w:pStyle w:val="BookText"/>
      </w:pPr>
      <w:r>
        <w:rPr>
          <w:rFonts w:ascii="IRNazanin" w:hAnsi="IRNazanin" w:eastAsia="IRNazanin" w:cs="IRNazanin"/>
          <w:lang w:bidi="fa-IR"/>
          <w:color w:val="111111"/>
          <w:sz w:val="28"/>
          <w:szCs w:val="28"/>
          <w:rtl/>
        </w:rPr>
        <w:t xml:space="preserve">فحاصل الشرط:إلزامٌ فی التزامٍ مع اعتبار تقیید الثانی بالأوّل؛ و تمام الکلام فی باب الشروط إن شاء اللّٰه تعالی.</w:t>
      </w:r>
    </w:p>
    <w:p>
      <w:pPr>
        <w:pStyle w:val="Heading6"/>
      </w:pPr>
      <w:bookmarkStart w:id="1188" w:name="_Toc628"/>
      <w:r>
        <w:t>فرع:</w:t>
      </w:r>
      <w:bookmarkEnd w:id="1188"/>
    </w:p>
    <w:p>
      <w:pPr>
        <w:pStyle w:val="BookText"/>
      </w:pPr>
      <w:r>
        <w:rPr>
          <w:rFonts w:ascii="IRNazanin" w:hAnsi="IRNazanin" w:eastAsia="IRNazanin" w:cs="IRNazanin"/>
          <w:lang w:bidi="fa-IR"/>
          <w:color w:val="111111"/>
          <w:sz w:val="28"/>
          <w:szCs w:val="28"/>
          <w:rtl/>
        </w:rPr>
        <w:t xml:space="preserve">ذکر العلّامة فی التذکرة مورداً لعدم جواز اشتراط[نفی </w:t>
      </w:r>
      <w:r>
        <w:rPr>
          <w:rStyle w:val="FootnoteReference"/>
        </w:rPr>
        <w:footnoteReference w:id="2682"/>
      </w:r>
      <w:r>
        <w:rPr>
          <w:rFonts w:ascii="IRNazanin" w:hAnsi="IRNazanin" w:eastAsia="IRNazanin" w:cs="IRNazanin"/>
          <w:lang w:bidi="fa-IR"/>
          <w:color w:val="111111"/>
          <w:sz w:val="28"/>
          <w:szCs w:val="28"/>
          <w:rtl/>
        </w:rPr>
        <w:t xml:space="preserve">]خیار المجلس و غیره فی متن العقد،و هو ما إذا نذر المولی أن یعتق عبده إذا باعه،بأن قال:«للّٰه علیَّ أنْ أُعتقک إذا بعتک»،قال:لو باعه بشرط نفی الخیار لم یصحّ البیع؛لصحّة النذر،فیجب الوفاء به،و لا یتمّ برفع الخیار.و علی قول بعض علمائنا:من صحّة البیع مع بطلان الشرط، یلغو الشرط و یصحّ[البیع و یعتق </w:t>
      </w:r>
      <w:r>
        <w:rPr>
          <w:rStyle w:val="FootnoteReference"/>
        </w:rPr>
        <w:footnoteReference w:id="2683"/>
      </w:r>
      <w:r>
        <w:rPr>
          <w:rFonts w:ascii="IRNazanin" w:hAnsi="IRNazanin" w:eastAsia="IRNazanin" w:cs="IRNazanin"/>
          <w:lang w:bidi="fa-IR"/>
          <w:color w:val="111111"/>
          <w:sz w:val="28"/>
          <w:szCs w:val="28"/>
          <w:rtl/>
        </w:rPr>
        <w:t xml:space="preserve">]،انتهی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مبنیٌّ علی أنّ النذر المعلّق بالعین یوجب عدم تسلّط الناذر علی التصرّفات المنافیة له،و قد مرّ أنّ الأقوی فی الشرط [أیضاً </w:t>
      </w:r>
      <w:r>
        <w:rPr>
          <w:rStyle w:val="FootnoteReference"/>
        </w:rPr>
        <w:footnoteReference w:id="2685"/>
      </w:r>
      <w:r>
        <w:rPr>
          <w:rFonts w:ascii="IRNazanin" w:hAnsi="IRNazanin" w:eastAsia="IRNazanin" w:cs="IRNazanin"/>
          <w:lang w:bidi="fa-IR"/>
          <w:color w:val="111111"/>
          <w:sz w:val="28"/>
          <w:szCs w:val="28"/>
          <w:rtl/>
        </w:rPr>
        <w:t xml:space="preserve">]کونه کذلک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13" w:name="pg14419_167342"/>
    <w:bookmarkEnd w:id="313"/>
    <w:p>
      <w:pPr>
        <w:pStyle w:val="Heading6"/>
      </w:pPr>
      <w:bookmarkStart w:id="1189" w:name="_Toc629"/>
      <w:r>
        <w:t>مسألة : [المسقط الثانی إسقاط هذا الخیار بعد العقد]</w:t>
      </w:r>
      <w:bookmarkEnd w:id="1189"/>
    </w:p>
    <w:p>
      <w:pPr>
        <w:pStyle w:val="Heading6"/>
      </w:pPr>
      <w:bookmarkStart w:id="1190" w:name="_Toc630"/>
      <w:r>
        <w:t>اشارة</w:t>
      </w:r>
      <w:bookmarkEnd w:id="1190"/>
    </w:p>
    <w:p>
      <w:pPr>
        <w:pStyle w:val="BookText"/>
      </w:pPr>
      <w:r>
        <w:rPr>
          <w:rFonts w:ascii="IRNazanin" w:hAnsi="IRNazanin" w:eastAsia="IRNazanin" w:cs="IRNazanin"/>
          <w:lang w:bidi="fa-IR"/>
          <w:color w:val="111111"/>
          <w:sz w:val="28"/>
          <w:szCs w:val="28"/>
          <w:rtl/>
        </w:rPr>
        <w:t xml:space="preserve">و من المسقطات:إسقاط هذا الخیار بعد العقد،بل هذا هو المسقط الحقیقی.و لا خلاف ظاهراً فی سقوطه بالإسقاط،و یدلّ علیه-بعد الإجماع-فحوی ما سیجیء </w:t>
      </w:r>
      <w:r>
        <w:rPr>
          <w:rStyle w:val="FootnoteReference"/>
        </w:rPr>
        <w:footnoteReference w:id="2687"/>
      </w:r>
      <w:r>
        <w:rPr>
          <w:rFonts w:ascii="IRNazanin" w:hAnsi="IRNazanin" w:eastAsia="IRNazanin" w:cs="IRNazanin"/>
          <w:lang w:bidi="fa-IR"/>
          <w:color w:val="111111"/>
          <w:sz w:val="28"/>
          <w:szCs w:val="28"/>
          <w:rtl/>
        </w:rPr>
        <w:t xml:space="preserve">:من النصّ الدالّ علی سقوط الخیار بالتصرّف،معلّلاً بأنّه رضی بالبیع؛مضافاً إلی القاعدة المسلّمة:من أنّ لکلّ ذی حقٍّ إسقاط حقّه،و لعلّه لفحوی تسلّط الناس علی أموالهم، فهم أولی بالتسلّط علی حقوقهم المتعلّقة بالأموال،و لا معنی لتسلّطهم علی مثل هذه الحقوق الغیر القابلة للنقل،إلّا نفوذ تصرّفهم فیها بما یشمل الإسقاط.</w:t>
      </w:r>
    </w:p>
    <w:p>
      <w:pPr>
        <w:pStyle w:val="BookText"/>
      </w:pPr>
      <w:r>
        <w:rPr>
          <w:rFonts w:ascii="IRNazanin" w:hAnsi="IRNazanin" w:eastAsia="IRNazanin" w:cs="IRNazanin"/>
          <w:lang w:bidi="fa-IR"/>
          <w:color w:val="111111"/>
          <w:sz w:val="28"/>
          <w:szCs w:val="28"/>
          <w:rtl/>
        </w:rPr>
        <w:t xml:space="preserve">و یمکن الاستدلال له بدلیل الشرط لو فرض شموله للالتزام الابتدائی.</w:t>
      </w:r>
    </w:p>
    <w:p>
      <w:pPr>
        <w:pStyle w:val="Heading6"/>
      </w:pPr>
      <w:bookmarkStart w:id="1191" w:name="_Toc631"/>
      <w:r>
        <w:t>ثمّ إنّ الظاهر سقوط الخیار بکلّ لفظٍ یدلّ علیه بإحدی الدلالات العرفیّة</w:t>
      </w:r>
      <w:bookmarkEnd w:id="11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للفحوی المتقدّمة </w:t>
      </w:r>
      <w:r>
        <w:rPr>
          <w:rStyle w:val="FootnoteReference"/>
        </w:rPr>
        <w:footnoteReference w:id="2688"/>
      </w:r>
      <w:r>
        <w:rPr>
          <w:rFonts w:ascii="IRNazanin" w:hAnsi="IRNazanin" w:eastAsia="IRNazanin" w:cs="IRNazanin"/>
          <w:lang w:bidi="fa-IR"/>
          <w:color w:val="111111"/>
          <w:sz w:val="28"/>
          <w:szCs w:val="28"/>
          <w:rtl/>
        </w:rPr>
        <w:t xml:space="preserve">،و فحوی ما دلّ علی کفایة بعض الأفعال</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إجازة عقد الفضولی </w:t>
      </w:r>
      <w:r>
        <w:rPr>
          <w:rStyle w:val="FootnoteReference"/>
        </w:rPr>
        <w:footnoteReference w:id="2689"/>
      </w:r>
      <w:r>
        <w:rPr>
          <w:rFonts w:ascii="IRNazanin" w:hAnsi="IRNazanin" w:eastAsia="IRNazanin" w:cs="IRNazanin"/>
          <w:lang w:bidi="fa-IR"/>
          <w:color w:val="111111"/>
          <w:sz w:val="28"/>
          <w:szCs w:val="28"/>
          <w:rtl/>
        </w:rPr>
        <w:t xml:space="preserve">،و صدق«الإسقاط»النافذ بمقتضی ما تقدّم من التسلّط علی إسقاط الحقوق؛و علی هذا فلو قال أحدهما:«أسقطت الخیار من الطرفین»فرضی الآخر سقط خیار الراضی أیضاً،لکون رضاه بإسقاط الآخر خیارَه إسقاطاً أیضاً.</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14" w:name="pg14419_167344"/>
    <w:bookmarkEnd w:id="314"/>
    <w:p>
      <w:pPr>
        <w:pStyle w:val="Heading6"/>
      </w:pPr>
      <w:bookmarkStart w:id="1192" w:name="_Toc632"/>
      <w:r>
        <w:t>مسألة : لو قال أحدهما لصاحبه : «اختر»</w:t>
      </w:r>
      <w:bookmarkEnd w:id="1192"/>
    </w:p>
    <w:p>
      <w:pPr>
        <w:pStyle w:val="BookText"/>
      </w:pPr>
      <w:r>
        <w:rPr>
          <w:rFonts w:ascii="IRNazanin" w:hAnsi="IRNazanin" w:eastAsia="IRNazanin" w:cs="IRNazanin"/>
          <w:lang w:bidi="fa-IR"/>
          <w:color w:val="111111"/>
          <w:sz w:val="28"/>
          <w:szCs w:val="28"/>
          <w:rtl/>
        </w:rPr>
        <w:t xml:space="preserve">فإن اختار المأمور الفسخ، فلا إشکال فی انفساخ العقد.</w:t>
      </w:r>
    </w:p>
    <w:p>
      <w:pPr>
        <w:pStyle w:val="BookText"/>
      </w:pPr>
      <w:r>
        <w:rPr>
          <w:rFonts w:ascii="IRNazanin" w:hAnsi="IRNazanin" w:eastAsia="IRNazanin" w:cs="IRNazanin"/>
          <w:lang w:bidi="fa-IR"/>
          <w:color w:val="111111"/>
          <w:sz w:val="28"/>
          <w:szCs w:val="28"/>
          <w:rtl/>
        </w:rPr>
        <w:t xml:space="preserve">و إن اختار الإمضاء،ففی سقوط خیار الآمر أیضاً مطلقاً کما عن ظاهر الأکثر </w:t>
      </w:r>
      <w:r>
        <w:rPr>
          <w:rStyle w:val="FootnoteReference"/>
        </w:rPr>
        <w:footnoteReference w:id="2690"/>
      </w:r>
      <w:r>
        <w:rPr>
          <w:rFonts w:ascii="IRNazanin" w:hAnsi="IRNazanin" w:eastAsia="IRNazanin" w:cs="IRNazanin"/>
          <w:lang w:bidi="fa-IR"/>
          <w:color w:val="111111"/>
          <w:sz w:val="28"/>
          <w:szCs w:val="28"/>
          <w:rtl/>
        </w:rPr>
        <w:t xml:space="preserve">،بل عن الخلاف:الإجماع علیه </w:t>
      </w:r>
      <w:r>
        <w:rPr>
          <w:rStyle w:val="FootnoteReference"/>
        </w:rPr>
        <w:footnoteReference w:id="2691"/>
      </w:r>
      <w:r>
        <w:rPr>
          <w:rFonts w:ascii="IRNazanin" w:hAnsi="IRNazanin" w:eastAsia="IRNazanin" w:cs="IRNazanin"/>
          <w:lang w:bidi="fa-IR"/>
          <w:color w:val="111111"/>
          <w:sz w:val="28"/>
          <w:szCs w:val="28"/>
          <w:rtl/>
        </w:rPr>
        <w:t xml:space="preserve">أو بشرط إرادته تملیک الخیار لصاحبه،و إلّا فهو باقٍ مطلقاً </w:t>
      </w:r>
      <w:r>
        <w:rPr>
          <w:rStyle w:val="FootnoteReference"/>
        </w:rPr>
        <w:footnoteReference w:id="2692"/>
      </w:r>
      <w:r>
        <w:rPr>
          <w:rFonts w:ascii="IRNazanin" w:hAnsi="IRNazanin" w:eastAsia="IRNazanin" w:cs="IRNazanin"/>
          <w:lang w:bidi="fa-IR"/>
          <w:color w:val="111111"/>
          <w:sz w:val="28"/>
          <w:szCs w:val="28"/>
          <w:rtl/>
        </w:rPr>
        <w:t xml:space="preserve">کما هو ظاهر التذکرة </w:t>
      </w:r>
      <w:r>
        <w:rPr>
          <w:rStyle w:val="FootnoteReference"/>
        </w:rPr>
        <w:footnoteReference w:id="2693"/>
      </w:r>
      <w:r>
        <w:rPr>
          <w:rFonts w:ascii="IRNazanin" w:hAnsi="IRNazanin" w:eastAsia="IRNazanin" w:cs="IRNazanin"/>
          <w:lang w:bidi="fa-IR"/>
          <w:color w:val="111111"/>
          <w:sz w:val="28"/>
          <w:szCs w:val="28"/>
          <w:rtl/>
        </w:rPr>
        <w:t xml:space="preserve">أو مع قید إرادة الاستکشاف دون التفویض و یکون حکم التفویض کالتملیک، أقوال.</w:t>
      </w:r>
    </w:p>
    <w:p>
      <w:pPr>
        <w:pStyle w:val="BookText"/>
      </w:pPr>
      <w:r>
        <w:rPr>
          <w:rFonts w:ascii="IRNazanin" w:hAnsi="IRNazanin" w:eastAsia="IRNazanin" w:cs="IRNazanin"/>
          <w:lang w:bidi="fa-IR"/>
          <w:color w:val="111111"/>
          <w:sz w:val="28"/>
          <w:szCs w:val="28"/>
          <w:rtl/>
        </w:rPr>
        <w:t xml:space="preserve">و لو سکت،فخیار الساکت باقٍ إجماعاً،و وجهه واضح.و أمّا</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خیار الآمر،ففی بقائه مطلقاً،أو بشرط عدم إرادته </w:t>
      </w:r>
      <w:r>
        <w:rPr>
          <w:rStyle w:val="FootnoteReference"/>
        </w:rPr>
        <w:footnoteReference w:id="2694"/>
      </w:r>
      <w:r>
        <w:rPr>
          <w:rFonts w:ascii="IRNazanin" w:hAnsi="IRNazanin" w:eastAsia="IRNazanin" w:cs="IRNazanin"/>
          <w:lang w:bidi="fa-IR"/>
          <w:color w:val="111111"/>
          <w:sz w:val="28"/>
          <w:szCs w:val="28"/>
          <w:rtl/>
        </w:rPr>
        <w:t xml:space="preserve">تملیک الخیار کما هو ظاهر التذکرة </w:t>
      </w:r>
      <w:r>
        <w:rPr>
          <w:rStyle w:val="FootnoteReference"/>
        </w:rPr>
        <w:footnoteReference w:id="2695"/>
      </w:r>
      <w:r>
        <w:rPr>
          <w:rFonts w:ascii="IRNazanin" w:hAnsi="IRNazanin" w:eastAsia="IRNazanin" w:cs="IRNazanin"/>
          <w:lang w:bidi="fa-IR"/>
          <w:color w:val="111111"/>
          <w:sz w:val="28"/>
          <w:szCs w:val="28"/>
          <w:rtl/>
        </w:rPr>
        <w:t xml:space="preserve">،أو سقوط خیاره مطلقاً کما عن الشیخ </w:t>
      </w:r>
      <w:r>
        <w:rPr>
          <w:rStyle w:val="FootnoteReference"/>
        </w:rPr>
        <w:footnoteReference w:id="2696"/>
      </w:r>
      <w:r>
        <w:rPr>
          <w:rFonts w:ascii="Amiri" w:hAnsi="Amiri" w:eastAsia="Amiri" w:cs="Amiri"/>
          <w:lang w:bidi="ar-SA"/>
          <w:color w:val="111111"/>
          <w:sz w:val="28"/>
          <w:szCs w:val="28"/>
          <w:rtl/>
        </w:rPr>
        <w:t xml:space="preserve">؟أقوالٌ.</w:t>
      </w:r>
    </w:p>
    <w:p>
      <w:pPr>
        <w:pStyle w:val="BookText"/>
      </w:pPr>
      <w:r>
        <w:rPr>
          <w:rFonts w:ascii="IRNazanin" w:hAnsi="IRNazanin" w:eastAsia="IRNazanin" w:cs="IRNazanin"/>
          <w:lang w:bidi="fa-IR"/>
          <w:color w:val="111111"/>
          <w:sz w:val="28"/>
          <w:szCs w:val="28"/>
          <w:rtl/>
        </w:rPr>
        <w:t xml:space="preserve">و الأولی أن یقال:إنّ کلمة«اختر»بحسب وضعه لطلب اختیار المخاطب أحد طرفی العقد من الفسخ و الإمضاء،و لیس فیه دلالةٌ علی ما ذکروه:من تملیک الخیار أو تفویض الأمر أو استکشاف الحال.</w:t>
      </w:r>
    </w:p>
    <w:p>
      <w:pPr>
        <w:pStyle w:val="BookText"/>
      </w:pPr>
      <w:r>
        <w:rPr>
          <w:rFonts w:ascii="IRNazanin" w:hAnsi="IRNazanin" w:eastAsia="IRNazanin" w:cs="IRNazanin"/>
          <w:lang w:bidi="fa-IR"/>
          <w:color w:val="111111"/>
          <w:sz w:val="28"/>
          <w:szCs w:val="28"/>
          <w:rtl/>
        </w:rPr>
        <w:t xml:space="preserve">نعم،الظاهر عرفاً من حال الآمر أنّ داعیه استکشاف حال المخاطب،و کأنّه فی العرف السابق کان ظاهراً فی تملیک المخاطب أمر الشیء،کما یظهر من باب الطلاق </w:t>
      </w:r>
      <w:r>
        <w:rPr>
          <w:rStyle w:val="FootnoteReference"/>
        </w:rPr>
        <w:footnoteReference w:id="2697"/>
      </w:r>
      <w:r>
        <w:rPr>
          <w:rFonts w:ascii="IRNazanin" w:hAnsi="IRNazanin" w:eastAsia="IRNazanin" w:cs="IRNazanin"/>
          <w:lang w:bidi="fa-IR"/>
          <w:color w:val="111111"/>
          <w:sz w:val="28"/>
          <w:szCs w:val="28"/>
          <w:rtl/>
        </w:rPr>
        <w:t xml:space="preserve">،فإن تمّ دلالته حینئذٍ علی إسقاط الآمر خیاره بذلک،و إلّا فلا مزیل لخیاره.و علیه یحمل علی تقدیر الصحّة-ما ورد فی ذیل بعض أخبار خیار المجلس:«أنّهما بالخیار ما لم یفترقا،أو یقول أحدهما لصاحبه:[اختر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إشکال فی أنّ إسقاط أحدهما خیاره لا یوجب سقوط خیار الآخر.و منه یظهر:أنّه لو أجاز أحدهما و فسخ الآخر انفسخ العقد؛لأنّه مقتضی ثبوت الخیار،فکان العقد بعد إجازة أحدهما جائزاً من طرف الفاسخ دون المجیز،کما لو جعل الخیار من أوّل الأمر لأحدهما.و هذا لیس تعارضاً بین الإجازة و الفسخ و ترجیحاً له علیها.</w:t>
      </w:r>
    </w:p>
    <w:p>
      <w:pPr>
        <w:pStyle w:val="BookText"/>
      </w:pPr>
      <w:r>
        <w:rPr>
          <w:rFonts w:ascii="IRNazanin" w:hAnsi="IRNazanin" w:eastAsia="IRNazanin" w:cs="IRNazanin"/>
          <w:lang w:bidi="fa-IR"/>
          <w:color w:val="111111"/>
          <w:sz w:val="28"/>
          <w:szCs w:val="28"/>
          <w:rtl/>
        </w:rPr>
        <w:t xml:space="preserve">نعم،لو اقتضت الإجازة لزوم العقد من الطرفین کما لو فرض ثبوت الخیار من طرف أحد المتعاقدین أو من طرفهما لمتعدّدٍ(کالأصیل و الوکیل)فأجاز أحدهما و فسخ الآخر دفعةً واحدة،أو تصرّف ذو الخیار فی العوضین دفعةً واحدة(کما لو باع عبداً بجاریةٍ،ثمّ أعتقهما جمیعاً، حیث إنّ إعتاق العبد فسخٌ،و إعتاق الجاریة إجازةٌ)أو اختلف الورثة فی الفسخ و الإجازة تحقّق التعارض.و ظاهر العلّامة فی جمیع هذه الصور تقدیم الفسخ </w:t>
      </w:r>
      <w:r>
        <w:rPr>
          <w:rStyle w:val="FootnoteReference"/>
        </w:rPr>
        <w:footnoteReference w:id="2700"/>
      </w:r>
      <w:r>
        <w:rPr>
          <w:rFonts w:ascii="IRNazanin" w:hAnsi="IRNazanin" w:eastAsia="IRNazanin" w:cs="IRNazanin"/>
          <w:lang w:bidi="fa-IR"/>
          <w:color w:val="111111"/>
          <w:sz w:val="28"/>
          <w:szCs w:val="28"/>
          <w:rtl/>
        </w:rPr>
        <w:t xml:space="preserve">و لم یظهر له وجهٌ تامّ؛و سیجیء الإشارة إلی ذلک فی موضعه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15" w:name="pg14419_167347"/>
    <w:bookmarkEnd w:id="315"/>
    <w:p>
      <w:pPr>
        <w:pStyle w:val="Heading6"/>
      </w:pPr>
      <w:bookmarkStart w:id="1193" w:name="_Toc633"/>
      <w:r>
        <w:t>مسألة : [المسقط الثالث افتراق المتبایعین]</w:t>
      </w:r>
      <w:bookmarkEnd w:id="1193"/>
    </w:p>
    <w:p>
      <w:pPr>
        <w:pStyle w:val="Heading6"/>
      </w:pPr>
      <w:bookmarkStart w:id="1194" w:name="_Toc634"/>
      <w:r>
        <w:t>اشارة</w:t>
      </w:r>
      <w:bookmarkEnd w:id="11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من جملة مسقطات الخیار افتراق المتبایعین،و لا إشکال فی سقوط الخیار به،و لا فی عدم اعتبار ظهوره فی رضاهما بالبیع،و إن کان ظاهر بعض الأخبار ذلک،مثل قوله علیه السلام:«فإذا افترقا فلا خیار لهما بعد الرضا»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6"/>
      </w:pPr>
      <w:bookmarkStart w:id="1195" w:name="_Toc635"/>
      <w:r>
        <w:t>[معنی الافتراق المسقط]</w:t>
      </w:r>
      <w:bookmarkEnd w:id="1195"/>
    </w:p>
    <w:p>
      <w:pPr>
        <w:pStyle w:val="BookText"/>
      </w:pPr>
      <w:r>
        <w:rPr>
          <w:rFonts w:ascii="IRNazanin" w:hAnsi="IRNazanin" w:eastAsia="IRNazanin" w:cs="IRNazanin"/>
          <w:lang w:bidi="fa-IR"/>
          <w:color w:val="111111"/>
          <w:sz w:val="28"/>
          <w:szCs w:val="28"/>
          <w:rtl/>
        </w:rPr>
        <w:t xml:space="preserve">و معنی حدوث افتراقهما المسقط مع کونهما متفرّقین حین العقد:</w:t>
      </w:r>
    </w:p>
    <w:p>
      <w:pPr>
        <w:pStyle w:val="BookText"/>
      </w:pPr>
      <w:r>
        <w:rPr>
          <w:rFonts w:ascii="IRNazanin" w:hAnsi="IRNazanin" w:eastAsia="IRNazanin" w:cs="IRNazanin"/>
          <w:lang w:bidi="fa-IR"/>
          <w:color w:val="111111"/>
          <w:sz w:val="28"/>
          <w:szCs w:val="28"/>
          <w:rtl/>
        </w:rPr>
        <w:t xml:space="preserve">افتراقهما بالنسبة إلی الهیئة الاجتماعیّة الحاصلة لهما حین العقد،فإذا حصل الافتراق الإضافی و لو بمسمّاه ارتفع الخیار،فلا یعتبر الخطوة؛ و لذا حکی عن جماعةٍ التعبیر بأدنی الانتقال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الظاهر:أنّ ذکره فی بعض العبارات لبیان أقلّ الأفراد،خصوصاً مثل قول الشیخ فی الخلاف:«أقلّ ما ینقطع به خیار المجلس خطوة» </w:t>
      </w:r>
      <w:r>
        <w:rPr>
          <w:rStyle w:val="FootnoteReference"/>
        </w:rPr>
        <w:footnoteReference w:id="27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16" w:name="pg14419_167348"/>
    <w:bookmarkEnd w:id="316"/>
    <w:p>
      <w:pPr>
        <w:pStyle w:val="BookText"/>
      </w:pPr>
      <w:r>
        <w:rPr>
          <w:rFonts w:ascii="IRNazanin" w:hAnsi="IRNazanin" w:eastAsia="IRNazanin" w:cs="IRNazanin"/>
          <w:lang w:bidi="fa-IR"/>
          <w:color w:val="111111"/>
          <w:sz w:val="28"/>
          <w:szCs w:val="28"/>
          <w:rtl/>
        </w:rPr>
        <w:t xml:space="preserve">مبنیٌّ علی الغالب فی الخارج أو فی التمثیل لأقلّ الافتراق؛فلو تبایعا فی سفینتین متلاصقتین کفی مجرّد افتراقهما.</w:t>
      </w:r>
    </w:p>
    <w:p>
      <w:pPr>
        <w:pStyle w:val="BookText"/>
      </w:pPr>
      <w:r>
        <w:rPr>
          <w:rFonts w:ascii="IRNazanin" w:hAnsi="IRNazanin" w:eastAsia="IRNazanin" w:cs="IRNazanin"/>
          <w:lang w:bidi="fa-IR"/>
          <w:color w:val="111111"/>
          <w:sz w:val="28"/>
          <w:szCs w:val="28"/>
          <w:rtl/>
        </w:rPr>
        <w:t xml:space="preserve">و یظهر من بعضٍ </w:t>
      </w:r>
      <w:r>
        <w:rPr>
          <w:rStyle w:val="FootnoteReference"/>
        </w:rPr>
        <w:footnoteReference w:id="2705"/>
      </w:r>
      <w:r>
        <w:rPr>
          <w:rFonts w:ascii="IRNazanin" w:hAnsi="IRNazanin" w:eastAsia="IRNazanin" w:cs="IRNazanin"/>
          <w:lang w:bidi="fa-IR"/>
          <w:color w:val="111111"/>
          <w:sz w:val="28"/>
          <w:szCs w:val="28"/>
          <w:rtl/>
        </w:rPr>
        <w:t xml:space="preserve">:اعتبار الخطوة،اغتراراً بتمثیل کثیرٍ من الأصحاب.و عن صریح آخر </w:t>
      </w:r>
      <w:r>
        <w:rPr>
          <w:rStyle w:val="FootnoteReference"/>
        </w:rPr>
        <w:footnoteReference w:id="2706"/>
      </w:r>
      <w:r>
        <w:rPr>
          <w:rFonts w:ascii="IRNazanin" w:hAnsi="IRNazanin" w:eastAsia="IRNazanin" w:cs="IRNazanin"/>
          <w:lang w:bidi="fa-IR"/>
          <w:color w:val="111111"/>
          <w:sz w:val="28"/>
          <w:szCs w:val="28"/>
          <w:rtl/>
        </w:rPr>
        <w:t xml:space="preserve">:التأمّل فی کفایة الخطوة؛لانصراف الإطلاق إلی أزید منها </w:t>
      </w:r>
      <w:r>
        <w:rPr>
          <w:rStyle w:val="FootnoteReference"/>
        </w:rPr>
        <w:footnoteReference w:id="2707"/>
      </w:r>
      <w:r>
        <w:rPr>
          <w:rFonts w:ascii="IRNazanin" w:hAnsi="IRNazanin" w:eastAsia="IRNazanin" w:cs="IRNazanin"/>
          <w:lang w:bidi="fa-IR"/>
          <w:color w:val="111111"/>
          <w:sz w:val="28"/>
          <w:szCs w:val="28"/>
          <w:rtl/>
        </w:rPr>
        <w:t xml:space="preserve">،فیستصحب الخیار.و یؤیّده قوله علیه السلام فی بعض الروایات:«فلمّا استوجبتها قمت فمشیت خُطیً لیجب البیع حین افترقنا» </w:t>
      </w:r>
      <w:r>
        <w:rPr>
          <w:rStyle w:val="FootnoteReference"/>
        </w:rPr>
        <w:footnoteReference w:id="2708"/>
      </w:r>
      <w:r>
        <w:rPr>
          <w:rFonts w:ascii="IRNazanin" w:hAnsi="IRNazanin" w:eastAsia="IRNazanin" w:cs="IRNazanin"/>
          <w:lang w:bidi="fa-IR"/>
          <w:color w:val="111111"/>
          <w:sz w:val="28"/>
          <w:szCs w:val="28"/>
          <w:rtl/>
        </w:rPr>
        <w:t xml:space="preserve">،و فیه:منع الانصراف و دلالة الروایة.</w:t>
      </w:r>
    </w:p>
    <w:p>
      <w:pPr>
        <w:pStyle w:val="Heading6"/>
      </w:pPr>
      <w:bookmarkStart w:id="1196" w:name="_Toc636"/>
      <w:r>
        <w:t>[ما یحصل به الافتراق]</w:t>
      </w:r>
      <w:bookmarkEnd w:id="1196"/>
    </w:p>
    <w:p>
      <w:pPr>
        <w:pStyle w:val="BookText"/>
      </w:pPr>
      <w:r>
        <w:rPr>
          <w:rFonts w:ascii="IRNazanin" w:hAnsi="IRNazanin" w:eastAsia="IRNazanin" w:cs="IRNazanin"/>
          <w:lang w:bidi="fa-IR"/>
          <w:color w:val="111111"/>
          <w:sz w:val="28"/>
          <w:szCs w:val="28"/>
          <w:rtl/>
        </w:rPr>
        <w:t xml:space="preserve">ثمّ اعلم أنّ الافتراق-علی ما عرفت من معناه یحصل بحرکة أحدهما و بقاء الآخر فی مکانه،فلا یعتبر الحرکة من الطرفین فی صدق افتراقهما،فالحرکة من أحدهما لا یسمّی افتراقاً حتّی یحصل عدم المصاحبة من الآخر،فذات الافتراق الخارجی </w:t>
      </w:r>
      <w:r>
        <w:rPr>
          <w:rStyle w:val="FootnoteReference"/>
        </w:rPr>
        <w:footnoteReference w:id="2709"/>
      </w:r>
      <w:r>
        <w:rPr>
          <w:rFonts w:ascii="IRNazanin" w:hAnsi="IRNazanin" w:eastAsia="IRNazanin" w:cs="IRNazanin"/>
          <w:lang w:bidi="fa-IR"/>
          <w:color w:val="111111"/>
          <w:sz w:val="28"/>
          <w:szCs w:val="28"/>
          <w:rtl/>
        </w:rPr>
        <w:t xml:space="preserve">من المتحرّک،و اتّصافها بکونها افتراقاً من الساکن.و لو تحرّک کلٌّ منهما کان حرکة کلٍّ منهما افتراقاً بملاحظة عدم مصاحبة الآخر.</w:t>
      </w:r>
    </w:p>
    <w:p>
      <w:pPr>
        <w:pStyle w:val="BookText"/>
      </w:pPr>
      <w:r>
        <w:rPr>
          <w:rFonts w:ascii="IRNazanin" w:hAnsi="IRNazanin" w:eastAsia="IRNazanin" w:cs="IRNazanin"/>
          <w:lang w:bidi="fa-IR"/>
          <w:color w:val="111111"/>
          <w:sz w:val="28"/>
          <w:szCs w:val="28"/>
          <w:rtl/>
        </w:rPr>
        <w:t xml:space="preserve">و کیف کان،فلا یعتبر فی الافتراق المسقط حرکةُ کلٍّ منهما إلی غیر جانب الآخر،کما تدلّ علیه الروایات الحاکیة لشراء الإمام علیه السلام</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أرضاً و أنّه علیه السلام قال:«فلمّا استوجبتها قمت فمشیت خُطیً لیجب البیع حین افترقنا» </w:t>
      </w:r>
      <w:r>
        <w:rPr>
          <w:rStyle w:val="FootnoteReference"/>
        </w:rPr>
        <w:footnoteReference w:id="2710"/>
      </w:r>
      <w:r>
        <w:rPr>
          <w:rFonts w:ascii="IRNazanin" w:hAnsi="IRNazanin" w:eastAsia="IRNazanin" w:cs="IRNazanin"/>
          <w:lang w:bidi="fa-IR"/>
          <w:color w:val="111111"/>
          <w:sz w:val="28"/>
          <w:szCs w:val="28"/>
          <w:rtl/>
        </w:rPr>
        <w:t xml:space="preserve">،فأثبت افتراق الطرفین بمشیه علیه السلام فقط.</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17" w:name="pg14419_167350"/>
    <w:bookmarkEnd w:id="317"/>
    <w:p>
      <w:pPr>
        <w:pStyle w:val="Heading6"/>
      </w:pPr>
      <w:bookmarkStart w:id="1197" w:name="_Toc637"/>
      <w:r>
        <w:t>مسألة : المعروف أنّه لا اعتبار بالافتراق عن إکراه</w:t>
      </w:r>
      <w:bookmarkEnd w:id="1197"/>
    </w:p>
    <w:p>
      <w:pPr>
        <w:pStyle w:val="BookText"/>
      </w:pPr>
      <w:r>
        <w:rPr>
          <w:rFonts w:ascii="IRNazanin" w:hAnsi="IRNazanin" w:eastAsia="IRNazanin" w:cs="IRNazanin"/>
          <w:lang w:bidi="fa-IR"/>
          <w:color w:val="111111"/>
          <w:sz w:val="28"/>
          <w:szCs w:val="28"/>
          <w:rtl/>
        </w:rPr>
        <w:t xml:space="preserve">إذا منع من التخایر أیضاً،سواء بلغ حدّ سلب الاختیار أم لا،لأصالة بقاء الخیار بعد تبادر الاختیار من الفعل المسند إلی الفاعل المختار،مضافاً إلی حدیث «رُفع ما استکرهوا علیه» </w:t>
      </w:r>
      <w:r>
        <w:rPr>
          <w:rStyle w:val="FootnoteReference"/>
        </w:rPr>
        <w:footnoteReference w:id="2711"/>
      </w:r>
      <w:r>
        <w:rPr>
          <w:rFonts w:ascii="IRNazanin" w:hAnsi="IRNazanin" w:eastAsia="IRNazanin" w:cs="IRNazanin"/>
          <w:lang w:bidi="fa-IR"/>
          <w:color w:val="111111"/>
          <w:sz w:val="28"/>
          <w:szCs w:val="28"/>
          <w:rtl/>
        </w:rPr>
        <w:t xml:space="preserve">،و قد تقدّم فی مسألة اشتراط الاختیار فی المتبایعین </w:t>
      </w:r>
      <w:r>
        <w:rPr>
          <w:rStyle w:val="FootnoteReference"/>
        </w:rPr>
        <w:footnoteReference w:id="2712"/>
      </w:r>
      <w:r>
        <w:rPr>
          <w:rFonts w:ascii="IRNazanin" w:hAnsi="IRNazanin" w:eastAsia="IRNazanin" w:cs="IRNazanin"/>
          <w:lang w:bidi="fa-IR"/>
          <w:color w:val="111111"/>
          <w:sz w:val="28"/>
          <w:szCs w:val="28"/>
          <w:rtl/>
        </w:rPr>
        <w:t xml:space="preserve">ما یظهر منه عموم الرفع للحکم الوضعی المحمول علی المکلّف،فلا یختصّ برفع التکلیف.</w:t>
      </w:r>
    </w:p>
    <w:p>
      <w:pPr>
        <w:pStyle w:val="BookText"/>
      </w:pPr>
      <w:r>
        <w:rPr>
          <w:rFonts w:ascii="IRNazanin" w:hAnsi="IRNazanin" w:eastAsia="IRNazanin" w:cs="IRNazanin"/>
          <w:lang w:bidi="fa-IR"/>
          <w:color w:val="111111"/>
          <w:sz w:val="28"/>
          <w:szCs w:val="28"/>
          <w:rtl/>
        </w:rPr>
        <w:t xml:space="preserve">هذا،و لکن یمکن منع التبادر،فإنّ المتبادر هو الاختیاری فی مقابل الاضطراری الذی لم یعدّ فعلاً حقیقیّا قائماً بنفس الفاعل،بل یکون صورة فعلٍ قائمةً بجسم المضطرّ،لا فی مقابل المکرَه الفاعل بالاختیار لدفع الضرر المتوعَّد علی ترکه،فإنّ التبادر ممنوعٌ،فإذا دخل</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18" w:name="pg14419_167351"/>
    <w:bookmarkEnd w:id="318"/>
    <w:p>
      <w:pPr>
        <w:pStyle w:val="BookText"/>
      </w:pPr>
      <w:r>
        <w:rPr>
          <w:rFonts w:ascii="IRNazanin" w:hAnsi="IRNazanin" w:eastAsia="IRNazanin" w:cs="IRNazanin"/>
          <w:lang w:bidi="fa-IR"/>
          <w:color w:val="111111"/>
          <w:sz w:val="28"/>
          <w:szCs w:val="28"/>
          <w:rtl/>
        </w:rPr>
        <w:t xml:space="preserve">الاختیاری المکرَه علیه دخل الاضطراری لعدم القول بالفصل؛مع أنّ المعروف بین الأصحاب:أنّ الافتراق و لو اضطراراً مسقطٌ للخیار إذا کان الشخص متمکّناً من الفسخ و الإمضاء،مستدلّین علیه بحصول التفرّق المسقط للخیار.</w:t>
      </w:r>
    </w:p>
    <w:p>
      <w:pPr>
        <w:pStyle w:val="BookText"/>
      </w:pPr>
      <w:r>
        <w:rPr>
          <w:rFonts w:ascii="IRNazanin" w:hAnsi="IRNazanin" w:eastAsia="IRNazanin" w:cs="IRNazanin"/>
          <w:lang w:bidi="fa-IR"/>
          <w:color w:val="111111"/>
          <w:sz w:val="28"/>
          <w:szCs w:val="28"/>
          <w:rtl/>
        </w:rPr>
        <w:t xml:space="preserve">قال فی المبسوط فی تعلیل الحکم المذکور:لأنّه إذا کان متمکّناً من الإمضاء و الفسخ فلم یفعل حتّی وقع التفرّق،کان ذلک دلیلاً علی الرضا و الإمضاء </w:t>
      </w:r>
      <w:r>
        <w:rPr>
          <w:rStyle w:val="FootnoteReference"/>
        </w:rPr>
        <w:footnoteReference w:id="271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جامع المقاصد تعلیل الحکم المذکور بقوله:لتحقّق الافتراق مع التمکّن من الاختیار </w:t>
      </w:r>
      <w:r>
        <w:rPr>
          <w:rStyle w:val="FootnoteReference"/>
        </w:rPr>
        <w:footnoteReference w:id="271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منه یظهر:أنّه لا وجه للاستدلال بحدیث«رفع الحکم عن المکره»؛للاعتراف بدخول المکره و المضطرّ إذا تمکّنا من التخایر.</w:t>
      </w:r>
    </w:p>
    <w:p>
      <w:pPr>
        <w:pStyle w:val="BookText"/>
      </w:pPr>
      <w:r>
        <w:rPr>
          <w:rFonts w:ascii="IRNazanin" w:hAnsi="IRNazanin" w:eastAsia="IRNazanin" w:cs="IRNazanin"/>
          <w:lang w:bidi="fa-IR"/>
          <w:color w:val="111111"/>
          <w:sz w:val="28"/>
          <w:szCs w:val="28"/>
          <w:rtl/>
        </w:rPr>
        <w:t xml:space="preserve">و الحاصل:أنّ فتوی الأصحاب هی:أنّ التفرّق عن إکراهٍ علیه و علی ترک التخایر غیر مسقطٍ للخیار،و أنّه لو حصل أحدهما باختیاره سقط خیاره،و هذه لا یصحّ الاستدلال علیها </w:t>
      </w:r>
      <w:r>
        <w:rPr>
          <w:rStyle w:val="FootnoteReference"/>
        </w:rPr>
        <w:footnoteReference w:id="2715"/>
      </w:r>
      <w:r>
        <w:rPr>
          <w:rFonts w:ascii="IRNazanin" w:hAnsi="IRNazanin" w:eastAsia="IRNazanin" w:cs="IRNazanin"/>
          <w:lang w:bidi="fa-IR"/>
          <w:color w:val="111111"/>
          <w:sz w:val="28"/>
          <w:szCs w:val="28"/>
          <w:rtl/>
        </w:rPr>
        <w:t xml:space="preserve">باختصاص الأدلّة بالتفرّق الاختیاری،و لا بأنّ مقتضی حدیث الرفع جعل التفرّق المکره علیه کلا تفرّق؛لأنّ المفروض أنّ التفرّق الاضطراری أیضاً مسقطٌ مع وقوعه فی حال التمکّن من التخایر.</w:t>
      </w:r>
    </w:p>
    <w:p>
      <w:pPr>
        <w:pStyle w:val="Heading6"/>
      </w:pPr>
      <w:bookmarkStart w:id="1198" w:name="_Toc638"/>
      <w:r>
        <w:t>[الاستدلال علی کون المسقط هو الافتراق عن رضا]</w:t>
      </w:r>
      <w:bookmarkEnd w:id="1198"/>
    </w:p>
    <w:p>
      <w:pPr>
        <w:pStyle w:val="BookText"/>
      </w:pPr>
      <w:r>
        <w:rPr>
          <w:rFonts w:ascii="IRNazanin" w:hAnsi="IRNazanin" w:eastAsia="IRNazanin" w:cs="IRNazanin"/>
          <w:lang w:bidi="fa-IR"/>
          <w:color w:val="111111"/>
          <w:sz w:val="28"/>
          <w:szCs w:val="28"/>
          <w:rtl/>
        </w:rPr>
        <w:t xml:space="preserve">فالأولی الاستدلال علیه مضافاً إلی الشهرة المحقّقة الجابرة</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للإجماع المحکیّ </w:t>
      </w:r>
      <w:r>
        <w:rPr>
          <w:rStyle w:val="FootnoteReference"/>
        </w:rPr>
        <w:footnoteReference w:id="2716"/>
      </w:r>
      <w:r>
        <w:rPr>
          <w:rFonts w:ascii="IRNazanin" w:hAnsi="IRNazanin" w:eastAsia="IRNazanin" w:cs="IRNazanin"/>
          <w:lang w:bidi="fa-IR"/>
          <w:color w:val="111111"/>
          <w:sz w:val="28"/>
          <w:szCs w:val="28"/>
          <w:rtl/>
        </w:rPr>
        <w:t xml:space="preserve">،و إلی أنّ المتبادر من التفرّق ما کان عن رضا بالعقد، سواء وقع اختیاراً أو اضطراراً بقوله علیه السلام فی صحیحة الفضیل:</w:t>
      </w:r>
    </w:p>
    <w:p>
      <w:pPr>
        <w:pStyle w:val="BookText"/>
      </w:pPr>
      <w:r>
        <w:rPr>
          <w:rFonts w:ascii="IRNazanin" w:hAnsi="IRNazanin" w:eastAsia="IRNazanin" w:cs="IRNazanin"/>
          <w:lang w:bidi="fa-IR"/>
          <w:color w:val="111111"/>
          <w:sz w:val="28"/>
          <w:szCs w:val="28"/>
          <w:rtl/>
        </w:rPr>
        <w:t xml:space="preserve">«فإذا افترقا فلا خیار بعد الرضا منهما»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دلّ علی أنّ الشرط فی السقوط الافتراق و الرضا منهما،و لا ریب أنّ الرضا المعتبر لیس إلّا المتّصل بالتفرّق بحیث یکون التفرّق عنه؛إذ لا یعتبر الرضا فی زمانٍ آخر إجماعاً.</w:t>
      </w:r>
    </w:p>
    <w:p>
      <w:pPr>
        <w:pStyle w:val="BookText"/>
      </w:pPr>
      <w:r>
        <w:rPr>
          <w:rFonts w:ascii="IRNazanin" w:hAnsi="IRNazanin" w:eastAsia="IRNazanin" w:cs="IRNazanin"/>
          <w:lang w:bidi="fa-IR"/>
          <w:color w:val="111111"/>
          <w:sz w:val="28"/>
          <w:szCs w:val="28"/>
          <w:rtl/>
        </w:rPr>
        <w:t xml:space="preserve">أو یقال:إنّ قوله:«بعد الرضا»إشارةٌ إلی إناطة السقوط بالرضا بالعقد المستکشَف عن افتراقهما </w:t>
      </w:r>
      <w:r>
        <w:rPr>
          <w:rStyle w:val="FootnoteReference"/>
        </w:rPr>
        <w:footnoteReference w:id="2718"/>
      </w:r>
      <w:r>
        <w:rPr>
          <w:rFonts w:ascii="IRNazanin" w:hAnsi="IRNazanin" w:eastAsia="IRNazanin" w:cs="IRNazanin"/>
          <w:lang w:bidi="fa-IR"/>
          <w:color w:val="111111"/>
          <w:sz w:val="28"/>
          <w:szCs w:val="28"/>
          <w:rtl/>
        </w:rPr>
        <w:t xml:space="preserve">فیکون الافتراق مسقطاً،لکونه کاشفاً نوعاً عن رضاهما بالعقد و إعراضهما عن الفسخ.</w:t>
      </w:r>
    </w:p>
    <w:p>
      <w:pPr>
        <w:pStyle w:val="BookText"/>
      </w:pPr>
      <w:r>
        <w:rPr>
          <w:rFonts w:ascii="IRNazanin" w:hAnsi="IRNazanin" w:eastAsia="IRNazanin" w:cs="IRNazanin"/>
          <w:lang w:bidi="fa-IR"/>
          <w:color w:val="111111"/>
          <w:sz w:val="28"/>
          <w:szCs w:val="28"/>
          <w:rtl/>
        </w:rPr>
        <w:t xml:space="preserve">و علی کلّ تقدیرٍ،فیدلّ علی أنّ المتفرّقین و لو اضطراراً إذا کانا متمکّنین من الفسخ و لم یفسخا کشف ذلک نوعاً عن رضاهما بالعقد فسقط </w:t>
      </w:r>
      <w:r>
        <w:rPr>
          <w:rStyle w:val="FootnoteReference"/>
        </w:rPr>
        <w:footnoteReference w:id="2719"/>
      </w:r>
      <w:r>
        <w:rPr>
          <w:rFonts w:ascii="IRNazanin" w:hAnsi="IRNazanin" w:eastAsia="IRNazanin" w:cs="IRNazanin"/>
          <w:lang w:bidi="fa-IR"/>
          <w:color w:val="111111"/>
          <w:sz w:val="28"/>
          <w:szCs w:val="28"/>
          <w:rtl/>
        </w:rPr>
        <w:t xml:space="preserve">خیارهما.و هذا هو الذی استفاده الشیخ قدّس سرّه کما صرّح به فی عبارة المبسوط المتقدّمة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19" w:name="pg14419_167353"/>
    <w:bookmarkEnd w:id="319"/>
    <w:p>
      <w:pPr>
        <w:pStyle w:val="Heading6"/>
      </w:pPr>
      <w:bookmarkStart w:id="1199" w:name="_Toc639"/>
      <w:r>
        <w:t>مسألة : لو أُکره أحدهما علی التفرّق و منع عن التخایر و بقی الآخر فی المجلس</w:t>
      </w:r>
      <w:bookmarkEnd w:id="1199"/>
    </w:p>
    <w:p>
      <w:pPr>
        <w:pStyle w:val="BookText"/>
      </w:pPr>
      <w:r>
        <w:rPr>
          <w:rFonts w:ascii="IRNazanin" w:hAnsi="IRNazanin" w:eastAsia="IRNazanin" w:cs="IRNazanin"/>
          <w:lang w:bidi="fa-IR"/>
          <w:color w:val="111111"/>
          <w:sz w:val="28"/>
          <w:szCs w:val="28"/>
          <w:rtl/>
        </w:rPr>
        <w:t xml:space="preserve">فإن منع من المصاحبة و التخایر لم یسقط خیار أحدهما؛لأنّهما مکرَهان علی الافتراق و ترک التخایر،فدخل فی المسألة السابقة.و إن لم یمنع من المصاحبة،ففیه أقوال.</w:t>
      </w:r>
    </w:p>
    <w:p>
      <w:pPr>
        <w:pStyle w:val="BookText"/>
      </w:pPr>
      <w:r>
        <w:rPr>
          <w:rFonts w:ascii="IRNazanin" w:hAnsi="IRNazanin" w:eastAsia="IRNazanin" w:cs="IRNazanin"/>
          <w:lang w:bidi="fa-IR"/>
          <w:color w:val="111111"/>
          <w:sz w:val="28"/>
          <w:szCs w:val="28"/>
          <w:rtl/>
        </w:rPr>
        <w:t xml:space="preserve">و توضیح ذلک:أنّ افتراقهما المستند إلی اختیارهما کما عرفت- یحصل بحرکة أحدهما اختیاراً و عدم مصاحبة الآخر[له </w:t>
      </w:r>
      <w:r>
        <w:rPr>
          <w:rStyle w:val="FootnoteReference"/>
        </w:rPr>
        <w:footnoteReference w:id="2721"/>
      </w:r>
      <w:r>
        <w:rPr>
          <w:rFonts w:ascii="IRNazanin" w:hAnsi="IRNazanin" w:eastAsia="IRNazanin" w:cs="IRNazanin"/>
          <w:lang w:bidi="fa-IR"/>
          <w:color w:val="111111"/>
          <w:sz w:val="28"/>
          <w:szCs w:val="28"/>
          <w:rtl/>
        </w:rPr>
        <w:t xml:space="preserve">]کذلک،و أنّ الإکراه علی التفرّق لا یسقط حکمه ما لم ینضمّ معه الإکراه علی ترک التخایر.</w:t>
      </w:r>
    </w:p>
    <w:p>
      <w:pPr>
        <w:pStyle w:val="BookText"/>
      </w:pPr>
      <w:r>
        <w:rPr>
          <w:rFonts w:ascii="IRNazanin" w:hAnsi="IRNazanin" w:eastAsia="IRNazanin" w:cs="IRNazanin"/>
          <w:lang w:bidi="fa-IR"/>
          <w:color w:val="111111"/>
          <w:sz w:val="28"/>
          <w:szCs w:val="28"/>
          <w:rtl/>
        </w:rPr>
        <w:t xml:space="preserve">فحینئذٍ نقول:تحقّق الإکراه المسقط فی أحدهما دون الآخر یحصل تارةً بإکراه أحدهما علی التفرّق و ترک التخایر و بقاء الآخر فی المجلس مختاراً فی المصاحبة أو التخایر.و أُخری بالعکس بإبقاء أحدهما فی المجلس کرهاً مع المنع عن التخایر و ذهاب الآخر اختیاراً.</w:t>
      </w:r>
    </w:p>
    <w:p>
      <w:pPr>
        <w:pStyle w:val="Heading6"/>
      </w:pPr>
      <w:bookmarkStart w:id="1200" w:name="_Toc640"/>
      <w:r>
        <w:t>[محل الکلام ما لو أکره أحدهما المعین علی الافتراق]</w:t>
      </w:r>
      <w:bookmarkEnd w:id="1200"/>
    </w:p>
    <w:p>
      <w:pPr>
        <w:pStyle w:val="BookText"/>
      </w:pPr>
      <w:r>
        <w:rPr>
          <w:rFonts w:ascii="IRNazanin" w:hAnsi="IRNazanin" w:eastAsia="IRNazanin" w:cs="IRNazanin"/>
          <w:lang w:bidi="fa-IR"/>
          <w:color w:val="111111"/>
          <w:sz w:val="28"/>
          <w:szCs w:val="28"/>
          <w:rtl/>
        </w:rPr>
        <w:t xml:space="preserve">و محلّ الکلام هو الأوّل،و سیتّضح به[حکم </w:t>
      </w:r>
      <w:r>
        <w:rPr>
          <w:rStyle w:val="FootnoteReference"/>
        </w:rPr>
        <w:footnoteReference w:id="2722"/>
      </w:r>
      <w:r>
        <w:rPr>
          <w:rFonts w:ascii="IRNazanin" w:hAnsi="IRNazanin" w:eastAsia="IRNazanin" w:cs="IRNazanin"/>
          <w:lang w:bidi="fa-IR"/>
          <w:color w:val="111111"/>
          <w:sz w:val="28"/>
          <w:szCs w:val="28"/>
          <w:rtl/>
        </w:rPr>
        <w:t xml:space="preserve">]الثانی.و الأقوال</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أربعة:</w:t>
      </w:r>
    </w:p>
    <w:p>
      <w:pPr>
        <w:pStyle w:val="BookText"/>
      </w:pPr>
      <w:r>
        <w:rPr>
          <w:rFonts w:ascii="IRNazanin" w:hAnsi="IRNazanin" w:eastAsia="IRNazanin" w:cs="IRNazanin"/>
          <w:lang w:bidi="fa-IR"/>
          <w:color w:val="111111"/>
          <w:sz w:val="28"/>
          <w:szCs w:val="28"/>
          <w:rtl/>
        </w:rPr>
        <w:t xml:space="preserve">سقوط خیارهما،کما عن ظاهر المحقّق و العلّامة و ولده السعید و السیّد العمید و شیخنا الشهید </w:t>
      </w:r>
      <w:r>
        <w:rPr>
          <w:rStyle w:val="FootnoteReference"/>
        </w:rPr>
        <w:footnoteReference w:id="2723"/>
      </w:r>
      <w:r>
        <w:rPr>
          <w:rFonts w:ascii="Amiri" w:hAnsi="Amiri" w:eastAsia="Amiri" w:cs="Amiri"/>
          <w:lang w:bidi="ar-SA"/>
          <w:color w:val="111111"/>
          <w:sz w:val="28"/>
          <w:szCs w:val="28"/>
          <w:rtl/>
        </w:rPr>
        <w:t xml:space="preserve">قدّس اللّٰه أسرارهم.</w:t>
      </w:r>
    </w:p>
    <w:p>
      <w:pPr>
        <w:pStyle w:val="BookText"/>
      </w:pPr>
      <w:r>
        <w:rPr>
          <w:rFonts w:ascii="IRNazanin" w:hAnsi="IRNazanin" w:eastAsia="IRNazanin" w:cs="IRNazanin"/>
          <w:lang w:bidi="fa-IR"/>
          <w:color w:val="111111"/>
          <w:sz w:val="28"/>
          <w:szCs w:val="28"/>
          <w:rtl/>
        </w:rPr>
        <w:t xml:space="preserve">و ثبوته لهما،کما عن ظاهر المبسوط و المحقّق و الشهید الثانیین و محتمل الإرشاد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سقوطه فی حقّ المختار خاصّة.</w:t>
      </w:r>
    </w:p>
    <w:p>
      <w:pPr>
        <w:pStyle w:val="BookText"/>
      </w:pPr>
      <w:r>
        <w:rPr>
          <w:rFonts w:ascii="IRNazanin" w:hAnsi="IRNazanin" w:eastAsia="IRNazanin" w:cs="IRNazanin"/>
          <w:lang w:bidi="fa-IR"/>
          <w:color w:val="111111"/>
          <w:sz w:val="28"/>
          <w:szCs w:val="28"/>
          <w:rtl/>
        </w:rPr>
        <w:t xml:space="preserve">و فصّل فی التحریر بین بقاء المختار فی المجلس فالثبوت لهما،و بین مفارقته فالسقوط عنهما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مبنی الأقوال علی أنّ افتراقهما المجعول غایةً لخیارهما هل یتوقّف علی حصوله عن اختیارهما،أو یکفی فیه حصوله عن اختیار أحدهما؟ و علی الأوّل،هل یکون اختیار کلٍّ منهما مسقطاً لخیاره،أو یتوقّف سقوط خیار کلِّ واحدٍ علی مجموع اختیارهما؟فعلی الأوّل</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خیار المختار خاصّةً،کما عن الخلاف </w:t>
      </w:r>
      <w:r>
        <w:rPr>
          <w:rStyle w:val="FootnoteReference"/>
        </w:rPr>
        <w:footnoteReference w:id="2726"/>
      </w:r>
      <w:r>
        <w:rPr>
          <w:rFonts w:ascii="IRNazanin" w:hAnsi="IRNazanin" w:eastAsia="IRNazanin" w:cs="IRNazanin"/>
          <w:lang w:bidi="fa-IR"/>
          <w:color w:val="111111"/>
          <w:sz w:val="28"/>
          <w:szCs w:val="28"/>
          <w:rtl/>
        </w:rPr>
        <w:t xml:space="preserve">و جواهر القاضی </w:t>
      </w:r>
      <w:r>
        <w:rPr>
          <w:rStyle w:val="FootnoteReference"/>
        </w:rPr>
        <w:footnoteReference w:id="2727"/>
      </w:r>
      <w:r>
        <w:rPr>
          <w:rFonts w:ascii="IRNazanin" w:hAnsi="IRNazanin" w:eastAsia="IRNazanin" w:cs="IRNazanin"/>
          <w:lang w:bidi="fa-IR"/>
          <w:color w:val="111111"/>
          <w:sz w:val="28"/>
          <w:szCs w:val="28"/>
          <w:rtl/>
        </w:rPr>
        <w:t xml:space="preserve">.و علی الثانی یثبت الخیاران،کما عن ظاهر المبسوط و المحقّق و الشهید الثانیین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الثانی:فهل یعتبر فی المسقط لخیارهما کونه فعلاً وجودیّاً و حرکةً صادرةً باختیار أحدهما،أو یکفی کونه ترکاً اختیاریّاً،کالبقاء فی مجلس العقد مختاراً؟ فعلی الأوّل:یتوجّه التفصیل المصرَّح به فی التحریر بین بقاء الآخر فی مجلس العقد و ذهابه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الثانی:یسقط الخیاران،کما عن ظاهر المحقّق و العلّامة و ولده السعید و السیّد العمید و شیخنا الشهید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ظاهر الإیضاح:أنّ قول التحریر لیس قولاً مغایراً للثبوت لهما،و أنّ محلّ الخلاف ما إذا لم یفارق الآخر المجلس اختیاراً، و إلّا سقط خیارهما اتّفاقاً،حیث قال فی شرح قول والده قدّس سرّه:«لو حمل أحدهما و منع من التخایر لم یسقط خیاره علی إشکال.و أمّا الثابت،فإن مُنع من المصاحبة و التخایر لم یسقط خیاره،و إلّا فالأقرب سقوطه،فیسقط خیار الأوّل» </w:t>
      </w:r>
      <w:r>
        <w:rPr>
          <w:rStyle w:val="FootnoteReference"/>
        </w:rPr>
        <w:footnoteReference w:id="2731"/>
      </w:r>
      <w:r>
        <w:rPr>
          <w:rFonts w:ascii="Amiri" w:hAnsi="Amiri" w:eastAsia="Amiri" w:cs="Amiri"/>
          <w:lang w:bidi="ar-SA"/>
          <w:color w:val="111111"/>
          <w:sz w:val="28"/>
          <w:szCs w:val="28"/>
          <w:rtl/>
        </w:rPr>
        <w:t xml:space="preserve">انتهی،قال:إنّ هذا مبنیٌّ علی بقاء</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الأکوان و عدمه و افتقار الباقی إلی المؤثّر و عدمه و أنّ الافتراق ثبوتیٌّ أو عدمیٌّ،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فعلی عدم البقاء أو افتقار الباقی إلی المؤثّر یسقط؛لأنّه فَعَل المفارقة،و علی القول ببقائها و استغناء الباقی عن المؤثّر و ثبوتیّة الافتراق لم یسقط خیاره؛لأنّه لم یفعل شیئاً.و إن قلنا بعدمیّة الافتراق و العدم لیس بمعلّل فکذلک.و إن قلنا:إنّه یعلّل سقط أیضاً.و الأقرب عندی السقوط؛لأنّه مختارٌ فی المفارقة </w:t>
      </w:r>
      <w:r>
        <w:rPr>
          <w:rStyle w:val="FootnoteReference"/>
        </w:rPr>
        <w:footnoteReference w:id="273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الکلام و إن نوقش فیه بمنع بناء الأحکام علی هذه التدقیقات،إلّا أنّه علی کلّ حالٍ صریحٌ فی أنّ الباقی لو ذهب اختیاراً فلا خلاف فی سقوط خیاره؛و ظاهره کظاهر عبارة القواعد-:أنّ سقوط خیاره لا ینفکّ عن سقوط خیار الآخر،فینتفی القول المحکیّ عن الخلاف و الجواهر.لکنّ العبارة المحکیّة عن الخلاف ظاهرةٌ فی هذا القول،قال:«لو أُکرها أو أحدهما علی التفرّق بالأبدان علی وجهٍ یتمکّنان من الفسخ و التخایر فلم یفعلا بطل خیارهما أو خیار من تمکّن من ذلک» </w:t>
      </w:r>
      <w:r>
        <w:rPr>
          <w:rStyle w:val="FootnoteReference"/>
        </w:rPr>
        <w:footnoteReference w:id="2733"/>
      </w:r>
      <w:r>
        <w:rPr>
          <w:rFonts w:ascii="IRNazanin" w:hAnsi="IRNazanin" w:eastAsia="IRNazanin" w:cs="IRNazanin"/>
          <w:lang w:bidi="fa-IR"/>
          <w:color w:val="111111"/>
          <w:sz w:val="28"/>
          <w:szCs w:val="28"/>
          <w:rtl/>
        </w:rPr>
        <w:t xml:space="preserve">و نحوه المحکیّ عن القاضی </w:t>
      </w:r>
      <w:r>
        <w:rPr>
          <w:rStyle w:val="FootnoteReference"/>
        </w:rPr>
        <w:footnoteReference w:id="2734"/>
      </w:r>
      <w:r>
        <w:rPr>
          <w:rFonts w:ascii="IRNazanin" w:hAnsi="IRNazanin" w:eastAsia="IRNazanin" w:cs="IRNazanin"/>
          <w:lang w:bidi="fa-IR"/>
          <w:color w:val="111111"/>
          <w:sz w:val="28"/>
          <w:szCs w:val="28"/>
          <w:rtl/>
        </w:rPr>
        <w:t xml:space="preserve">فإنّه لولا جواز التفکیک بین الخیارین لاقتصر علی قوله:«بطل خیارهما»فتأمّل.</w:t>
      </w:r>
    </w:p>
    <w:p>
      <w:pPr>
        <w:pStyle w:val="BookText"/>
      </w:pPr>
      <w:r>
        <w:rPr>
          <w:rFonts w:ascii="IRNazanin" w:hAnsi="IRNazanin" w:eastAsia="IRNazanin" w:cs="IRNazanin"/>
          <w:lang w:bidi="fa-IR"/>
          <w:color w:val="111111"/>
          <w:sz w:val="28"/>
          <w:szCs w:val="28"/>
          <w:rtl/>
        </w:rPr>
        <w:t xml:space="preserve">بل حکی هذا القول عن ظاهر التذکرة أو صریحها </w:t>
      </w:r>
      <w:r>
        <w:rPr>
          <w:rStyle w:val="FootnoteReference"/>
        </w:rPr>
        <w:footnoteReference w:id="2735"/>
      </w:r>
      <w:r>
        <w:rPr>
          <w:rFonts w:ascii="Amiri" w:hAnsi="Amiri" w:eastAsia="Amiri" w:cs="Amiri"/>
          <w:lang w:bidi="ar-SA"/>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و کیف کان،فالأظهر فی بادئ النظر ثبوت الخیارین،للأصل</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تقدّم:من تبادر تفرّقهما عن رضا منهما،فإنّ التفرّق و إن لم یعتبر کونه اختیاریّاً من الطرفین و لا من أحدهما،إلّا أنّ المتبادر رضاهما بالبیع حین التفرّق،فرضا أحدهما فی المقام و هو الماکث لا دلیل علی کفایته فی سقوط خیارهما،و لا فی سقوط خیار خصوص الراضی؛إذ الغایة غایةٌ للخیارین،فإن تحقّقت سقطا و إلّا ثبتا.و یدلّ علیه ما تقدّم من صحیحة الفضیل </w:t>
      </w:r>
      <w:r>
        <w:rPr>
          <w:rStyle w:val="FootnoteReference"/>
        </w:rPr>
        <w:footnoteReference w:id="2736"/>
      </w:r>
      <w:r>
        <w:rPr>
          <w:rFonts w:ascii="IRNazanin" w:hAnsi="IRNazanin" w:eastAsia="IRNazanin" w:cs="IRNazanin"/>
          <w:lang w:bidi="fa-IR"/>
          <w:color w:val="111111"/>
          <w:sz w:val="28"/>
          <w:szCs w:val="28"/>
          <w:rtl/>
        </w:rPr>
        <w:t xml:space="preserve">المصرّحة بإناطة سقوط الخیار بالرضا منهما المنفیّ بانتفاء رضا أحدهما.</w:t>
      </w:r>
    </w:p>
    <w:p>
      <w:pPr>
        <w:pStyle w:val="BookText"/>
      </w:pPr>
      <w:r>
        <w:rPr>
          <w:rFonts w:ascii="IRNazanin" w:hAnsi="IRNazanin" w:eastAsia="IRNazanin" w:cs="IRNazanin"/>
          <w:lang w:bidi="fa-IR"/>
          <w:color w:val="111111"/>
          <w:sz w:val="28"/>
          <w:szCs w:val="28"/>
          <w:rtl/>
        </w:rPr>
        <w:t xml:space="preserve">و لکن یمکن التفصّی عن الأصل بصدق تفرّقهما،و تبادر تقیّده بکونه عن رضا کلیهما ممنوعٌ،بل المتیقّن اعتبار رضا أحدهما.</w:t>
      </w:r>
    </w:p>
    <w:p>
      <w:pPr>
        <w:pStyle w:val="BookText"/>
      </w:pPr>
      <w:r>
        <w:rPr>
          <w:rFonts w:ascii="IRNazanin" w:hAnsi="IRNazanin" w:eastAsia="IRNazanin" w:cs="IRNazanin"/>
          <w:lang w:bidi="fa-IR"/>
          <w:color w:val="111111"/>
          <w:sz w:val="28"/>
          <w:szCs w:val="28"/>
          <w:rtl/>
        </w:rPr>
        <w:t xml:space="preserve">و ظاهر الصحیحة و إن کان اعتبار ذلک،إلّا أنّه معارضٌ بإطلاق ما یستفاد من الروایة السابقة الحاکیة لفعل الإمام علیه السلام و أنّه قال:</w:t>
      </w:r>
    </w:p>
    <w:p>
      <w:pPr>
        <w:pStyle w:val="BookText"/>
      </w:pPr>
      <w:r>
        <w:rPr>
          <w:rFonts w:ascii="IRNazanin" w:hAnsi="IRNazanin" w:eastAsia="IRNazanin" w:cs="IRNazanin"/>
          <w:lang w:bidi="fa-IR"/>
          <w:color w:val="111111"/>
          <w:sz w:val="28"/>
          <w:szCs w:val="28"/>
          <w:rtl/>
        </w:rPr>
        <w:t xml:space="preserve">«فمشیت خُطیً لیجب البیع حین افترقنا» </w:t>
      </w:r>
      <w:r>
        <w:rPr>
          <w:rStyle w:val="FootnoteReference"/>
        </w:rPr>
        <w:footnoteReference w:id="2737"/>
      </w:r>
      <w:r>
        <w:rPr>
          <w:rFonts w:ascii="IRNazanin" w:hAnsi="IRNazanin" w:eastAsia="IRNazanin" w:cs="IRNazanin"/>
          <w:lang w:bidi="fa-IR"/>
          <w:color w:val="111111"/>
          <w:sz w:val="28"/>
          <w:szCs w:val="28"/>
          <w:rtl/>
        </w:rPr>
        <w:t xml:space="preserve">،جَعَل مجرّد مشیه علیه السلام سبباً لصدق الافتراق المجعول غایةً للخیار،و جَعَل وجوب البیع علّةً غائیةً له من دون اعتبار رضا الآخر أو شعوره بمشی الإمام علیه السلام.</w:t>
      </w:r>
    </w:p>
    <w:p>
      <w:pPr>
        <w:pStyle w:val="BookText"/>
      </w:pPr>
      <w:r>
        <w:rPr>
          <w:rFonts w:ascii="IRNazanin" w:hAnsi="IRNazanin" w:eastAsia="IRNazanin" w:cs="IRNazanin"/>
          <w:lang w:bidi="fa-IR"/>
          <w:color w:val="111111"/>
          <w:sz w:val="28"/>
          <w:szCs w:val="28"/>
          <w:rtl/>
        </w:rPr>
        <w:t xml:space="preserve">و دعوی:انصرافه إلی صورة شعور الآخر و ترکه المصاحبة اختیاراً، ممنوعة.</w:t>
      </w:r>
    </w:p>
    <w:p>
      <w:pPr>
        <w:pStyle w:val="BookText"/>
      </w:pPr>
      <w:r>
        <w:rPr>
          <w:rFonts w:ascii="IRNazanin" w:hAnsi="IRNazanin" w:eastAsia="IRNazanin" w:cs="IRNazanin"/>
          <w:lang w:bidi="fa-IR"/>
          <w:color w:val="111111"/>
          <w:sz w:val="28"/>
          <w:szCs w:val="28"/>
          <w:rtl/>
        </w:rPr>
        <w:t xml:space="preserve">و ظاهر الصحیحة و إن کان أخصّ،إلّا أنّ ظهور الروایة فی عدم مدخلیّة شیءٍ آخر زائداً علی مفارقة أحدهما صاحبه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مؤیَّدٌ بالتزام مقتضاه فی غیر واحدٍ من المقامات،مثل ما إذا مات أحدهما و فارق</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اختیاراً،فإنّ الظاهر منهم عدم الخلاف فی سقوط الخیارین،و قد قطع به فی جامع المقاصد مستدلاً بأنّه قد تحقّق الافتراق،فسقط الخیاران </w:t>
      </w:r>
      <w:r>
        <w:rPr>
          <w:rStyle w:val="FootnoteReference"/>
        </w:rPr>
        <w:footnoteReference w:id="2738"/>
      </w:r>
      <w:r>
        <w:rPr>
          <w:rFonts w:ascii="IRNazanin" w:hAnsi="IRNazanin" w:eastAsia="IRNazanin" w:cs="IRNazanin"/>
          <w:lang w:bidi="fa-IR"/>
          <w:color w:val="111111"/>
          <w:sz w:val="28"/>
          <w:szCs w:val="28"/>
          <w:rtl/>
        </w:rPr>
        <w:t xml:space="preserve">مع أنّ المنسوب إلیه ثبوت الخیار لهما فیما نحن فیه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لو فارق أحدهما فی حال نوم الآخر أو غفلته عن مفارقة صاحبه مع تأیّد ذلک بنقل الإجماع عن السیّد عمید الدین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المبنی المتقدّم عن الإیضاح </w:t>
      </w:r>
      <w:r>
        <w:rPr>
          <w:rStyle w:val="FootnoteReference"/>
        </w:rPr>
        <w:footnoteReference w:id="2741"/>
      </w:r>
      <w:r>
        <w:rPr>
          <w:rFonts w:ascii="IRNazanin" w:hAnsi="IRNazanin" w:eastAsia="IRNazanin" w:cs="IRNazanin"/>
          <w:lang w:bidi="fa-IR"/>
          <w:color w:val="111111"/>
          <w:sz w:val="28"/>
          <w:szCs w:val="28"/>
          <w:rtl/>
        </w:rPr>
        <w:t xml:space="preserve">أیضاً-:عدم الخلاف فی عدم اعتبار الرضا من الطرفین،و إنّما الخلاف فی أنّ البقاء اختیاراً مفارقةٌ اختیاریّةٌ أم لا.بل ظاهر القواعد </w:t>
      </w:r>
      <w:r>
        <w:rPr>
          <w:rStyle w:val="FootnoteReference"/>
        </w:rPr>
        <w:footnoteReference w:id="2742"/>
      </w:r>
      <w:r>
        <w:rPr>
          <w:rFonts w:ascii="IRNazanin" w:hAnsi="IRNazanin" w:eastAsia="IRNazanin" w:cs="IRNazanin"/>
          <w:lang w:bidi="fa-IR"/>
          <w:color w:val="111111"/>
          <w:sz w:val="28"/>
          <w:szCs w:val="28"/>
          <w:rtl/>
        </w:rPr>
        <w:t xml:space="preserve">أیضاً-:أنّ سقوط خیار المکره متفرّعٌ علی سقوط خیار الماکث،من غیر إشارةٍ إلی وجود خلافٍ فی هذا التفریع،و هو الذی ینبغی؛لأنّ الغایة إن حصلت سقط الخیاران،و إلّا بقیا،فتأمّل.</w:t>
      </w:r>
    </w:p>
    <w:p>
      <w:pPr>
        <w:pStyle w:val="BookText"/>
      </w:pPr>
      <w:r>
        <w:rPr>
          <w:rFonts w:ascii="Amiri" w:hAnsi="Amiri" w:eastAsia="Amiri" w:cs="Amiri"/>
          <w:lang w:bidi="ar-SA"/>
          <w:color w:val="111111"/>
          <w:sz w:val="28"/>
          <w:szCs w:val="28"/>
          <w:rtl/>
        </w:rPr>
        <w:t xml:space="preserve">و عبارة الخلاف المتقدّمة </w:t>
      </w:r>
      <w:r>
        <w:rPr>
          <w:rStyle w:val="FootnoteReference"/>
        </w:rPr>
        <w:footnoteReference w:id="2743"/>
      </w:r>
      <w:r>
        <w:rPr>
          <w:rFonts w:ascii="IRNazanin" w:hAnsi="IRNazanin" w:eastAsia="IRNazanin" w:cs="IRNazanin"/>
          <w:lang w:bidi="fa-IR"/>
          <w:color w:val="111111"/>
          <w:sz w:val="28"/>
          <w:szCs w:val="28"/>
          <w:rtl/>
        </w:rPr>
        <w:t xml:space="preserve">و إن کانت ظاهرةً فی التفکیک بین المتبایعین فی الخیار،إلّا أنّها لیست بتلک الظهور،لاحتمال إرادة سقوط خیار المتمکّن من التخایر من حیث تمکّنه مع قطع النظر عن حال</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20" w:name="pg14419_167359"/>
    <w:bookmarkEnd w:id="320"/>
    <w:p>
      <w:pPr>
        <w:pStyle w:val="BookText"/>
      </w:pPr>
      <w:r>
        <w:rPr>
          <w:rFonts w:ascii="IRNazanin" w:hAnsi="IRNazanin" w:eastAsia="IRNazanin" w:cs="IRNazanin"/>
          <w:lang w:bidi="fa-IR"/>
          <w:color w:val="111111"/>
          <w:sz w:val="28"/>
          <w:szCs w:val="28"/>
          <w:rtl/>
        </w:rPr>
        <w:t xml:space="preserve">الآخر،فلا ینافی سقوط خیار الآخر؛[لأجل التلازم بین الخیارین من حیث اتّحادهما فی الغایة </w:t>
      </w:r>
      <w:r>
        <w:rPr>
          <w:rStyle w:val="FootnoteReference"/>
        </w:rPr>
        <w:footnoteReference w:id="2744"/>
      </w:r>
      <w:r>
        <w:rPr>
          <w:rFonts w:ascii="IRNazanin" w:hAnsi="IRNazanin" w:eastAsia="IRNazanin" w:cs="IRNazanin"/>
          <w:lang w:bidi="fa-IR"/>
          <w:color w:val="111111"/>
          <w:sz w:val="28"/>
          <w:szCs w:val="28"/>
          <w:rtl/>
        </w:rPr>
        <w:t xml:space="preserve">]،مع أنّ شمول عبارته لبعض الصور التی لا یختصّ بطلان الخیار فیها بالمتمکّن ممّا لا بدّ منه،کما لا یخفی علی المتأمّل.و حملها علی ما ذکرنا:من إرادة المتمکّن لا بشرطٍ،لا إرادة خصوصه فقط،أولی من تخصیصها ببعض الصور.و لعلّ نظر الشیخ و القاضی </w:t>
      </w:r>
      <w:r>
        <w:rPr>
          <w:rStyle w:val="FootnoteReference"/>
        </w:rPr>
        <w:footnoteReference w:id="2745"/>
      </w:r>
      <w:r>
        <w:rPr>
          <w:rFonts w:ascii="IRNazanin" w:hAnsi="IRNazanin" w:eastAsia="IRNazanin" w:cs="IRNazanin"/>
          <w:lang w:bidi="fa-IR"/>
          <w:color w:val="111111"/>
          <w:sz w:val="28"/>
          <w:szCs w:val="28"/>
          <w:rtl/>
        </w:rPr>
        <w:t xml:space="preserve">إلی أنّ الافتراق المستند إلی اختیارهما جعل غایةً لسقوط خیار کلٍّ منهما،فالمستند إلی اختیار أحدهما مسقطٌ لخیاره خاصّةً.و هو استنباطٌ حسنٌ.لکن لا یساعد علیه ظاهر النصّ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6"/>
      </w:pPr>
      <w:bookmarkStart w:id="1201" w:name="_Toc641"/>
      <w:r>
        <w:t>[إذا أکره أحدهما علی البقاء]</w:t>
      </w:r>
      <w:bookmarkEnd w:id="1201"/>
    </w:p>
    <w:p>
      <w:pPr>
        <w:pStyle w:val="BookText"/>
      </w:pPr>
      <w:r>
        <w:rPr>
          <w:rFonts w:ascii="IRNazanin" w:hAnsi="IRNazanin" w:eastAsia="IRNazanin" w:cs="IRNazanin"/>
          <w:lang w:bidi="fa-IR"/>
          <w:color w:val="111111"/>
          <w:sz w:val="28"/>
          <w:szCs w:val="28"/>
          <w:rtl/>
        </w:rPr>
        <w:t xml:space="preserve">ثمّ إنّه یظهر ممّا ذکرنا حکم عکس المسألة و هی ما إذا أُکره أحدهما علی البقاء ممنوعاً من التخایر و فارق الآخر اختیاراً فإنّ مقتضی ما تقدّم من الإیضاح من مبنی الخلاف </w:t>
      </w:r>
      <w:r>
        <w:rPr>
          <w:rStyle w:val="FootnoteReference"/>
        </w:rPr>
        <w:footnoteReference w:id="2747"/>
      </w:r>
      <w:r>
        <w:rPr>
          <w:rFonts w:ascii="IRNazanin" w:hAnsi="IRNazanin" w:eastAsia="IRNazanin" w:cs="IRNazanin"/>
          <w:lang w:bidi="fa-IR"/>
          <w:color w:val="111111"/>
          <w:sz w:val="28"/>
          <w:szCs w:val="28"/>
          <w:rtl/>
        </w:rPr>
        <w:t xml:space="preserve">عدم الخلاف فی سقوط الخیارین هنا،و مقتضی ما ذکرنا من مبنی الأقوال </w:t>
      </w:r>
      <w:r>
        <w:rPr>
          <w:rStyle w:val="FootnoteReference"/>
        </w:rPr>
        <w:footnoteReference w:id="2748"/>
      </w:r>
      <w:r>
        <w:rPr>
          <w:rFonts w:ascii="IRNazanin" w:hAnsi="IRNazanin" w:eastAsia="IRNazanin" w:cs="IRNazanin"/>
          <w:lang w:bidi="fa-IR"/>
          <w:color w:val="111111"/>
          <w:sz w:val="28"/>
          <w:szCs w:val="28"/>
          <w:rtl/>
        </w:rPr>
        <w:t xml:space="preserve">جریان الخلاف هنا أیضاً.</w:t>
      </w:r>
    </w:p>
    <w:p>
      <w:pPr>
        <w:pStyle w:val="BookText"/>
      </w:pPr>
      <w:r>
        <w:rPr>
          <w:rFonts w:ascii="IRNazanin" w:hAnsi="IRNazanin" w:eastAsia="IRNazanin" w:cs="IRNazanin"/>
          <w:lang w:bidi="fa-IR"/>
          <w:color w:val="111111"/>
          <w:sz w:val="28"/>
          <w:szCs w:val="28"/>
          <w:rtl/>
        </w:rPr>
        <w:t xml:space="preserve">و کیف کان،فالحکم بسقوط الخیار،علیهما </w:t>
      </w:r>
      <w:r>
        <w:rPr>
          <w:rStyle w:val="FootnoteReference"/>
        </w:rPr>
        <w:footnoteReference w:id="2749"/>
      </w:r>
      <w:r>
        <w:rPr>
          <w:rFonts w:ascii="IRNazanin" w:hAnsi="IRNazanin" w:eastAsia="IRNazanin" w:cs="IRNazanin"/>
          <w:lang w:bidi="fa-IR"/>
          <w:color w:val="111111"/>
          <w:sz w:val="28"/>
          <w:szCs w:val="28"/>
          <w:rtl/>
        </w:rPr>
        <w:t xml:space="preserve">هنا أقوی کما لا یخفی.</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21" w:name="pg14419_167360"/>
    <w:bookmarkEnd w:id="321"/>
    <w:p>
      <w:pPr>
        <w:pStyle w:val="Heading6"/>
      </w:pPr>
      <w:bookmarkStart w:id="1202" w:name="_Toc642"/>
      <w:r>
        <w:t>مسألة : لو زال الإکراه</w:t>
      </w:r>
      <w:bookmarkEnd w:id="1202"/>
    </w:p>
    <w:p>
      <w:pPr>
        <w:pStyle w:val="BookText"/>
      </w:pPr>
      <w:r>
        <w:rPr>
          <w:rFonts w:ascii="IRNazanin" w:hAnsi="IRNazanin" w:eastAsia="IRNazanin" w:cs="IRNazanin"/>
          <w:lang w:bidi="fa-IR"/>
          <w:color w:val="111111"/>
          <w:sz w:val="28"/>
          <w:szCs w:val="28"/>
          <w:rtl/>
        </w:rPr>
        <w:t xml:space="preserve">فالمحکیّ عن الشیخ و جماعةٍ:امتداد الخیار بامتداد مجلس الزوال </w:t>
      </w:r>
      <w:r>
        <w:rPr>
          <w:rStyle w:val="FootnoteReference"/>
        </w:rPr>
        <w:footnoteReference w:id="2750"/>
      </w:r>
      <w:r>
        <w:rPr>
          <w:rFonts w:ascii="IRNazanin" w:hAnsi="IRNazanin" w:eastAsia="IRNazanin" w:cs="IRNazanin"/>
          <w:lang w:bidi="fa-IR"/>
          <w:color w:val="111111"/>
          <w:sz w:val="28"/>
          <w:szCs w:val="28"/>
          <w:rtl/>
        </w:rPr>
        <w:t xml:space="preserve">.و لعلّه لأنّ الافتراق الحاصل بینهما فی حال الإکراه کالمعدوم،فکأنهما بعدُ مجتمعان فی مجلس العقد،فالخیار باقٍ.</w:t>
      </w:r>
    </w:p>
    <w:p>
      <w:pPr>
        <w:pStyle w:val="BookText"/>
      </w:pPr>
      <w:r>
        <w:rPr>
          <w:rFonts w:ascii="IRNazanin" w:hAnsi="IRNazanin" w:eastAsia="IRNazanin" w:cs="IRNazanin"/>
          <w:lang w:bidi="fa-IR"/>
          <w:color w:val="111111"/>
          <w:sz w:val="28"/>
          <w:szCs w:val="28"/>
          <w:rtl/>
        </w:rPr>
        <w:t xml:space="preserve">و فیه:أنّ الهیئة الاجتماعیة الحاصلة حین العقد قد ارتفعت حسّا، غایة الأمر عدم ارتفاع حکمها و هو الخیار بسبب الإکراه،و لم یجعل مجلس زوال الإکراه بمنزلة مجلس العقد.</w:t>
      </w:r>
    </w:p>
    <w:p>
      <w:pPr>
        <w:pStyle w:val="BookText"/>
      </w:pPr>
      <w:r>
        <w:rPr>
          <w:rFonts w:ascii="IRNazanin" w:hAnsi="IRNazanin" w:eastAsia="IRNazanin" w:cs="IRNazanin"/>
          <w:lang w:bidi="fa-IR"/>
          <w:color w:val="111111"/>
          <w:sz w:val="28"/>
          <w:szCs w:val="28"/>
          <w:rtl/>
        </w:rPr>
        <w:t xml:space="preserve">و الحاصل:أنّ الباقی بحکم الشرع هو الخیار،لا مجلس العقد، فالنصّ ساکتٌ عن غایة هذا الخیار،فلا بدّ إمّا من القول بالفور کما عن التذکرة </w:t>
      </w:r>
      <w:r>
        <w:rPr>
          <w:rStyle w:val="FootnoteReference"/>
        </w:rPr>
        <w:footnoteReference w:id="2751"/>
      </w:r>
      <w:r>
        <w:rPr>
          <w:rFonts w:ascii="IRNazanin" w:hAnsi="IRNazanin" w:eastAsia="IRNazanin" w:cs="IRNazanin"/>
          <w:lang w:bidi="fa-IR"/>
          <w:color w:val="111111"/>
          <w:sz w:val="28"/>
          <w:szCs w:val="28"/>
          <w:rtl/>
        </w:rPr>
        <w:t xml:space="preserve">و لعلّه لأنّه المقدار الثابت یقیناً لاستدراک حقّ المتبایعین-</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إمّا من القول بالتراخی إلی أن یحصل المسقطات،لاستصحاب الخیار.</w:t>
      </w:r>
    </w:p>
    <w:p>
      <w:pPr>
        <w:pStyle w:val="BookText"/>
      </w:pPr>
      <w:r>
        <w:rPr>
          <w:rFonts w:ascii="IRNazanin" w:hAnsi="IRNazanin" w:eastAsia="IRNazanin" w:cs="IRNazanin"/>
          <w:lang w:bidi="fa-IR"/>
          <w:color w:val="111111"/>
          <w:sz w:val="28"/>
          <w:szCs w:val="28"/>
          <w:rtl/>
        </w:rPr>
        <w:t xml:space="preserve">و الوجهان جاریان فی کلّ خیارٍ لم یظهر حاله من الأدلّة.</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22" w:name="pg14419_167362"/>
    <w:bookmarkEnd w:id="322"/>
    <w:p>
      <w:pPr>
        <w:pStyle w:val="Heading6"/>
      </w:pPr>
      <w:bookmarkStart w:id="1203" w:name="_Toc643"/>
      <w:r>
        <w:t>مسألة [المسقط الرابع التصرف]</w:t>
      </w:r>
      <w:bookmarkEnd w:id="1203"/>
    </w:p>
    <w:p>
      <w:pPr>
        <w:pStyle w:val="BookText"/>
      </w:pPr>
      <w:r>
        <w:rPr>
          <w:rFonts w:ascii="IRNazanin" w:hAnsi="IRNazanin" w:eastAsia="IRNazanin" w:cs="IRNazanin"/>
          <w:lang w:bidi="fa-IR"/>
          <w:color w:val="111111"/>
          <w:sz w:val="28"/>
          <w:szCs w:val="28"/>
          <w:rtl/>
        </w:rPr>
        <w:t xml:space="preserve">و من مسقطات هذا الخیار:التصرّف علی وجهٍ یأتی فی خیاری الحیوان و الشرط ذکره الشیخ فی المبسوط فی خیار المجلس و فی الصرف </w:t>
      </w:r>
      <w:r>
        <w:rPr>
          <w:rStyle w:val="FootnoteReference"/>
        </w:rPr>
        <w:footnoteReference w:id="2752"/>
      </w:r>
      <w:r>
        <w:rPr>
          <w:rFonts w:ascii="Amiri" w:hAnsi="Amiri" w:eastAsia="Amiri" w:cs="Amiri"/>
          <w:lang w:bidi="ar-SA"/>
          <w:color w:val="111111"/>
          <w:sz w:val="28"/>
          <w:szCs w:val="28"/>
          <w:rtl/>
        </w:rPr>
        <w:t xml:space="preserve">،و العلّامة قدّس سرّه فی التذکرة </w:t>
      </w:r>
      <w:r>
        <w:rPr>
          <w:rStyle w:val="FootnoteReference"/>
        </w:rPr>
        <w:footnoteReference w:id="2753"/>
      </w:r>
      <w:r>
        <w:rPr>
          <w:rFonts w:ascii="IRNazanin" w:hAnsi="IRNazanin" w:eastAsia="IRNazanin" w:cs="IRNazanin"/>
          <w:lang w:bidi="fa-IR"/>
          <w:color w:val="111111"/>
          <w:sz w:val="28"/>
          <w:szCs w:val="28"/>
          <w:rtl/>
        </w:rPr>
        <w:t xml:space="preserve">،و نُسب إلی جمیع من تأخّر عنه </w:t>
      </w:r>
      <w:r>
        <w:rPr>
          <w:rStyle w:val="FootnoteReference"/>
        </w:rPr>
        <w:footnoteReference w:id="2754"/>
      </w:r>
      <w:r>
        <w:rPr>
          <w:rFonts w:ascii="Amiri" w:hAnsi="Amiri" w:eastAsia="Amiri" w:cs="Amiri"/>
          <w:lang w:bidi="ar-SA"/>
          <w:color w:val="111111"/>
          <w:sz w:val="28"/>
          <w:szCs w:val="28"/>
          <w:rtl/>
        </w:rPr>
        <w:t xml:space="preserve">،بل ربما یُدّعی إطباقهم </w:t>
      </w:r>
      <w:r>
        <w:rPr>
          <w:rStyle w:val="FootnoteReference"/>
        </w:rPr>
        <w:footnoteReference w:id="2755"/>
      </w:r>
      <w:r>
        <w:rPr>
          <w:rFonts w:ascii="IRNazanin" w:hAnsi="IRNazanin" w:eastAsia="IRNazanin" w:cs="IRNazanin"/>
          <w:lang w:bidi="fa-IR"/>
          <w:color w:val="111111"/>
          <w:sz w:val="28"/>
          <w:szCs w:val="28"/>
          <w:rtl/>
        </w:rPr>
        <w:t xml:space="preserve">علیه،و حکی عن الخلاف و الجواهر و الکافی و السرائر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لدلالة التعلیل فی بعض أخبار[خیار </w:t>
      </w:r>
      <w:r>
        <w:rPr>
          <w:rStyle w:val="FootnoteReference"/>
        </w:rPr>
        <w:footnoteReference w:id="2757"/>
      </w:r>
      <w:r>
        <w:rPr>
          <w:rFonts w:ascii="IRNazanin" w:hAnsi="IRNazanin" w:eastAsia="IRNazanin" w:cs="IRNazanin"/>
          <w:lang w:bidi="fa-IR"/>
          <w:color w:val="111111"/>
          <w:sz w:val="28"/>
          <w:szCs w:val="28"/>
          <w:rtl/>
        </w:rPr>
        <w:t xml:space="preserve">]الحیوان.و هو</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أیضاً فی اتّفاقهم علی سقوط خیار الشرط،و إلّا فلم یرد فیه نصٌّ بالخصوص،بل سقوط خیار المشتری بتصرّفه مستفادٌ من نفس تلک الروایة المعلِّلة؛حیث قال:«فإن أحدث المشتری فیما اشتری حدثاً قبل الثلاثة أیام فذلک رضاً منه،فلا شرط» </w:t>
      </w:r>
      <w:r>
        <w:rPr>
          <w:rStyle w:val="FootnoteReference"/>
        </w:rPr>
        <w:footnoteReference w:id="2758"/>
      </w:r>
      <w:r>
        <w:rPr>
          <w:rFonts w:ascii="IRNazanin" w:hAnsi="IRNazanin" w:eastAsia="IRNazanin" w:cs="IRNazanin"/>
          <w:lang w:bidi="fa-IR"/>
          <w:color w:val="111111"/>
          <w:sz w:val="28"/>
          <w:szCs w:val="28"/>
          <w:rtl/>
        </w:rPr>
        <w:t xml:space="preserve">،فإنّ المنفیّ یشمل شرط المجلس و الحیوان،فتأمّل.</w:t>
      </w:r>
    </w:p>
    <w:p>
      <w:pPr>
        <w:pStyle w:val="BookText"/>
      </w:pPr>
      <w:r>
        <w:rPr>
          <w:rFonts w:ascii="Amiri" w:hAnsi="Amiri" w:eastAsia="Amiri" w:cs="Amiri"/>
          <w:lang w:bidi="ar-SA"/>
          <w:color w:val="111111"/>
          <w:sz w:val="28"/>
          <w:szCs w:val="28"/>
          <w:rtl/>
        </w:rPr>
        <w:t xml:space="preserve">و تفصیل التصرّف المُسقِط سیجیء </w:t>
      </w:r>
      <w:r>
        <w:rPr>
          <w:rStyle w:val="FootnoteReference"/>
        </w:rPr>
        <w:footnoteReference w:id="2759"/>
      </w: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23" w:name="pg14419_167364"/>
    <w:bookmarkEnd w:id="323"/>
    <w:p>
      <w:pPr>
        <w:pStyle w:val="Heading6"/>
      </w:pPr>
      <w:bookmarkStart w:id="1204" w:name="_Toc644"/>
      <w:r>
        <w:t>الثانی : خیار الحیوان</w:t>
      </w:r>
      <w:bookmarkEnd w:id="1204"/>
    </w:p>
    <w:p>
      <w:pPr>
        <w:pStyle w:val="Heading6"/>
      </w:pPr>
      <w:bookmarkStart w:id="1205" w:name="_Toc645"/>
      <w:r>
        <w:t>اشارة</w:t>
      </w:r>
      <w:bookmarkEnd w:id="12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لا خلاف بین الإمامیّة فی ثبوت الخیار فی الحیوان المشتری </w:t>
      </w:r>
      <w:r>
        <w:rPr>
          <w:rStyle w:val="FootnoteReference"/>
        </w:rPr>
        <w:footnoteReference w:id="2760"/>
      </w:r>
      <w:r>
        <w:rPr>
          <w:rFonts w:ascii="IRNazanin" w:hAnsi="IRNazanin" w:eastAsia="IRNazanin" w:cs="IRNazanin"/>
          <w:lang w:bidi="fa-IR"/>
          <w:color w:val="111111"/>
          <w:sz w:val="28"/>
          <w:szCs w:val="28"/>
          <w:rtl/>
        </w:rPr>
        <w:t xml:space="preserve">، و ظاهر النصّ </w:t>
      </w:r>
      <w:r>
        <w:rPr>
          <w:rStyle w:val="FootnoteReference"/>
        </w:rPr>
        <w:footnoteReference w:id="2761"/>
      </w:r>
      <w:r>
        <w:rPr>
          <w:rFonts w:ascii="Amiri" w:hAnsi="Amiri" w:eastAsia="Amiri" w:cs="Amiri"/>
          <w:lang w:bidi="ar-SA"/>
          <w:color w:val="111111"/>
          <w:sz w:val="28"/>
          <w:szCs w:val="28"/>
          <w:rtl/>
        </w:rPr>
        <w:t xml:space="preserve">و الفتوی:العموم لکلِّ ذی حیاةٍ،فیشمل مثلَ الجرادِ و الزُّنْبُورِ و السَّمَکِ وَ العَلَقِ و دُودِ القزِّ،و لا یبعد اختصاصه بالحیوان المقصود حیاته فی الجملة،فمثل السَّمک المخرَج من الماء و الجراد المحرَز فی الإناء و شبه ذلک خارجٌ؛لأنّه لا یباع من حیث إنّه حیوانٌ،بل من حیث إنّه لحمٌ مثلاً </w:t>
      </w:r>
      <w:r>
        <w:rPr>
          <w:rStyle w:val="FootnoteReference"/>
        </w:rPr>
        <w:footnoteReference w:id="2762"/>
      </w:r>
      <w:r>
        <w:rPr>
          <w:rFonts w:ascii="IRNazanin" w:hAnsi="IRNazanin" w:eastAsia="IRNazanin" w:cs="IRNazanin"/>
          <w:lang w:bidi="fa-IR"/>
          <w:color w:val="111111"/>
          <w:sz w:val="28"/>
          <w:szCs w:val="28"/>
          <w:rtl/>
        </w:rPr>
        <w:t xml:space="preserve">،و یشکل فیما صار کذلک لعارضٍ،کالصید المشرف علی الموت بإصابة السهم أو بجرح الکلب المعلّم.</w:t>
      </w:r>
    </w:p>
    <w:p>
      <w:pPr>
        <w:pStyle w:val="BookText"/>
      </w:pPr>
      <w:r>
        <w:rPr>
          <w:rFonts w:ascii="IRNazanin" w:hAnsi="IRNazanin" w:eastAsia="IRNazanin" w:cs="IRNazanin"/>
          <w:lang w:bidi="fa-IR"/>
          <w:color w:val="111111"/>
          <w:sz w:val="28"/>
          <w:szCs w:val="28"/>
          <w:rtl/>
        </w:rPr>
        <w:t xml:space="preserve">و علی کلّ حالٍ،فلا یُعدّ زهاق روحه تلفاً من البائع قبل القبض، أو فی زمان الخیار.</w:t>
      </w:r>
    </w:p>
    <w:p>
      <w:pPr>
        <w:pStyle w:val="BookText"/>
      </w:pPr>
      <w:r>
        <w:rPr>
          <w:rFonts w:ascii="IRNazanin" w:hAnsi="IRNazanin" w:eastAsia="IRNazanin" w:cs="IRNazanin"/>
          <w:lang w:bidi="fa-IR"/>
          <w:color w:val="111111"/>
          <w:sz w:val="28"/>
          <w:szCs w:val="28"/>
          <w:rtl/>
        </w:rPr>
        <w:t xml:space="preserve">و فی منتهی خیاره مع عدم بقائه إلی الثلاثة وجوهٌ.</w:t>
      </w:r>
    </w:p>
    <w:p>
      <w:pPr>
        <w:pStyle w:val="BookText"/>
      </w:pPr>
      <w:r>
        <w:rPr>
          <w:rFonts w:ascii="IRNazanin" w:hAnsi="IRNazanin" w:eastAsia="IRNazanin" w:cs="IRNazanin"/>
          <w:lang w:bidi="fa-IR"/>
          <w:color w:val="111111"/>
          <w:sz w:val="28"/>
          <w:szCs w:val="28"/>
          <w:rtl/>
        </w:rPr>
        <w:t xml:space="preserve">ثمّ إنّه هل یختصّ هذا الخیار بالبیع المعیَّن کما هو المنساق فی</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من الإطلاقات،و مع </w:t>
      </w:r>
      <w:r>
        <w:rPr>
          <w:rStyle w:val="FootnoteReference"/>
        </w:rPr>
        <w:footnoteReference w:id="2763"/>
      </w:r>
      <w:r>
        <w:rPr>
          <w:rFonts w:ascii="IRNazanin" w:hAnsi="IRNazanin" w:eastAsia="IRNazanin" w:cs="IRNazanin"/>
          <w:lang w:bidi="fa-IR"/>
          <w:color w:val="111111"/>
          <w:sz w:val="28"/>
          <w:szCs w:val="28"/>
          <w:rtl/>
        </w:rPr>
        <w:t xml:space="preserve">الاستدلال له فی بعض معاقد الإجماع"کما فی التذکرة" </w:t>
      </w:r>
      <w:r>
        <w:rPr>
          <w:rStyle w:val="FootnoteReference"/>
        </w:rPr>
        <w:footnoteReference w:id="2764"/>
      </w:r>
      <w:r>
        <w:rPr>
          <w:rFonts w:ascii="IRNazanin" w:hAnsi="IRNazanin" w:eastAsia="IRNazanin" w:cs="IRNazanin"/>
          <w:lang w:bidi="fa-IR"/>
          <w:color w:val="111111"/>
          <w:sz w:val="28"/>
          <w:szCs w:val="28"/>
          <w:rtl/>
        </w:rPr>
        <w:t xml:space="preserve">بالحکمة الغیر الجاریة فی الکلّی الثابت فی الذمّة أو یعمّ الکلّی کما هو المتراءی من النصّ و الفتوی؟ لم أجد مصرِّحاً بأحد الأمرین.نعم،یظهر من بعض المعاصرین قدّس سرّه الأوّل.و لعلّه الأقوی.</w:t>
      </w:r>
    </w:p>
    <w:p>
      <w:pPr>
        <w:pStyle w:val="BookText"/>
      </w:pPr>
      <w:r>
        <w:rPr>
          <w:rFonts w:ascii="IRNazanin" w:hAnsi="IRNazanin" w:eastAsia="IRNazanin" w:cs="IRNazanin"/>
          <w:lang w:bidi="fa-IR"/>
          <w:color w:val="111111"/>
          <w:sz w:val="28"/>
          <w:szCs w:val="28"/>
          <w:rtl/>
        </w:rPr>
        <w:t xml:space="preserve">و کیف کان، فالکلام فی مَن له هذا الخیار،و فی مدّته من حیث المبدأ و المنتهی،و مسقطاته یتمّ برسم مسائل:</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24" w:name="pg14419_167366"/>
    <w:bookmarkEnd w:id="324"/>
    <w:p>
      <w:pPr>
        <w:pStyle w:val="Heading6"/>
      </w:pPr>
      <w:bookmarkStart w:id="1206" w:name="_Toc646"/>
      <w:r>
        <w:t>مسألة : المشهور اختصاص هذا الخیار بالمشتری</w:t>
      </w:r>
      <w:bookmarkEnd w:id="1206"/>
    </w:p>
    <w:p>
      <w:pPr>
        <w:pStyle w:val="BookText"/>
      </w:pPr>
      <w:r>
        <w:rPr>
          <w:rFonts w:ascii="IRNazanin" w:hAnsi="IRNazanin" w:eastAsia="IRNazanin" w:cs="IRNazanin"/>
          <w:lang w:bidi="fa-IR"/>
          <w:color w:val="111111"/>
          <w:sz w:val="28"/>
          <w:szCs w:val="28"/>
          <w:rtl/>
        </w:rPr>
        <w:t xml:space="preserve">حکی </w:t>
      </w:r>
      <w:r>
        <w:rPr>
          <w:rStyle w:val="FootnoteReference"/>
        </w:rPr>
        <w:footnoteReference w:id="2765"/>
      </w:r>
      <w:r>
        <w:rPr>
          <w:rFonts w:ascii="IRNazanin" w:hAnsi="IRNazanin" w:eastAsia="IRNazanin" w:cs="IRNazanin"/>
          <w:lang w:bidi="fa-IR"/>
          <w:color w:val="111111"/>
          <w:sz w:val="28"/>
          <w:szCs w:val="28"/>
          <w:rtl/>
        </w:rPr>
        <w:t xml:space="preserve">عن الشیخین </w:t>
      </w:r>
      <w:r>
        <w:rPr>
          <w:rStyle w:val="FootnoteReference"/>
        </w:rPr>
        <w:footnoteReference w:id="2766"/>
      </w:r>
      <w:r>
        <w:rPr>
          <w:rFonts w:ascii="IRNazanin" w:hAnsi="IRNazanin" w:eastAsia="IRNazanin" w:cs="IRNazanin"/>
          <w:lang w:bidi="fa-IR"/>
          <w:color w:val="111111"/>
          <w:sz w:val="28"/>
          <w:szCs w:val="28"/>
          <w:rtl/>
        </w:rPr>
        <w:t xml:space="preserve">و الصدوقین </w:t>
      </w:r>
      <w:r>
        <w:rPr>
          <w:rStyle w:val="FootnoteReference"/>
        </w:rPr>
        <w:footnoteReference w:id="2767"/>
      </w:r>
      <w:r>
        <w:rPr>
          <w:rFonts w:ascii="IRNazanin" w:hAnsi="IRNazanin" w:eastAsia="IRNazanin" w:cs="IRNazanin"/>
          <w:lang w:bidi="fa-IR"/>
          <w:color w:val="111111"/>
          <w:sz w:val="28"/>
          <w:szCs w:val="28"/>
          <w:rtl/>
        </w:rPr>
        <w:t xml:space="preserve">و الإسکافی </w:t>
      </w:r>
      <w:r>
        <w:rPr>
          <w:rStyle w:val="FootnoteReference"/>
        </w:rPr>
        <w:footnoteReference w:id="2768"/>
      </w:r>
      <w:r>
        <w:rPr>
          <w:rFonts w:ascii="Amiri" w:hAnsi="Amiri" w:eastAsia="Amiri" w:cs="Amiri"/>
          <w:lang w:bidi="ar-SA"/>
          <w:color w:val="111111"/>
          <w:sz w:val="28"/>
          <w:szCs w:val="28"/>
          <w:rtl/>
        </w:rPr>
        <w:t xml:space="preserve">و ابن حمزة </w:t>
      </w:r>
      <w:r>
        <w:rPr>
          <w:rStyle w:val="FootnoteReference"/>
        </w:rPr>
        <w:footnoteReference w:id="2769"/>
      </w:r>
      <w:r>
        <w:rPr>
          <w:rFonts w:ascii="IRNazanin" w:hAnsi="IRNazanin" w:eastAsia="IRNazanin" w:cs="IRNazanin"/>
          <w:lang w:bidi="fa-IR"/>
          <w:color w:val="111111"/>
          <w:sz w:val="28"/>
          <w:szCs w:val="28"/>
          <w:rtl/>
        </w:rPr>
        <w:t xml:space="preserve">و الشامیّین الخمسة </w:t>
      </w:r>
      <w:r>
        <w:rPr>
          <w:rStyle w:val="FootnoteReference"/>
        </w:rPr>
        <w:footnoteReference w:id="2770"/>
      </w:r>
      <w:r>
        <w:rPr>
          <w:rFonts w:ascii="Amiri" w:hAnsi="Amiri" w:eastAsia="Amiri" w:cs="Amiri"/>
          <w:lang w:bidi="ar-SA"/>
          <w:color w:val="111111"/>
          <w:sz w:val="28"/>
          <w:szCs w:val="28"/>
          <w:rtl/>
        </w:rPr>
        <w:t xml:space="preserve">و الحلّیین الستّة </w:t>
      </w:r>
      <w:r>
        <w:rPr>
          <w:rStyle w:val="FootnoteReference"/>
        </w:rPr>
        <w:footnoteReference w:id="2771"/>
      </w:r>
      <w:r>
        <w:rPr>
          <w:rFonts w:ascii="IRNazanin" w:hAnsi="IRNazanin" w:eastAsia="IRNazanin" w:cs="IRNazanin"/>
          <w:lang w:bidi="fa-IR"/>
          <w:color w:val="111111"/>
          <w:sz w:val="28"/>
          <w:szCs w:val="28"/>
          <w:rtl/>
        </w:rPr>
        <w:t xml:space="preserve">و معظم المتأخّرین </w:t>
      </w:r>
      <w:r>
        <w:rPr>
          <w:rStyle w:val="FootnoteReference"/>
        </w:rPr>
        <w:footnoteReference w:id="2772"/>
      </w:r>
      <w:r>
        <w:rPr>
          <w:rFonts w:ascii="IRNazanin" w:hAnsi="IRNazanin" w:eastAsia="IRNazanin" w:cs="IRNazanin"/>
          <w:lang w:bidi="fa-IR"/>
          <w:color w:val="111111"/>
          <w:sz w:val="28"/>
          <w:szCs w:val="28"/>
          <w:rtl/>
        </w:rPr>
        <w:t xml:space="preserve">،و عن الغنیة و ظاهر الدروس:الإجماع</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2773"/>
      </w:r>
      <w:r>
        <w:rPr>
          <w:rFonts w:ascii="IRNazanin" w:hAnsi="IRNazanin" w:eastAsia="IRNazanin" w:cs="IRNazanin"/>
          <w:lang w:bidi="fa-IR"/>
          <w:color w:val="111111"/>
          <w:sz w:val="28"/>
          <w:szCs w:val="28"/>
          <w:rtl/>
        </w:rPr>
        <w:t xml:space="preserve">لعموم قوله علیه السلام:«إذا افترقا وجب البیع» </w:t>
      </w:r>
      <w:r>
        <w:rPr>
          <w:rStyle w:val="FootnoteReference"/>
        </w:rPr>
        <w:footnoteReference w:id="2774"/>
      </w:r>
      <w:r>
        <w:rPr>
          <w:rFonts w:ascii="Amiri" w:hAnsi="Amiri" w:eastAsia="Amiri" w:cs="Amiri"/>
          <w:lang w:bidi="ar-SA"/>
          <w:color w:val="111111"/>
          <w:sz w:val="28"/>
          <w:szCs w:val="28"/>
          <w:rtl/>
        </w:rPr>
        <w:t xml:space="preserve">خرج المشتری و بقی البائع،بل لعموم أَوْفُوا بِالْعُقُودِ </w:t>
      </w:r>
      <w:r>
        <w:rPr>
          <w:rStyle w:val="FootnoteReference"/>
        </w:rPr>
        <w:footnoteReference w:id="2775"/>
      </w:r>
      <w:r>
        <w:rPr>
          <w:rFonts w:ascii="IRNazanin" w:hAnsi="IRNazanin" w:eastAsia="IRNazanin" w:cs="IRNazanin"/>
          <w:lang w:bidi="fa-IR"/>
          <w:color w:val="111111"/>
          <w:sz w:val="28"/>
          <w:szCs w:val="28"/>
          <w:rtl/>
        </w:rPr>
        <w:t xml:space="preserve">بالنسبة إلی ما لیس فیه خیار المجلس بالأصل أو بالاشتراط،و یثبت الباقی بعدم القول بالفصل.</w:t>
      </w:r>
    </w:p>
    <w:p>
      <w:pPr>
        <w:pStyle w:val="BookText"/>
      </w:pPr>
      <w:r>
        <w:rPr>
          <w:rFonts w:ascii="IRNazanin" w:hAnsi="IRNazanin" w:eastAsia="IRNazanin" w:cs="IRNazanin"/>
          <w:lang w:bidi="fa-IR"/>
          <w:color w:val="111111"/>
          <w:sz w:val="28"/>
          <w:szCs w:val="28"/>
          <w:rtl/>
        </w:rPr>
        <w:t xml:space="preserve">و یدلّ علیه أیضاً ظاهر غیر واحدٍ من الأخبار:</w:t>
      </w:r>
    </w:p>
    <w:p>
      <w:pPr>
        <w:pStyle w:val="BookText"/>
      </w:pPr>
      <w:r>
        <w:rPr>
          <w:rFonts w:ascii="IRNazanin" w:hAnsi="IRNazanin" w:eastAsia="IRNazanin" w:cs="IRNazanin"/>
          <w:lang w:bidi="fa-IR"/>
          <w:color w:val="111111"/>
          <w:sz w:val="28"/>
          <w:szCs w:val="28"/>
          <w:rtl/>
        </w:rPr>
        <w:t xml:space="preserve">منها:صحیحة الفضیل بن یسار عن أبی عبد اللّٰه علیه السلام قال:</w:t>
      </w:r>
    </w:p>
    <w:p>
      <w:pPr>
        <w:pStyle w:val="BookText"/>
      </w:pPr>
      <w:r>
        <w:rPr>
          <w:rFonts w:ascii="IRNazanin" w:hAnsi="IRNazanin" w:eastAsia="IRNazanin" w:cs="IRNazanin"/>
          <w:lang w:bidi="fa-IR"/>
          <w:color w:val="111111"/>
          <w:sz w:val="28"/>
          <w:szCs w:val="28"/>
          <w:rtl/>
        </w:rPr>
        <w:t xml:space="preserve">«قلت له:ما الشرط فی الحیوان؟قال:ثلاثة أیّامٍ للمشتری.قلت:</w:t>
      </w:r>
    </w:p>
    <w:p>
      <w:pPr>
        <w:pStyle w:val="BookText"/>
      </w:pPr>
      <w:r>
        <w:rPr>
          <w:rFonts w:ascii="IRNazanin" w:hAnsi="IRNazanin" w:eastAsia="IRNazanin" w:cs="IRNazanin"/>
          <w:lang w:bidi="fa-IR"/>
          <w:color w:val="111111"/>
          <w:sz w:val="28"/>
          <w:szCs w:val="28"/>
          <w:rtl/>
        </w:rPr>
        <w:t xml:space="preserve">و ما الشرط فی غیر الحیوان؟قال:البیّعان بالخیار ما لم یفترقا فإذا افترقا فلا خیار بعد الرضا[منهما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 </w:t>
      </w:r>
      <w:r>
        <w:rPr>
          <w:rStyle w:val="FootnoteReference"/>
        </w:rPr>
        <w:footnoteReference w:id="2777"/>
      </w:r>
      <w:r>
        <w:rPr>
          <w:rFonts w:ascii="IRNazanin" w:hAnsi="IRNazanin" w:eastAsia="IRNazanin" w:cs="IRNazanin"/>
          <w:lang w:bidi="fa-IR"/>
          <w:color w:val="111111"/>
          <w:sz w:val="28"/>
          <w:szCs w:val="28"/>
          <w:rtl/>
        </w:rPr>
        <w:t xml:space="preserve">،و ظهوره فی اختصاص الخیار بالمشتری و إطلاق نفی الخیار لهما فی بیع غیر الحیوان بعد الافتراق یشمل ما إذا کان الثمن حیواناً.</w:t>
      </w:r>
    </w:p>
    <w:p>
      <w:pPr>
        <w:pStyle w:val="BookText"/>
      </w:pPr>
      <w:r>
        <w:rPr>
          <w:rFonts w:ascii="IRNazanin" w:hAnsi="IRNazanin" w:eastAsia="IRNazanin" w:cs="IRNazanin"/>
          <w:lang w:bidi="fa-IR"/>
          <w:color w:val="111111"/>
          <w:sz w:val="28"/>
          <w:szCs w:val="28"/>
          <w:rtl/>
        </w:rPr>
        <w:t xml:space="preserve">و یتلوها فی الظهور روایة علیّ بن أسباط عن أبی الحسن الرضا علیه السلام قال:«الخیار فی الحیوان ثلاثة أیّامٍ للمشتری» </w:t>
      </w:r>
      <w:r>
        <w:rPr>
          <w:rStyle w:val="FootnoteReference"/>
        </w:rPr>
        <w:footnoteReference w:id="2778"/>
      </w:r>
      <w:r>
        <w:rPr>
          <w:rFonts w:ascii="IRNazanin" w:hAnsi="IRNazanin" w:eastAsia="IRNazanin" w:cs="IRNazanin"/>
          <w:lang w:bidi="fa-IR"/>
          <w:color w:val="111111"/>
          <w:sz w:val="28"/>
          <w:szCs w:val="28"/>
          <w:rtl/>
        </w:rPr>
        <w:t xml:space="preserve">فإنّ ذکر القید مع إطلاق الحکم قبیح إلّا لنکتة جلیّة.</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نحوها صحیحة الحلبی فی الفقیه،عن أبی عبد اللّٰه علیه السلام قال:</w:t>
      </w:r>
    </w:p>
    <w:p>
      <w:pPr>
        <w:pStyle w:val="BookText"/>
      </w:pPr>
      <w:r>
        <w:rPr>
          <w:rFonts w:ascii="IRNazanin" w:hAnsi="IRNazanin" w:eastAsia="IRNazanin" w:cs="IRNazanin"/>
          <w:lang w:bidi="fa-IR"/>
          <w:color w:val="111111"/>
          <w:sz w:val="28"/>
          <w:szCs w:val="28"/>
          <w:rtl/>
        </w:rPr>
        <w:t xml:space="preserve">«فی الحیوان کلّه شرط ثلاثة أیّامٍ للمشتری» </w:t>
      </w:r>
      <w:r>
        <w:rPr>
          <w:rStyle w:val="FootnoteReference"/>
        </w:rPr>
        <w:footnoteReference w:id="2779"/>
      </w:r>
      <w:r>
        <w:rPr>
          <w:rFonts w:ascii="IRNazanin" w:hAnsi="IRNazanin" w:eastAsia="IRNazanin" w:cs="IRNazanin"/>
          <w:lang w:bidi="fa-IR"/>
          <w:color w:val="111111"/>
          <w:sz w:val="28"/>
          <w:szCs w:val="28"/>
          <w:rtl/>
        </w:rPr>
        <w:t xml:space="preserve">،و صحیحة ابن رئاب عن أبی عبد اللّٰه علیه السلام قال:«الشرط </w:t>
      </w:r>
      <w:r>
        <w:rPr>
          <w:rStyle w:val="FootnoteReference"/>
        </w:rPr>
        <w:footnoteReference w:id="2780"/>
      </w:r>
      <w:r>
        <w:rPr>
          <w:rFonts w:ascii="IRNazanin" w:hAnsi="IRNazanin" w:eastAsia="IRNazanin" w:cs="IRNazanin"/>
          <w:lang w:bidi="fa-IR"/>
          <w:color w:val="111111"/>
          <w:sz w:val="28"/>
          <w:szCs w:val="28"/>
          <w:rtl/>
        </w:rPr>
        <w:t xml:space="preserve">فی الحیوانات ثلاثة أیام للمشتری»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 من الکلّ صحیحة ابن رئاب المحکیّة عن قرب الإسناد، قال:«سألت أبا عبد اللّٰه علیه السلام عن رجلٍ اشتری جاریةً،لمن الخیار؟ للمشتری أو للبائع أو لهما </w:t>
      </w:r>
      <w:r>
        <w:rPr>
          <w:rStyle w:val="FootnoteReference"/>
        </w:rPr>
        <w:footnoteReference w:id="2782"/>
      </w:r>
      <w:r>
        <w:rPr>
          <w:rFonts w:ascii="IRNazanin" w:hAnsi="IRNazanin" w:eastAsia="IRNazanin" w:cs="IRNazanin"/>
          <w:lang w:bidi="fa-IR"/>
          <w:color w:val="111111"/>
          <w:sz w:val="28"/>
          <w:szCs w:val="28"/>
          <w:rtl/>
        </w:rPr>
        <w:t xml:space="preserve">کلیهما؟قال:الخیار لمن اشتری نظرة ثلاثة أیّامٍ،فإذا مضت ثلاثة أیّامٍ فقد وجب الشراء»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سیّدنا المرتضی قدّس سرّه و ابن طاوس:ثبوته للبائع أیضاً </w:t>
      </w:r>
      <w:r>
        <w:rPr>
          <w:rStyle w:val="FootnoteReference"/>
        </w:rPr>
        <w:footnoteReference w:id="2784"/>
      </w:r>
      <w:r>
        <w:rPr>
          <w:rFonts w:ascii="IRNazanin" w:hAnsi="IRNazanin" w:eastAsia="IRNazanin" w:cs="IRNazanin"/>
          <w:lang w:bidi="fa-IR"/>
          <w:color w:val="111111"/>
          <w:sz w:val="28"/>
          <w:szCs w:val="28"/>
          <w:rtl/>
        </w:rPr>
        <w:t xml:space="preserve">، و حکی عن الانتصار:دعوی الإجماع علیه </w:t>
      </w:r>
      <w:r>
        <w:rPr>
          <w:rStyle w:val="FootnoteReference"/>
        </w:rPr>
        <w:footnoteReference w:id="2785"/>
      </w:r>
      <w:r>
        <w:rPr>
          <w:rFonts w:ascii="IRNazanin" w:hAnsi="IRNazanin" w:eastAsia="IRNazanin" w:cs="IRNazanin"/>
          <w:lang w:bidi="fa-IR"/>
          <w:color w:val="111111"/>
          <w:sz w:val="28"/>
          <w:szCs w:val="28"/>
          <w:rtl/>
        </w:rPr>
        <w:t xml:space="preserve">لأصالة جواز العقد من الطرفین بعد ثبوت خیار المجلس،</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لصحیحة محمّد بن مسلم:«المتبایعان بالخیار ثلاثة أیّامٍ فی الحیوان،و فیما سوی ذلک من بیعٍ حتّی یفترقا» </w:t>
      </w:r>
      <w:r>
        <w:rPr>
          <w:rStyle w:val="FootnoteReference"/>
        </w:rPr>
        <w:footnoteReference w:id="2786"/>
      </w:r>
      <w:r>
        <w:rPr>
          <w:rFonts w:ascii="IRNazanin" w:hAnsi="IRNazanin" w:eastAsia="IRNazanin" w:cs="IRNazanin"/>
          <w:lang w:bidi="fa-IR"/>
          <w:color w:val="111111"/>
          <w:sz w:val="28"/>
          <w:szCs w:val="28"/>
          <w:rtl/>
        </w:rPr>
        <w:t xml:space="preserve">، و بها تخصّص عمومات اللزوم مطلقاً أو بعد الافتراق؛و هی أرجح</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السند من صحیحة ابن رئاب المحکیّة عن قرب الإسناد.</w:t>
      </w:r>
    </w:p>
    <w:p>
      <w:pPr>
        <w:pStyle w:val="BookText"/>
      </w:pPr>
      <w:r>
        <w:rPr>
          <w:rFonts w:ascii="IRNazanin" w:hAnsi="IRNazanin" w:eastAsia="IRNazanin" w:cs="IRNazanin"/>
          <w:lang w:bidi="fa-IR"/>
          <w:color w:val="111111"/>
          <w:sz w:val="28"/>
          <w:szCs w:val="28"/>
          <w:rtl/>
        </w:rPr>
        <w:t xml:space="preserve">و قد صرّحوا بترجیح روایة مثل محمّد بن مسلم و زرارة و أضرابهما علی غیرهم من الثقات؛مضافاً إلی ورودها فی الکتب الأربعة المرجّحة علی مثل قرب الإسناد من الکتب التی لم یلتفت إلیها أکثر أصحابنا مع بُعد غفلتهم عنها أو عن مراجعتها.</w:t>
      </w:r>
    </w:p>
    <w:p>
      <w:pPr>
        <w:pStyle w:val="BookText"/>
      </w:pPr>
      <w:r>
        <w:rPr>
          <w:rFonts w:ascii="IRNazanin" w:hAnsi="IRNazanin" w:eastAsia="IRNazanin" w:cs="IRNazanin"/>
          <w:lang w:bidi="fa-IR"/>
          <w:color w:val="111111"/>
          <w:sz w:val="28"/>
          <w:szCs w:val="28"/>
          <w:rtl/>
        </w:rPr>
        <w:t xml:space="preserve">و أمّا الصحاح الأُخر المکافِئة سنداً لصحیحة ابن مسلم،فالإنصاف أنّ دلالتها بالمفهوم لا تبلغ فی الظهور مرتبة منطوق الصحیحة،فیمکن حملها علی بیان الفرد الشدید الحاجة؛لأنّ الغالب فی المعاملة،خصوصاً معاملة الحیوان،کون إرادة الفسخ فی طرف المشتری لاطّلاعه علی خفایا الحیوان،و لا ریب أنّ الأظهریّة فی الدلالة مقدّمة </w:t>
      </w:r>
      <w:r>
        <w:rPr>
          <w:rStyle w:val="FootnoteReference"/>
        </w:rPr>
        <w:footnoteReference w:id="2787"/>
      </w:r>
      <w:r>
        <w:rPr>
          <w:rFonts w:ascii="IRNazanin" w:hAnsi="IRNazanin" w:eastAsia="IRNazanin" w:cs="IRNazanin"/>
          <w:lang w:bidi="fa-IR"/>
          <w:color w:val="111111"/>
          <w:sz w:val="28"/>
          <w:szCs w:val="28"/>
          <w:rtl/>
        </w:rPr>
        <w:t xml:space="preserve">فی باب الترجیح علی الأکثریّة.</w:t>
      </w:r>
    </w:p>
    <w:p>
      <w:pPr>
        <w:pStyle w:val="BookText"/>
      </w:pPr>
      <w:r>
        <w:rPr>
          <w:rFonts w:ascii="IRNazanin" w:hAnsi="IRNazanin" w:eastAsia="IRNazanin" w:cs="IRNazanin"/>
          <w:lang w:bidi="fa-IR"/>
          <w:color w:val="111111"/>
          <w:sz w:val="28"/>
          <w:szCs w:val="28"/>
          <w:rtl/>
        </w:rPr>
        <w:t xml:space="preserve">و أمّا ما ذکر فی تأویل صحیحة ابن مسلم:من أنّ خیار الحیوان للمشتری علی البائع فکان بین المجموع </w:t>
      </w:r>
      <w:r>
        <w:rPr>
          <w:rStyle w:val="FootnoteReference"/>
        </w:rPr>
        <w:footnoteReference w:id="2788"/>
      </w:r>
      <w:r>
        <w:rPr>
          <w:rFonts w:ascii="IRNazanin" w:hAnsi="IRNazanin" w:eastAsia="IRNazanin" w:cs="IRNazanin"/>
          <w:lang w:bidi="fa-IR"/>
          <w:color w:val="111111"/>
          <w:sz w:val="28"/>
          <w:szCs w:val="28"/>
          <w:rtl/>
        </w:rPr>
        <w:t xml:space="preserve">،ففی غایة السقوط.</w:t>
      </w:r>
    </w:p>
    <w:p>
      <w:pPr>
        <w:pStyle w:val="BookText"/>
      </w:pPr>
      <w:r>
        <w:rPr>
          <w:rFonts w:ascii="IRNazanin" w:hAnsi="IRNazanin" w:eastAsia="IRNazanin" w:cs="IRNazanin"/>
          <w:lang w:bidi="fa-IR"/>
          <w:color w:val="111111"/>
          <w:sz w:val="28"/>
          <w:szCs w:val="28"/>
          <w:rtl/>
        </w:rPr>
        <w:t xml:space="preserve">و أمّا الشهرة المحقّقة،فلا تصیر حجّةً علی السیّد،بل مطلقاً،بعد العلم بمستند المشهور و عدم احتمال وجود مرجِّحٍ لم یذکروه.</w:t>
      </w:r>
    </w:p>
    <w:p>
      <w:pPr>
        <w:pStyle w:val="BookText"/>
      </w:pPr>
      <w:r>
        <w:rPr>
          <w:rFonts w:ascii="IRNazanin" w:hAnsi="IRNazanin" w:eastAsia="IRNazanin" w:cs="IRNazanin"/>
          <w:lang w:bidi="fa-IR"/>
          <w:color w:val="111111"/>
          <w:sz w:val="28"/>
          <w:szCs w:val="28"/>
          <w:rtl/>
        </w:rPr>
        <w:t xml:space="preserve">و إجماع الغنیة لو سلِّم رجوعه إلی اختصاص الخیار بالمشتری لا مجرّد ثبوته له معارَضٌ بإجماع الانتصار الصریح فی ثبوته للبائع؛ و لعلّه لذا قوّی فی المسالک </w:t>
      </w:r>
      <w:r>
        <w:rPr>
          <w:rStyle w:val="FootnoteReference"/>
        </w:rPr>
        <w:footnoteReference w:id="2789"/>
      </w:r>
      <w:r>
        <w:rPr>
          <w:rFonts w:ascii="IRNazanin" w:hAnsi="IRNazanin" w:eastAsia="IRNazanin" w:cs="IRNazanin"/>
          <w:lang w:bidi="fa-IR"/>
          <w:color w:val="111111"/>
          <w:sz w:val="28"/>
          <w:szCs w:val="28"/>
          <w:rtl/>
        </w:rPr>
        <w:t xml:space="preserve">قول السیّد مع قطع النظر عن الشهرة،بل</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الاتّفاق،علی خلافه.و تبعه علی ذلک فی المفاتیح </w:t>
      </w:r>
      <w:r>
        <w:rPr>
          <w:rStyle w:val="FootnoteReference"/>
        </w:rPr>
        <w:footnoteReference w:id="2790"/>
      </w:r>
      <w:r>
        <w:rPr>
          <w:rFonts w:ascii="IRNazanin" w:hAnsi="IRNazanin" w:eastAsia="IRNazanin" w:cs="IRNazanin"/>
          <w:lang w:bidi="fa-IR"/>
          <w:color w:val="111111"/>
          <w:sz w:val="28"/>
          <w:szCs w:val="28"/>
          <w:rtl/>
        </w:rPr>
        <w:t xml:space="preserve">و توقّف فی غایة المراد </w:t>
      </w:r>
      <w:r>
        <w:rPr>
          <w:rStyle w:val="FootnoteReference"/>
        </w:rPr>
        <w:footnoteReference w:id="2791"/>
      </w:r>
      <w:r>
        <w:rPr>
          <w:rFonts w:ascii="IRNazanin" w:hAnsi="IRNazanin" w:eastAsia="IRNazanin" w:cs="IRNazanin"/>
          <w:lang w:bidi="fa-IR"/>
          <w:color w:val="111111"/>
          <w:sz w:val="28"/>
          <w:szCs w:val="28"/>
          <w:rtl/>
        </w:rPr>
        <w:t xml:space="preserve">و حواشی القواعد </w:t>
      </w:r>
      <w:r>
        <w:rPr>
          <w:rStyle w:val="FootnoteReference"/>
        </w:rPr>
        <w:footnoteReference w:id="2792"/>
      </w:r>
      <w:r>
        <w:rPr>
          <w:rFonts w:ascii="IRNazanin" w:hAnsi="IRNazanin" w:eastAsia="IRNazanin" w:cs="IRNazanin"/>
          <w:lang w:bidi="fa-IR"/>
          <w:color w:val="111111"/>
          <w:sz w:val="28"/>
          <w:szCs w:val="28"/>
          <w:rtl/>
        </w:rPr>
        <w:t xml:space="preserve">و تبعه فی المقتصر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الإنصاف:أنّ أخبار المشهور من حیث المجموع لا یقصر ظهورها عن الصحیحة مع اشتهارها بین الرواة حتّی محمّد بن مسلم الراوی للصحیحة،مع أنّ المرجع بعد التکافؤ عموم أدلّة لزوم العقد بالافتراق و المتیقّن خروج المشتری،فلا ریب فی ضعف هذا القول.</w:t>
      </w:r>
    </w:p>
    <w:p>
      <w:pPr>
        <w:pStyle w:val="BookText"/>
      </w:pPr>
      <w:r>
        <w:rPr>
          <w:rFonts w:ascii="IRNazanin" w:hAnsi="IRNazanin" w:eastAsia="IRNazanin" w:cs="IRNazanin"/>
          <w:lang w:bidi="fa-IR"/>
          <w:color w:val="111111"/>
          <w:sz w:val="28"/>
          <w:szCs w:val="28"/>
          <w:rtl/>
        </w:rPr>
        <w:t xml:space="preserve">نعم،هنا قولٌ ثالثٌ لعلّه أقوی منه،و هو ثبوت الخیار لمن انتقل إلیه الحیوان ثمناً أو مثمناً،نسب إلی جماعةٍ من المتأخّرین </w:t>
      </w:r>
      <w:r>
        <w:rPr>
          <w:rStyle w:val="FootnoteReference"/>
        </w:rPr>
        <w:footnoteReference w:id="2794"/>
      </w:r>
      <w:r>
        <w:rPr>
          <w:rFonts w:ascii="IRNazanin" w:hAnsi="IRNazanin" w:eastAsia="IRNazanin" w:cs="IRNazanin"/>
          <w:lang w:bidi="fa-IR"/>
          <w:color w:val="111111"/>
          <w:sz w:val="28"/>
          <w:szCs w:val="28"/>
          <w:rtl/>
        </w:rPr>
        <w:t xml:space="preserve">،منهم الشهید فی المسالک </w:t>
      </w:r>
      <w:r>
        <w:rPr>
          <w:rStyle w:val="FootnoteReference"/>
        </w:rPr>
        <w:footnoteReference w:id="2795"/>
      </w:r>
      <w:r>
        <w:rPr>
          <w:rFonts w:ascii="IRNazanin" w:hAnsi="IRNazanin" w:eastAsia="IRNazanin" w:cs="IRNazanin"/>
          <w:lang w:bidi="fa-IR"/>
          <w:color w:val="111111"/>
          <w:sz w:val="28"/>
          <w:szCs w:val="28"/>
          <w:rtl/>
        </w:rPr>
        <w:t xml:space="preserve">لعموم صحیحة ابن مسلم«المتبایعان بالخیار ما لم یفترقا،و صاحب الحیوان بالخیار ثلاثة أیّام» </w:t>
      </w:r>
      <w:r>
        <w:rPr>
          <w:rStyle w:val="FootnoteReference"/>
        </w:rPr>
        <w:footnoteReference w:id="2796"/>
      </w:r>
      <w:r>
        <w:rPr>
          <w:rFonts w:ascii="IRNazanin" w:hAnsi="IRNazanin" w:eastAsia="IRNazanin" w:cs="IRNazanin"/>
          <w:lang w:bidi="fa-IR"/>
          <w:color w:val="111111"/>
          <w:sz w:val="28"/>
          <w:szCs w:val="28"/>
          <w:rtl/>
        </w:rPr>
        <w:t xml:space="preserve">و لا ینافیه تقیید الحیوان ب«المشتری»فی موثّقة ابن فضّال </w:t>
      </w:r>
      <w:r>
        <w:rPr>
          <w:rStyle w:val="FootnoteReference"/>
        </w:rPr>
        <w:footnoteReference w:id="2797"/>
      </w:r>
      <w:r>
        <w:rPr>
          <w:rFonts w:ascii="IRNazanin" w:hAnsi="IRNazanin" w:eastAsia="IRNazanin" w:cs="IRNazanin"/>
          <w:lang w:bidi="fa-IR"/>
          <w:color w:val="111111"/>
          <w:sz w:val="28"/>
          <w:szCs w:val="28"/>
          <w:rtl/>
        </w:rPr>
        <w:t xml:space="preserve">لاحتمال ورود التقیید مورد الغالب؛</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الغالب کون صاحب الحیوان مشتریاً.</w:t>
      </w:r>
    </w:p>
    <w:p>
      <w:pPr>
        <w:pStyle w:val="BookText"/>
      </w:pPr>
      <w:r>
        <w:rPr>
          <w:rFonts w:ascii="IRNazanin" w:hAnsi="IRNazanin" w:eastAsia="IRNazanin" w:cs="IRNazanin"/>
          <w:lang w:bidi="fa-IR"/>
          <w:color w:val="111111"/>
          <w:sz w:val="28"/>
          <w:szCs w:val="28"/>
          <w:rtl/>
        </w:rPr>
        <w:t xml:space="preserve">و لا ینافی هذه الدعوی التمسّک بإطلاق صحیحة ابن مسلم؛لأنّ الغلبة قد تکون بحیث توجب تنزیل التقیید علیها،و لا توجب تنزیل الإطلاق.</w:t>
      </w:r>
    </w:p>
    <w:p>
      <w:pPr>
        <w:pStyle w:val="BookText"/>
      </w:pPr>
      <w:r>
        <w:rPr>
          <w:rFonts w:ascii="IRNazanin" w:hAnsi="IRNazanin" w:eastAsia="IRNazanin" w:cs="IRNazanin"/>
          <w:lang w:bidi="fa-IR"/>
          <w:color w:val="111111"/>
          <w:sz w:val="28"/>
          <w:szCs w:val="28"/>
          <w:rtl/>
        </w:rPr>
        <w:t xml:space="preserve">و لا ینافیها أیضاً ما دلّ علی اختصاص الخیار بالمشتری </w:t>
      </w:r>
      <w:r>
        <w:rPr>
          <w:rStyle w:val="FootnoteReference"/>
        </w:rPr>
        <w:footnoteReference w:id="2798"/>
      </w:r>
      <w:r>
        <w:rPr>
          <w:rFonts w:ascii="IRNazanin" w:hAnsi="IRNazanin" w:eastAsia="IRNazanin" w:cs="IRNazanin"/>
          <w:lang w:bidi="fa-IR"/>
          <w:color w:val="111111"/>
          <w:sz w:val="28"/>
          <w:szCs w:val="28"/>
          <w:rtl/>
        </w:rPr>
        <w:t xml:space="preserve">لورودها مورد الغالب من کون الثمن غیر حیوان.و لا صحیحة محمّد بن مسلم المثبتة للخیار للمتبایعین؛لإمکان تقییدها و إن بعُد بما إذا کان العوضان حیوانین.</w:t>
      </w:r>
    </w:p>
    <w:p>
      <w:pPr>
        <w:pStyle w:val="BookText"/>
      </w:pPr>
      <w:r>
        <w:rPr>
          <w:rFonts w:ascii="IRNazanin" w:hAnsi="IRNazanin" w:eastAsia="IRNazanin" w:cs="IRNazanin"/>
          <w:lang w:bidi="fa-IR"/>
          <w:color w:val="111111"/>
          <w:sz w:val="28"/>
          <w:szCs w:val="28"/>
          <w:rtl/>
        </w:rPr>
        <w:t xml:space="preserve">لکن الإشکال فی إطلاق الصحیحة الأُولی </w:t>
      </w:r>
      <w:r>
        <w:rPr>
          <w:rStyle w:val="FootnoteReference"/>
        </w:rPr>
        <w:footnoteReference w:id="2799"/>
      </w:r>
      <w:r>
        <w:rPr>
          <w:rFonts w:ascii="IRNazanin" w:hAnsi="IRNazanin" w:eastAsia="IRNazanin" w:cs="IRNazanin"/>
          <w:lang w:bidi="fa-IR"/>
          <w:color w:val="111111"/>
          <w:sz w:val="28"/>
          <w:szCs w:val="28"/>
          <w:rtl/>
        </w:rPr>
        <w:t xml:space="preserve">من جهة قوّة انصرافه إلی المشتری،فلا مخصّص یعتدّ به؛لعمومات اللزوم مطلقاً أو بعد المجلس،فلا محیص عن المشهور.</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25" w:name="pg14419_167372"/>
    <w:bookmarkEnd w:id="325"/>
    <w:p>
      <w:pPr>
        <w:pStyle w:val="Heading6"/>
      </w:pPr>
      <w:bookmarkStart w:id="1207" w:name="_Toc647"/>
      <w:r>
        <w:t>مسألة : لا فرق بین الأمة و غیرها فی مدّة الخیار</w:t>
      </w:r>
      <w:bookmarkEnd w:id="12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الغنیة-کما عن الحلبی-:أنّ مدّة خیار الأمة مدّة استبرائها </w:t>
      </w:r>
      <w:r>
        <w:rPr>
          <w:rStyle w:val="FootnoteReference"/>
        </w:rPr>
        <w:footnoteReference w:id="2800"/>
      </w:r>
      <w:r>
        <w:rPr>
          <w:rFonts w:ascii="IRNazanin" w:hAnsi="IRNazanin" w:eastAsia="IRNazanin" w:cs="IRNazanin"/>
          <w:lang w:bidi="fa-IR"/>
          <w:color w:val="111111"/>
          <w:sz w:val="28"/>
          <w:szCs w:val="28"/>
          <w:rtl/>
        </w:rPr>
        <w:t xml:space="preserve">،بل عن الأوّل دعوی الإجماع علیه،و ربما ینسب </w:t>
      </w:r>
      <w:r>
        <w:rPr>
          <w:rStyle w:val="FootnoteReference"/>
        </w:rPr>
        <w:footnoteReference w:id="2801"/>
      </w:r>
      <w:r>
        <w:rPr>
          <w:rFonts w:ascii="IRNazanin" w:hAnsi="IRNazanin" w:eastAsia="IRNazanin" w:cs="IRNazanin"/>
          <w:lang w:bidi="fa-IR"/>
          <w:color w:val="111111"/>
          <w:sz w:val="28"/>
          <w:szCs w:val="28"/>
          <w:rtl/>
        </w:rPr>
        <w:t xml:space="preserve">هذا إلی المقنعة </w:t>
      </w:r>
      <w:r>
        <w:rPr>
          <w:rStyle w:val="FootnoteReference"/>
        </w:rPr>
        <w:footnoteReference w:id="2802"/>
      </w:r>
      <w:r>
        <w:rPr>
          <w:rFonts w:ascii="IRNazanin" w:hAnsi="IRNazanin" w:eastAsia="IRNazanin" w:cs="IRNazanin"/>
          <w:lang w:bidi="fa-IR"/>
          <w:color w:val="111111"/>
          <w:sz w:val="28"/>
          <w:szCs w:val="28"/>
          <w:rtl/>
        </w:rPr>
        <w:t xml:space="preserve">و النهایة </w:t>
      </w:r>
      <w:r>
        <w:rPr>
          <w:rStyle w:val="FootnoteReference"/>
        </w:rPr>
        <w:footnoteReference w:id="2803"/>
      </w:r>
      <w:r>
        <w:rPr>
          <w:rFonts w:ascii="IRNazanin" w:hAnsi="IRNazanin" w:eastAsia="IRNazanin" w:cs="IRNazanin"/>
          <w:lang w:bidi="fa-IR"/>
          <w:color w:val="111111"/>
          <w:sz w:val="28"/>
          <w:szCs w:val="28"/>
          <w:rtl/>
        </w:rPr>
        <w:t xml:space="preserve">و المراسم </w:t>
      </w:r>
      <w:r>
        <w:rPr>
          <w:rStyle w:val="FootnoteReference"/>
        </w:rPr>
        <w:footnoteReference w:id="2804"/>
      </w:r>
      <w:r>
        <w:rPr>
          <w:rFonts w:ascii="IRNazanin" w:hAnsi="IRNazanin" w:eastAsia="IRNazanin" w:cs="IRNazanin"/>
          <w:lang w:bidi="fa-IR"/>
          <w:color w:val="111111"/>
          <w:sz w:val="28"/>
          <w:szCs w:val="28"/>
          <w:rtl/>
        </w:rPr>
        <w:t xml:space="preserve">من جهة حکمهم بضمان البائع لها مدّة الاستبراء.و لم أقف لهم علی دلیل.</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326" w:name="pg14419_167373"/>
    <w:bookmarkEnd w:id="326"/>
    <w:p>
      <w:pPr>
        <w:pStyle w:val="Heading6"/>
      </w:pPr>
      <w:bookmarkStart w:id="1208" w:name="_Toc648"/>
      <w:r>
        <w:t>مسألة : مبدأ هذا الخیار من حین العقد</w:t>
      </w:r>
      <w:bookmarkEnd w:id="1208"/>
    </w:p>
    <w:p>
      <w:pPr>
        <w:pStyle w:val="BookText"/>
      </w:pPr>
      <w:r>
        <w:rPr>
          <w:rFonts w:ascii="IRNazanin" w:hAnsi="IRNazanin" w:eastAsia="IRNazanin" w:cs="IRNazanin"/>
          <w:lang w:bidi="fa-IR"/>
          <w:color w:val="111111"/>
          <w:sz w:val="28"/>
          <w:szCs w:val="28"/>
          <w:rtl/>
        </w:rPr>
        <w:t xml:space="preserve">فلو لم یفترقا ثلاثة أیّامٍ انقضی خیار الحیوان و بقی خیار المجلس؛لظاهر قوله علیه السلام:«إنّ الشرط فی الحیوان ثلاثة أیّامٍ،و فی غیره حتّی یتفرّقا»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للمحکیّ عن ابن زهرة فجعله من حین التفرّق </w:t>
      </w:r>
      <w:r>
        <w:rPr>
          <w:rStyle w:val="FootnoteReference"/>
        </w:rPr>
        <w:footnoteReference w:id="2806"/>
      </w:r>
      <w:r>
        <w:rPr>
          <w:rFonts w:ascii="IRNazanin" w:hAnsi="IRNazanin" w:eastAsia="IRNazanin" w:cs="IRNazanin"/>
          <w:lang w:bidi="fa-IR"/>
          <w:color w:val="111111"/>
          <w:sz w:val="28"/>
          <w:szCs w:val="28"/>
          <w:rtl/>
        </w:rPr>
        <w:t xml:space="preserve">،و کذا الشیخ و الحلّی فی خیار الشرط المتّحد مع هذا الخیار فی هذا الحکم من جهة الدلیل الذی ذکراه.</w:t>
      </w:r>
    </w:p>
    <w:p>
      <w:pPr>
        <w:pStyle w:val="BookText"/>
      </w:pPr>
      <w:r>
        <w:rPr>
          <w:rFonts w:ascii="IRNazanin" w:hAnsi="IRNazanin" w:eastAsia="IRNazanin" w:cs="IRNazanin"/>
          <w:lang w:bidi="fa-IR"/>
          <w:color w:val="111111"/>
          <w:sz w:val="28"/>
          <w:szCs w:val="28"/>
          <w:rtl/>
        </w:rPr>
        <w:t xml:space="preserve">قال فی المبسوط:الأولی أن یقال:إنّه-یعنی خیار الشرط- یثبت من حین التفرّق؛لأنّ الخیار یدخل إذا ثبت العقد،و العقد لم یثبت قبل التفرّق </w:t>
      </w:r>
      <w:r>
        <w:rPr>
          <w:rStyle w:val="FootnoteReference"/>
        </w:rPr>
        <w:footnoteReference w:id="2807"/>
      </w:r>
      <w:r>
        <w:rPr>
          <w:rFonts w:ascii="IRNazanin" w:hAnsi="IRNazanin" w:eastAsia="IRNazanin" w:cs="IRNazanin"/>
          <w:lang w:bidi="fa-IR"/>
          <w:color w:val="111111"/>
          <w:sz w:val="28"/>
          <w:szCs w:val="28"/>
          <w:rtl/>
        </w:rPr>
        <w:t xml:space="preserve">،انتهی.و نحوه المحکیّ عن السرائر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الدعوی لم نعرفها.نعم،ربما یستدلّ </w:t>
      </w:r>
      <w:r>
        <w:rPr>
          <w:rStyle w:val="FootnoteReference"/>
        </w:rPr>
        <w:footnoteReference w:id="2809"/>
      </w:r>
      <w:r>
        <w:rPr>
          <w:rFonts w:ascii="IRNazanin" w:hAnsi="IRNazanin" w:eastAsia="IRNazanin" w:cs="IRNazanin"/>
          <w:lang w:bidi="fa-IR"/>
          <w:color w:val="111111"/>
          <w:sz w:val="28"/>
          <w:szCs w:val="28"/>
          <w:rtl/>
        </w:rPr>
        <w:t xml:space="preserve">علیه </w:t>
      </w:r>
      <w:r>
        <w:rPr>
          <w:rStyle w:val="FootnoteReference"/>
        </w:rPr>
        <w:footnoteReference w:id="2810"/>
      </w:r>
      <w:r>
        <w:rPr>
          <w:rFonts w:ascii="IRNazanin" w:hAnsi="IRNazanin" w:eastAsia="IRNazanin" w:cs="IRNazanin"/>
          <w:lang w:bidi="fa-IR"/>
          <w:color w:val="111111"/>
          <w:sz w:val="28"/>
          <w:szCs w:val="28"/>
          <w:rtl/>
        </w:rPr>
        <w:t xml:space="preserve">بأصالة عدم ارتفاعه بانقضاء ثلاثةٍ من حین العقد،بل أصالة عدم حدوثه قبل انقضاء المجلس،و بلزوم </w:t>
      </w:r>
      <w:r>
        <w:rPr>
          <w:rStyle w:val="FootnoteReference"/>
        </w:rPr>
        <w:footnoteReference w:id="2811"/>
      </w:r>
      <w:r>
        <w:rPr>
          <w:rFonts w:ascii="IRNazanin" w:hAnsi="IRNazanin" w:eastAsia="IRNazanin" w:cs="IRNazanin"/>
          <w:lang w:bidi="fa-IR"/>
          <w:color w:val="111111"/>
          <w:sz w:val="28"/>
          <w:szCs w:val="28"/>
          <w:rtl/>
        </w:rPr>
        <w:t xml:space="preserve">اجتماع السببین علی مسبّب واحد،و ما دلّ علی أنّ تلف الحیوان فی الثلاثة من البائع </w:t>
      </w:r>
      <w:r>
        <w:rPr>
          <w:rStyle w:val="FootnoteReference"/>
        </w:rPr>
        <w:footnoteReference w:id="2812"/>
      </w:r>
      <w:r>
        <w:rPr>
          <w:rFonts w:ascii="IRNazanin" w:hAnsi="IRNazanin" w:eastAsia="IRNazanin" w:cs="IRNazanin"/>
          <w:lang w:bidi="fa-IR"/>
          <w:color w:val="111111"/>
          <w:sz w:val="28"/>
          <w:szCs w:val="28"/>
          <w:rtl/>
        </w:rPr>
        <w:t xml:space="preserve">مع أنّ التلف فی الخیار المشترک من المشتری.</w:t>
      </w:r>
    </w:p>
    <w:p>
      <w:pPr>
        <w:pStyle w:val="BookText"/>
      </w:pPr>
      <w:r>
        <w:rPr>
          <w:rFonts w:ascii="IRNazanin" w:hAnsi="IRNazanin" w:eastAsia="IRNazanin" w:cs="IRNazanin"/>
          <w:lang w:bidi="fa-IR"/>
          <w:color w:val="111111"/>
          <w:sz w:val="28"/>
          <w:szCs w:val="28"/>
          <w:rtl/>
        </w:rPr>
        <w:t xml:space="preserve">و یردّ الأصل بظاهر </w:t>
      </w:r>
      <w:r>
        <w:rPr>
          <w:rStyle w:val="FootnoteReference"/>
        </w:rPr>
        <w:footnoteReference w:id="2813"/>
      </w:r>
      <w:r>
        <w:rPr>
          <w:rFonts w:ascii="IRNazanin" w:hAnsi="IRNazanin" w:eastAsia="IRNazanin" w:cs="IRNazanin"/>
          <w:lang w:bidi="fa-IR"/>
          <w:color w:val="111111"/>
          <w:sz w:val="28"/>
          <w:szCs w:val="28"/>
          <w:rtl/>
        </w:rPr>
        <w:t xml:space="preserve">الدلیل،مع أنّه بالتقریر الثانی،مثبِتٌ.و أدلّة «التلف من البائع»محمولٌ </w:t>
      </w:r>
      <w:r>
        <w:rPr>
          <w:rStyle w:val="FootnoteReference"/>
        </w:rPr>
        <w:footnoteReference w:id="2814"/>
      </w:r>
      <w:r>
        <w:rPr>
          <w:rFonts w:ascii="IRNazanin" w:hAnsi="IRNazanin" w:eastAsia="IRNazanin" w:cs="IRNazanin"/>
          <w:lang w:bidi="fa-IR"/>
          <w:color w:val="111111"/>
          <w:sz w:val="28"/>
          <w:szCs w:val="28"/>
          <w:rtl/>
        </w:rPr>
        <w:t xml:space="preserve">علی الغالب من کونه بعد المجلس.و یردّ التداخل بأنّ الخیارین إن اختلفا من حیث الماهیّة فلا بأس بالتعدّد.</w:t>
      </w:r>
    </w:p>
    <w:p>
      <w:pPr>
        <w:pStyle w:val="BookText"/>
      </w:pPr>
      <w:r>
        <w:rPr>
          <w:rFonts w:ascii="Amiri" w:hAnsi="Amiri" w:eastAsia="Amiri" w:cs="Amiri"/>
          <w:lang w:bidi="ar-SA"/>
          <w:color w:val="111111"/>
          <w:sz w:val="28"/>
          <w:szCs w:val="28"/>
          <w:rtl/>
        </w:rPr>
        <w:t xml:space="preserve">و إن اتّحدا فکذلک،إمّا لأنّ الأسباب معرِّفات،و إمّا لأنّها عللٌ و مؤثِّراتٌ یتوقّف استقلال کلِّ واحدٍ[منها </w:t>
      </w:r>
      <w:r>
        <w:rPr>
          <w:rStyle w:val="FootnoteReference"/>
        </w:rPr>
        <w:footnoteReference w:id="2815"/>
      </w:r>
      <w:r>
        <w:rPr>
          <w:rFonts w:ascii="IRNazanin" w:hAnsi="IRNazanin" w:eastAsia="IRNazanin" w:cs="IRNazanin"/>
          <w:lang w:bidi="fa-IR"/>
          <w:color w:val="111111"/>
          <w:sz w:val="28"/>
          <w:szCs w:val="28"/>
          <w:rtl/>
        </w:rPr>
        <w:t xml:space="preserve">]فی التأثیر علی عدم مقارنة الآخر أو سبقه،فهی عللٌ تامّةٌ إلّا من هذه الجهة،و هو المراد ممّا فی التذکرة فی الجواب عن أنّ الخیارین مِثْلان فلا یجتمعان-:من أنّ الخیار واحدٌ و الجهة متعدّدة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المراد بزمان العقد[هل </w:t>
      </w:r>
      <w:r>
        <w:rPr>
          <w:rStyle w:val="FootnoteReference"/>
        </w:rPr>
        <w:footnoteReference w:id="2817"/>
      </w:r>
      <w:r>
        <w:rPr>
          <w:rFonts w:ascii="IRNazanin" w:hAnsi="IRNazanin" w:eastAsia="IRNazanin" w:cs="IRNazanin"/>
          <w:lang w:bidi="fa-IR"/>
          <w:color w:val="111111"/>
          <w:sz w:val="28"/>
          <w:szCs w:val="28"/>
          <w:rtl/>
        </w:rPr>
        <w:t xml:space="preserve">]زمان مجرّد الصیغة کعقد الفضولی علی القول بکون الإجازة ناقلةً أو زمان الملک،عبّر بذلک للغلبة؟الظاهر هو الثانی،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کما استظهره بعض المعاصرین </w:t>
      </w:r>
      <w:r>
        <w:rPr>
          <w:rStyle w:val="FootnoteReference"/>
        </w:rPr>
        <w:footnoteReference w:id="2818"/>
      </w:r>
      <w:r>
        <w:rPr>
          <w:rFonts w:ascii="IRNazanin" w:hAnsi="IRNazanin" w:eastAsia="IRNazanin" w:cs="IRNazanin"/>
          <w:lang w:bidi="fa-IR"/>
          <w:color w:val="111111"/>
          <w:sz w:val="28"/>
          <w:szCs w:val="28"/>
          <w:rtl/>
        </w:rPr>
        <w:t xml:space="preserve">،قال:فعلی هذا لو أسلم حیواناً فی طعامٍ و قلنا بثبوت الخیار لصاحب الحیوان و إن کان بائعاً،کان مبدؤه بعد القبض.و تمثیله بما ذکر مبنیٌّ علی اختصاص </w:t>
      </w:r>
      <w:r>
        <w:rPr>
          <w:rStyle w:val="FootnoteReference"/>
        </w:rPr>
        <w:footnoteReference w:id="2819"/>
      </w:r>
      <w:r>
        <w:rPr>
          <w:rFonts w:ascii="IRNazanin" w:hAnsi="IRNazanin" w:eastAsia="IRNazanin" w:cs="IRNazanin"/>
          <w:lang w:bidi="fa-IR"/>
          <w:color w:val="111111"/>
          <w:sz w:val="28"/>
          <w:szCs w:val="28"/>
          <w:rtl/>
        </w:rPr>
        <w:t xml:space="preserve">الخیار بالحیوان المعیّن،و قد تقدّم التردّد فی ذلک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ما ذکروه فی خیار المجلس من جریانه فی الصرف و لو قبل القبض یدلّ علی أنّه لا یعتبر فی الخیار الملک،لکن لا بدّ له من أثر.و قد تقدّم الإشکال فی ثبوته فی الصرف قبل القبض لو لم نقل بوجوب التقابض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27" w:name="pg14419_167376"/>
    <w:bookmarkEnd w:id="327"/>
    <w:p>
      <w:pPr>
        <w:pStyle w:val="Heading6"/>
      </w:pPr>
      <w:bookmarkStart w:id="1209" w:name="_Toc649"/>
      <w:r>
        <w:t>مسألة : لا إشکال فی دخول اللیلتین المتوسّطتین فی الثلاثة أیّام</w:t>
      </w:r>
      <w:bookmarkEnd w:id="1209"/>
    </w:p>
    <w:p>
      <w:pPr>
        <w:pStyle w:val="BookText"/>
      </w:pPr>
      <w:r>
        <w:rPr>
          <w:rFonts w:ascii="IRNazanin" w:hAnsi="IRNazanin" w:eastAsia="IRNazanin" w:cs="IRNazanin"/>
          <w:lang w:bidi="fa-IR"/>
          <w:color w:val="111111"/>
          <w:sz w:val="28"/>
          <w:szCs w:val="28"/>
          <w:rtl/>
        </w:rPr>
        <w:t xml:space="preserve">لا لدخول اللیل فی مفهوم الیوم،بل للاستمرار المستفاد من الخارج، و لا فی دخول اللیالی الثلاث عند التلفیق مع الانکسار.</w:t>
      </w:r>
    </w:p>
    <w:p>
      <w:pPr>
        <w:pStyle w:val="BookText"/>
      </w:pPr>
      <w:r>
        <w:rPr>
          <w:rFonts w:ascii="IRNazanin" w:hAnsi="IRNazanin" w:eastAsia="IRNazanin" w:cs="IRNazanin"/>
          <w:lang w:bidi="fa-IR"/>
          <w:color w:val="111111"/>
          <w:sz w:val="28"/>
          <w:szCs w:val="28"/>
          <w:rtl/>
        </w:rPr>
        <w:t xml:space="preserve">و لو عقد فی اللیل،فالظاهر بقاء الخیار إلی آخر الیوم الثالث، و یحتمل النقص عن الیوم الثالث بمقدار ما بقی من لیلة العقد.لکن فیه:</w:t>
      </w:r>
    </w:p>
    <w:p>
      <w:pPr>
        <w:pStyle w:val="BookText"/>
      </w:pPr>
      <w:r>
        <w:rPr>
          <w:rFonts w:ascii="IRNazanin" w:hAnsi="IRNazanin" w:eastAsia="IRNazanin" w:cs="IRNazanin"/>
          <w:lang w:bidi="fa-IR"/>
          <w:color w:val="111111"/>
          <w:sz w:val="28"/>
          <w:szCs w:val="28"/>
          <w:rtl/>
        </w:rPr>
        <w:t xml:space="preserve">أنّه یصدق حینئذٍ الأقلّ من ثلاثة أیّام،و الإطلاق علی المقدار المساوی للنهار و لو من اللیل خلاف الظاهر.</w:t>
      </w:r>
    </w:p>
    <w:p>
      <w:pPr>
        <w:pStyle w:val="BookText"/>
      </w:pPr>
      <w:r>
        <w:rPr>
          <w:rFonts w:ascii="IRNazanin" w:hAnsi="IRNazanin" w:eastAsia="IRNazanin" w:cs="IRNazanin"/>
          <w:lang w:bidi="fa-IR"/>
          <w:color w:val="111111"/>
          <w:sz w:val="28"/>
          <w:szCs w:val="28"/>
          <w:rtl/>
        </w:rPr>
        <w:t xml:space="preserve">قیل:و المراد بالأیّام الثلاثة ما کانت مع اللیالی الثلاث لدخول اللیلتین أصالةً،فتدخل الثالثة،و إلّا لاختلفت مفردات الجمع فی استعمالٍ واحد </w:t>
      </w:r>
      <w:r>
        <w:rPr>
          <w:rStyle w:val="FootnoteReference"/>
        </w:rPr>
        <w:footnoteReference w:id="28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فإن أراد اللیلة السابقة علی الأیّام فهو حسن،إلّا أنّه لا یعلّل بما ذکر.و إن أراد اللیلة الأخیرة فلا یلزم من خروجها اختلاف مفردات الجمع فی استعمالٍ واحد،إذ لا نقول باستعمال الیومین الأوّلین</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الیوم و اللیلة و استعمال الیوم الثالث فی خصوص النهار،بل نقول:</w:t>
      </w:r>
    </w:p>
    <w:p>
      <w:pPr>
        <w:pStyle w:val="BookText"/>
      </w:pPr>
      <w:r>
        <w:rPr>
          <w:rFonts w:ascii="IRNazanin" w:hAnsi="IRNazanin" w:eastAsia="IRNazanin" w:cs="IRNazanin"/>
          <w:lang w:bidi="fa-IR"/>
          <w:color w:val="111111"/>
          <w:sz w:val="28"/>
          <w:szCs w:val="28"/>
          <w:rtl/>
        </w:rPr>
        <w:t xml:space="preserve">إنّ الیوم مستعملٌ فی خصوص النهار أو مقداره من نهارین،لا فی مجموع النهار و اللیل أو مقدارهما،و لا فی مقدار </w:t>
      </w:r>
      <w:r>
        <w:rPr>
          <w:rStyle w:val="FootnoteReference"/>
        </w:rPr>
        <w:footnoteReference w:id="2823"/>
      </w:r>
      <w:r>
        <w:rPr>
          <w:rFonts w:ascii="IRNazanin" w:hAnsi="IRNazanin" w:eastAsia="IRNazanin" w:cs="IRNazanin"/>
          <w:lang w:bidi="fa-IR"/>
          <w:color w:val="111111"/>
          <w:sz w:val="28"/>
          <w:szCs w:val="28"/>
          <w:rtl/>
        </w:rPr>
        <w:t xml:space="preserve">النهار و لو ملفّقاً من اللیل.و المراد من«الثلاثة أیّام»هی بلیالیها أی لیالی مجموعها،لا کلّ واحدٍ منها،فاللیالی لم تُرَد من نفس اللفظ،و إنّما أُریدت من جهة الإجماع و ظهور اللفظ الحاکمین فی المقام باستمرار الخیار،فکأنه قال:</w:t>
      </w:r>
    </w:p>
    <w:p>
      <w:pPr>
        <w:pStyle w:val="BookText"/>
      </w:pPr>
      <w:r>
        <w:rPr>
          <w:rFonts w:ascii="IRNazanin" w:hAnsi="IRNazanin" w:eastAsia="IRNazanin" w:cs="IRNazanin"/>
          <w:lang w:bidi="fa-IR"/>
          <w:color w:val="111111"/>
          <w:sz w:val="28"/>
          <w:szCs w:val="28"/>
          <w:rtl/>
        </w:rPr>
        <w:t xml:space="preserve">الخیار یستمرّ إلی أن یمضی ستّ و ثلاثون ساعةً من النهار.</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28" w:name="pg14419_167378"/>
    <w:bookmarkEnd w:id="328"/>
    <w:p>
      <w:pPr>
        <w:pStyle w:val="Heading6"/>
      </w:pPr>
      <w:bookmarkStart w:id="1210" w:name="_Toc650"/>
      <w:r>
        <w:t>مسألة : یسقط هذا الخیار بأُمور</w:t>
      </w:r>
      <w:bookmarkEnd w:id="1210"/>
    </w:p>
    <w:p>
      <w:pPr>
        <w:pStyle w:val="Heading6"/>
      </w:pPr>
      <w:bookmarkStart w:id="1211" w:name="_Toc651"/>
      <w:r>
        <w:t>أحدها : اشتراط سقوطه فی العقد</w:t>
      </w:r>
      <w:bookmarkEnd w:id="1211"/>
    </w:p>
    <w:p>
      <w:pPr>
        <w:pStyle w:val="BookText"/>
      </w:pPr>
      <w:r>
        <w:rPr>
          <w:rFonts w:ascii="IRNazanin" w:hAnsi="IRNazanin" w:eastAsia="IRNazanin" w:cs="IRNazanin"/>
          <w:lang w:bidi="fa-IR"/>
          <w:color w:val="111111"/>
          <w:sz w:val="28"/>
          <w:szCs w:val="28"/>
          <w:rtl/>
        </w:rPr>
        <w:t xml:space="preserve">و لو شرط سقوط بعضه،فقد صرّح بعضٌ </w:t>
      </w:r>
      <w:r>
        <w:rPr>
          <w:rStyle w:val="FootnoteReference"/>
        </w:rPr>
        <w:footnoteReference w:id="2824"/>
      </w:r>
      <w:r>
        <w:rPr>
          <w:rFonts w:ascii="Amiri" w:hAnsi="Amiri" w:eastAsia="Amiri" w:cs="Amiri"/>
          <w:lang w:bidi="ar-SA"/>
          <w:color w:val="111111"/>
          <w:sz w:val="28"/>
          <w:szCs w:val="28"/>
          <w:rtl/>
        </w:rPr>
        <w:t xml:space="preserve">بالصحّة.و لا بأس به.</w:t>
      </w:r>
    </w:p>
    <w:p>
      <w:pPr>
        <w:pStyle w:val="Heading6"/>
      </w:pPr>
      <w:bookmarkStart w:id="1212" w:name="_Toc652"/>
      <w:r>
        <w:t>و الثانی : إسقاطه بعد العقد</w:t>
      </w:r>
      <w:bookmarkEnd w:id="1212"/>
    </w:p>
    <w:p>
      <w:pPr>
        <w:pStyle w:val="BookText"/>
      </w:pPr>
      <w:r>
        <w:rPr>
          <w:rFonts w:ascii="IRNazanin" w:hAnsi="IRNazanin" w:eastAsia="IRNazanin" w:cs="IRNazanin"/>
          <w:lang w:bidi="fa-IR"/>
          <w:color w:val="111111"/>
          <w:sz w:val="28"/>
          <w:szCs w:val="28"/>
          <w:rtl/>
        </w:rPr>
        <w:t xml:space="preserve">و قد تقدّم الأمران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Heading6"/>
      </w:pPr>
      <w:bookmarkStart w:id="1213" w:name="_Toc653"/>
      <w:r>
        <w:t>الثالث : التصرّف</w:t>
      </w:r>
      <w:bookmarkEnd w:id="1213"/>
    </w:p>
    <w:p>
      <w:pPr>
        <w:pStyle w:val="BookText"/>
      </w:pPr>
      <w:r>
        <w:rPr>
          <w:rFonts w:ascii="IRNazanin" w:hAnsi="IRNazanin" w:eastAsia="IRNazanin" w:cs="IRNazanin"/>
          <w:lang w:bidi="fa-IR"/>
          <w:color w:val="111111"/>
          <w:sz w:val="28"/>
          <w:szCs w:val="28"/>
          <w:rtl/>
        </w:rPr>
        <w:t xml:space="preserve">و لا خلاف فی إسقاطه فی الجملة لهذا الخیار.و یدلّ علیه قبل الإجماع النصوص:</w:t>
      </w:r>
    </w:p>
    <w:p>
      <w:pPr>
        <w:pStyle w:val="BookText"/>
      </w:pPr>
      <w:r>
        <w:rPr>
          <w:rFonts w:ascii="IRNazanin" w:hAnsi="IRNazanin" w:eastAsia="IRNazanin" w:cs="IRNazanin"/>
          <w:lang w:bidi="fa-IR"/>
          <w:color w:val="111111"/>
          <w:sz w:val="28"/>
          <w:szCs w:val="28"/>
          <w:rtl/>
        </w:rPr>
        <w:t xml:space="preserve">ففی صحیحة ابن رئاب:«فإن أحدث المشتری فیما اشتری حدثاً قبل الثلاثة أیّام فذلک رضی منه و لا شرط له،قیل له:و ما الحدث؟ قال:إن لامس أو قبّل أو نظر منها إلی ما کان محرّماً علیه قبل الشراء»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صحیحة الصفّار:«کتبت إلی أبی محمّد علیه السلام فی الرجل اشتری دابّةً من رجلٍ فأحدث فیها[حدثاً </w:t>
      </w:r>
      <w:r>
        <w:rPr>
          <w:rStyle w:val="FootnoteReference"/>
        </w:rPr>
        <w:footnoteReference w:id="2828"/>
      </w:r>
      <w:r>
        <w:rPr>
          <w:rFonts w:ascii="Amiri" w:hAnsi="Amiri" w:eastAsia="Amiri" w:cs="Amiri"/>
          <w:lang w:bidi="ar-SA"/>
          <w:color w:val="111111"/>
          <w:sz w:val="28"/>
          <w:szCs w:val="28"/>
          <w:rtl/>
        </w:rPr>
        <w:t xml:space="preserve">]من أخذ الحافر أو نعْلها أو رَکِبَ ظهرها فراسخ،إله أن یردّها فی الثلاثة أیّامٍ </w:t>
      </w:r>
      <w:r>
        <w:rPr>
          <w:rStyle w:val="FootnoteReference"/>
        </w:rPr>
        <w:footnoteReference w:id="2829"/>
      </w:r>
      <w:r>
        <w:rPr>
          <w:rFonts w:ascii="IRNazanin" w:hAnsi="IRNazanin" w:eastAsia="IRNazanin" w:cs="IRNazanin"/>
          <w:lang w:bidi="fa-IR"/>
          <w:color w:val="111111"/>
          <w:sz w:val="28"/>
          <w:szCs w:val="28"/>
          <w:rtl/>
        </w:rPr>
        <w:t xml:space="preserve">التی له فیها الخیار بعد الحدث الذی یحدث فیها </w:t>
      </w:r>
      <w:r>
        <w:rPr>
          <w:rStyle w:val="FootnoteReference"/>
        </w:rPr>
        <w:footnoteReference w:id="2830"/>
      </w:r>
      <w:r>
        <w:rPr>
          <w:rFonts w:ascii="IRNazanin" w:hAnsi="IRNazanin" w:eastAsia="IRNazanin" w:cs="IRNazanin"/>
          <w:lang w:bidi="fa-IR"/>
          <w:color w:val="111111"/>
          <w:sz w:val="28"/>
          <w:szCs w:val="28"/>
          <w:rtl/>
        </w:rPr>
        <w:t xml:space="preserve">أو الرکوب الذی رکبها </w:t>
      </w:r>
      <w:r>
        <w:rPr>
          <w:rStyle w:val="FootnoteReference"/>
        </w:rPr>
        <w:footnoteReference w:id="2831"/>
      </w:r>
      <w:r>
        <w:rPr>
          <w:rFonts w:ascii="IRNazanin" w:hAnsi="IRNazanin" w:eastAsia="IRNazanin" w:cs="IRNazanin"/>
          <w:lang w:bidi="fa-IR"/>
          <w:color w:val="111111"/>
          <w:sz w:val="28"/>
          <w:szCs w:val="28"/>
          <w:rtl/>
        </w:rPr>
        <w:t xml:space="preserve">فراسخ؟فوقّع علیه السلام إذا أحدث فیها حدثاً فقد وجب الشراء إن شاء اللّٰه تعالی»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ذیل الصحیحة المتقدّمة عن قرب الإسناد:«قلت[له] </w:t>
      </w:r>
      <w:r>
        <w:rPr>
          <w:rStyle w:val="FootnoteReference"/>
        </w:rPr>
        <w:footnoteReference w:id="2833"/>
      </w:r>
      <w:r>
        <w:rPr>
          <w:rFonts w:ascii="IRNazanin" w:hAnsi="IRNazanin" w:eastAsia="IRNazanin" w:cs="IRNazanin"/>
          <w:lang w:bidi="fa-IR"/>
          <w:color w:val="111111"/>
          <w:sz w:val="28"/>
          <w:szCs w:val="28"/>
          <w:rtl/>
        </w:rPr>
        <w:t xml:space="preserve">أ رأیت إن قبّلها المشتری أو لامس؟فقال:إذا قبّل أو لامس أو نظر منها إلی ما یحرم علی غیره فقد انقضی الشرط و لزم البیع»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علیه فی التذکرة بعد الإجماع-:بأنّ التصرّف دلیل الرضا </w:t>
      </w:r>
      <w:r>
        <w:rPr>
          <w:rStyle w:val="FootnoteReference"/>
        </w:rPr>
        <w:footnoteReference w:id="2835"/>
      </w:r>
      <w:r>
        <w:rPr>
          <w:rFonts w:ascii="IRNazanin" w:hAnsi="IRNazanin" w:eastAsia="IRNazanin" w:cs="IRNazanin"/>
          <w:lang w:bidi="fa-IR"/>
          <w:color w:val="111111"/>
          <w:sz w:val="28"/>
          <w:szCs w:val="28"/>
          <w:rtl/>
        </w:rPr>
        <w:t xml:space="preserve">.و فی موضعٍ آخر منها:أنّه دلیل الرضا بلزوم العقد </w:t>
      </w:r>
      <w:r>
        <w:rPr>
          <w:rStyle w:val="FootnoteReference"/>
        </w:rPr>
        <w:footnoteReference w:id="2836"/>
      </w:r>
      <w:r>
        <w:rPr>
          <w:rFonts w:ascii="IRNazanin" w:hAnsi="IRNazanin" w:eastAsia="IRNazanin" w:cs="IRNazanin"/>
          <w:lang w:bidi="fa-IR"/>
          <w:color w:val="111111"/>
          <w:sz w:val="28"/>
          <w:szCs w:val="28"/>
          <w:rtl/>
        </w:rPr>
        <w:t xml:space="preserve">.و فی موضعٍ آخر منها کما فی الغنیة </w:t>
      </w:r>
      <w:r>
        <w:rPr>
          <w:rStyle w:val="FootnoteReference"/>
        </w:rPr>
        <w:footnoteReference w:id="2837"/>
      </w:r>
      <w:r>
        <w:rPr>
          <w:rFonts w:ascii="Amiri" w:hAnsi="Amiri" w:eastAsia="Amiri" w:cs="Amiri"/>
          <w:lang w:bidi="ar-SA"/>
          <w:color w:val="111111"/>
          <w:sz w:val="28"/>
          <w:szCs w:val="28"/>
          <w:rtl/>
        </w:rPr>
        <w:t xml:space="preserve">-:أنّ التصرّف إجازة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أقول:المراد بالحدث إن کان مطلق التصرّف الذی لا یجوز لغیر المالک إلّا برضاه کما یشیر إلیه قوله علیه السلام:«أو نظر إلی ما کان یحرم علیه قبل الشراء»،فلازمه کون مطلق استخدام المملوک،بل مطلق التصرّف فیه مسقطاً،کما صرّح به فی التذکرة فی بیان التصرّف المسقط للردّ بالعیب-:من أنّه لو استخدمه بشیءٍ خفیف مثل«اسقنی» أو«ناولنی الثوب»أو«أغلق الباب»سقط الردّ.ثمّ استضعف قول بعض الشافعیّة بعدم السقوط،معلّلاً بأنّ مثل هذه الأُمور قد یؤمر به غیر المملوک:بأنّ المسقط مطلق التصرّف.و قال أیضاً:لو کان له علی الدابّة سرج أو رکاب فترکهما علیها بطل الردّ،لأنّه استعمالٌ و انتفاعٌ </w:t>
      </w:r>
      <w:r>
        <w:rPr>
          <w:rStyle w:val="FootnoteReference"/>
        </w:rPr>
        <w:footnoteReference w:id="283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قال فی موضعٍ من التذکرة:عندنا أنّ الاستخدام بل کلّ تصرّفٍ یصدر من المشتری قبل علمه بالعیب أو بعده یمنع الردّ </w:t>
      </w:r>
      <w:r>
        <w:rPr>
          <w:rStyle w:val="FootnoteReference"/>
        </w:rPr>
        <w:footnoteReference w:id="284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فی غایة الإشکال؛لعدم تبادر ما یعمّ ذلک من لفظ«الحدث» و عدم دلالة ذلک علی الرضا بلزوم العقد؛مع أنّ من المعلوم عدم انفکاک المملوک المشتری عن ذلک فی أثناء الثلاثة،فیلزم جعل الخیار فیه کاللغو؛ مع أنّهم ذکروا أنّ الحکمة فی هذا الخیار الاطّلاع علی أُمورٍ خفیّةٍ فی الحیوان توجب زهادة </w:t>
      </w:r>
      <w:r>
        <w:rPr>
          <w:rStyle w:val="FootnoteReference"/>
        </w:rPr>
        <w:footnoteReference w:id="2841"/>
      </w:r>
      <w:r>
        <w:rPr>
          <w:rFonts w:ascii="IRNazanin" w:hAnsi="IRNazanin" w:eastAsia="IRNazanin" w:cs="IRNazanin"/>
          <w:lang w:bidi="fa-IR"/>
          <w:color w:val="111111"/>
          <w:sz w:val="28"/>
          <w:szCs w:val="28"/>
          <w:rtl/>
        </w:rPr>
        <w:t xml:space="preserve">المشتری،و کیف یطّلع الإنسان علی ذلک بدون النظر إلی الجاریة و لمسها و أمرها بغلق الباب و السقی و شبه ذلک؟</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المراد مطلق التصرّف بشرط دلالته علی الرضا بلزوم العقد کما یرشد إلیه وقوعه فی معرض التعلیل فی صحیحة ابن رئاب </w:t>
      </w:r>
      <w:r>
        <w:rPr>
          <w:rStyle w:val="FootnoteReference"/>
        </w:rPr>
        <w:footnoteReference w:id="2842"/>
      </w:r>
      <w:r>
        <w:rPr>
          <w:rFonts w:ascii="IRNazanin" w:hAnsi="IRNazanin" w:eastAsia="IRNazanin" w:cs="IRNazanin"/>
          <w:lang w:bidi="fa-IR"/>
          <w:color w:val="111111"/>
          <w:sz w:val="28"/>
          <w:szCs w:val="28"/>
          <w:rtl/>
        </w:rPr>
        <w:t xml:space="preserve">، و یظهر من استدلال العلّامة و غیره علی المسألة بأنّ التصرّف دلیل الرضا بلزوم العقد فهو لا یناسب إطلاقهم الحکم بإسقاط التصرّفات التی ذکروها.</w:t>
      </w:r>
    </w:p>
    <w:p>
      <w:pPr>
        <w:pStyle w:val="BookText"/>
      </w:pPr>
      <w:r>
        <w:rPr>
          <w:rFonts w:ascii="IRNazanin" w:hAnsi="IRNazanin" w:eastAsia="IRNazanin" w:cs="IRNazanin"/>
          <w:lang w:bidi="fa-IR"/>
          <w:color w:val="111111"/>
          <w:sz w:val="28"/>
          <w:szCs w:val="28"/>
          <w:rtl/>
        </w:rPr>
        <w:t xml:space="preserve">و دعوی:أنّ جمیعها ممّا یدلّ لو خلی و طبعه علی الالتزام بالعقد،فیکون إجازةً فعلیّةً،کما تری! ثمّ إنّ قوله علیه السلام فی الصحیحة:«فذلک رضی منه»یراد منه الرضا بالعقد فی مقابلة کراهة ضدّه أعنی الفسخ،و إلّا فالرضا بأصل الملک مستمرٌّ من زمان العقد إلی حین الفسخ؛و یشهد لهذا المعنی روایة عبد اللّٰه بن الحسن بن زید بن علیّ بن الحسین علیهما السلام عن أبیه عن جعفر عن أبیه علیهم السلام قال:«قال رسول اللّٰه صلّی اللّٰه علیه و آله فی رجلٍ اشتری عبداً بشرطٍ إلی ثلاثة أیّامٍ فمات العبد فی الشرط،قال:یستحلف باللّٰه تعالی ما رضیه،ثمّ هو بریءٌ من الضمان» </w:t>
      </w:r>
      <w:r>
        <w:rPr>
          <w:rStyle w:val="FootnoteReference"/>
        </w:rPr>
        <w:footnoteReference w:id="2843"/>
      </w:r>
      <w:r>
        <w:rPr>
          <w:rFonts w:ascii="IRNazanin" w:hAnsi="IRNazanin" w:eastAsia="IRNazanin" w:cs="IRNazanin"/>
          <w:lang w:bidi="fa-IR"/>
          <w:color w:val="111111"/>
          <w:sz w:val="28"/>
          <w:szCs w:val="28"/>
          <w:rtl/>
        </w:rPr>
        <w:t xml:space="preserve">فإنّ المراد بالرضا الالتزام بالعقد،و الاستحلاف فی الروایة محمولةٌ علی سماع دعوی التهمة أو علی صورة حصول القطع للبائع بذلک.</w:t>
      </w:r>
    </w:p>
    <w:p>
      <w:pPr>
        <w:pStyle w:val="BookText"/>
      </w:pPr>
      <w:r>
        <w:rPr>
          <w:rFonts w:ascii="IRNazanin" w:hAnsi="IRNazanin" w:eastAsia="IRNazanin" w:cs="IRNazanin"/>
          <w:lang w:bidi="fa-IR"/>
          <w:color w:val="111111"/>
          <w:sz w:val="28"/>
          <w:szCs w:val="28"/>
          <w:rtl/>
        </w:rPr>
        <w:t xml:space="preserve">إذا عرفت هذا فقوله علیه السلام:«فذلک رضی منه و لا شرط[له]» </w:t>
      </w:r>
      <w:r>
        <w:rPr>
          <w:rStyle w:val="FootnoteReference"/>
        </w:rPr>
        <w:footnoteReference w:id="2844"/>
      </w:r>
      <w:r>
        <w:rPr>
          <w:rFonts w:ascii="IRNazanin" w:hAnsi="IRNazanin" w:eastAsia="IRNazanin" w:cs="IRNazanin"/>
          <w:lang w:bidi="fa-IR"/>
          <w:color w:val="111111"/>
          <w:sz w:val="28"/>
          <w:szCs w:val="28"/>
          <w:rtl/>
        </w:rPr>
        <w:t xml:space="preserve">یحتمل وجوهاً</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أحدها:أن تکون الجملة جواباً للشرط،فیکون حکماً شرعیّاً بأنّ التصرّف التزامٌ بالعقد و إن لم یکن التزاماً عرفاً.</w:t>
      </w:r>
    </w:p>
    <w:p>
      <w:pPr>
        <w:pStyle w:val="BookText"/>
      </w:pPr>
      <w:r>
        <w:rPr>
          <w:rFonts w:ascii="IRNazanin" w:hAnsi="IRNazanin" w:eastAsia="IRNazanin" w:cs="IRNazanin"/>
          <w:lang w:bidi="fa-IR"/>
          <w:color w:val="111111"/>
          <w:sz w:val="28"/>
          <w:szCs w:val="28"/>
          <w:rtl/>
        </w:rPr>
        <w:t xml:space="preserve">الثانی:أن تکون توطئةً للجواب،و هو قوله:«و لا شرط[له </w:t>
      </w:r>
      <w:r>
        <w:rPr>
          <w:rStyle w:val="FootnoteReference"/>
        </w:rPr>
        <w:footnoteReference w:id="2845"/>
      </w:r>
      <w:r>
        <w:rPr>
          <w:rFonts w:ascii="Amiri" w:hAnsi="Amiri" w:eastAsia="Amiri" w:cs="Amiri"/>
          <w:lang w:bidi="ar-SA"/>
          <w:color w:val="111111"/>
          <w:sz w:val="28"/>
          <w:szCs w:val="28"/>
          <w:rtl/>
        </w:rPr>
        <w:t xml:space="preserve">]» لکنّه توطئةٌ لحکمة الحکم و تمهیدٌ لها لا علّةٌ حقیقیّةٌ </w:t>
      </w:r>
      <w:r>
        <w:rPr>
          <w:rStyle w:val="FootnoteReference"/>
        </w:rPr>
        <w:footnoteReference w:id="2846"/>
      </w:r>
      <w:r>
        <w:rPr>
          <w:rFonts w:ascii="IRNazanin" w:hAnsi="IRNazanin" w:eastAsia="IRNazanin" w:cs="IRNazanin"/>
          <w:lang w:bidi="fa-IR"/>
          <w:color w:val="111111"/>
          <w:sz w:val="28"/>
          <w:szCs w:val="28"/>
          <w:rtl/>
        </w:rPr>
        <w:t xml:space="preserve">فیکون إشارةً إلی أنّ الحکمة فی سقوط الخیار بالتصرّف دلالته غالباً علی الرضا،نظیر کون الرضا حکمةً فی سقوط خیار المجلس بالتفرّق فی قوله علیه السلام:</w:t>
      </w:r>
    </w:p>
    <w:p>
      <w:pPr>
        <w:pStyle w:val="BookText"/>
      </w:pPr>
      <w:r>
        <w:rPr>
          <w:rFonts w:ascii="IRNazanin" w:hAnsi="IRNazanin" w:eastAsia="IRNazanin" w:cs="IRNazanin"/>
          <w:lang w:bidi="fa-IR"/>
          <w:color w:val="111111"/>
          <w:sz w:val="28"/>
          <w:szCs w:val="28"/>
          <w:rtl/>
        </w:rPr>
        <w:t xml:space="preserve">«فإذا افترقا فلا خیار بعد الرضا منهما»فإنّه لا یعتبر فی الافتراق دلالته </w:t>
      </w:r>
      <w:r>
        <w:rPr>
          <w:rStyle w:val="FootnoteReference"/>
        </w:rPr>
        <w:footnoteReference w:id="2847"/>
      </w:r>
      <w:r>
        <w:rPr>
          <w:rFonts w:ascii="IRNazanin" w:hAnsi="IRNazanin" w:eastAsia="IRNazanin" w:cs="IRNazanin"/>
          <w:lang w:bidi="fa-IR"/>
          <w:color w:val="111111"/>
          <w:sz w:val="28"/>
          <w:szCs w:val="28"/>
          <w:rtl/>
        </w:rPr>
        <w:t xml:space="preserve">علی الرضا.</w:t>
      </w:r>
    </w:p>
    <w:p>
      <w:pPr>
        <w:pStyle w:val="BookText"/>
      </w:pPr>
      <w:r>
        <w:rPr>
          <w:rFonts w:ascii="IRNazanin" w:hAnsi="IRNazanin" w:eastAsia="IRNazanin" w:cs="IRNazanin"/>
          <w:lang w:bidi="fa-IR"/>
          <w:color w:val="111111"/>
          <w:sz w:val="28"/>
          <w:szCs w:val="28"/>
          <w:rtl/>
        </w:rPr>
        <w:t xml:space="preserve">و علی هذین المعنیین،فکلّ تصرّفٍ مسقطٌ و إن علم عدم دلالته علی الرضا.</w:t>
      </w:r>
    </w:p>
    <w:p>
      <w:pPr>
        <w:pStyle w:val="BookText"/>
      </w:pPr>
      <w:r>
        <w:rPr>
          <w:rFonts w:ascii="IRNazanin" w:hAnsi="IRNazanin" w:eastAsia="IRNazanin" w:cs="IRNazanin"/>
          <w:lang w:bidi="fa-IR"/>
          <w:color w:val="111111"/>
          <w:sz w:val="28"/>
          <w:szCs w:val="28"/>
          <w:rtl/>
        </w:rPr>
        <w:t xml:space="preserve">الثالث:أن تکون الجملة إخباراً عن الواقع،نظراً إلی الغالب و ملاحظة نوع التصرّف لو خُلّی و طبعه،و یکون علّةً للجواب،فیکون نفی الخیار معلّلاً بکون التصرّف غالباً دالاّ علی الرضا بلزوم العقد، و بعد ملاحظة وجوب تقیید إطلاق الحکم بمؤدّی علّته کما فی قوله:</w:t>
      </w:r>
    </w:p>
    <w:p>
      <w:pPr>
        <w:pStyle w:val="BookText"/>
      </w:pPr>
      <w:r>
        <w:rPr>
          <w:rFonts w:ascii="IRNazanin" w:hAnsi="IRNazanin" w:eastAsia="IRNazanin" w:cs="IRNazanin"/>
          <w:lang w:bidi="fa-IR"/>
          <w:color w:val="111111"/>
          <w:sz w:val="28"/>
          <w:szCs w:val="28"/>
          <w:rtl/>
        </w:rPr>
        <w:t xml:space="preserve">«[لا تأکل </w:t>
      </w:r>
      <w:r>
        <w:rPr>
          <w:rStyle w:val="FootnoteReference"/>
        </w:rPr>
        <w:footnoteReference w:id="2848"/>
      </w:r>
      <w:r>
        <w:rPr>
          <w:rFonts w:ascii="IRNazanin" w:hAnsi="IRNazanin" w:eastAsia="IRNazanin" w:cs="IRNazanin"/>
          <w:lang w:bidi="fa-IR"/>
          <w:color w:val="111111"/>
          <w:sz w:val="28"/>
          <w:szCs w:val="28"/>
          <w:rtl/>
        </w:rPr>
        <w:t xml:space="preserve">]الرمّان لأنّه حامضٌ»دلّ علی اختصاص الحکم بالتصرّف الذی یکون کذلک،أی:دالاّ بالنوع غالباً علی التزام العقد و إن لم یدلّ فی شخص المقام،</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فیکون المسقط من التصرّف ما کان له ظهورٌ نوعیٌّ</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الرضا،نظیر ظهور الألفاظ فی معانیها مقیّداً بعدم قرینةٍ توجب صرفه عن الدلالة،کما إذا دلّ الحال أو المقال علی وقوع التصرّف للاختبار،أو اشتباهاً بعینٍ اخری مملوکةٍ له،و یدخل فیه کلّ ما یدلّ نوعاً علی الرضا و إن لم یعد تصرّفاً عرفاً کالتعریض للبیع و الإذن للبائع فی التصرّف فیه.</w:t>
      </w:r>
    </w:p>
    <w:p>
      <w:pPr>
        <w:pStyle w:val="BookText"/>
      </w:pPr>
      <w:r>
        <w:rPr>
          <w:rFonts w:ascii="IRNazanin" w:hAnsi="IRNazanin" w:eastAsia="IRNazanin" w:cs="IRNazanin"/>
          <w:lang w:bidi="fa-IR"/>
          <w:color w:val="111111"/>
          <w:sz w:val="28"/>
          <w:szCs w:val="28"/>
          <w:rtl/>
        </w:rPr>
        <w:t xml:space="preserve">الرابع:أن تکون إخباراً عن الواقع و یکون العلّة هی نفس الرضا الفعلی الشخصی،و یکون إطلاق الحکم مقیّداً بتلک العلّة،فیکون موضوع الحکم فی الحقیقة هو نفس الرضا الفعلی،فلو لم یثبت الرضا الفعلی لم یسقط الخیار.</w:t>
      </w:r>
    </w:p>
    <w:p>
      <w:pPr>
        <w:pStyle w:val="BookText"/>
      </w:pPr>
      <w:r>
        <w:rPr>
          <w:rFonts w:ascii="IRNazanin" w:hAnsi="IRNazanin" w:eastAsia="IRNazanin" w:cs="IRNazanin"/>
          <w:lang w:bidi="fa-IR"/>
          <w:color w:val="111111"/>
          <w:sz w:val="28"/>
          <w:szCs w:val="28"/>
          <w:rtl/>
        </w:rPr>
        <w:t xml:space="preserve">ثمّ إنّ الاحتمالین الأوّلین و إن کانا موافقین لإطلاق سائر الأخبار و إطلاقات بعض کلماتهم مثل ما تقدّم من التذکرة:من أنّ مطلق التصرّف لمصلحة نفسه مسقطٌ </w:t>
      </w:r>
      <w:r>
        <w:rPr>
          <w:rStyle w:val="FootnoteReference"/>
        </w:rPr>
        <w:footnoteReference w:id="2849"/>
      </w:r>
      <w:r>
        <w:rPr>
          <w:rFonts w:ascii="IRNazanin" w:hAnsi="IRNazanin" w:eastAsia="IRNazanin" w:cs="IRNazanin"/>
          <w:lang w:bidi="fa-IR"/>
          <w:color w:val="111111"/>
          <w:sz w:val="28"/>
          <w:szCs w:val="28"/>
          <w:rtl/>
        </w:rPr>
        <w:t xml:space="preserve">،و کذا غیره کالمحقّق و الشهید الثانیین </w:t>
      </w:r>
      <w:r>
        <w:rPr>
          <w:rStyle w:val="FootnoteReference"/>
        </w:rPr>
        <w:footnoteReference w:id="2850"/>
      </w:r>
      <w:r>
        <w:rPr>
          <w:rFonts w:ascii="IRNazanin" w:hAnsi="IRNazanin" w:eastAsia="IRNazanin" w:cs="IRNazanin"/>
          <w:lang w:bidi="fa-IR"/>
          <w:color w:val="111111"/>
          <w:sz w:val="28"/>
          <w:szCs w:val="28"/>
          <w:rtl/>
        </w:rPr>
        <w:t xml:space="preserve">بل لإطلاق بعض معاقد الإجماع،إلّا أنّهما بعیدان عن ظاهر الخبر؛مع مخالفتهما لأکثر کلماتهم،فإنّ الظاهر منها عدم السقوط بالتصرّف للاختبار و الحفظ،بل ظاهرها اعتبار الدلالة فی الجملة علی الرضا،کما سیجیء </w:t>
      </w:r>
      <w:r>
        <w:rPr>
          <w:rStyle w:val="FootnoteReference"/>
        </w:rPr>
        <w:footnoteReference w:id="2851"/>
      </w:r>
      <w:r>
        <w:rPr>
          <w:rFonts w:ascii="IRNazanin" w:hAnsi="IRNazanin" w:eastAsia="IRNazanin" w:cs="IRNazanin"/>
          <w:lang w:bidi="fa-IR"/>
          <w:color w:val="111111"/>
          <w:sz w:val="28"/>
          <w:szCs w:val="28"/>
          <w:rtl/>
        </w:rPr>
        <w:t xml:space="preserve">،و یؤیّده حکم بعضهم بکفایة الدالّ علی الرضا و إن لم یعدّ تصرّفاً،کتقبیل الجاریة للمشتری،علی ما صرّح به فی التحریر</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الدروس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أنّ العبرة بالرضا،و إنّما اعتبر التصرّف للدلالة،و ورد النصّ أیضاً بأنّ العرض علی البیع إجازةٌ </w:t>
      </w:r>
      <w:r>
        <w:rPr>
          <w:rStyle w:val="FootnoteReference"/>
        </w:rPr>
        <w:footnoteReference w:id="2853"/>
      </w:r>
      <w:r>
        <w:rPr>
          <w:rFonts w:ascii="Amiri" w:hAnsi="Amiri" w:eastAsia="Amiri" w:cs="Amiri"/>
          <w:lang w:bidi="ar-SA"/>
          <w:color w:val="111111"/>
          <w:sz w:val="28"/>
          <w:szCs w:val="28"/>
          <w:rtl/>
        </w:rPr>
        <w:t xml:space="preserve">،مع أنّه لیس حدثاً عرفاً.</w:t>
      </w:r>
    </w:p>
    <w:p>
      <w:pPr>
        <w:pStyle w:val="BookText"/>
      </w:pPr>
      <w:r>
        <w:rPr>
          <w:rFonts w:ascii="Amiri" w:hAnsi="Amiri" w:eastAsia="Amiri" w:cs="Amiri"/>
          <w:lang w:bidi="ar-SA"/>
          <w:color w:val="111111"/>
          <w:sz w:val="28"/>
          <w:szCs w:val="28"/>
          <w:rtl/>
        </w:rPr>
        <w:t xml:space="preserve">و ممّا یؤیّد عدم إرادة الأصحاب کون التصرّف مسقطاً إلّا من جهة دلالته علی الرضا:حکمهُم بأنَّ کلَّ تصرّفٍ یکون إجازةً من المشتری فی المبیع یکون فسخاً من البائع،فلو کان التصرّف </w:t>
      </w:r>
      <w:r>
        <w:rPr>
          <w:rStyle w:val="FootnoteReference"/>
        </w:rPr>
        <w:footnoteReference w:id="2854"/>
      </w:r>
      <w:r>
        <w:rPr>
          <w:rFonts w:ascii="Amiri" w:hAnsi="Amiri" w:eastAsia="Amiri" w:cs="Amiri"/>
          <w:lang w:bidi="ar-SA"/>
          <w:color w:val="111111"/>
          <w:sz w:val="28"/>
          <w:szCs w:val="28"/>
          <w:rtl/>
        </w:rPr>
        <w:t xml:space="preserve">مسقطاً تعبّدیاً عندهم من جهة النصّ لم یکن وجهٌ للتعدّی عن کونه إجازةً إلی کونه فسخاً.</w:t>
      </w:r>
    </w:p>
    <w:p>
      <w:pPr>
        <w:pStyle w:val="BookText"/>
      </w:pPr>
      <w:r>
        <w:rPr>
          <w:rFonts w:ascii="IRNazanin" w:hAnsi="IRNazanin" w:eastAsia="IRNazanin" w:cs="IRNazanin"/>
          <w:lang w:bidi="fa-IR"/>
          <w:color w:val="111111"/>
          <w:sz w:val="28"/>
          <w:szCs w:val="28"/>
          <w:rtl/>
        </w:rPr>
        <w:t xml:space="preserve">و قد صرّح فی التذکرة:بأنّ الفسخ کالإجازة یکون بالقول و بالفعل </w:t>
      </w:r>
      <w:r>
        <w:rPr>
          <w:rStyle w:val="FootnoteReference"/>
        </w:rPr>
        <w:footnoteReference w:id="2855"/>
      </w:r>
      <w:r>
        <w:rPr>
          <w:rFonts w:ascii="Amiri" w:hAnsi="Amiri" w:eastAsia="Amiri" w:cs="Amiri"/>
          <w:lang w:bidi="ar-SA"/>
          <w:color w:val="111111"/>
          <w:sz w:val="28"/>
          <w:szCs w:val="28"/>
          <w:rtl/>
        </w:rPr>
        <w:t xml:space="preserve">، و ذکر التصرّف[مثالاً </w:t>
      </w:r>
      <w:r>
        <w:rPr>
          <w:rStyle w:val="FootnoteReference"/>
        </w:rPr>
        <w:footnoteReference w:id="2856"/>
      </w:r>
      <w:r>
        <w:rPr>
          <w:rFonts w:ascii="IRNazanin" w:hAnsi="IRNazanin" w:eastAsia="IRNazanin" w:cs="IRNazanin"/>
          <w:lang w:bidi="fa-IR"/>
          <w:color w:val="111111"/>
          <w:sz w:val="28"/>
          <w:szCs w:val="28"/>
          <w:rtl/>
        </w:rPr>
        <w:t xml:space="preserve">]للفسخ و الإجازة الفعلیّین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فاندفع ما یقال فی تقریب کون التصرّف مسقطاً لا للدلالة علی الرضا:بأنّ الأصحاب یعدّونه فی مقابل الإجازة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المعنی الرابع:فهو و إن کان أظهر الاحتمالات من حیث</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اللفظ،بل جزم به فی الدروس </w:t>
      </w:r>
      <w:r>
        <w:rPr>
          <w:rStyle w:val="FootnoteReference"/>
        </w:rPr>
        <w:footnoteReference w:id="2859"/>
      </w:r>
      <w:r>
        <w:rPr>
          <w:rFonts w:ascii="Amiri" w:hAnsi="Amiri" w:eastAsia="Amiri" w:cs="Amiri"/>
          <w:lang w:bidi="ar-SA"/>
          <w:color w:val="111111"/>
          <w:sz w:val="28"/>
          <w:szCs w:val="28"/>
          <w:rtl/>
        </w:rPr>
        <w:t xml:space="preserve">،و یؤیّده ما تقدّم من روایة عبد اللّٰه [بن الحسن </w:t>
      </w:r>
      <w:r>
        <w:rPr>
          <w:rStyle w:val="FootnoteReference"/>
        </w:rPr>
        <w:footnoteReference w:id="2860"/>
      </w:r>
      <w:r>
        <w:rPr>
          <w:rFonts w:ascii="IRNazanin" w:hAnsi="IRNazanin" w:eastAsia="IRNazanin" w:cs="IRNazanin"/>
          <w:lang w:bidi="fa-IR"/>
          <w:color w:val="111111"/>
          <w:sz w:val="28"/>
          <w:szCs w:val="28"/>
          <w:rtl/>
        </w:rPr>
        <w:t xml:space="preserve">]بن زید،الحاکیة للنبویّ الدالّ کما فی الدروس أیضاً </w:t>
      </w:r>
      <w:r>
        <w:rPr>
          <w:rStyle w:val="FootnoteReference"/>
        </w:rPr>
        <w:footnoteReference w:id="2861"/>
      </w:r>
      <w:r>
        <w:rPr>
          <w:rFonts w:ascii="IRNazanin" w:hAnsi="IRNazanin" w:eastAsia="IRNazanin" w:cs="IRNazanin"/>
          <w:lang w:bidi="fa-IR"/>
          <w:color w:val="111111"/>
          <w:sz w:val="28"/>
          <w:szCs w:val="28"/>
          <w:rtl/>
        </w:rPr>
        <w:t xml:space="preserve">- علی الاعتبار بنفس الرضا،و ظاهر بعض کلماتهم الآتیة.</w:t>
      </w:r>
    </w:p>
    <w:p>
      <w:pPr>
        <w:pStyle w:val="BookText"/>
      </w:pPr>
      <w:r>
        <w:rPr>
          <w:rFonts w:ascii="IRNazanin" w:hAnsi="IRNazanin" w:eastAsia="IRNazanin" w:cs="IRNazanin"/>
          <w:lang w:bidi="fa-IR"/>
          <w:color w:val="111111"/>
          <w:sz w:val="28"/>
          <w:szCs w:val="28"/>
          <w:rtl/>
        </w:rPr>
        <w:t xml:space="preserve">إلّا أنّ المستفاد من تتبّع الفتاوی الإجماع علی عدم إناطة الحکم بالرضا الفعلی بلزوم العقد؛مع أنّ أظهریّته بالنسبة إلی المعنی الثالث غیر واضحة.</w:t>
      </w:r>
    </w:p>
    <w:p>
      <w:pPr>
        <w:pStyle w:val="BookText"/>
      </w:pPr>
      <w:r>
        <w:rPr>
          <w:rFonts w:ascii="IRNazanin" w:hAnsi="IRNazanin" w:eastAsia="IRNazanin" w:cs="IRNazanin"/>
          <w:lang w:bidi="fa-IR"/>
          <w:color w:val="111111"/>
          <w:sz w:val="28"/>
          <w:szCs w:val="28"/>
          <w:rtl/>
        </w:rPr>
        <w:t xml:space="preserve">فتعیّن إرادة المعنی الثالث،و محصّله:دلالة التصرّف لو خُلّی و طبعه علی الالتزام و إن لم یفد فی خصوص المقام،فیکون التصرّف إجازةً فعلیّةً فی مقابل الإجازة القولیّة؛و هذا هو الذی ینبغی أن یعتمد علیه.</w:t>
      </w:r>
    </w:p>
    <w:p>
      <w:pPr>
        <w:pStyle w:val="BookText"/>
      </w:pPr>
      <w:r>
        <w:rPr>
          <w:rFonts w:ascii="IRNazanin" w:hAnsi="IRNazanin" w:eastAsia="IRNazanin" w:cs="IRNazanin"/>
          <w:lang w:bidi="fa-IR"/>
          <w:color w:val="111111"/>
          <w:sz w:val="28"/>
          <w:szCs w:val="28"/>
          <w:rtl/>
        </w:rPr>
        <w:t xml:space="preserve">قال فی المقنعة:إنّ هلاک الحیوان فی الثلاثة من البائع،إلّا أن یحدث فیه المبتاع حدثاً یدلّ علی الرضا بالابتیاع </w:t>
      </w:r>
      <w:r>
        <w:rPr>
          <w:rStyle w:val="FootnoteReference"/>
        </w:rPr>
        <w:footnoteReference w:id="2862"/>
      </w:r>
      <w:r>
        <w:rPr>
          <w:rFonts w:ascii="IRNazanin" w:hAnsi="IRNazanin" w:eastAsia="IRNazanin" w:cs="IRNazanin"/>
          <w:lang w:bidi="fa-IR"/>
          <w:color w:val="111111"/>
          <w:sz w:val="28"/>
          <w:szCs w:val="28"/>
          <w:rtl/>
        </w:rPr>
        <w:t xml:space="preserve">،انتهی.و مَثّل للتصرّف فی مقامٍ آخر بأن ینظر من الأمة إلی ما یحرم لغیر المالک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المبسوط فی أحکام العیوب:إذا کان المبیع بهیمةً و أصاب بها عیباً فله ردّها،و إذا کان فی طریق الردّ جاز له رکوبها</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سقیها و علفها و حلبها و أخذ لبنها،و إن نتجت کان له نتاجها.ثمّ قال:</w:t>
      </w:r>
    </w:p>
    <w:p>
      <w:pPr>
        <w:pStyle w:val="BookText"/>
      </w:pPr>
      <w:r>
        <w:rPr>
          <w:rFonts w:ascii="IRNazanin" w:hAnsi="IRNazanin" w:eastAsia="IRNazanin" w:cs="IRNazanin"/>
          <w:lang w:bidi="fa-IR"/>
          <w:color w:val="111111"/>
          <w:sz w:val="28"/>
          <w:szCs w:val="28"/>
          <w:rtl/>
        </w:rPr>
        <w:t xml:space="preserve">و لا یسقط الردّ؛لأنّه إنّما یسقط بالرضا بالعیب أو بترک الردّ بعد العلم بالعیب أو بأن یحدث فیه عیبٌ عنده،و لیس هنا شیءٌ من ذلک </w:t>
      </w:r>
      <w:r>
        <w:rPr>
          <w:rStyle w:val="FootnoteReference"/>
        </w:rPr>
        <w:footnoteReference w:id="286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 الغنیة:لو هلک المبیع فی مدّة الخیار فهو من مال بائعه،إلّا أن یکون المبتاع قد أحدث فیه حدثاً یدلّ علی الرضا </w:t>
      </w:r>
      <w:r>
        <w:rPr>
          <w:rStyle w:val="FootnoteReference"/>
        </w:rPr>
        <w:footnoteReference w:id="286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الحلبی قدّس سرّه فی الکافی فی خیار الحیوان-:فإن هلک فی مدّة الخیار فهو من مال البائع،إلّا أن یحدث فیه حدثاً یدلّ علی الرضا </w:t>
      </w:r>
      <w:r>
        <w:rPr>
          <w:rStyle w:val="FootnoteReference"/>
        </w:rPr>
        <w:footnoteReference w:id="286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السرائر بعد حکمه بالخیار فی الحیوان إلی ثلاثة أیّام قال:</w:t>
      </w:r>
    </w:p>
    <w:p>
      <w:pPr>
        <w:pStyle w:val="BookText"/>
      </w:pPr>
      <w:r>
        <w:rPr>
          <w:rFonts w:ascii="IRNazanin" w:hAnsi="IRNazanin" w:eastAsia="IRNazanin" w:cs="IRNazanin"/>
          <w:lang w:bidi="fa-IR"/>
          <w:color w:val="111111"/>
          <w:sz w:val="28"/>
          <w:szCs w:val="28"/>
          <w:rtl/>
        </w:rPr>
        <w:t xml:space="preserve">هذا إذا لم یُحدث فی هذه المدّة حدثاً یدلّ علی الرضا أو یتصرّف فیه تصرّفاً ینقص قیمته،أو یکون لمثل ذلک التصرّف اجرةٌ،بأن یرکب الدابّة أو یستعمل الحمار أو یقبّل الجاریة أو یلامسها أو یدبّرها تدبیراً لیس له الرجوع فیه کالمنذور </w:t>
      </w:r>
      <w:r>
        <w:rPr>
          <w:rStyle w:val="FootnoteReference"/>
        </w:rPr>
        <w:footnoteReference w:id="28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موضعٍ آخر:إذا لم یتصرّف فیه تصرّفاً یؤذن بالرضا فی العادة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العلّامة:فقد عرفت أنّه استدلّ علی أصل الحکم بأنّ التصرّف دلیل الرضا باللزوم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آخر:لو رکب الدابّة لیردّها سواء قصرت المسافة أو طالت لم یکن ذلک رضاً بها.ثمّ قال:و لو سقاها الماء أو رکبها لیسقیها ثمّ یردّها لم یکن ذلک رضاً منه بإمساکه،و لو حلبها فی طریقه فالأقرب أنّه تصرّفٌ یؤذن بالرضا </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التحریر فی مسألة سقوط ردّ المعیب بالتصرّف قال:و کذا لو استعمل المبیع أو تصرّف فیه بما یدلّ علی الرضا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الدروس:استثنی بعضهم من التصرّف رکوب الدابّة و الطحن علیها و حلبها،إذ بها یعرف حالها لیختبر </w:t>
      </w:r>
      <w:r>
        <w:rPr>
          <w:rStyle w:val="FootnoteReference"/>
        </w:rPr>
        <w:footnoteReference w:id="2872"/>
      </w:r>
      <w:r>
        <w:rPr>
          <w:rFonts w:ascii="IRNazanin" w:hAnsi="IRNazanin" w:eastAsia="IRNazanin" w:cs="IRNazanin"/>
          <w:lang w:bidi="fa-IR"/>
          <w:color w:val="111111"/>
          <w:sz w:val="28"/>
          <w:szCs w:val="28"/>
          <w:rtl/>
        </w:rPr>
        <w:t xml:space="preserve">،و لیس ببعید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الکرکی:لو تصرّف ذو الخیار غیر عالمٍ،کأن ظنّها جاریته المختصّة فتبیّنت ذات الخیار أو ذهل عن کونها المشتراة </w:t>
      </w:r>
      <w:r>
        <w:rPr>
          <w:rStyle w:val="FootnoteReference"/>
        </w:rPr>
        <w:footnoteReference w:id="2874"/>
      </w:r>
      <w:r>
        <w:rPr>
          <w:rFonts w:ascii="IRNazanin" w:hAnsi="IRNazanin" w:eastAsia="IRNazanin" w:cs="IRNazanin"/>
          <w:lang w:bidi="fa-IR"/>
          <w:color w:val="111111"/>
          <w:sz w:val="28"/>
          <w:szCs w:val="28"/>
          <w:rtl/>
        </w:rPr>
        <w:t xml:space="preserve">ففی الحکم تردّدٌ،ینشأ:من إطلاق الخبر بسقوط الخیار بالتصرّف،و من أنّه غیر قاصدٍ إلی لزوم البیع،إذ لو علم لم یفعل،و التصرّف إنّما عُدّ</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مسقطاً لدلالته علی الرضا باللزوم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آخر:و لا یعدّ رکوب الدابّة للاستخبار أو لدفع جموحها أو للخوف من ظالمٍ أو لیردّها تصرّفاً.ثمّ قال:و هل یعدّ حملها للاستخبار تصرّفاً؟لیس ببعیدٍ أن لا یعدّ.و کذا لو أراد ردّها و حلبها لأخذ اللبن،علی إشکالٍ ینشأ من أنّه ملکه،فله استخلاصه </w:t>
      </w:r>
      <w:r>
        <w:rPr>
          <w:rStyle w:val="FootnoteReference"/>
        </w:rPr>
        <w:footnoteReference w:id="287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حکی عنه فی موضعٍ آخر أنّه قال:و المراد بالتصرّف المسقط ما کان المقصود منه التملّک،لا الاختبار و لا حفظ المبیع کرکوب الدابّة للسقی </w:t>
      </w:r>
      <w:r>
        <w:rPr>
          <w:rStyle w:val="FootnoteReference"/>
        </w:rPr>
        <w:footnoteReference w:id="28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مراده من التملّک:البقاء علیه و الالتزام به،و یحتمل أن یراد به الاستعمال للانتفاع بالملک،لا للاختبار أو الحفظ.</w:t>
      </w:r>
    </w:p>
    <w:p>
      <w:pPr>
        <w:pStyle w:val="BookText"/>
      </w:pPr>
      <w:r>
        <w:rPr>
          <w:rFonts w:ascii="IRNazanin" w:hAnsi="IRNazanin" w:eastAsia="IRNazanin" w:cs="IRNazanin"/>
          <w:lang w:bidi="fa-IR"/>
          <w:color w:val="111111"/>
          <w:sz w:val="28"/>
          <w:szCs w:val="28"/>
          <w:rtl/>
        </w:rPr>
        <w:t xml:space="preserve">هذا ما حضرنی من کلماتهم فی هذا المقام،الظاهرة فی المعنی الثالث،و حاصله:التصرّف علی وجهٍ یدلّ عرفاً لو خُلّی و طبعه علی الالتزام بالعقد،لیکون إسقاطاً فعلیّاً للخیار،فیخرج منه ما دلّت القرینة علی وقوعه لا عن الالتزام.</w:t>
      </w:r>
    </w:p>
    <w:p>
      <w:pPr>
        <w:pStyle w:val="BookText"/>
      </w:pPr>
      <w:r>
        <w:rPr>
          <w:rFonts w:ascii="IRNazanin" w:hAnsi="IRNazanin" w:eastAsia="IRNazanin" w:cs="IRNazanin"/>
          <w:lang w:bidi="fa-IR"/>
          <w:color w:val="111111"/>
          <w:sz w:val="28"/>
          <w:szCs w:val="28"/>
          <w:rtl/>
        </w:rPr>
        <w:t xml:space="preserve">لکن یبقی الإشکال المتقدّم سابقاً </w:t>
      </w:r>
      <w:r>
        <w:rPr>
          <w:rStyle w:val="FootnoteReference"/>
        </w:rPr>
        <w:footnoteReference w:id="2878"/>
      </w:r>
      <w:r>
        <w:rPr>
          <w:rFonts w:ascii="IRNazanin" w:hAnsi="IRNazanin" w:eastAsia="IRNazanin" w:cs="IRNazanin"/>
          <w:lang w:bidi="fa-IR"/>
          <w:color w:val="111111"/>
          <w:sz w:val="28"/>
          <w:szCs w:val="28"/>
          <w:rtl/>
        </w:rPr>
        <w:t xml:space="preserve">:من أنّ أکثر أمثلة</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المذکورة فی النصوص و الفتاوی لیست کذلک،بل هی واقعةٌ غالباً مع الغفلة أو التردّد أو العزم علی الفسخ مطلقاً،أو إذا اطّلع علی ما یوجب زهده فیه،فهی غیر دالّةٍ فی نفسها عرفاً علی الرضا.</w:t>
      </w:r>
    </w:p>
    <w:p>
      <w:pPr>
        <w:pStyle w:val="BookText"/>
      </w:pPr>
      <w:r>
        <w:rPr>
          <w:rFonts w:ascii="IRNazanin" w:hAnsi="IRNazanin" w:eastAsia="IRNazanin" w:cs="IRNazanin"/>
          <w:lang w:bidi="fa-IR"/>
          <w:color w:val="111111"/>
          <w:sz w:val="28"/>
          <w:szCs w:val="28"/>
          <w:rtl/>
        </w:rPr>
        <w:t xml:space="preserve">و منه یظهر وجه النظر فی دفع الاستبعاد الذی ذکرناه سابقاً </w:t>
      </w:r>
      <w:r>
        <w:rPr>
          <w:rStyle w:val="FootnoteReference"/>
        </w:rPr>
        <w:footnoteReference w:id="2879"/>
      </w:r>
      <w:r>
        <w:rPr>
          <w:rFonts w:ascii="IRNazanin" w:hAnsi="IRNazanin" w:eastAsia="IRNazanin" w:cs="IRNazanin"/>
          <w:lang w:bidi="fa-IR"/>
          <w:color w:val="111111"/>
          <w:sz w:val="28"/>
          <w:szCs w:val="28"/>
          <w:rtl/>
        </w:rPr>
        <w:t xml:space="preserve">-من عدم انفکاک اشتراء الحیوان من التصرّف فیه فی الثلاثة فیکون مورد الخیار فی غایة الندرة بأنّ الغالب فی التصرّفات وقوعها مع عدم الرضا باللزوم،فلا یسقط بها الخیار </w:t>
      </w:r>
      <w:r>
        <w:rPr>
          <w:rStyle w:val="FootnoteReference"/>
        </w:rPr>
        <w:footnoteReference w:id="2880"/>
      </w:r>
      <w:r>
        <w:rPr>
          <w:rFonts w:ascii="IRNazanin" w:hAnsi="IRNazanin" w:eastAsia="IRNazanin" w:cs="IRNazanin"/>
          <w:lang w:bidi="fa-IR"/>
          <w:color w:val="111111"/>
          <w:sz w:val="28"/>
          <w:szCs w:val="28"/>
          <w:rtl/>
        </w:rPr>
        <w:t xml:space="preserve">،إذ فیه:أنّ هذا یوجب استهجان تعلیل السقوط بمطلق الحدث بأنّه رضاً؛لأنّ المصحِّح لهذا التعلیل مع العلم بعدم کون بعض أفراده رضاً هو ظهوره فیه عرفاً من أجل الغلبة،فإذا فرض أنّ الغالب فی مثل هذه التصرّفات وقوعها لا عن التزامٍ للعقد بل مع العزم علی الفسخ أو التردّد فیه أو الغفلة، کان تعلیل الحکم علی المطلق بهذه العلّة الغیر الموجودة إلّا فی قلیلٍ من أفراده مستهجناً.</w:t>
      </w:r>
    </w:p>
    <w:p>
      <w:pPr>
        <w:pStyle w:val="BookText"/>
      </w:pPr>
      <w:r>
        <w:rPr>
          <w:rFonts w:ascii="IRNazanin" w:hAnsi="IRNazanin" w:eastAsia="IRNazanin" w:cs="IRNazanin"/>
          <w:lang w:bidi="fa-IR"/>
          <w:color w:val="111111"/>
          <w:sz w:val="28"/>
          <w:szCs w:val="28"/>
          <w:rtl/>
        </w:rPr>
        <w:t xml:space="preserve">و أمّا الاستشهاد لذلک بما سیجیء:من أنّ تصرّف البائع فی ثمن بیع الخیار غیر مسقطٍ لخیاره اتّفاقاً،و لیس ذلک إلّا من جهة صدوره لا عن التزامٍ بالعقد،بل مع العزم علی الفسخ بردّ مثل الثمن،ففیه:</w:t>
      </w:r>
    </w:p>
    <w:p>
      <w:pPr>
        <w:pStyle w:val="BookText"/>
      </w:pPr>
      <w:r>
        <w:rPr>
          <w:rFonts w:ascii="IRNazanin" w:hAnsi="IRNazanin" w:eastAsia="IRNazanin" w:cs="IRNazanin"/>
          <w:lang w:bidi="fa-IR"/>
          <w:color w:val="111111"/>
          <w:sz w:val="28"/>
          <w:szCs w:val="28"/>
          <w:rtl/>
        </w:rPr>
        <w:t xml:space="preserve">ما سیجیء.</w:t>
      </w:r>
    </w:p>
    <w:p>
      <w:pPr>
        <w:pStyle w:val="BookText"/>
      </w:pPr>
      <w:r>
        <w:rPr>
          <w:rFonts w:ascii="IRNazanin" w:hAnsi="IRNazanin" w:eastAsia="IRNazanin" w:cs="IRNazanin"/>
          <w:lang w:bidi="fa-IR"/>
          <w:color w:val="111111"/>
          <w:sz w:val="28"/>
          <w:szCs w:val="28"/>
          <w:rtl/>
        </w:rPr>
        <w:t xml:space="preserve">و ممّا ذکرنا من استهجان التعلیل علی تقدیر کون غالب التصرّفات</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واقعةً لا عن التزامٍ یظهر فساد الجمع بهذا الوجه،یعنی حمل الأخبار المتقدّمة </w:t>
      </w:r>
      <w:r>
        <w:rPr>
          <w:rStyle w:val="FootnoteReference"/>
        </w:rPr>
        <w:footnoteReference w:id="2881"/>
      </w:r>
      <w:r>
        <w:rPr>
          <w:rFonts w:ascii="IRNazanin" w:hAnsi="IRNazanin" w:eastAsia="IRNazanin" w:cs="IRNazanin"/>
          <w:lang w:bidi="fa-IR"/>
          <w:color w:val="111111"/>
          <w:sz w:val="28"/>
          <w:szCs w:val="28"/>
          <w:rtl/>
        </w:rPr>
        <w:t xml:space="preserve">علی صورة دلالة التصرّفات المذکورة علی الرضا بلزوم العقد، جمعاً بینها و بین ما دلّ من الأخبار علی عدم سقوطه بمجرّد التصرّف، مثل روایة عبد اللّٰه بن الحسن المتقدّمة </w:t>
      </w:r>
      <w:r>
        <w:rPr>
          <w:rStyle w:val="FootnoteReference"/>
        </w:rPr>
        <w:footnoteReference w:id="2882"/>
      </w:r>
      <w:r>
        <w:rPr>
          <w:rFonts w:ascii="IRNazanin" w:hAnsi="IRNazanin" w:eastAsia="IRNazanin" w:cs="IRNazanin"/>
          <w:lang w:bidi="fa-IR"/>
          <w:color w:val="111111"/>
          <w:sz w:val="28"/>
          <w:szCs w:val="28"/>
          <w:rtl/>
        </w:rPr>
        <w:t xml:space="preserve">التی لم یستفصل فی جوابها بین تصرّف المشتری فی العبد المتوفّی فی زمان الخیار و عدمه،و إنّما أُنیط سقوط الخیار فیها بالرضا الفعلی،و مثل الخبر المصحّح:فی رجلٍ اشتری شاةً فأمسکها ثلاثة أیّامٍ ثمّ ردّها؟قال:«إن کان تلک الثلاثة أیّام شرب لبنها یردّ معها ثلاثة أمداد،و إن لم یکن لها لبنٌ فلیس علیه شیءٌ» </w:t>
      </w:r>
      <w:r>
        <w:rPr>
          <w:rStyle w:val="FootnoteReference"/>
        </w:rPr>
        <w:footnoteReference w:id="2883"/>
      </w:r>
      <w:r>
        <w:rPr>
          <w:rFonts w:ascii="IRNazanin" w:hAnsi="IRNazanin" w:eastAsia="IRNazanin" w:cs="IRNazanin"/>
          <w:lang w:bidi="fa-IR"/>
          <w:color w:val="111111"/>
          <w:sz w:val="28"/>
          <w:szCs w:val="28"/>
          <w:rtl/>
        </w:rPr>
        <w:t xml:space="preserve">.و نحوه الآخر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فیهما من«ردّ ثلاثة أمداد»لعلّه محمولٌ علی الاستحباب؛مع أنّ ترک العمل به لا یوجب ردّ الروایة،فتأمّل.</w:t>
      </w:r>
    </w:p>
    <w:p>
      <w:pPr>
        <w:pStyle w:val="BookText"/>
      </w:pPr>
      <w:r>
        <w:rPr>
          <w:rFonts w:ascii="Amiri" w:hAnsi="Amiri" w:eastAsia="Amiri" w:cs="Amiri"/>
          <w:lang w:bidi="ar-SA"/>
          <w:color w:val="111111"/>
          <w:sz w:val="28"/>
          <w:szCs w:val="28"/>
          <w:rtl/>
        </w:rPr>
        <w:t xml:space="preserve">و قد أفتی بذلک فی المبسوط فیما لو باع شاةً غیر مصرّاةٍ و حلبها أیّاماً ثمّ وجد المشتری بها عیباً.ثمّ قال:و قیل:لیس له ردّها،لأنّه تصرّفٌ بالحلب </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بالجملة،فالجمع بین النصّ و الفتوی الظاهرین فی کون التصرّف</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مسقطاً لدلالته علی الرضا بلزوم العقد،و بین ما تقدّم من التصرّفات المذکورة فی کثیرٍ من الفتاوی خصوصاً ما ذکره غیر واحدٍ </w:t>
      </w:r>
      <w:r>
        <w:rPr>
          <w:rStyle w:val="FootnoteReference"/>
        </w:rPr>
        <w:footnoteReference w:id="2886"/>
      </w:r>
      <w:r>
        <w:rPr>
          <w:rFonts w:ascii="IRNazanin" w:hAnsi="IRNazanin" w:eastAsia="IRNazanin" w:cs="IRNazanin"/>
          <w:lang w:bidi="fa-IR"/>
          <w:color w:val="111111"/>
          <w:sz w:val="28"/>
          <w:szCs w:val="28"/>
          <w:rtl/>
        </w:rPr>
        <w:t xml:space="preserve">من الجزم بسقوط الخیار بالرکوب فی طریق الردّ،أو التردّد فیه و فی التصرّف للاستخبار مع العلم بعدم اقترانهما بالرضا بلزوم العقد فی غایة الإشکال، و اللّٰه العالم بحقیقة الحال.</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29" w:name="pg14419_167392"/>
    <w:bookmarkEnd w:id="329"/>
    <w:p>
      <w:pPr>
        <w:pStyle w:val="Heading6"/>
      </w:pPr>
      <w:bookmarkStart w:id="1214" w:name="_Toc654"/>
      <w:r>
        <w:t>الثالث : خیار الشرط</w:t>
      </w:r>
      <w:bookmarkEnd w:id="1214"/>
    </w:p>
    <w:p>
      <w:pPr>
        <w:pStyle w:val="Heading6"/>
      </w:pPr>
      <w:bookmarkStart w:id="1215" w:name="_Toc655"/>
      <w:r>
        <w:t>اشارة</w:t>
      </w:r>
      <w:bookmarkEnd w:id="12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أعنی الثابت بسبب اشتراطه فی العقد،و لا خلاف فی صحّة هذا الشرط،و لا فی أنّه لا یتقدّر بحدٍّ عندنا،و نقلُ الإجماع علیه مستفیضٌ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فیه قبل ذلک:الأخبار العامّة المسوّغة لاشتراط کلّ شرطٍ إلّا ما استثنی،و الأخبار الخاصّة الواردة فی بعض أفراد المسألة.</w:t>
      </w:r>
    </w:p>
    <w:p>
      <w:pPr>
        <w:pStyle w:val="BookText"/>
      </w:pPr>
      <w:r>
        <w:rPr>
          <w:rFonts w:ascii="IRNazanin" w:hAnsi="IRNazanin" w:eastAsia="IRNazanin" w:cs="IRNazanin"/>
          <w:lang w:bidi="fa-IR"/>
          <w:color w:val="111111"/>
          <w:sz w:val="28"/>
          <w:szCs w:val="28"/>
          <w:rtl/>
        </w:rPr>
        <w:t xml:space="preserve">فمن الاُولی:الخبر المستفیض الذی لا یبعد دعوی تواتره:«إنّ المسلمین عند شروطهم» </w:t>
      </w:r>
      <w:r>
        <w:rPr>
          <w:rStyle w:val="FootnoteReference"/>
        </w:rPr>
        <w:footnoteReference w:id="2888"/>
      </w:r>
      <w:r>
        <w:rPr>
          <w:rFonts w:ascii="Amiri" w:hAnsi="Amiri" w:eastAsia="Amiri" w:cs="Amiri"/>
          <w:lang w:bidi="ar-SA"/>
          <w:color w:val="111111"/>
          <w:sz w:val="28"/>
          <w:szCs w:val="28"/>
          <w:rtl/>
        </w:rPr>
        <w:t xml:space="preserve">و زید فی صحیحة ابن سنان:«إلّا کلّ شرطٍ خالف کتاب اللّٰه فلا یجوز» </w:t>
      </w:r>
      <w:r>
        <w:rPr>
          <w:rStyle w:val="FootnoteReference"/>
        </w:rPr>
        <w:footnoteReference w:id="2889"/>
      </w:r>
      <w:r>
        <w:rPr>
          <w:rFonts w:ascii="Amiri" w:hAnsi="Amiri" w:eastAsia="Amiri" w:cs="Amiri"/>
          <w:lang w:bidi="ar-SA"/>
          <w:color w:val="111111"/>
          <w:sz w:val="28"/>
          <w:szCs w:val="28"/>
          <w:rtl/>
        </w:rPr>
        <w:t xml:space="preserve">.و فی موثّقة إسحاق بن عمّار:«إلّا شرطاً حرّم حلالاً أو حلّل حراماً»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نعم،فی صحیحةٍ أُخری لابن سنان:«من اشترط شرطاً مخالفاً لکتاب اللّٰه فلا یجوز علی الذی اشترط علیه،و المسلمون عند شروطهم، فیما وافق کتاب اللّٰه»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المراد منه بقرینة المقابلة عدم المخالفة،للإجماع علی عدم اعتبار موافقة الشرط لظاهر الکتاب.و تمام الکلام فی معنی هذه الأخبار و توضیح المراد من الاستثناء الوارد فیها یأتی فی باب الشرط فی ضمن العقد إن شاء اللّٰه تعالی.</w:t>
      </w:r>
    </w:p>
    <w:p>
      <w:pPr>
        <w:pStyle w:val="BookText"/>
      </w:pPr>
      <w:r>
        <w:rPr>
          <w:rFonts w:ascii="IRNazanin" w:hAnsi="IRNazanin" w:eastAsia="IRNazanin" w:cs="IRNazanin"/>
          <w:lang w:bidi="fa-IR"/>
          <w:color w:val="111111"/>
          <w:sz w:val="28"/>
          <w:szCs w:val="28"/>
          <w:rtl/>
        </w:rPr>
        <w:t xml:space="preserve">و المقصود هنا بیان أحکام الخیار المشترط فی العقد،و هی تظهر برسم مسائل:</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30" w:name="pg14419_167394"/>
    <w:bookmarkEnd w:id="330"/>
    <w:p>
      <w:pPr>
        <w:pStyle w:val="Heading6"/>
      </w:pPr>
      <w:bookmarkStart w:id="1216" w:name="_Toc656"/>
      <w:r>
        <w:t>مسألة : لا فرق بین کون زمان الخیار متّصلاً بالعقد أو منفصلاً عنه</w:t>
      </w:r>
      <w:bookmarkEnd w:id="1216"/>
    </w:p>
    <w:p>
      <w:pPr>
        <w:pStyle w:val="BookText"/>
      </w:pPr>
      <w:r>
        <w:rPr>
          <w:rFonts w:ascii="Amiri" w:hAnsi="Amiri" w:eastAsia="Amiri" w:cs="Amiri"/>
          <w:lang w:bidi="ar-SA"/>
          <w:color w:val="111111"/>
          <w:sz w:val="28"/>
          <w:szCs w:val="28"/>
          <w:rtl/>
        </w:rPr>
        <w:t xml:space="preserve">لعموم أدلّة الشرط.</w:t>
      </w:r>
    </w:p>
    <w:p>
      <w:pPr>
        <w:pStyle w:val="BookText"/>
      </w:pPr>
      <w:r>
        <w:rPr>
          <w:rFonts w:ascii="IRNazanin" w:hAnsi="IRNazanin" w:eastAsia="IRNazanin" w:cs="IRNazanin"/>
          <w:lang w:bidi="fa-IR"/>
          <w:color w:val="111111"/>
          <w:sz w:val="28"/>
          <w:szCs w:val="28"/>
          <w:rtl/>
        </w:rPr>
        <w:t xml:space="preserve">قال فی التذکرة:لو شرط خیار الغد صحّ عندنا،خلافاً للشافعی </w:t>
      </w:r>
      <w:r>
        <w:rPr>
          <w:rStyle w:val="FootnoteReference"/>
        </w:rPr>
        <w:footnoteReference w:id="2892"/>
      </w:r>
      <w:r>
        <w:rPr>
          <w:rFonts w:ascii="IRNazanin" w:hAnsi="IRNazanin" w:eastAsia="IRNazanin" w:cs="IRNazanin"/>
          <w:lang w:bidi="fa-IR"/>
          <w:color w:val="111111"/>
          <w:sz w:val="28"/>
          <w:szCs w:val="28"/>
          <w:rtl/>
        </w:rPr>
        <w:t xml:space="preserve">.و استدلّ له فی موضعٍ آخر بلزوم صیرورة العقد جائزاً بعد اللزوم </w:t>
      </w:r>
      <w:r>
        <w:rPr>
          <w:rStyle w:val="FootnoteReference"/>
        </w:rPr>
        <w:footnoteReference w:id="2893"/>
      </w:r>
      <w:r>
        <w:rPr>
          <w:rFonts w:ascii="IRNazanin" w:hAnsi="IRNazanin" w:eastAsia="IRNazanin" w:cs="IRNazanin"/>
          <w:lang w:bidi="fa-IR"/>
          <w:color w:val="111111"/>
          <w:sz w:val="28"/>
          <w:szCs w:val="28"/>
          <w:rtl/>
        </w:rPr>
        <w:t xml:space="preserve">.و رُدّ بعدم المانع من ذلک؛مع أنّه کما فی التذکرة </w:t>
      </w:r>
      <w:r>
        <w:rPr>
          <w:rStyle w:val="FootnoteReference"/>
        </w:rPr>
        <w:footnoteReference w:id="2894"/>
      </w:r>
      <w:r>
        <w:rPr>
          <w:rFonts w:ascii="IRNazanin" w:hAnsi="IRNazanin" w:eastAsia="IRNazanin" w:cs="IRNazanin"/>
          <w:lang w:bidi="fa-IR"/>
          <w:color w:val="111111"/>
          <w:sz w:val="28"/>
          <w:szCs w:val="28"/>
          <w:rtl/>
        </w:rPr>
        <w:t xml:space="preserve">منتقضٌ بخیار التأخیر و خیار الرؤیة.</w:t>
      </w:r>
    </w:p>
    <w:p>
      <w:pPr>
        <w:pStyle w:val="BookText"/>
      </w:pPr>
      <w:r>
        <w:rPr>
          <w:rFonts w:ascii="IRNazanin" w:hAnsi="IRNazanin" w:eastAsia="IRNazanin" w:cs="IRNazanin"/>
          <w:lang w:bidi="fa-IR"/>
          <w:color w:val="111111"/>
          <w:sz w:val="28"/>
          <w:szCs w:val="28"/>
          <w:rtl/>
        </w:rPr>
        <w:t xml:space="preserve">نعم،یشترط تعیین المدّة،فلو تراضیا علی مدّةٍ مجهولةٍ کقدوم الحاجّ بطل بلا خلاف،بل حکی الإجماع علیه صریحاً </w:t>
      </w:r>
      <w:r>
        <w:rPr>
          <w:rStyle w:val="FootnoteReference"/>
        </w:rPr>
        <w:footnoteReference w:id="2895"/>
      </w:r>
      <w:r>
        <w:rPr>
          <w:rFonts w:ascii="IRNazanin" w:hAnsi="IRNazanin" w:eastAsia="IRNazanin" w:cs="IRNazanin"/>
          <w:lang w:bidi="fa-IR"/>
          <w:color w:val="111111"/>
          <w:sz w:val="28"/>
          <w:szCs w:val="28"/>
          <w:rtl/>
        </w:rPr>
        <w:t xml:space="preserve">لصیرورة المعاملة بذلک غرریّة.و لا عبرة بمسامحة العرف فی بعض المقامات و إقدام العقلاء علیه أحیاناً،فإنّ المستفاد من تتبّع أحکام المعاملات</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رضا الشارع بذلک؛إذ کثیراً ما یتّفق التشاحّ فی مثل الساعة و الساعتین من زمان الخیار فضلاً عن الیوم و الیومین.</w:t>
      </w:r>
    </w:p>
    <w:p>
      <w:pPr>
        <w:pStyle w:val="BookText"/>
      </w:pPr>
      <w:r>
        <w:rPr>
          <w:rFonts w:ascii="IRNazanin" w:hAnsi="IRNazanin" w:eastAsia="IRNazanin" w:cs="IRNazanin"/>
          <w:lang w:bidi="fa-IR"/>
          <w:color w:val="111111"/>
          <w:sz w:val="28"/>
          <w:szCs w:val="28"/>
          <w:rtl/>
        </w:rPr>
        <w:t xml:space="preserve">و بالجملة،فالغرر لا ینتفی بمسامحة الناس فی غیر زمان الحاجة إلی المداقّة،و إلّا لم یکن بیع الجزاف و ما تعذّر تسلیمه و الثمن المحتمل للتفاوت القلیل و غیر ذلک من الجهالات غرراً؛لتسامح الناس فی غیر مقام الحاجة إلی المداقّة فی أکثر الجهالات.</w:t>
      </w:r>
    </w:p>
    <w:p>
      <w:pPr>
        <w:pStyle w:val="BookText"/>
      </w:pPr>
      <w:r>
        <w:rPr>
          <w:rFonts w:ascii="IRNazanin" w:hAnsi="IRNazanin" w:eastAsia="IRNazanin" w:cs="IRNazanin"/>
          <w:lang w:bidi="fa-IR"/>
          <w:color w:val="111111"/>
          <w:sz w:val="28"/>
          <w:szCs w:val="28"/>
          <w:rtl/>
        </w:rPr>
        <w:t xml:space="preserve">و لعلّ هذا مراد بعض الأساطین من قوله:«إنّ دائرة الغرر فی الشرع أضیق من دائرته </w:t>
      </w:r>
      <w:r>
        <w:rPr>
          <w:rStyle w:val="FootnoteReference"/>
        </w:rPr>
        <w:footnoteReference w:id="2896"/>
      </w:r>
      <w:r>
        <w:rPr>
          <w:rFonts w:ascii="IRNazanin" w:hAnsi="IRNazanin" w:eastAsia="IRNazanin" w:cs="IRNazanin"/>
          <w:lang w:bidi="fa-IR"/>
          <w:color w:val="111111"/>
          <w:sz w:val="28"/>
          <w:szCs w:val="28"/>
          <w:rtl/>
        </w:rPr>
        <w:t xml:space="preserve">فی العرف» </w:t>
      </w:r>
      <w:r>
        <w:rPr>
          <w:rStyle w:val="FootnoteReference"/>
        </w:rPr>
        <w:footnoteReference w:id="2897"/>
      </w:r>
      <w:r>
        <w:rPr>
          <w:rFonts w:ascii="IRNazanin" w:hAnsi="IRNazanin" w:eastAsia="IRNazanin" w:cs="IRNazanin"/>
          <w:lang w:bidi="fa-IR"/>
          <w:color w:val="111111"/>
          <w:sz w:val="28"/>
          <w:szCs w:val="28"/>
          <w:rtl/>
        </w:rPr>
        <w:t xml:space="preserve">و إلّا فالغرر لفظٌ لا یرجع فی معناه إلّا إلی العرف.</w:t>
      </w:r>
    </w:p>
    <w:p>
      <w:pPr>
        <w:pStyle w:val="BookText"/>
      </w:pPr>
      <w:r>
        <w:rPr>
          <w:rFonts w:ascii="IRNazanin" w:hAnsi="IRNazanin" w:eastAsia="IRNazanin" w:cs="IRNazanin"/>
          <w:lang w:bidi="fa-IR"/>
          <w:color w:val="111111"/>
          <w:sz w:val="28"/>
          <w:szCs w:val="28"/>
          <w:rtl/>
        </w:rPr>
        <w:t xml:space="preserve">نعم الجهالة التی لا یرجع الأمر معها غالباً إلی التشاحّ بحیث یکون النادر کالمعدوم لا تعدّ غرراً،کتفاوت المکاییل و الموازین.</w:t>
      </w:r>
    </w:p>
    <w:p>
      <w:pPr>
        <w:pStyle w:val="BookText"/>
      </w:pPr>
      <w:r>
        <w:rPr>
          <w:rFonts w:ascii="IRNazanin" w:hAnsi="IRNazanin" w:eastAsia="IRNazanin" w:cs="IRNazanin"/>
          <w:lang w:bidi="fa-IR"/>
          <w:color w:val="111111"/>
          <w:sz w:val="28"/>
          <w:szCs w:val="28"/>
          <w:rtl/>
        </w:rPr>
        <w:t xml:space="preserve">و یشیر إلی ما ذکرنا الأخبار الدالّة علی اعتبار کون السلَم إلی أجلٍ معلوم </w:t>
      </w:r>
      <w:r>
        <w:rPr>
          <w:rStyle w:val="FootnoteReference"/>
        </w:rPr>
        <w:footnoteReference w:id="2898"/>
      </w:r>
      <w:r>
        <w:rPr>
          <w:rFonts w:ascii="IRNazanin" w:hAnsi="IRNazanin" w:eastAsia="IRNazanin" w:cs="IRNazanin"/>
          <w:lang w:bidi="fa-IR"/>
          <w:color w:val="111111"/>
          <w:sz w:val="28"/>
          <w:szCs w:val="28"/>
          <w:rtl/>
        </w:rPr>
        <w:t xml:space="preserve">،و خصوص موثّقة غیاث:«لا بأس بالسلَم فی کیلٍ معلومٍ إلی أجلٍ معلومٍ،لا یسلم إلی دیاس أو إلی حصاد» </w:t>
      </w:r>
      <w:r>
        <w:rPr>
          <w:rStyle w:val="FootnoteReference"/>
        </w:rPr>
        <w:footnoteReference w:id="2899"/>
      </w:r>
      <w:r>
        <w:rPr>
          <w:rFonts w:ascii="IRNazanin" w:hAnsi="IRNazanin" w:eastAsia="IRNazanin" w:cs="IRNazanin"/>
          <w:lang w:bidi="fa-IR"/>
          <w:color w:val="111111"/>
          <w:sz w:val="28"/>
          <w:szCs w:val="28"/>
          <w:rtl/>
        </w:rPr>
        <w:t xml:space="preserve">مع أنّ التأجیل إلی الدیاس و الحصاد و شبههما فوق حدّ الإحصاء بین العقلاء الجاهلین بالشرع.</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یستدلّ </w:t>
      </w:r>
      <w:r>
        <w:rPr>
          <w:rStyle w:val="FootnoteReference"/>
        </w:rPr>
        <w:footnoteReference w:id="2900"/>
      </w:r>
      <w:r>
        <w:rPr>
          <w:rFonts w:ascii="Amiri" w:hAnsi="Amiri" w:eastAsia="Amiri" w:cs="Amiri"/>
          <w:lang w:bidi="ar-SA"/>
          <w:color w:val="111111"/>
          <w:sz w:val="28"/>
          <w:szCs w:val="28"/>
          <w:rtl/>
        </w:rPr>
        <w:t xml:space="preserve">علی ذلک بأنّ اشتراط المدّة المجهولة مخالفٌ للکتاب و السنّة؛لأنّه غررٌ.</w:t>
      </w:r>
    </w:p>
    <w:p>
      <w:pPr>
        <w:pStyle w:val="BookText"/>
      </w:pPr>
      <w:r>
        <w:rPr>
          <w:rFonts w:ascii="IRNazanin" w:hAnsi="IRNazanin" w:eastAsia="IRNazanin" w:cs="IRNazanin"/>
          <w:lang w:bidi="fa-IR"/>
          <w:color w:val="111111"/>
          <w:sz w:val="28"/>
          <w:szCs w:val="28"/>
          <w:rtl/>
        </w:rPr>
        <w:t xml:space="preserve">و فیه:أنّ کون البیع بواسطة الشرط مخالفاً للکتاب و السنّة غیر کون نفس الشرط مخالفاً للکتاب و السنّة،ففی الثانی یفسد الشرط و یتبعه البیع،و فی الأوّل یفسد البیع فیلغو الشرط.</w:t>
      </w:r>
    </w:p>
    <w:p>
      <w:pPr>
        <w:pStyle w:val="BookText"/>
      </w:pPr>
      <w:r>
        <w:rPr>
          <w:rFonts w:ascii="IRNazanin" w:hAnsi="IRNazanin" w:eastAsia="IRNazanin" w:cs="IRNazanin"/>
          <w:lang w:bidi="fa-IR"/>
          <w:color w:val="111111"/>
          <w:sz w:val="28"/>
          <w:szCs w:val="28"/>
          <w:rtl/>
        </w:rPr>
        <w:t xml:space="preserve">اللهمّ إلّا أن یراد أنّ نفس الالتزام بخیارٍ فی مدّةٍ مجهولةٍ غررٌ و إن لم یکن بیعاً،فیشمله دلیل نفی الغرر،فیکون مخالفاً للکتاب و السنّة.</w:t>
      </w:r>
    </w:p>
    <w:p>
      <w:pPr>
        <w:pStyle w:val="BookText"/>
      </w:pPr>
      <w:r>
        <w:rPr>
          <w:rFonts w:ascii="IRNazanin" w:hAnsi="IRNazanin" w:eastAsia="IRNazanin" w:cs="IRNazanin"/>
          <w:lang w:bidi="fa-IR"/>
          <w:color w:val="111111"/>
          <w:sz w:val="28"/>
          <w:szCs w:val="28"/>
          <w:rtl/>
        </w:rPr>
        <w:t xml:space="preserve">لکن لا یخفی سرایة الغرر إلی البیع،فیکون الاستناد فی فساده إلی فساد شرطه المخالف للکتاب کالأکل من القفا.</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31" w:name="pg14419_167397"/>
    <w:bookmarkEnd w:id="331"/>
    <w:p>
      <w:pPr>
        <w:pStyle w:val="Heading6"/>
      </w:pPr>
      <w:bookmarkStart w:id="1217" w:name="_Toc657"/>
      <w:r>
        <w:t>مسألة : لا فرق فی بطلان العقد بین ذکر المدّة المجهولة کقدوم الحاجّ،و بین عدم ذکر المدّة أصلاً</w:t>
      </w:r>
      <w:bookmarkEnd w:id="12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کأن یقول:«بعتک علی أن یکون لی الخیار»، و بین ذکر المدّة المطلقة،کأن یقول:«بعتک علی أن یکون لی الخیار مدّة»؛لاستواء الکلّ فی الغرر.</w:t>
      </w:r>
    </w:p>
    <w:p>
      <w:pPr>
        <w:pStyle w:val="BookText"/>
      </w:pPr>
      <w:r>
        <w:rPr>
          <w:rFonts w:ascii="Amiri" w:hAnsi="Amiri" w:eastAsia="Amiri" w:cs="Amiri"/>
          <w:lang w:bidi="ar-SA"/>
          <w:color w:val="111111"/>
          <w:sz w:val="28"/>
          <w:szCs w:val="28"/>
          <w:rtl/>
        </w:rPr>
        <w:t xml:space="preserve">خلافاً للمحکیّ </w:t>
      </w:r>
      <w:r>
        <w:rPr>
          <w:rStyle w:val="FootnoteReference"/>
        </w:rPr>
        <w:footnoteReference w:id="2901"/>
      </w:r>
      <w:r>
        <w:rPr>
          <w:rFonts w:ascii="IRNazanin" w:hAnsi="IRNazanin" w:eastAsia="IRNazanin" w:cs="IRNazanin"/>
          <w:lang w:bidi="fa-IR"/>
          <w:color w:val="111111"/>
          <w:sz w:val="28"/>
          <w:szCs w:val="28"/>
          <w:rtl/>
        </w:rPr>
        <w:t xml:space="preserve">عن المقنعة و الانتصار و الخلاف و الجواهر و الغنیة و الحلبی،فجعلوا مدّة الخیار فی الصورة الاُولی </w:t>
      </w:r>
      <w:r>
        <w:rPr>
          <w:rStyle w:val="FootnoteReference"/>
        </w:rPr>
        <w:footnoteReference w:id="2902"/>
      </w:r>
      <w:r>
        <w:rPr>
          <w:rFonts w:ascii="Amiri" w:hAnsi="Amiri" w:eastAsia="Amiri" w:cs="Amiri"/>
          <w:lang w:bidi="ar-SA"/>
          <w:color w:val="111111"/>
          <w:sz w:val="28"/>
          <w:szCs w:val="28"/>
          <w:rtl/>
        </w:rPr>
        <w:t xml:space="preserve">ثلاثة أیّام.</w:t>
      </w:r>
    </w:p>
    <w:p>
      <w:pPr>
        <w:pStyle w:val="BookText"/>
      </w:pPr>
      <w:r>
        <w:rPr>
          <w:rFonts w:ascii="IRNazanin" w:hAnsi="IRNazanin" w:eastAsia="IRNazanin" w:cs="IRNazanin"/>
          <w:lang w:bidi="fa-IR"/>
          <w:color w:val="111111"/>
          <w:sz w:val="28"/>
          <w:szCs w:val="28"/>
          <w:rtl/>
        </w:rPr>
        <w:t xml:space="preserve">و یحتمل حمل الثانیة علیها،و عن الانتصار و الغنیة و الجواهر:الإجماع علیه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محکیّ الخلاف:وجود أخبار الفرقة به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أنّ هذه الحکایة بمنزلة إرسال أخبارٍ،فیکفی فی انجبارها الإجماعات المنقولة؛و لذا مال إلیه فی محکیّ الدروس </w:t>
      </w:r>
      <w:r>
        <w:rPr>
          <w:rStyle w:val="FootnoteReference"/>
        </w:rPr>
        <w:footnoteReference w:id="2905"/>
      </w:r>
      <w:r>
        <w:rPr>
          <w:rFonts w:ascii="Amiri" w:hAnsi="Amiri" w:eastAsia="Amiri" w:cs="Amiri"/>
          <w:lang w:bidi="ar-SA"/>
          <w:color w:val="111111"/>
          <w:sz w:val="28"/>
          <w:szCs w:val="28"/>
          <w:rtl/>
        </w:rPr>
        <w:t xml:space="preserve">.لکن العلّامة فی التذکرة لم یحکِ هذا القول إلّا عن الشیخ قدّس سرّه و أوَّلَه بإرادة خیار الحیوان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العلّامة الطباطبائی فی مصابیحه:الجزم به </w:t>
      </w:r>
      <w:r>
        <w:rPr>
          <w:rStyle w:val="FootnoteReference"/>
        </w:rPr>
        <w:footnoteReference w:id="2907"/>
      </w:r>
      <w:r>
        <w:rPr>
          <w:rFonts w:ascii="IRNazanin" w:hAnsi="IRNazanin" w:eastAsia="IRNazanin" w:cs="IRNazanin"/>
          <w:lang w:bidi="fa-IR"/>
          <w:color w:val="111111"/>
          <w:sz w:val="28"/>
          <w:szCs w:val="28"/>
          <w:rtl/>
        </w:rPr>
        <w:t xml:space="preserve">،و قوّاه بعض المعاصرین </w:t>
      </w:r>
      <w:r>
        <w:rPr>
          <w:rStyle w:val="FootnoteReference"/>
        </w:rPr>
        <w:footnoteReference w:id="2908"/>
      </w:r>
      <w:r>
        <w:rPr>
          <w:rFonts w:ascii="IRNazanin" w:hAnsi="IRNazanin" w:eastAsia="IRNazanin" w:cs="IRNazanin"/>
          <w:lang w:bidi="fa-IR"/>
          <w:color w:val="111111"/>
          <w:sz w:val="28"/>
          <w:szCs w:val="28"/>
          <w:rtl/>
        </w:rPr>
        <w:t xml:space="preserve">منتصراً لهم بما فی مفتاح الکرامة:من أنّه لیس فی الأدلّة ما یخالفه،إذ الغرر مندفعٌ بتحدید الشرع و إن لم یعلم به المتعاقدان کخیار الحیوان الذی لا إشکال فی صحّة العقد مع الجهل به أو بمدّته.</w:t>
      </w:r>
    </w:p>
    <w:p>
      <w:pPr>
        <w:pStyle w:val="BookText"/>
      </w:pPr>
      <w:r>
        <w:rPr>
          <w:rFonts w:ascii="IRNazanin" w:hAnsi="IRNazanin" w:eastAsia="IRNazanin" w:cs="IRNazanin"/>
          <w:lang w:bidi="fa-IR"/>
          <w:color w:val="111111"/>
          <w:sz w:val="28"/>
          <w:szCs w:val="28"/>
          <w:rtl/>
        </w:rPr>
        <w:t xml:space="preserve">و زاد فی مفتاح الکرامة </w:t>
      </w:r>
      <w:r>
        <w:rPr>
          <w:rStyle w:val="FootnoteReference"/>
        </w:rPr>
        <w:footnoteReference w:id="2909"/>
      </w:r>
      <w:r>
        <w:rPr>
          <w:rFonts w:ascii="IRNazanin" w:hAnsi="IRNazanin" w:eastAsia="IRNazanin" w:cs="IRNazanin"/>
          <w:lang w:bidi="fa-IR"/>
          <w:color w:val="111111"/>
          <w:sz w:val="28"/>
          <w:szCs w:val="28"/>
          <w:rtl/>
        </w:rPr>
        <w:t xml:space="preserve">:بأنّ الجهل یؤول إلی العلم الحاصل من الشرع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فیه:ما تقدّم فی مسألة تعذّر التسلیم </w:t>
      </w:r>
      <w:r>
        <w:rPr>
          <w:rStyle w:val="FootnoteReference"/>
        </w:rPr>
        <w:footnoteReference w:id="2911"/>
      </w:r>
      <w:r>
        <w:rPr>
          <w:rFonts w:ascii="IRNazanin" w:hAnsi="IRNazanin" w:eastAsia="IRNazanin" w:cs="IRNazanin"/>
          <w:lang w:bidi="fa-IR"/>
          <w:color w:val="111111"/>
          <w:sz w:val="28"/>
          <w:szCs w:val="28"/>
          <w:rtl/>
        </w:rPr>
        <w:t xml:space="preserve">:من أنّ بیع الغرر</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عرفیٌّ حکم فیه الشارع بالفساد،و التحدید بالثلاثة تعبّدٌ شرعیٌّ لم یقصده المتعاقدان،فإن ثبت بالدلیل کان مخصّصاً لعموم نفی الغرر و کان التحدید تعبّدیاً،نظیر التحدید الوارد فی بعض الوصایا المبهمة </w:t>
      </w:r>
      <w:r>
        <w:rPr>
          <w:rStyle w:val="FootnoteReference"/>
        </w:rPr>
        <w:footnoteReference w:id="2912"/>
      </w:r>
      <w:r>
        <w:rPr>
          <w:rFonts w:ascii="Amiri" w:hAnsi="Amiri" w:eastAsia="Amiri" w:cs="Amiri"/>
          <w:lang w:bidi="ar-SA"/>
          <w:color w:val="111111"/>
          <w:sz w:val="28"/>
          <w:szCs w:val="28"/>
          <w:rtl/>
        </w:rPr>
        <w:t xml:space="preserve">، أو یکون حکماً شرعیّاً ثبت فی موضوعٍ خاصّ،و هو إهمال مدّة الخیار.</w:t>
      </w:r>
    </w:p>
    <w:p>
      <w:pPr>
        <w:pStyle w:val="BookText"/>
      </w:pPr>
      <w:r>
        <w:rPr>
          <w:rFonts w:ascii="IRNazanin" w:hAnsi="IRNazanin" w:eastAsia="IRNazanin" w:cs="IRNazanin"/>
          <w:lang w:bidi="fa-IR"/>
          <w:color w:val="111111"/>
          <w:sz w:val="28"/>
          <w:szCs w:val="28"/>
          <w:rtl/>
        </w:rPr>
        <w:t xml:space="preserve">و الحاصل:أنّ الدعوی فی تخصیص أدلّة نفی الغرر لا فی تخصّصها.</w:t>
      </w:r>
    </w:p>
    <w:p>
      <w:pPr>
        <w:pStyle w:val="BookText"/>
      </w:pPr>
      <w:r>
        <w:rPr>
          <w:rFonts w:ascii="IRNazanin" w:hAnsi="IRNazanin" w:eastAsia="IRNazanin" w:cs="IRNazanin"/>
          <w:lang w:bidi="fa-IR"/>
          <w:color w:val="111111"/>
          <w:sz w:val="28"/>
          <w:szCs w:val="28"/>
          <w:rtl/>
        </w:rPr>
        <w:t xml:space="preserve">و الإنصاف:أنّ ما ذکرنا من حکایة الأخبار و نقل الإجماع لا ینهض لتخصیص قاعدة الغرر؛لأنّ الظاهر بقرینة عدم تعرّض الشیخ لذکر شیءٍ من هذه الأخبار فی کتابیه الموضوعین لإیداع الأخبار أنّه عوّل فی هذه الدعوی[علی </w:t>
      </w:r>
      <w:r>
        <w:rPr>
          <w:rStyle w:val="FootnoteReference"/>
        </w:rPr>
        <w:footnoteReference w:id="2913"/>
      </w:r>
      <w:r>
        <w:rPr>
          <w:rFonts w:ascii="IRNazanin" w:hAnsi="IRNazanin" w:eastAsia="IRNazanin" w:cs="IRNazanin"/>
          <w:lang w:bidi="fa-IR"/>
          <w:color w:val="111111"/>
          <w:sz w:val="28"/>
          <w:szCs w:val="28"/>
          <w:rtl/>
        </w:rPr>
        <w:t xml:space="preserve">]اجتهاده فی دلالة الأخبار الواردة فی شرط الحیوان </w:t>
      </w:r>
      <w:r>
        <w:rPr>
          <w:rStyle w:val="FootnoteReference"/>
        </w:rPr>
        <w:footnoteReference w:id="2914"/>
      </w:r>
      <w:r>
        <w:rPr>
          <w:rFonts w:ascii="IRNazanin" w:hAnsi="IRNazanin" w:eastAsia="IRNazanin" w:cs="IRNazanin"/>
          <w:lang w:bidi="fa-IR"/>
          <w:color w:val="111111"/>
          <w:sz w:val="28"/>
          <w:szCs w:val="28"/>
          <w:rtl/>
        </w:rPr>
        <w:t xml:space="preserve">.و لا ریب أنّ الإجماعات المحکیّة إنّما تجبر قصور السند المرسل المتّضح دلالته أو القاصر دلالته،لا المرسل المجهول العین المحتمل لعدم الدلالة رأساً،فالتعویل حینئذٍ علی نفس الجابر و لا حاجة إلی ضمّ المنجبر،إذ نعلم إجمالاً أنّ المجمعین اعتمدوا علی دلالاتٍ اجتهادیّةٍ استنبطوها من الأخبار؛و لا ریب أنّ المستند غالباً فی إجماعات القاضی و ابن زهرة إجماع السیّد فی الانتصار.</w:t>
      </w:r>
    </w:p>
    <w:p>
      <w:pPr>
        <w:pStyle w:val="BookText"/>
      </w:pPr>
      <w:r>
        <w:rPr>
          <w:rFonts w:ascii="Amiri" w:hAnsi="Amiri" w:eastAsia="Amiri" w:cs="Amiri"/>
          <w:lang w:bidi="ar-SA"/>
          <w:color w:val="111111"/>
          <w:sz w:val="28"/>
          <w:szCs w:val="28"/>
          <w:rtl/>
        </w:rPr>
        <w:t xml:space="preserve">نعم،قد روی فی کتب العامّة:أنّ حنّان بن منقذ کان یُخدَع فی البیع لشجّةٍ أصابته فی رأسه،فقال له النبیّ صلّی اللّٰه علیه و آله:«إذا بعت فقل:</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خلابة» </w:t>
      </w:r>
      <w:r>
        <w:rPr>
          <w:rStyle w:val="FootnoteReference"/>
        </w:rPr>
        <w:footnoteReference w:id="2915"/>
      </w:r>
      <w:r>
        <w:rPr>
          <w:rFonts w:ascii="IRNazanin" w:hAnsi="IRNazanin" w:eastAsia="IRNazanin" w:cs="IRNazanin"/>
          <w:lang w:bidi="fa-IR"/>
          <w:color w:val="111111"/>
          <w:sz w:val="28"/>
          <w:szCs w:val="28"/>
          <w:rtl/>
        </w:rPr>
        <w:t xml:space="preserve">و جعل له الخیار ثلاثاً،و فی روایةٍ:«و لک الخیار ثلاثاً»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الخلابة:الخدیعة.</w:t>
      </w:r>
    </w:p>
    <w:p>
      <w:pPr>
        <w:pStyle w:val="BookText"/>
      </w:pPr>
      <w:r>
        <w:rPr>
          <w:rFonts w:ascii="IRNazanin" w:hAnsi="IRNazanin" w:eastAsia="IRNazanin" w:cs="IRNazanin"/>
          <w:lang w:bidi="fa-IR"/>
          <w:color w:val="111111"/>
          <w:sz w:val="28"/>
          <w:szCs w:val="28"/>
          <w:rtl/>
        </w:rPr>
        <w:t xml:space="preserve">و فی دلالته فضلاً عن سنده ما لا یخفی.و جبرهما </w:t>
      </w:r>
      <w:r>
        <w:rPr>
          <w:rStyle w:val="FootnoteReference"/>
        </w:rPr>
        <w:footnoteReference w:id="2917"/>
      </w:r>
      <w:r>
        <w:rPr>
          <w:rFonts w:ascii="IRNazanin" w:hAnsi="IRNazanin" w:eastAsia="IRNazanin" w:cs="IRNazanin"/>
          <w:lang w:bidi="fa-IR"/>
          <w:color w:val="111111"/>
          <w:sz w:val="28"/>
          <w:szCs w:val="28"/>
          <w:rtl/>
        </w:rPr>
        <w:t xml:space="preserve">بالإجماعات کما تری!إذ التعویل علیها مع ذهاب المتأخّرین إلی خلافها </w:t>
      </w:r>
      <w:r>
        <w:rPr>
          <w:rStyle w:val="FootnoteReference"/>
        </w:rPr>
        <w:footnoteReference w:id="2918"/>
      </w:r>
      <w:r>
        <w:rPr>
          <w:rFonts w:ascii="IRNazanin" w:hAnsi="IRNazanin" w:eastAsia="IRNazanin" w:cs="IRNazanin"/>
          <w:lang w:bidi="fa-IR"/>
          <w:color w:val="111111"/>
          <w:sz w:val="28"/>
          <w:szCs w:val="28"/>
          <w:rtl/>
        </w:rPr>
        <w:t xml:space="preserve">فی الخروج عن قاعدة الغرر مشکلٌ،بل غیر صحیحٍ،فالقول بالبطلان لا یخلو عن قوّة.</w:t>
      </w:r>
    </w:p>
    <w:p>
      <w:pPr>
        <w:pStyle w:val="BookText"/>
      </w:pPr>
      <w:r>
        <w:rPr>
          <w:rFonts w:ascii="Amiri" w:hAnsi="Amiri" w:eastAsia="Amiri" w:cs="Amiri"/>
          <w:lang w:bidi="ar-SA"/>
          <w:color w:val="111111"/>
          <w:sz w:val="28"/>
          <w:szCs w:val="28"/>
          <w:rtl/>
        </w:rPr>
        <w:t xml:space="preserve">ثمّ إنّه ربما یقال </w:t>
      </w:r>
      <w:r>
        <w:rPr>
          <w:rStyle w:val="FootnoteReference"/>
        </w:rPr>
        <w:footnoteReference w:id="2919"/>
      </w:r>
      <w:r>
        <w:rPr>
          <w:rFonts w:ascii="IRNazanin" w:hAnsi="IRNazanin" w:eastAsia="IRNazanin" w:cs="IRNazanin"/>
          <w:lang w:bidi="fa-IR"/>
          <w:color w:val="111111"/>
          <w:sz w:val="28"/>
          <w:szCs w:val="28"/>
          <w:rtl/>
        </w:rPr>
        <w:t xml:space="preserve">ببطلان الشرط دون العقد،و لعلّه مبنیٌّ علی أنّ فساد الشرط لا یوجب فساد العقد.</w:t>
      </w:r>
    </w:p>
    <w:p>
      <w:pPr>
        <w:pStyle w:val="BookText"/>
      </w:pPr>
      <w:r>
        <w:rPr>
          <w:rFonts w:ascii="IRNazanin" w:hAnsi="IRNazanin" w:eastAsia="IRNazanin" w:cs="IRNazanin"/>
          <w:lang w:bidi="fa-IR"/>
          <w:color w:val="111111"/>
          <w:sz w:val="28"/>
          <w:szCs w:val="28"/>
          <w:rtl/>
        </w:rPr>
        <w:t xml:space="preserve">و فیه:إنّ هذا علی القول به فیما إذا لم یوجب الشرط فساداً فی أصل البیع کما فیما نحن فیه؛حیث إنّ جهالة الشرط یوجب کون البیع غرریّاً،و إلّا فالمتّجه فساد البیع و لو لم نقل بسرایة الفساد من الشرط إلی المشروط،و سیجیء تمام الکلام فی مسألة الشروط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32" w:name="pg14419_167401"/>
    <w:bookmarkEnd w:id="332"/>
    <w:p>
      <w:pPr>
        <w:pStyle w:val="Heading6"/>
      </w:pPr>
      <w:bookmarkStart w:id="1218" w:name="_Toc658"/>
      <w:r>
        <w:t>مسألة : مبدأ هذا الخیار عند الإطلاق</w:t>
      </w:r>
      <w:bookmarkEnd w:id="121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مسألة مبدأ هذا الخیار عند الإطلاق </w:t>
      </w:r>
      <w:r>
        <w:rPr>
          <w:rStyle w:val="FootnoteReference"/>
        </w:rPr>
        <w:footnoteReference w:id="2921"/>
      </w:r>
      <w:r>
        <w:rPr>
          <w:rFonts w:ascii="IRNazanin" w:hAnsi="IRNazanin" w:eastAsia="IRNazanin" w:cs="IRNazanin"/>
          <w:lang w:bidi="fa-IR"/>
          <w:color w:val="111111"/>
          <w:sz w:val="28"/>
          <w:szCs w:val="28"/>
          <w:rtl/>
        </w:rPr>
        <w:t xml:space="preserve">من حین العقد؛</w:t>
      </w:r>
    </w:p>
    <w:p>
      <w:pPr>
        <w:pStyle w:val="BookText"/>
      </w:pPr>
      <w:r>
        <w:rPr>
          <w:rFonts w:ascii="IRNazanin" w:hAnsi="IRNazanin" w:eastAsia="IRNazanin" w:cs="IRNazanin"/>
          <w:lang w:bidi="fa-IR"/>
          <w:color w:val="111111"/>
          <w:sz w:val="28"/>
          <w:szCs w:val="28"/>
          <w:rtl/>
        </w:rPr>
        <w:t xml:space="preserve">لأنّه المتبادر من الإطلاق.</w:t>
      </w:r>
    </w:p>
    <w:p>
      <w:pPr>
        <w:pStyle w:val="BookText"/>
      </w:pPr>
      <w:r>
        <w:rPr>
          <w:rFonts w:ascii="IRNazanin" w:hAnsi="IRNazanin" w:eastAsia="IRNazanin" w:cs="IRNazanin"/>
          <w:lang w:bidi="fa-IR"/>
          <w:color w:val="111111"/>
          <w:sz w:val="28"/>
          <w:szCs w:val="28"/>
          <w:rtl/>
        </w:rPr>
        <w:t xml:space="preserve">و لو کان زمان الخیار منفصلاً کان مبدؤه أوّل جزءٍ من ذلک الزمان،فلو شرط خیار الغد کان مبدؤه من طلوع فجر الغد.</w:t>
      </w:r>
    </w:p>
    <w:p>
      <w:pPr>
        <w:pStyle w:val="BookText"/>
      </w:pPr>
      <w:r>
        <w:rPr>
          <w:rFonts w:ascii="IRNazanin" w:hAnsi="IRNazanin" w:eastAsia="IRNazanin" w:cs="IRNazanin"/>
          <w:lang w:bidi="fa-IR"/>
          <w:color w:val="111111"/>
          <w:sz w:val="28"/>
          <w:szCs w:val="28"/>
          <w:rtl/>
        </w:rPr>
        <w:t xml:space="preserve">فیجوز جعل مبدئه من انقضاء خیار الحیوان،بناءً علی أنّ مبدأه من حین العقد،و لو جُعل مبدؤه من حین التفرّق بطل؛لأدائه إلی جهالة مدّة الخیار.</w:t>
      </w:r>
    </w:p>
    <w:p>
      <w:pPr>
        <w:pStyle w:val="BookText"/>
      </w:pPr>
      <w:r>
        <w:rPr>
          <w:rFonts w:ascii="IRNazanin" w:hAnsi="IRNazanin" w:eastAsia="IRNazanin" w:cs="IRNazanin"/>
          <w:lang w:bidi="fa-IR"/>
          <w:color w:val="111111"/>
          <w:sz w:val="28"/>
          <w:szCs w:val="28"/>
          <w:rtl/>
        </w:rPr>
        <w:t xml:space="preserve">و عن الشیخ و الحلّی:أنّ مبدأه من حین التفرّق </w:t>
      </w:r>
      <w:r>
        <w:rPr>
          <w:rStyle w:val="FootnoteReference"/>
        </w:rPr>
        <w:footnoteReference w:id="2922"/>
      </w:r>
      <w:r>
        <w:rPr>
          <w:rFonts w:ascii="IRNazanin" w:hAnsi="IRNazanin" w:eastAsia="IRNazanin" w:cs="IRNazanin"/>
          <w:lang w:bidi="fa-IR"/>
          <w:color w:val="111111"/>
          <w:sz w:val="28"/>
          <w:szCs w:val="28"/>
          <w:rtl/>
        </w:rPr>
        <w:t xml:space="preserve">.و قد تقدّم عن الشیخ وجهه </w:t>
      </w:r>
      <w:r>
        <w:rPr>
          <w:rStyle w:val="FootnoteReference"/>
        </w:rPr>
        <w:footnoteReference w:id="2923"/>
      </w:r>
      <w:r>
        <w:rPr>
          <w:rFonts w:ascii="IRNazanin" w:hAnsi="IRNazanin" w:eastAsia="IRNazanin" w:cs="IRNazanin"/>
          <w:lang w:bidi="fa-IR"/>
          <w:color w:val="111111"/>
          <w:sz w:val="28"/>
          <w:szCs w:val="28"/>
          <w:rtl/>
        </w:rPr>
        <w:t xml:space="preserve">مع عدم تمامه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نعم،یمکن أن یقال هنا:إنّ المتبادر من جعل الخیار جعله فی زمانٍ لو لا الخیار لزم العقد،کما أشار إلیه فی السرائر،لکن لو تمّ هذا لاقتضی کونه فی الحیوان من حین انقضاء الثلاثة،مع أنّ هذا إنّما یتمّ مع العلم بثبوت خیار المجلس،و إلّا فمع الجهل به لا یقصد إلّا الجعل من حین العقد،بل الحکم بثبوته من حین التفرّق حکمٌ علی المتعاقدین بخلاف قصدهما.</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33" w:name="pg14419_167403"/>
    <w:bookmarkEnd w:id="333"/>
    <w:p>
      <w:pPr>
        <w:pStyle w:val="Heading6"/>
      </w:pPr>
      <w:bookmarkStart w:id="1219" w:name="_Toc659"/>
      <w:r>
        <w:t>مسألة : یصحّ جعل الخیار لأجنبیٍّ</w:t>
      </w:r>
      <w:bookmarkEnd w:id="1219"/>
    </w:p>
    <w:p>
      <w:pPr>
        <w:pStyle w:val="BookText"/>
      </w:pPr>
      <w:r>
        <w:rPr>
          <w:rFonts w:ascii="IRNazanin" w:hAnsi="IRNazanin" w:eastAsia="IRNazanin" w:cs="IRNazanin"/>
          <w:lang w:bidi="fa-IR"/>
          <w:color w:val="111111"/>
          <w:sz w:val="28"/>
          <w:szCs w:val="28"/>
          <w:rtl/>
        </w:rPr>
        <w:t xml:space="preserve">قال فی التذکرة:لو باع العبد و شرط الخیار للعبد صحّ البیع و الشرط عندنا </w:t>
      </w:r>
      <w:r>
        <w:rPr>
          <w:rStyle w:val="FootnoteReference"/>
        </w:rPr>
        <w:footnoteReference w:id="2925"/>
      </w:r>
      <w:r>
        <w:rPr>
          <w:rStyle w:val="FootnoteReference"/>
        </w:rPr>
        <w:footnoteReference w:id="2926"/>
      </w:r>
      <w:r>
        <w:rPr>
          <w:rFonts w:ascii="IRNazanin" w:hAnsi="IRNazanin" w:eastAsia="IRNazanin" w:cs="IRNazanin"/>
          <w:lang w:bidi="fa-IR"/>
          <w:color w:val="111111"/>
          <w:sz w:val="28"/>
          <w:szCs w:val="28"/>
          <w:rtl/>
        </w:rPr>
        <w:t xml:space="preserve">.و حکی عنه الإجماع فی الأجنبیّ </w:t>
      </w:r>
      <w:r>
        <w:rPr>
          <w:rStyle w:val="FootnoteReference"/>
        </w:rPr>
        <w:footnoteReference w:id="2927"/>
      </w:r>
      <w:r>
        <w:rPr>
          <w:rFonts w:ascii="IRNazanin" w:hAnsi="IRNazanin" w:eastAsia="IRNazanin" w:cs="IRNazanin"/>
          <w:lang w:bidi="fa-IR"/>
          <w:color w:val="111111"/>
          <w:sz w:val="28"/>
          <w:szCs w:val="28"/>
          <w:rtl/>
        </w:rPr>
        <w:t xml:space="preserve">،قال:لأنّ العبد بمنزلة الأجنبیّ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جعل الخیار لمتعدّدٍ،کان کلٌّ منهم ذا خیار،فإن اختلفوا فی الفسخ و الإجازة قدّم الفاسخ؛لأنّ مرجع الإجازة إلی إسقاط خیار المجیز؛بخلاف ما لو وکّل جماعةً فی الخیار،فإنّ النافذ هو التصرّف </w:t>
      </w:r>
      <w:r>
        <w:rPr>
          <w:rStyle w:val="FootnoteReference"/>
        </w:rPr>
        <w:footnoteReference w:id="2929"/>
      </w:r>
      <w:r>
        <w:rPr>
          <w:rFonts w:ascii="IRNazanin" w:hAnsi="IRNazanin" w:eastAsia="IRNazanin" w:cs="IRNazanin"/>
          <w:lang w:bidi="fa-IR"/>
          <w:color w:val="111111"/>
          <w:sz w:val="28"/>
          <w:szCs w:val="28"/>
          <w:rtl/>
        </w:rPr>
        <w:t xml:space="preserve">السابق؛لفوات محلّ الوکالة بعد ذلک.</w:t>
      </w:r>
    </w:p>
    <w:p>
      <w:pPr>
        <w:pStyle w:val="BookText"/>
      </w:pPr>
      <w:r>
        <w:rPr>
          <w:rFonts w:ascii="IRNazanin" w:hAnsi="IRNazanin" w:eastAsia="IRNazanin" w:cs="IRNazanin"/>
          <w:lang w:bidi="fa-IR"/>
          <w:color w:val="111111"/>
          <w:sz w:val="28"/>
          <w:szCs w:val="28"/>
          <w:rtl/>
        </w:rPr>
        <w:t xml:space="preserve">و عن الوسیلة:أنّه إذا کان الخیار لهما و اجتمعا علی فسخٍ أو</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إمضاءٍ نفذ،و إن لم یجتمعا بطل.و إن کان لغیرهما و رضی نفذ البیع،و إن لم یرض کان المبتاع بالخیار بین الفسخ و الإمضاء </w:t>
      </w:r>
      <w:r>
        <w:rPr>
          <w:rStyle w:val="FootnoteReference"/>
        </w:rPr>
        <w:footnoteReference w:id="293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الدروس:یجوز اشتراطه لأجنبیٍّ منفرداً و لا اعتراض علیه، و معهما أو مع أحدهما،و لو خولف أمکن اعتبار فعله،و إلّا لم یکن لذکره فائدةٌ </w:t>
      </w:r>
      <w:r>
        <w:rPr>
          <w:rStyle w:val="FootnoteReference"/>
        </w:rPr>
        <w:footnoteReference w:id="293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2932"/>
      </w:r>
      <w:r>
        <w:rPr>
          <w:rFonts w:ascii="IRNazanin" w:hAnsi="IRNazanin" w:eastAsia="IRNazanin" w:cs="IRNazanin"/>
          <w:lang w:bidi="fa-IR"/>
          <w:color w:val="111111"/>
          <w:sz w:val="28"/>
          <w:szCs w:val="28"/>
          <w:rtl/>
        </w:rPr>
        <w:t xml:space="preserve">:لو لم یمض فسخ الأجنبیّ مع إجازته و المفروض عدم مضیّ إجازته مع فسخه،لم یکن لذکر الأجنبیّ فائدة.</w:t>
      </w:r>
    </w:p>
    <w:p>
      <w:pPr>
        <w:pStyle w:val="BookText"/>
      </w:pPr>
      <w:r>
        <w:rPr>
          <w:rFonts w:ascii="Amiri" w:hAnsi="Amiri" w:eastAsia="Amiri" w:cs="Amiri"/>
          <w:lang w:bidi="ar-SA"/>
          <w:color w:val="111111"/>
          <w:sz w:val="28"/>
          <w:szCs w:val="28"/>
          <w:rtl/>
        </w:rPr>
        <w:t xml:space="preserve">ثمّ إنّه ذکر غیر واحدٍ:أنّ الأجنبیّ یراعی المصلحة للجاعل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لتبادره من الإطلاق،و إلّا فمقتضی التحکیم نفوذ حکمه علی الجاعل من دون ملاحظة[مصلحة </w:t>
      </w:r>
      <w:r>
        <w:rPr>
          <w:rStyle w:val="FootnoteReference"/>
        </w:rPr>
        <w:footnoteReference w:id="2934"/>
      </w:r>
      <w:r>
        <w:rPr>
          <w:rFonts w:ascii="IRNazanin" w:hAnsi="IRNazanin" w:eastAsia="IRNazanin" w:cs="IRNazanin"/>
          <w:lang w:bidi="fa-IR"/>
          <w:color w:val="111111"/>
          <w:sz w:val="28"/>
          <w:szCs w:val="28"/>
          <w:rtl/>
        </w:rPr>
        <w:t xml:space="preserve">]،فتعلیل وجوب مراعاة الأصلح بکونه أمیناً لا یخلو عن نظر.</w:t>
      </w:r>
    </w:p>
    <w:p>
      <w:pPr>
        <w:pStyle w:val="BookText"/>
      </w:pPr>
      <w:r>
        <w:rPr>
          <w:rFonts w:ascii="IRNazanin" w:hAnsi="IRNazanin" w:eastAsia="IRNazanin" w:cs="IRNazanin"/>
          <w:lang w:bidi="fa-IR"/>
          <w:color w:val="111111"/>
          <w:sz w:val="28"/>
          <w:szCs w:val="28"/>
          <w:rtl/>
        </w:rPr>
        <w:t xml:space="preserve">ثمّ إنّه ربما یتخیّل:أنّ اشتراط الخیار للأجنبیّ مخالفٌ للمشروع، نظراً إلی أنّ الثابت فی الشرع صحّة الفسخ بالتفاسخ،أو بدخول الخیار بالأصل کخیاری المجلس و الشرط،أو بالعارض کخیار الفسخ بردّ الثمن لنفس المتعاقدین.</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ضعیفٌ بمنع </w:t>
      </w:r>
      <w:r>
        <w:rPr>
          <w:rStyle w:val="FootnoteReference"/>
        </w:rPr>
        <w:footnoteReference w:id="2935"/>
      </w:r>
      <w:r>
        <w:rPr>
          <w:rFonts w:ascii="IRNazanin" w:hAnsi="IRNazanin" w:eastAsia="IRNazanin" w:cs="IRNazanin"/>
          <w:lang w:bidi="fa-IR"/>
          <w:color w:val="111111"/>
          <w:sz w:val="28"/>
          <w:szCs w:val="28"/>
          <w:rtl/>
        </w:rPr>
        <w:t xml:space="preserve">اعتبار کون الفسخ من أحد المتعاقدین شرعاً و لا عقلاً،بل المعتبر فیه تعلّق حقّ الفاسخ بالعقد أو بالعین و إن کان أجنبیّا؛فحینئذٍ یجوز للمتبایعین اشتراط حقٍّ للأجنبیّ فی العقد؛و سیجیء نظیره فی إرث الزوجة للخیار مع عدم إرثها من العین </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34" w:name="pg14419_167406"/>
    <w:bookmarkEnd w:id="334"/>
    <w:p>
      <w:pPr>
        <w:pStyle w:val="Heading6"/>
      </w:pPr>
      <w:bookmarkStart w:id="1220" w:name="_Toc660"/>
      <w:r>
        <w:t>مسألة : یجوز لهما اشتراط الاستئمار</w:t>
      </w:r>
      <w:bookmarkEnd w:id="12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بأن یستأمر المشروط علیه الأجنبی فی أمر العقد فیأتمر بأمره،أو بأن یأتمره إذا أمره ابتداءً.</w:t>
      </w:r>
    </w:p>
    <w:p>
      <w:pPr>
        <w:pStyle w:val="BookText"/>
      </w:pPr>
      <w:r>
        <w:rPr>
          <w:rFonts w:ascii="IRNazanin" w:hAnsi="IRNazanin" w:eastAsia="IRNazanin" w:cs="IRNazanin"/>
          <w:lang w:bidi="fa-IR"/>
          <w:color w:val="111111"/>
          <w:sz w:val="28"/>
          <w:szCs w:val="28"/>
          <w:rtl/>
        </w:rPr>
        <w:t xml:space="preserve">و علی الأوّل:فإن فسخ المشروط علیه من دون استئمارٍ لم ینفذ.</w:t>
      </w:r>
    </w:p>
    <w:p>
      <w:pPr>
        <w:pStyle w:val="BookText"/>
      </w:pPr>
      <w:r>
        <w:rPr>
          <w:rFonts w:ascii="IRNazanin" w:hAnsi="IRNazanin" w:eastAsia="IRNazanin" w:cs="IRNazanin"/>
          <w:lang w:bidi="fa-IR"/>
          <w:color w:val="111111"/>
          <w:sz w:val="28"/>
          <w:szCs w:val="28"/>
          <w:rtl/>
        </w:rPr>
        <w:t xml:space="preserve">و لو استأمره،فإن أمره بالإجازة لم یکن له الفسخ قطعاً،إذ الغرض من الشرط لیس مجرّد الاستئمار،بل الالتزام بأمره؛مع أنّه لو کان الغرض مجرّد ذلک لم یوجب ذلک أیضاً ملک الفسخ.و إن أمره بالفسخ لم یجب علیه الفسخ،بل غایة الأمر ملک الفسخ حینئذٍ،إذ لا معنی لوجوب الفسخ علیه،أمّا مع عدم رضا الآخر بالفسخ فواضحٌ،إذ المفروض أنّ الثالث لا سلطنة له علی الفسخ و المتعاقدان لا یریدانه، و أمّا مع طلب الآخر للفسخ فلأنّ وجوب الفسخ حینئذٍ علی المستأمر بالکسر راجعٌ إلی حقٍّ لصاحبه علیه،فإن اقتضی اشتراط الاستئمار ذلک الحقّ[علی صاحبه </w:t>
      </w:r>
      <w:r>
        <w:rPr>
          <w:rStyle w:val="FootnoteReference"/>
        </w:rPr>
        <w:footnoteReference w:id="2937"/>
      </w:r>
      <w:r>
        <w:rPr>
          <w:rFonts w:ascii="IRNazanin" w:hAnsi="IRNazanin" w:eastAsia="IRNazanin" w:cs="IRNazanin"/>
          <w:lang w:bidi="fa-IR"/>
          <w:color w:val="111111"/>
          <w:sz w:val="28"/>
          <w:szCs w:val="28"/>
          <w:rtl/>
        </w:rPr>
        <w:t xml:space="preserve">]عرفاً،فمعناه سلطنة صاحبه علی الفسخ، فیرجع اشتراط الاستئمار إلی شرطٍ لکلٍّ منهما علی صاحبه.</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الحاصل:أنّ اشتراط الاستئمار من واحدٍ منهما علی صاحبه إنّما یقتضی ملکه للفسخ إذا أذن له الثالث المستأمر،و اشتراطه لکلٍّ منهما علی صاحبه یقتضی ملک کلِّ واحدٍ منهما للفسخ عند الإذن.</w:t>
      </w:r>
    </w:p>
    <w:p>
      <w:pPr>
        <w:pStyle w:val="BookText"/>
      </w:pPr>
      <w:r>
        <w:rPr>
          <w:rFonts w:ascii="IRNazanin" w:hAnsi="IRNazanin" w:eastAsia="IRNazanin" w:cs="IRNazanin"/>
          <w:lang w:bidi="fa-IR"/>
          <w:color w:val="111111"/>
          <w:sz w:val="28"/>
          <w:szCs w:val="28"/>
          <w:rtl/>
        </w:rPr>
        <w:t xml:space="preserve">و ممّا ذکرنا یتّضح حکم الشقّ الثانی،و هو الائتمار بأمره الابتدائی، فإنّه إن کان شرطاً لأحدهما ملک الفسخ لو أمره به،و إن کان لکلٍّ منهما ملکا کذلک.</w:t>
      </w:r>
    </w:p>
    <w:p>
      <w:pPr>
        <w:pStyle w:val="BookText"/>
      </w:pPr>
      <w:r>
        <w:rPr>
          <w:rFonts w:ascii="IRNazanin" w:hAnsi="IRNazanin" w:eastAsia="IRNazanin" w:cs="IRNazanin"/>
          <w:lang w:bidi="fa-IR"/>
          <w:color w:val="111111"/>
          <w:sz w:val="28"/>
          <w:szCs w:val="28"/>
          <w:rtl/>
        </w:rPr>
        <w:t xml:space="preserve">ثمّ فی اعتبار مراعاة المستأمر للمصلحة و عدمه وجهان،[أوجههما </w:t>
      </w:r>
      <w:r>
        <w:rPr>
          <w:rStyle w:val="FootnoteReference"/>
        </w:rPr>
        <w:footnoteReference w:id="2938"/>
      </w:r>
      <w:r>
        <w:rPr>
          <w:rFonts w:ascii="IRNazanin" w:hAnsi="IRNazanin" w:eastAsia="IRNazanin" w:cs="IRNazanin"/>
          <w:lang w:bidi="fa-IR"/>
          <w:color w:val="111111"/>
          <w:sz w:val="28"/>
          <w:szCs w:val="28"/>
          <w:rtl/>
        </w:rPr>
        <w:t xml:space="preserve">] العدم إن لم یستفد الاعتبار من إطلاق العقد بقرینةٍ حالیّةٍ أو مقالیّةٍ.</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35" w:name="pg14419_167408"/>
    <w:bookmarkEnd w:id="335"/>
    <w:p>
      <w:pPr>
        <w:pStyle w:val="Heading6"/>
      </w:pPr>
      <w:bookmarkStart w:id="1221" w:name="_Toc661"/>
      <w:r>
        <w:t>مسألة : من أفراد خیار الشرط : ما یضاف البیع إلیه</w:t>
      </w:r>
      <w:bookmarkEnd w:id="1221"/>
    </w:p>
    <w:p>
      <w:pPr>
        <w:pStyle w:val="BookText"/>
      </w:pPr>
      <w:r>
        <w:rPr>
          <w:rFonts w:ascii="IRNazanin" w:hAnsi="IRNazanin" w:eastAsia="IRNazanin" w:cs="IRNazanin"/>
          <w:lang w:bidi="fa-IR"/>
          <w:color w:val="111111"/>
          <w:sz w:val="28"/>
          <w:szCs w:val="28"/>
          <w:rtl/>
        </w:rPr>
        <w:t xml:space="preserve">و یقال له:«بیع الخیار» و هو جائزٌ عندنا کما فی التذکرة </w:t>
      </w:r>
      <w:r>
        <w:rPr>
          <w:rStyle w:val="FootnoteReference"/>
        </w:rPr>
        <w:footnoteReference w:id="2939"/>
      </w:r>
      <w:r>
        <w:rPr>
          <w:rFonts w:ascii="IRNazanin" w:hAnsi="IRNazanin" w:eastAsia="IRNazanin" w:cs="IRNazanin"/>
          <w:lang w:bidi="fa-IR"/>
          <w:color w:val="111111"/>
          <w:sz w:val="28"/>
          <w:szCs w:val="28"/>
          <w:rtl/>
        </w:rPr>
        <w:t xml:space="preserve">،و عن غیرها:الإجماع علیه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هو:أن یبیع شیئاً و یشترط الخیار لنفسه مدّةً بأن یردّ الثمن فیها و یرتجع المبیع.</w:t>
      </w:r>
    </w:p>
    <w:p>
      <w:pPr>
        <w:pStyle w:val="BookText"/>
      </w:pPr>
      <w:r>
        <w:rPr>
          <w:rFonts w:ascii="IRNazanin" w:hAnsi="IRNazanin" w:eastAsia="IRNazanin" w:cs="IRNazanin"/>
          <w:lang w:bidi="fa-IR"/>
          <w:color w:val="111111"/>
          <w:sz w:val="28"/>
          <w:szCs w:val="28"/>
          <w:rtl/>
        </w:rPr>
        <w:t xml:space="preserve">و الأصل فیه بعد العمومات المتقدّمة فی الشرط </w:t>
      </w:r>
      <w:r>
        <w:rPr>
          <w:rStyle w:val="FootnoteReference"/>
        </w:rPr>
        <w:footnoteReference w:id="2941"/>
      </w:r>
      <w:r>
        <w:rPr>
          <w:rFonts w:ascii="IRNazanin" w:hAnsi="IRNazanin" w:eastAsia="IRNazanin" w:cs="IRNazanin"/>
          <w:lang w:bidi="fa-IR"/>
          <w:color w:val="111111"/>
          <w:sz w:val="28"/>
          <w:szCs w:val="28"/>
          <w:rtl/>
        </w:rPr>
        <w:t xml:space="preserve">النصوص المستفیضة.</w:t>
      </w:r>
    </w:p>
    <w:p>
      <w:pPr>
        <w:pStyle w:val="BookText"/>
      </w:pPr>
      <w:r>
        <w:rPr>
          <w:rFonts w:ascii="IRNazanin" w:hAnsi="IRNazanin" w:eastAsia="IRNazanin" w:cs="IRNazanin"/>
          <w:lang w:bidi="fa-IR"/>
          <w:color w:val="111111"/>
          <w:sz w:val="28"/>
          <w:szCs w:val="28"/>
          <w:rtl/>
        </w:rPr>
        <w:t xml:space="preserve">منها:موثّقة إسحاق بن عمّار قال:«سمعت من یسأل أبا عبد اللّٰه علیه السلام یقول،و قد سأله:رجلٌ مسلمٌ احتاج إلی بیع داره،فمشی إلی أخیه فقال له:أبیعک داری هذه و یکون لک أحبّ إلیّ من أن یکون لغیرک،</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تشترط لی أنّی إذا جئتک بثمنها إلی سنة تردّها علیَّ؟قال:</w:t>
      </w:r>
    </w:p>
    <w:p>
      <w:pPr>
        <w:pStyle w:val="BookText"/>
      </w:pPr>
      <w:r>
        <w:rPr>
          <w:rFonts w:ascii="IRNazanin" w:hAnsi="IRNazanin" w:eastAsia="IRNazanin" w:cs="IRNazanin"/>
          <w:lang w:bidi="fa-IR"/>
          <w:color w:val="111111"/>
          <w:sz w:val="28"/>
          <w:szCs w:val="28"/>
          <w:rtl/>
        </w:rPr>
        <w:t xml:space="preserve">لا بأس بهذا،إن جاء بثمنها ردّها علیه.قلت:أ رأیت لو کان للدار غلّةٌ لمن تکون؟قال:للمشتری،أ لا تری أنّها لو احترقت کانت من ماله»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معاویة بن میسرة،قال:«سمعت أبا الجارود یسأل أبا عبد اللّٰه علیه السلام عن رجلٍ باع داراً[له </w:t>
      </w:r>
      <w:r>
        <w:rPr>
          <w:rStyle w:val="FootnoteReference"/>
        </w:rPr>
        <w:footnoteReference w:id="2943"/>
      </w:r>
      <w:r>
        <w:rPr>
          <w:rFonts w:ascii="IRNazanin" w:hAnsi="IRNazanin" w:eastAsia="IRNazanin" w:cs="IRNazanin"/>
          <w:lang w:bidi="fa-IR"/>
          <w:color w:val="111111"/>
          <w:sz w:val="28"/>
          <w:szCs w:val="28"/>
          <w:rtl/>
        </w:rPr>
        <w:t xml:space="preserve">]من رجلٍ،و کان بینه و بین الذی اشتری[منه </w:t>
      </w:r>
      <w:r>
        <w:rPr>
          <w:rStyle w:val="FootnoteReference"/>
        </w:rPr>
        <w:footnoteReference w:id="2944"/>
      </w:r>
      <w:r>
        <w:rPr>
          <w:rFonts w:ascii="IRNazanin" w:hAnsi="IRNazanin" w:eastAsia="IRNazanin" w:cs="IRNazanin"/>
          <w:lang w:bidi="fa-IR"/>
          <w:color w:val="111111"/>
          <w:sz w:val="28"/>
          <w:szCs w:val="28"/>
          <w:rtl/>
        </w:rPr>
        <w:t xml:space="preserve">]الدار خلطةٌ،فشرط:أنّک إن أتیتنی بمالی ما بین ثلاث سنین فالدار دارک،فأتاه بماله؟قال:له شرطه.قال له أبو الجارود:فإنّ هذا الرجل قد أصاب فی هذا المال فی ثلاث سنین؟ قال:هو ماله؛و قال علیه السلام:أ رأیت لو أنّ الدار احترقت من مال من کانت؟تکون الدار دار المشتری»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سعید بن یسار فی الصحیح،قال:«قلت لأبی عبد اللّٰه علیه السلام:</w:t>
      </w:r>
    </w:p>
    <w:p>
      <w:pPr>
        <w:pStyle w:val="BookText"/>
      </w:pPr>
      <w:r>
        <w:rPr>
          <w:rFonts w:ascii="IRNazanin" w:hAnsi="IRNazanin" w:eastAsia="IRNazanin" w:cs="IRNazanin"/>
          <w:lang w:bidi="fa-IR"/>
          <w:color w:val="111111"/>
          <w:sz w:val="28"/>
          <w:szCs w:val="28"/>
          <w:rtl/>
        </w:rPr>
        <w:t xml:space="preserve">إنّا نخالط أُناساً من أهل السواد و غیرهم فنبیعهم و نربح علیهم فی العشرة اثنی عشر و ثلاثة عشر،و نؤخّر ذلک فیما بیننا و بینهم السنة و نحوها،و یکتب لنا رجلٌ منهم علی داره أو أرضه بذلک المال الذی فیه الفضل الذی أخذ منّا شراءً بأنّه باع و قبض الثمن منه،فنعده إن هو جاء بالمال إلی وقتٍ بیننا و بینهم أن نردّ علیه الشراء،فإن جاء الوقت</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36" w:name="pg14419_167410"/>
    <w:bookmarkEnd w:id="336"/>
    <w:p>
      <w:pPr>
        <w:pStyle w:val="BookText"/>
      </w:pPr>
      <w:r>
        <w:rPr>
          <w:rFonts w:ascii="IRNazanin" w:hAnsi="IRNazanin" w:eastAsia="IRNazanin" w:cs="IRNazanin"/>
          <w:lang w:bidi="fa-IR"/>
          <w:color w:val="111111"/>
          <w:sz w:val="28"/>
          <w:szCs w:val="28"/>
          <w:rtl/>
        </w:rPr>
        <w:t xml:space="preserve">و لم یأتنا بالدراهم فهو لنا،فما تری فی هذا الشراء؟قال:أری أنّه لک إن لم یفعله،و إن جاء بالمال </w:t>
      </w:r>
      <w:r>
        <w:rPr>
          <w:rStyle w:val="FootnoteReference"/>
        </w:rPr>
        <w:footnoteReference w:id="2946"/>
      </w:r>
      <w:r>
        <w:rPr>
          <w:rFonts w:ascii="Amiri" w:hAnsi="Amiri" w:eastAsia="Amiri" w:cs="Amiri"/>
          <w:lang w:bidi="ar-SA"/>
          <w:color w:val="111111"/>
          <w:sz w:val="28"/>
          <w:szCs w:val="28"/>
          <w:rtl/>
        </w:rPr>
        <w:t xml:space="preserve">فرُدّ علیه»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الجارود عن أبی جعفر علیه السلام قال:«إن بعت رجلاً علی شرطٍ،فإن أتاک بمالک،و إلّا فالبیع لک»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إذا عرفت هذا</w:t>
      </w:r>
    </w:p>
    <w:p>
      <w:pPr>
        <w:pStyle w:val="Heading6"/>
      </w:pPr>
      <w:bookmarkStart w:id="1222" w:name="_Toc662"/>
      <w:r>
        <w:t>فتوضیح المسألة یتحقّق بالکلام فی أُمور</w:t>
      </w:r>
      <w:bookmarkEnd w:id="1222"/>
    </w:p>
    <w:p>
      <w:pPr>
        <w:pStyle w:val="Heading6"/>
      </w:pPr>
      <w:bookmarkStart w:id="1223" w:name="_Toc663"/>
      <w:r>
        <w:t>الأوّل : أنّ اعتبار ردّ الثمن فی هذا الخیار یتصوّر علی وجوه</w:t>
      </w:r>
      <w:bookmarkEnd w:id="1223"/>
    </w:p>
    <w:p>
      <w:pPr>
        <w:pStyle w:val="BookText"/>
      </w:pPr>
      <w:r>
        <w:rPr>
          <w:rFonts w:ascii="IRNazanin" w:hAnsi="IRNazanin" w:eastAsia="IRNazanin" w:cs="IRNazanin"/>
          <w:lang w:bidi="fa-IR"/>
          <w:color w:val="111111"/>
          <w:sz w:val="28"/>
          <w:szCs w:val="28"/>
          <w:rtl/>
        </w:rPr>
        <w:t xml:space="preserve">أحدها:أن یؤخذ قیداً للخیار علی وجه التعلیق أو التوقیت، فلا خیار قبله،و یکون مدّة الخیار منفصلةً دائماً عن العقد و لو بقلیل، و لا خیار قبل الردّ.و المراد بردّ الثمن:فعل ما له دخلٌ فی القبض من طرفه و إن أبی المشتری.</w:t>
      </w:r>
    </w:p>
    <w:p>
      <w:pPr>
        <w:pStyle w:val="BookText"/>
      </w:pPr>
      <w:r>
        <w:rPr>
          <w:rFonts w:ascii="IRNazanin" w:hAnsi="IRNazanin" w:eastAsia="IRNazanin" w:cs="IRNazanin"/>
          <w:lang w:bidi="fa-IR"/>
          <w:color w:val="111111"/>
          <w:sz w:val="28"/>
          <w:szCs w:val="28"/>
          <w:rtl/>
        </w:rPr>
        <w:t xml:space="preserve">الثانی:أن یؤخذ قیداً للفسخ بمعنی أنّ له الخیار فی کلّ جزءٍ من المدّة المضروبة و التسلّط علی الفسخ علی وجه مقارنته لردّ الثمن أو تأخّره عنه.</w:t>
      </w:r>
    </w:p>
    <w:p>
      <w:pPr>
        <w:pStyle w:val="BookText"/>
      </w:pPr>
      <w:r>
        <w:rPr>
          <w:rFonts w:ascii="IRNazanin" w:hAnsi="IRNazanin" w:eastAsia="IRNazanin" w:cs="IRNazanin"/>
          <w:lang w:bidi="fa-IR"/>
          <w:color w:val="111111"/>
          <w:sz w:val="28"/>
          <w:szCs w:val="28"/>
          <w:rtl/>
        </w:rPr>
        <w:t xml:space="preserve">الثالث:أن یکون ردّ الثمن فسخاً فعلیّاً،بأن یراد منه تملیک الثمن لیتملّک منه المبیع.</w:t>
      </w:r>
    </w:p>
    <w:p>
      <w:pPr>
        <w:pStyle w:val="BookText"/>
      </w:pPr>
      <w:r>
        <w:rPr>
          <w:rFonts w:ascii="IRNazanin" w:hAnsi="IRNazanin" w:eastAsia="IRNazanin" w:cs="IRNazanin"/>
          <w:lang w:bidi="fa-IR"/>
          <w:color w:val="111111"/>
          <w:sz w:val="28"/>
          <w:szCs w:val="28"/>
          <w:rtl/>
        </w:rPr>
        <w:t xml:space="preserve">و علیه حَمَل فی الریاض ظاهرَ الأخبار الدالّة علی عود المبیع</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ردّ الثمن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الرابع:أن یؤخذ ردّ الثمن قیداً لانفساخ العقد،فمرجع ثبوت الخیار له إلی کونه مسلّطاً علی سبب الانفساخ لا علی مباشرة الفسخ.</w:t>
      </w:r>
    </w:p>
    <w:p>
      <w:pPr>
        <w:pStyle w:val="BookText"/>
      </w:pPr>
      <w:r>
        <w:rPr>
          <w:rFonts w:ascii="IRNazanin" w:hAnsi="IRNazanin" w:eastAsia="IRNazanin" w:cs="IRNazanin"/>
          <w:lang w:bidi="fa-IR"/>
          <w:color w:val="111111"/>
          <w:sz w:val="28"/>
          <w:szCs w:val="28"/>
          <w:rtl/>
        </w:rPr>
        <w:t xml:space="preserve">و هذا هو الظاهر من روایة معاویة بن میسرة </w:t>
      </w:r>
      <w:r>
        <w:rPr>
          <w:rStyle w:val="FootnoteReference"/>
        </w:rPr>
        <w:footnoteReference w:id="2950"/>
      </w:r>
      <w:r>
        <w:rPr>
          <w:rFonts w:ascii="IRNazanin" w:hAnsi="IRNazanin" w:eastAsia="IRNazanin" w:cs="IRNazanin"/>
          <w:lang w:bidi="fa-IR"/>
          <w:color w:val="111111"/>
          <w:sz w:val="28"/>
          <w:szCs w:val="28"/>
          <w:rtl/>
        </w:rPr>
        <w:t xml:space="preserve">،و یحتمل الثالث، کما هو ظاهر روایتی سعید بن یسار و موثّقة إسحاق بن عمّار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عنوان المسألة بهذا الوجه هو الظاهر من الغنیة حیث لم یذکر هذا القسم من البیع فی الخیار أصلاً،و إنّما ذکره فی أمثلة الشروط الجائزة فی متن العقد،قال:أن یبیع و یشترط علی المشتری إن ردّ الثمن علیه فی وقت کذا کان المبیع له </w:t>
      </w:r>
      <w:r>
        <w:rPr>
          <w:rStyle w:val="FootnoteReference"/>
        </w:rPr>
        <w:footnoteReference w:id="295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الخامس:أن یکون ردّ الثمن شرطاً لوجوب الإقالة علی المشتری، بأن یلتزم المشتری علی نفسه أن یقیله إذا جاء بالثمن و استقاله.و هو ظاهر الوسیلة،حیث قال:إذا باع شیئاً علی أن یقیله فی وقت کذا بمثل الثمن الذی باعه منه لزمته الإقالة إذا جاءه بمثل الثمن فی المدّة </w:t>
      </w:r>
      <w:r>
        <w:rPr>
          <w:rStyle w:val="FootnoteReference"/>
        </w:rPr>
        <w:footnoteReference w:id="295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حینئذٍ </w:t>
      </w:r>
      <w:r>
        <w:rPr>
          <w:rStyle w:val="FootnoteReference"/>
        </w:rPr>
        <w:footnoteReference w:id="2954"/>
      </w:r>
      <w:r>
        <w:rPr>
          <w:rFonts w:ascii="IRNazanin" w:hAnsi="IRNazanin" w:eastAsia="IRNazanin" w:cs="IRNazanin"/>
          <w:lang w:bidi="fa-IR"/>
          <w:color w:val="111111"/>
          <w:sz w:val="28"/>
          <w:szCs w:val="28"/>
          <w:rtl/>
        </w:rPr>
        <w:t xml:space="preserve">فإن أبی أجبره الحاکم أو أقال عنه،و إلّا استقلّ بالفسخ.</w:t>
      </w:r>
    </w:p>
    <w:p>
      <w:pPr>
        <w:pStyle w:val="BookText"/>
      </w:pPr>
      <w:r>
        <w:rPr>
          <w:rFonts w:ascii="IRNazanin" w:hAnsi="IRNazanin" w:eastAsia="IRNazanin" w:cs="IRNazanin"/>
          <w:lang w:bidi="fa-IR"/>
          <w:color w:val="111111"/>
          <w:sz w:val="28"/>
          <w:szCs w:val="28"/>
          <w:rtl/>
        </w:rPr>
        <w:t xml:space="preserve">و هو محتمل روایتی سعید بن یسار و إسحاق بن عمّار علی أن</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37" w:name="pg14419_167412"/>
    <w:bookmarkEnd w:id="337"/>
    <w:p>
      <w:pPr>
        <w:pStyle w:val="BookText"/>
      </w:pPr>
      <w:r>
        <w:rPr>
          <w:rFonts w:ascii="IRNazanin" w:hAnsi="IRNazanin" w:eastAsia="IRNazanin" w:cs="IRNazanin"/>
          <w:lang w:bidi="fa-IR"/>
          <w:color w:val="111111"/>
          <w:sz w:val="28"/>
          <w:szCs w:val="28"/>
          <w:rtl/>
        </w:rPr>
        <w:t xml:space="preserve">یکون«ردّ المبیع إلی البائع»فیهما کنایةً عن ملزومه و هی الإقالة، لا أن یکون وجوب الردّ کنایةً عن تملّک البائع للمبیع بمجرّد فسخه بعد ردّ الثمن علی ما فهمه الأصحاب </w:t>
      </w:r>
      <w:r>
        <w:rPr>
          <w:rStyle w:val="FootnoteReference"/>
        </w:rPr>
        <w:footnoteReference w:id="2955"/>
      </w:r>
      <w:r>
        <w:rPr>
          <w:rFonts w:ascii="IRNazanin" w:hAnsi="IRNazanin" w:eastAsia="IRNazanin" w:cs="IRNazanin"/>
          <w:lang w:bidi="fa-IR"/>
          <w:color w:val="111111"/>
          <w:sz w:val="28"/>
          <w:szCs w:val="28"/>
          <w:rtl/>
        </w:rPr>
        <w:t xml:space="preserve">،و مرجعه إلی أحد الأوّلین.</w:t>
      </w:r>
    </w:p>
    <w:p>
      <w:pPr>
        <w:pStyle w:val="BookText"/>
      </w:pPr>
      <w:r>
        <w:rPr>
          <w:rFonts w:ascii="IRNazanin" w:hAnsi="IRNazanin" w:eastAsia="IRNazanin" w:cs="IRNazanin"/>
          <w:lang w:bidi="fa-IR"/>
          <w:color w:val="111111"/>
          <w:sz w:val="28"/>
          <w:szCs w:val="28"/>
          <w:rtl/>
        </w:rPr>
        <w:t xml:space="preserve">و الأظهر فی کثیرٍ من العبارات مثل الشرائع و القواعد و التذکرة </w:t>
      </w:r>
      <w:r>
        <w:rPr>
          <w:rStyle w:val="FootnoteReference"/>
        </w:rPr>
        <w:footnoteReference w:id="2956"/>
      </w:r>
      <w:r>
        <w:rPr>
          <w:rFonts w:ascii="IRNazanin" w:hAnsi="IRNazanin" w:eastAsia="IRNazanin" w:cs="IRNazanin"/>
          <w:lang w:bidi="fa-IR"/>
          <w:color w:val="111111"/>
          <w:sz w:val="28"/>
          <w:szCs w:val="28"/>
          <w:rtl/>
        </w:rPr>
        <w:t xml:space="preserve">- هو الثانی.</w:t>
      </w:r>
    </w:p>
    <w:p>
      <w:pPr>
        <w:pStyle w:val="BookText"/>
      </w:pPr>
      <w:r>
        <w:rPr>
          <w:rFonts w:ascii="IRNazanin" w:hAnsi="IRNazanin" w:eastAsia="IRNazanin" w:cs="IRNazanin"/>
          <w:lang w:bidi="fa-IR"/>
          <w:color w:val="111111"/>
          <w:sz w:val="28"/>
          <w:szCs w:val="28"/>
          <w:rtl/>
        </w:rPr>
        <w:t xml:space="preserve">لکن الظاهر صحّة الاشتراط بکلٍّ من الوجوه الخمسة عدا الرابع؛ فإنّ فیه إشکالاً من جهة أنّ انفساخ البیع بنفسه بدون إنشاءٍ فعلیٍّ أو قولیٍّ یشبه انعقاده بنفسه فی مخالفة المشروع من توقّف المسبَّبات علی أسبابها الشرعیّة؛و سیجیء فی باب الشروط ما یتّضح به صحّة ذلک و سقمه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Heading6"/>
      </w:pPr>
      <w:bookmarkStart w:id="1224" w:name="_Toc664"/>
      <w:r>
        <w:t>الثانی : الثمن المشروط ردُّه : إمّا أن یکون فی الذمّة،و إمّا أن یکون معیّناً</w:t>
      </w:r>
      <w:bookmarkEnd w:id="12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2958"/>
      </w:r>
      <w:r>
        <w:rPr>
          <w:rFonts w:ascii="Amiri" w:hAnsi="Amiri" w:eastAsia="Amiri" w:cs="Amiri"/>
          <w:lang w:bidi="ar-SA"/>
          <w:color w:val="111111"/>
          <w:sz w:val="28"/>
          <w:szCs w:val="28"/>
          <w:rtl/>
        </w:rPr>
        <w:t xml:space="preserve">الثمن المشروط ردُّه:إمّا أن یکون فی الذمّة،و إمّا أن یکون معیّناً.</w:t>
      </w:r>
    </w:p>
    <w:p>
      <w:pPr>
        <w:pStyle w:val="BookText"/>
      </w:pPr>
      <w:r>
        <w:rPr>
          <w:rFonts w:ascii="Amiri" w:hAnsi="Amiri" w:eastAsia="Amiri" w:cs="Amiri"/>
          <w:lang w:bidi="ar-SA"/>
          <w:color w:val="111111"/>
          <w:sz w:val="28"/>
          <w:szCs w:val="28"/>
          <w:rtl/>
        </w:rPr>
        <w:t xml:space="preserve">و علی کلّ تقدیرٍ:إمّا أن یکون قد قبضه،و إمّا أن </w:t>
      </w:r>
      <w:r>
        <w:rPr>
          <w:rStyle w:val="FootnoteReference"/>
        </w:rPr>
        <w:footnoteReference w:id="2959"/>
      </w:r>
      <w:r>
        <w:rPr>
          <w:rFonts w:ascii="IRNazanin" w:hAnsi="IRNazanin" w:eastAsia="IRNazanin" w:cs="IRNazanin"/>
          <w:lang w:bidi="fa-IR"/>
          <w:color w:val="111111"/>
          <w:sz w:val="28"/>
          <w:szCs w:val="28"/>
          <w:rtl/>
        </w:rPr>
        <w:t xml:space="preserve">لم یقبضه.</w:t>
      </w:r>
    </w:p>
    <w:p>
      <w:pPr>
        <w:pStyle w:val="BookText"/>
      </w:pPr>
      <w:r>
        <w:rPr>
          <w:rFonts w:ascii="IRNazanin" w:hAnsi="IRNazanin" w:eastAsia="IRNazanin" w:cs="IRNazanin"/>
          <w:lang w:bidi="fa-IR"/>
          <w:color w:val="111111"/>
          <w:sz w:val="28"/>
          <w:szCs w:val="28"/>
          <w:rtl/>
        </w:rPr>
        <w:t xml:space="preserve">فإن لم یقبضه فله الخیار و إن لم یتحقّق ردّ الثمن؛لأنّه شرطٌ علی تقدیر قبضه.و إن لم یفسخ حتّی انقضت المدّة لزم البیع.و یحتمل العدم؛ بناءً علی أنّ اشتراط الردّ بمنزلة اشتراط القبض[قبله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قبض الثمن المعیّن:</w:t>
      </w:r>
    </w:p>
    <w:p>
      <w:pPr>
        <w:pStyle w:val="BookText"/>
      </w:pPr>
      <w:r>
        <w:rPr>
          <w:rFonts w:ascii="Amiri" w:hAnsi="Amiri" w:eastAsia="Amiri" w:cs="Amiri"/>
          <w:lang w:bidi="ar-SA"/>
          <w:color w:val="111111"/>
          <w:sz w:val="28"/>
          <w:szCs w:val="28"/>
          <w:rtl/>
        </w:rPr>
        <w:t xml:space="preserve">فإمّا أن یشترط ردّ عینه.</w:t>
      </w:r>
    </w:p>
    <w:p>
      <w:pPr>
        <w:pStyle w:val="BookText"/>
      </w:pPr>
      <w:r>
        <w:rPr>
          <w:rFonts w:ascii="IRNazanin" w:hAnsi="IRNazanin" w:eastAsia="IRNazanin" w:cs="IRNazanin"/>
          <w:lang w:bidi="fa-IR"/>
          <w:color w:val="111111"/>
          <w:sz w:val="28"/>
          <w:szCs w:val="28"/>
          <w:rtl/>
        </w:rPr>
        <w:t xml:space="preserve">أو یشترط ردّ ما یعمّ بدله مع عدم التمکّن من العین بسببٍ لا منه،أو مطلقاً،أو و لو مع التمکّن منه،علی إشکالٍ فی الأخیر من حیث اقتضاء الفسخ شرعاً بل لغةً ردّ العین مع الإمکان.و فی جواز اشتراط ردّ القیمة فی المثلی و العکس </w:t>
      </w:r>
      <w:r>
        <w:rPr>
          <w:rStyle w:val="FootnoteReference"/>
        </w:rPr>
        <w:footnoteReference w:id="2961"/>
      </w: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و إمّا أن یطلق.</w:t>
      </w:r>
    </w:p>
    <w:p>
      <w:pPr>
        <w:pStyle w:val="BookText"/>
      </w:pPr>
      <w:r>
        <w:rPr>
          <w:rFonts w:ascii="IRNazanin" w:hAnsi="IRNazanin" w:eastAsia="IRNazanin" w:cs="IRNazanin"/>
          <w:lang w:bidi="fa-IR"/>
          <w:color w:val="111111"/>
          <w:sz w:val="28"/>
          <w:szCs w:val="28"/>
          <w:rtl/>
        </w:rPr>
        <w:t xml:space="preserve">فعلی الأوّل،لا خیار إلّا بردّ العین،فلو تلف لا من البائع فالظاهر عدم الخیار،إلّا أن یکون إطلاق اشتراط ردّ العین فی الخیار لإفادة سقوطه بإتلاف البائع،فیبقی الخیار فی إتلاف غیره علی حاله.و فیه نظر.</w:t>
      </w:r>
    </w:p>
    <w:p>
      <w:pPr>
        <w:pStyle w:val="BookText"/>
      </w:pPr>
      <w:r>
        <w:rPr>
          <w:rFonts w:ascii="IRNazanin" w:hAnsi="IRNazanin" w:eastAsia="IRNazanin" w:cs="IRNazanin"/>
          <w:lang w:bidi="fa-IR"/>
          <w:color w:val="111111"/>
          <w:sz w:val="28"/>
          <w:szCs w:val="28"/>
          <w:rtl/>
        </w:rPr>
        <w:t xml:space="preserve">و علی الثانی،فله ردّ البدل فی موضع صحّة الاشتراط.</w:t>
      </w:r>
    </w:p>
    <w:p>
      <w:pPr>
        <w:pStyle w:val="BookText"/>
      </w:pPr>
      <w:r>
        <w:rPr>
          <w:rFonts w:ascii="IRNazanin" w:hAnsi="IRNazanin" w:eastAsia="IRNazanin" w:cs="IRNazanin"/>
          <w:lang w:bidi="fa-IR"/>
          <w:color w:val="111111"/>
          <w:sz w:val="28"/>
          <w:szCs w:val="28"/>
          <w:rtl/>
        </w:rPr>
        <w:t xml:space="preserve">و أمّا الثالث،فمقتضی ظاهر الشرط فیه ردّ العین.و یظهر من إطلاق محکیّ الدروس و حاشیة الشرائع:أنّ الإطلاق لا یحمل علی العین </w:t>
      </w:r>
      <w:r>
        <w:rPr>
          <w:rStyle w:val="FootnoteReference"/>
        </w:rPr>
        <w:footnoteReference w:id="2962"/>
      </w:r>
      <w:r>
        <w:rPr>
          <w:rFonts w:ascii="IRNazanin" w:hAnsi="IRNazanin" w:eastAsia="IRNazanin" w:cs="IRNazanin"/>
          <w:lang w:bidi="fa-IR"/>
          <w:color w:val="111111"/>
          <w:sz w:val="28"/>
          <w:szCs w:val="28"/>
          <w:rtl/>
        </w:rPr>
        <w:t xml:space="preserve">.و یحتمل حمله علی الثمن الکلّی،و سیأتی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38" w:name="pg14419_167414"/>
    <w:bookmarkEnd w:id="338"/>
    <w:p>
      <w:pPr>
        <w:pStyle w:val="BookText"/>
      </w:pPr>
      <w:r>
        <w:rPr>
          <w:rFonts w:ascii="IRNazanin" w:hAnsi="IRNazanin" w:eastAsia="IRNazanin" w:cs="IRNazanin"/>
          <w:lang w:bidi="fa-IR"/>
          <w:color w:val="111111"/>
          <w:sz w:val="28"/>
          <w:szCs w:val="28"/>
          <w:rtl/>
        </w:rPr>
        <w:t xml:space="preserve">و إن کان الثمن کلّیاً،فإن کان فی ذمّة البائع کما هو مضمون روایة سعید بن یسار المتقدّمة </w:t>
      </w:r>
      <w:r>
        <w:rPr>
          <w:rStyle w:val="FootnoteReference"/>
        </w:rPr>
        <w:footnoteReference w:id="2964"/>
      </w:r>
      <w:r>
        <w:rPr>
          <w:rFonts w:ascii="Amiri" w:hAnsi="Amiri" w:eastAsia="Amiri" w:cs="Amiri"/>
          <w:lang w:bidi="ar-SA"/>
          <w:color w:val="111111"/>
          <w:sz w:val="28"/>
          <w:szCs w:val="28"/>
          <w:rtl/>
        </w:rPr>
        <w:t xml:space="preserve">فردُّه بأداء ما فی الذمّة،سواءً قلنا:إنّه عین الثمن أو بدله،من حیث إنّ ما فی ذمّة البائع سقط عنه بصیرورته ملکاً له،فکأنه تَلِفَ،فالمراد بردّه المشترط:ردُّ بدله.</w:t>
      </w:r>
    </w:p>
    <w:p>
      <w:pPr>
        <w:pStyle w:val="BookText"/>
      </w:pPr>
      <w:r>
        <w:rPr>
          <w:rFonts w:ascii="IRNazanin" w:hAnsi="IRNazanin" w:eastAsia="IRNazanin" w:cs="IRNazanin"/>
          <w:lang w:bidi="fa-IR"/>
          <w:color w:val="111111"/>
          <w:sz w:val="28"/>
          <w:szCs w:val="28"/>
          <w:rtl/>
        </w:rPr>
        <w:t xml:space="preserve">و إن لم یکن الثمن فی ذمّة البائع و قَبضَه،فإن شرط ردَّ ذلک الفرد المقبوض أو ردَّ مثله بأحد الوجوه المتقدّمة </w:t>
      </w:r>
      <w:r>
        <w:rPr>
          <w:rStyle w:val="FootnoteReference"/>
        </w:rPr>
        <w:footnoteReference w:id="2965"/>
      </w:r>
      <w:r>
        <w:rPr>
          <w:rFonts w:ascii="IRNazanin" w:hAnsi="IRNazanin" w:eastAsia="IRNazanin" w:cs="IRNazanin"/>
          <w:lang w:bidi="fa-IR"/>
          <w:color w:val="111111"/>
          <w:sz w:val="28"/>
          <w:szCs w:val="28"/>
          <w:rtl/>
        </w:rPr>
        <w:t xml:space="preserve">فالحکم علی مقتضی الشرط.و إن أطلق فالمتبادر بحکم الغلبة فی هذا القسم من البیع -المشتهر ببیع الخیار هو ردّ ما یعمّ البدل،إمّا مطلقاً،أو مع فقد العین.</w:t>
      </w:r>
    </w:p>
    <w:p>
      <w:pPr>
        <w:pStyle w:val="BookText"/>
      </w:pPr>
      <w:r>
        <w:rPr>
          <w:rFonts w:ascii="IRNazanin" w:hAnsi="IRNazanin" w:eastAsia="IRNazanin" w:cs="IRNazanin"/>
          <w:lang w:bidi="fa-IR"/>
          <w:color w:val="111111"/>
          <w:sz w:val="28"/>
          <w:szCs w:val="28"/>
          <w:rtl/>
        </w:rPr>
        <w:t xml:space="preserve">و یدلّ علیه صریح </w:t>
      </w:r>
      <w:r>
        <w:rPr>
          <w:rStyle w:val="FootnoteReference"/>
        </w:rPr>
        <w:footnoteReference w:id="2966"/>
      </w:r>
      <w:r>
        <w:rPr>
          <w:rFonts w:ascii="Amiri" w:hAnsi="Amiri" w:eastAsia="Amiri" w:cs="Amiri"/>
          <w:lang w:bidi="ar-SA"/>
          <w:color w:val="111111"/>
          <w:sz w:val="28"/>
          <w:szCs w:val="28"/>
          <w:rtl/>
        </w:rPr>
        <w:t xml:space="preserve">بعض الأخبار المتقدّمة </w:t>
      </w:r>
      <w:r>
        <w:rPr>
          <w:rStyle w:val="FootnoteReference"/>
        </w:rPr>
        <w:footnoteReference w:id="2967"/>
      </w:r>
      <w:r>
        <w:rPr>
          <w:rFonts w:ascii="IRNazanin" w:hAnsi="IRNazanin" w:eastAsia="IRNazanin" w:cs="IRNazanin"/>
          <w:lang w:bidi="fa-IR"/>
          <w:color w:val="111111"/>
          <w:sz w:val="28"/>
          <w:szCs w:val="28"/>
          <w:rtl/>
        </w:rPr>
        <w:t xml:space="preserve">إلّا أنّ المتیقّن منها صورة فقد العین.</w:t>
      </w:r>
    </w:p>
    <w:p>
      <w:pPr>
        <w:pStyle w:val="Heading6"/>
      </w:pPr>
      <w:bookmarkStart w:id="1225" w:name="_Toc665"/>
      <w:r>
        <w:t>الثالث : [لا یکفی مجرّد الردّ فی الفسخ]</w:t>
      </w:r>
      <w:bookmarkEnd w:id="1225"/>
    </w:p>
    <w:p>
      <w:pPr>
        <w:pStyle w:val="BookText"/>
      </w:pPr>
      <w:r>
        <w:rPr>
          <w:rFonts w:ascii="IRNazanin" w:hAnsi="IRNazanin" w:eastAsia="IRNazanin" w:cs="IRNazanin"/>
          <w:lang w:bidi="fa-IR"/>
          <w:color w:val="111111"/>
          <w:sz w:val="28"/>
          <w:szCs w:val="28"/>
          <w:rtl/>
        </w:rPr>
        <w:t xml:space="preserve">قیل </w:t>
      </w:r>
      <w:r>
        <w:rPr>
          <w:rStyle w:val="FootnoteReference"/>
        </w:rPr>
        <w:footnoteReference w:id="2968"/>
      </w:r>
      <w:r>
        <w:rPr>
          <w:rFonts w:ascii="IRNazanin" w:hAnsi="IRNazanin" w:eastAsia="IRNazanin" w:cs="IRNazanin"/>
          <w:lang w:bidi="fa-IR"/>
          <w:color w:val="111111"/>
          <w:sz w:val="28"/>
          <w:szCs w:val="28"/>
          <w:rtl/>
        </w:rPr>
        <w:t xml:space="preserve">:ظاهر الأصحاب بناءً علی ما تقدّم:من أنّ ردّ الثمن فی هذا البیع عندهم مقدّمةٌ لفسخ البائع أنّه لا یکفی مجرّد الردّ فی الفسخ.</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صرّح به فی الدروس </w:t>
      </w:r>
      <w:r>
        <w:rPr>
          <w:rStyle w:val="FootnoteReference"/>
        </w:rPr>
        <w:footnoteReference w:id="2969"/>
      </w:r>
      <w:r>
        <w:rPr>
          <w:rFonts w:ascii="IRNazanin" w:hAnsi="IRNazanin" w:eastAsia="IRNazanin" w:cs="IRNazanin"/>
          <w:lang w:bidi="fa-IR"/>
          <w:color w:val="111111"/>
          <w:sz w:val="28"/>
          <w:szCs w:val="28"/>
          <w:rtl/>
        </w:rPr>
        <w:t xml:space="preserve">و غیره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منشأ الظهور:أنّ هذا القسم فردٌ من خیار الشرط مع اعتبار شیءٍ زائدٍ فیه،و هو ردّ الثمن.و علّلوا ذلک أیضاً:بأنّ الردّ من حیث هو لا یدلّ علی الفسخ أصلاً </w:t>
      </w:r>
      <w:r>
        <w:rPr>
          <w:rStyle w:val="FootnoteReference"/>
        </w:rPr>
        <w:footnoteReference w:id="2971"/>
      </w:r>
      <w:r>
        <w:rPr>
          <w:rFonts w:ascii="IRNazanin" w:hAnsi="IRNazanin" w:eastAsia="IRNazanin" w:cs="IRNazanin"/>
          <w:lang w:bidi="fa-IR"/>
          <w:color w:val="111111"/>
          <w:sz w:val="28"/>
          <w:szCs w:val="28"/>
          <w:rtl/>
        </w:rPr>
        <w:t xml:space="preserve">.و هو حسنٌ مع عدم الدلالة،أمّا لو فرض الدلالة عرفاً إمّا بأن یفهم منه کونه تملیکاً للثمن من المشتری لیتملّک منه المبیع علی وجه المعاطاة،و إمّا بأن یدلّ الردّ بنفسه علی الرضا بکون المبیع ملکاً له و الثمن ملکاً للمشتری فلا وجه لعدم الکفایة مع اعترافهم بتحقّق الفسخ فیما هو أخفی من ذلک دلالةً.</w:t>
      </w:r>
    </w:p>
    <w:p>
      <w:pPr>
        <w:pStyle w:val="BookText"/>
      </w:pPr>
      <w:r>
        <w:rPr>
          <w:rFonts w:ascii="IRNazanin" w:hAnsi="IRNazanin" w:eastAsia="IRNazanin" w:cs="IRNazanin"/>
          <w:lang w:bidi="fa-IR"/>
          <w:color w:val="111111"/>
          <w:sz w:val="28"/>
          <w:szCs w:val="28"/>
          <w:rtl/>
        </w:rPr>
        <w:t xml:space="preserve">و ما قیل:من أنّ الردّ یدلّ علی إرادة الفسخ و الإرادة غیر المراد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ففیه:أنّ المدّعی دلالته علی إرادة کون المبیع ملکاً له و الثمن ملکاً للمشتری،و لا یعتبر فی الفسخ الفعلی أزید من هذا؛مع أنّ ظاهر الأخبار کفایة الردّ فی وجوب ردّ المبیع بل قد عرفت فی روایة معاویة بن میسرة حصول تملّک المبیع بردّ الثمن </w:t>
      </w:r>
      <w:r>
        <w:rPr>
          <w:rStyle w:val="FootnoteReference"/>
        </w:rPr>
        <w:footnoteReference w:id="2973"/>
      </w:r>
      <w:r>
        <w:rPr>
          <w:rFonts w:ascii="IRNazanin" w:hAnsi="IRNazanin" w:eastAsia="IRNazanin" w:cs="IRNazanin"/>
          <w:lang w:bidi="fa-IR"/>
          <w:color w:val="111111"/>
          <w:sz w:val="28"/>
          <w:szCs w:val="28"/>
          <w:rtl/>
        </w:rPr>
        <w:t xml:space="preserve">،فیحمل علی تحقّق الفسخ الفعلیّ به.</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39" w:name="pg14419_167416"/>
    <w:bookmarkEnd w:id="339"/>
    <w:p>
      <w:pPr>
        <w:pStyle w:val="Heading6"/>
      </w:pPr>
      <w:bookmarkStart w:id="1226" w:name="_Toc666"/>
      <w:r>
        <w:t>الرابع : یسقط هذا الخیار بإسقاطه بعد العقد علی الوجه الثانی من الوجهین الأوّلین</w:t>
      </w:r>
      <w:bookmarkEnd w:id="12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بل و علی الوجه الأوّل؛بناءً علی أنّ تحقّق السبب و هو العقد کافٍ فی صحّة إسقاط الحقّ.لکن مقتضی ما صرّح به فی التذکرة:من أنّه لا یجوز إسقاط خیار الشرط أو الحیوان بعد العقد </w:t>
      </w:r>
      <w:r>
        <w:rPr>
          <w:rStyle w:val="FootnoteReference"/>
        </w:rPr>
        <w:footnoteReference w:id="2974"/>
      </w:r>
      <w:r>
        <w:rPr>
          <w:rFonts w:ascii="IRNazanin" w:hAnsi="IRNazanin" w:eastAsia="IRNazanin" w:cs="IRNazanin"/>
          <w:lang w:bidi="fa-IR"/>
          <w:color w:val="111111"/>
          <w:sz w:val="28"/>
          <w:szCs w:val="28"/>
          <w:rtl/>
        </w:rPr>
        <w:t xml:space="preserve">بناءً علی حدوثهما من زمان التفرّق عدم الجواز أیضاً.إلّا أن یفرّق هنا:بأنّ المشروط له مالکٌ للخیار قبل الردّ و لو من حیث تملّکه للردّ الموجب له فله إسقاطه،بخلاف ما فی التذکرة.</w:t>
      </w:r>
    </w:p>
    <w:p>
      <w:pPr>
        <w:pStyle w:val="BookText"/>
      </w:pPr>
      <w:r>
        <w:rPr>
          <w:rFonts w:ascii="IRNazanin" w:hAnsi="IRNazanin" w:eastAsia="IRNazanin" w:cs="IRNazanin"/>
          <w:lang w:bidi="fa-IR"/>
          <w:color w:val="111111"/>
          <w:sz w:val="28"/>
          <w:szCs w:val="28"/>
          <w:rtl/>
        </w:rPr>
        <w:t xml:space="preserve">و یسقط أیضاً بانقضاء المدّة و عدم ردّ الثمن أو بدله مع الشرط أو مطلقاً،علی التفصیل المتقدّم.</w:t>
      </w:r>
    </w:p>
    <w:p>
      <w:pPr>
        <w:pStyle w:val="BookText"/>
      </w:pPr>
      <w:r>
        <w:rPr>
          <w:rFonts w:ascii="IRNazanin" w:hAnsi="IRNazanin" w:eastAsia="IRNazanin" w:cs="IRNazanin"/>
          <w:lang w:bidi="fa-IR"/>
          <w:color w:val="111111"/>
          <w:sz w:val="28"/>
          <w:szCs w:val="28"/>
          <w:rtl/>
        </w:rPr>
        <w:t xml:space="preserve">و لو تبیّن المردود من غیر الجنس فلا ردّ.و لو ظهر معیباً کفی فی الردّ،و له الاستبدال.</w:t>
      </w:r>
    </w:p>
    <w:p>
      <w:pPr>
        <w:pStyle w:val="BookText"/>
      </w:pPr>
      <w:r>
        <w:rPr>
          <w:rFonts w:ascii="IRNazanin" w:hAnsi="IRNazanin" w:eastAsia="IRNazanin" w:cs="IRNazanin"/>
          <w:lang w:bidi="fa-IR"/>
          <w:color w:val="111111"/>
          <w:sz w:val="28"/>
          <w:szCs w:val="28"/>
          <w:rtl/>
        </w:rPr>
        <w:t xml:space="preserve">و یسقط أیضاً بالتصرّف فی الثمن المعیّن مع اشتراط ردّ العین أو حمل الإطلاق علیه،و کذا الفرد المدفوع من الثمن الکلّی إذا حمل الإطلاق علی اعتبار ردّ عین المدفوع.کلّ ذلک لإطلاق ما دلّ </w:t>
      </w:r>
      <w:r>
        <w:rPr>
          <w:rStyle w:val="FootnoteReference"/>
        </w:rPr>
        <w:footnoteReference w:id="2975"/>
      </w:r>
      <w:r>
        <w:rPr>
          <w:rFonts w:ascii="IRNazanin" w:hAnsi="IRNazanin" w:eastAsia="IRNazanin" w:cs="IRNazanin"/>
          <w:lang w:bidi="fa-IR"/>
          <w:color w:val="111111"/>
          <w:sz w:val="28"/>
          <w:szCs w:val="28"/>
          <w:rtl/>
        </w:rPr>
        <w:t xml:space="preserve">علی أنّ تصرّف ذی الخیار فیما انتقل إلیه رضا بالعقد و لا خیار.و قد عمل</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بذلک فی غیر مورد النصّ کخیاری المجلس و الشرط.</w:t>
      </w:r>
    </w:p>
    <w:p>
      <w:pPr>
        <w:pStyle w:val="BookText"/>
      </w:pPr>
      <w:r>
        <w:rPr>
          <w:rFonts w:ascii="IRNazanin" w:hAnsi="IRNazanin" w:eastAsia="IRNazanin" w:cs="IRNazanin"/>
          <w:lang w:bidi="fa-IR"/>
          <w:color w:val="111111"/>
          <w:sz w:val="28"/>
          <w:szCs w:val="28"/>
          <w:rtl/>
        </w:rPr>
        <w:t xml:space="preserve">و ظاهر المحکی </w:t>
      </w:r>
      <w:r>
        <w:rPr>
          <w:rStyle w:val="FootnoteReference"/>
        </w:rPr>
        <w:footnoteReference w:id="2976"/>
      </w:r>
      <w:r>
        <w:rPr>
          <w:rFonts w:ascii="IRNazanin" w:hAnsi="IRNazanin" w:eastAsia="IRNazanin" w:cs="IRNazanin"/>
          <w:lang w:bidi="fa-IR"/>
          <w:color w:val="111111"/>
          <w:sz w:val="28"/>
          <w:szCs w:val="28"/>
          <w:rtl/>
        </w:rPr>
        <w:t xml:space="preserve">عن المحقّق الأردبیلی و صاحب الکفایة </w:t>
      </w:r>
      <w:r>
        <w:rPr>
          <w:rStyle w:val="FootnoteReference"/>
        </w:rPr>
        <w:footnoteReference w:id="2977"/>
      </w:r>
      <w:r>
        <w:rPr>
          <w:rFonts w:ascii="IRNazanin" w:hAnsi="IRNazanin" w:eastAsia="IRNazanin" w:cs="IRNazanin"/>
          <w:lang w:bidi="fa-IR"/>
          <w:color w:val="111111"/>
          <w:sz w:val="28"/>
          <w:szCs w:val="28"/>
          <w:rtl/>
        </w:rPr>
        <w:t xml:space="preserve">عدم سقوط هذا الخیار بالتصرّف فی الثمن؛لأنّ المدار فی هذا الخیار علیه؛ لأنّه شُرّع لانتفاع البائع بالثمن،فلو سقط الخیار سقطت الفائدة، و للموثّق المتقدّم </w:t>
      </w:r>
      <w:r>
        <w:rPr>
          <w:rStyle w:val="FootnoteReference"/>
        </w:rPr>
        <w:footnoteReference w:id="2978"/>
      </w:r>
      <w:r>
        <w:rPr>
          <w:rFonts w:ascii="IRNazanin" w:hAnsi="IRNazanin" w:eastAsia="IRNazanin" w:cs="IRNazanin"/>
          <w:lang w:bidi="fa-IR"/>
          <w:color w:val="111111"/>
          <w:sz w:val="28"/>
          <w:szCs w:val="28"/>
          <w:rtl/>
        </w:rPr>
        <w:t xml:space="preserve">المفروض فی مورده تصرّف البائع فی الثمن و بیع الدار لأجل ذلک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المحکیّ عن العلّامة الطباطبائی فی مصابیحه الردّ علی ذلک بعد الطعن علیه بمخالفته لما علیه الأصحاب بما محصّله:أنّ التصرّف المسقط ما وقع فی زمان الخیار و لا خیار إلّا بعد الردّ،و لا ینافی شیءٌ ممّا ذکر لزومَه بالتصرّف بعد الردّ؛لأنّ ذلک منه بعده لا قبله و إن کان قادراً علی إیجاد سببه فیه؛إذ المدار علی الفعل لا علی القوّة،علی أنّه لا یتمّ فیما اشترط فیه الردّ فی وقتٍ منفصلٍ عن العقد کیومٍ بعد سنةٍ مثلاً </w:t>
      </w:r>
      <w:r>
        <w:rPr>
          <w:rStyle w:val="FootnoteReference"/>
        </w:rPr>
        <w:footnoteReference w:id="2980"/>
      </w:r>
      <w:r>
        <w:rPr>
          <w:rFonts w:ascii="IRNazanin" w:hAnsi="IRNazanin" w:eastAsia="IRNazanin" w:cs="IRNazanin"/>
          <w:lang w:bidi="fa-IR"/>
          <w:color w:val="111111"/>
          <w:sz w:val="28"/>
          <w:szCs w:val="28"/>
          <w:rtl/>
        </w:rPr>
        <w:t xml:space="preserve">،انتهی محصّل کلامه.</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ناقش بعض من تأخّر عنه فیما ذکره قدّس سرّه من کون حدوث الخیار بعد الردّ لا قبله-:بأنّ ذلک یقتضی جهالة مبدأ الخیار،و بأنّ الظاهر من إطلاق العرف و تضعیف کثیرٍ من الأصحاب قولَ الشیخ </w:t>
      </w:r>
      <w:r>
        <w:rPr>
          <w:rStyle w:val="FootnoteReference"/>
        </w:rPr>
        <w:footnoteReference w:id="2981"/>
      </w:r>
      <w:r>
        <w:rPr>
          <w:rFonts w:ascii="IRNazanin" w:hAnsi="IRNazanin" w:eastAsia="IRNazanin" w:cs="IRNazanin"/>
          <w:lang w:bidi="fa-IR"/>
          <w:color w:val="111111"/>
          <w:sz w:val="28"/>
          <w:szCs w:val="28"/>
          <w:rtl/>
        </w:rPr>
        <w:t xml:space="preserve">بتوقّف الملک علی انقضاء الخیار ببعض الأخبار المتقدّمة فی هذه المسألة الدالّة علی أنّ غلّة المبیع للمشتری هو کون مجموع المدّة زمان الخیار </w:t>
      </w:r>
      <w:r>
        <w:rPr>
          <w:rStyle w:val="FootnoteReference"/>
        </w:rPr>
        <w:footnoteReference w:id="298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أقول:فی أصل الاستظهار المتقدّم و الردّ المذکور عن المصابیح و المناقشة علی الردّ نظرٌ.</w:t>
      </w:r>
    </w:p>
    <w:p>
      <w:pPr>
        <w:pStyle w:val="BookText"/>
      </w:pPr>
      <w:r>
        <w:rPr>
          <w:rFonts w:ascii="IRNazanin" w:hAnsi="IRNazanin" w:eastAsia="IRNazanin" w:cs="IRNazanin"/>
          <w:lang w:bidi="fa-IR"/>
          <w:color w:val="111111"/>
          <w:sz w:val="28"/>
          <w:szCs w:val="28"/>
          <w:rtl/>
        </w:rPr>
        <w:t xml:space="preserve">أمّا الأوّل:فلأنه لا مخصِّص لدلیل سقوط الخیار بالتصرّف المنسحب فی غیر مورد النصّ علیه باتّفاق الأصحاب.</w:t>
      </w:r>
    </w:p>
    <w:p>
      <w:pPr>
        <w:pStyle w:val="BookText"/>
      </w:pPr>
      <w:r>
        <w:rPr>
          <w:rFonts w:ascii="IRNazanin" w:hAnsi="IRNazanin" w:eastAsia="IRNazanin" w:cs="IRNazanin"/>
          <w:lang w:bidi="fa-IR"/>
          <w:color w:val="111111"/>
          <w:sz w:val="28"/>
          <w:szCs w:val="28"/>
          <w:rtl/>
        </w:rPr>
        <w:t xml:space="preserve">و أمّا بناءُ هذا العقد علی التصرّف فهو من جهة أنّ الغالب المتعارف البیع بالثمن الکلّی،و ظاهر الحال فیه کفایة ردّ مثل الثمن؛ و لذا قوّینا </w:t>
      </w:r>
      <w:r>
        <w:rPr>
          <w:rStyle w:val="FootnoteReference"/>
        </w:rPr>
        <w:footnoteReference w:id="2983"/>
      </w:r>
      <w:r>
        <w:rPr>
          <w:rFonts w:ascii="IRNazanin" w:hAnsi="IRNazanin" w:eastAsia="IRNazanin" w:cs="IRNazanin"/>
          <w:lang w:bidi="fa-IR"/>
          <w:color w:val="111111"/>
          <w:sz w:val="28"/>
          <w:szCs w:val="28"/>
          <w:rtl/>
        </w:rPr>
        <w:t xml:space="preserve">حمل الإطلاق فی هذه الصورة علی ما یعمّ البدل،و حینئذٍ فلا یکون التصرّف فی عین الفرد المدفوع دلیلاً علی الرضا بلزوم العقد؛ إذ لا منافاة بین فسخ العقد و صحّة هذا التصرّف و استمراره،و هو مورد الموثّق المتقدّم أو منصرف إطلاقه.</w:t>
      </w:r>
    </w:p>
    <w:p>
      <w:pPr>
        <w:pStyle w:val="BookText"/>
      </w:pPr>
      <w:r>
        <w:rPr>
          <w:rFonts w:ascii="IRNazanin" w:hAnsi="IRNazanin" w:eastAsia="IRNazanin" w:cs="IRNazanin"/>
          <w:lang w:bidi="fa-IR"/>
          <w:color w:val="111111"/>
          <w:sz w:val="28"/>
          <w:szCs w:val="28"/>
          <w:rtl/>
        </w:rPr>
        <w:t xml:space="preserve">أو من جهة تواطؤ المتعاقدین علی ثبوت الخیار مع التصرّف أیضاً،أو للعلم بعدم الالتزام بالعقد بمجرّد التصرّف فی الثمن،و قد مرّ </w:t>
      </w:r>
      <w:r>
        <w:rPr>
          <w:rStyle w:val="FootnoteReference"/>
        </w:rPr>
        <w:footnoteReference w:id="2984"/>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السقوط بالتصرّف لیس تعبّداً شرعیّاً مطلقاً حتّی المقرون منه بعدم الرضا بلزوم العقد.</w:t>
      </w:r>
    </w:p>
    <w:p>
      <w:pPr>
        <w:pStyle w:val="BookText"/>
      </w:pPr>
      <w:r>
        <w:rPr>
          <w:rFonts w:ascii="IRNazanin" w:hAnsi="IRNazanin" w:eastAsia="IRNazanin" w:cs="IRNazanin"/>
          <w:lang w:bidi="fa-IR"/>
          <w:color w:val="111111"/>
          <w:sz w:val="28"/>
          <w:szCs w:val="28"/>
          <w:rtl/>
        </w:rPr>
        <w:t xml:space="preserve">و أمّا الثانی:فلأنّ المستفاد من النصّ و الفتوی کما عرفت </w:t>
      </w:r>
      <w:r>
        <w:rPr>
          <w:rStyle w:val="FootnoteReference"/>
        </w:rPr>
        <w:footnoteReference w:id="2985"/>
      </w:r>
      <w:r>
        <w:rPr>
          <w:rFonts w:ascii="IRNazanin" w:hAnsi="IRNazanin" w:eastAsia="IRNazanin" w:cs="IRNazanin"/>
          <w:lang w:bidi="fa-IR"/>
          <w:color w:val="111111"/>
          <w:sz w:val="28"/>
          <w:szCs w:val="28"/>
          <w:rtl/>
        </w:rPr>
        <w:t xml:space="preserve">- کون التصرّف مسقطاً فعلیّاً کالقولی یُسقط الخیار فی کلّ مقامٍ یصحّ إسقاطه بالقول:و الظاهر عدم الإشکال فی جواز إسقاط الخیار قولاً قبل الردّ.</w:t>
      </w:r>
    </w:p>
    <w:p>
      <w:pPr>
        <w:pStyle w:val="BookText"/>
      </w:pPr>
      <w:r>
        <w:rPr>
          <w:rFonts w:ascii="Amiri" w:hAnsi="Amiri" w:eastAsia="Amiri" w:cs="Amiri"/>
          <w:lang w:bidi="ar-SA"/>
          <w:color w:val="111111"/>
          <w:sz w:val="28"/>
          <w:szCs w:val="28"/>
          <w:rtl/>
        </w:rPr>
        <w:t xml:space="preserve">هذا،مع أنّ حدوث الخیار بعد الردّ مبنیٌّ علی الوجه الأوّل المتقدّم </w:t>
      </w:r>
      <w:r>
        <w:rPr>
          <w:rStyle w:val="FootnoteReference"/>
        </w:rPr>
        <w:footnoteReference w:id="2986"/>
      </w:r>
      <w:r>
        <w:rPr>
          <w:rFonts w:ascii="IRNazanin" w:hAnsi="IRNazanin" w:eastAsia="IRNazanin" w:cs="IRNazanin"/>
          <w:lang w:bidi="fa-IR"/>
          <w:color w:val="111111"/>
          <w:sz w:val="28"/>
          <w:szCs w:val="28"/>
          <w:rtl/>
        </w:rPr>
        <w:t xml:space="preserve">من الوجوه الخمسة فی مدخلیّة الردّ فی الخیار،و لا دلیل علی تعیینه </w:t>
      </w:r>
      <w:r>
        <w:rPr>
          <w:rStyle w:val="FootnoteReference"/>
        </w:rPr>
        <w:footnoteReference w:id="2987"/>
      </w:r>
      <w:r>
        <w:rPr>
          <w:rFonts w:ascii="IRNazanin" w:hAnsi="IRNazanin" w:eastAsia="IRNazanin" w:cs="IRNazanin"/>
          <w:lang w:bidi="fa-IR"/>
          <w:color w:val="111111"/>
          <w:sz w:val="28"/>
          <w:szCs w:val="28"/>
          <w:rtl/>
        </w:rPr>
        <w:t xml:space="preserve">فی بیع الخیار المتعارف بین الناس،بل الظاهر من عبارة غیر واحدٍ هو الوجه الثانی.</w:t>
      </w:r>
    </w:p>
    <w:p>
      <w:pPr>
        <w:pStyle w:val="BookText"/>
      </w:pPr>
      <w:r>
        <w:rPr>
          <w:rFonts w:ascii="IRNazanin" w:hAnsi="IRNazanin" w:eastAsia="IRNazanin" w:cs="IRNazanin"/>
          <w:lang w:bidi="fa-IR"/>
          <w:color w:val="111111"/>
          <w:sz w:val="28"/>
          <w:szCs w:val="28"/>
          <w:rtl/>
        </w:rPr>
        <w:t xml:space="preserve">أو نقول:إنّ المتّبع مدلول الجملة الشرطیّة الواقعة فی متن العقد، فقد یؤخذ الردّ فیها قیداً للخیار و قد یؤخذ قیداً للفسخ.</w:t>
      </w:r>
    </w:p>
    <w:p>
      <w:pPr>
        <w:pStyle w:val="BookText"/>
      </w:pPr>
      <w:r>
        <w:rPr>
          <w:rFonts w:ascii="IRNazanin" w:hAnsi="IRNazanin" w:eastAsia="IRNazanin" w:cs="IRNazanin"/>
          <w:lang w:bidi="fa-IR"/>
          <w:color w:val="111111"/>
          <w:sz w:val="28"/>
          <w:szCs w:val="28"/>
          <w:rtl/>
        </w:rPr>
        <w:t xml:space="preserve">نعم،لو جُعل الخیار و الردّ فی جزءٍ معیّنٍ من المدّة کیومٍ بعد السنة کان التصرّف قبله تصرّفاً مع لزوم العقد،و جاء فیه الإشکال فی صحّة الإسقاط هنا </w:t>
      </w:r>
      <w:r>
        <w:rPr>
          <w:rStyle w:val="FootnoteReference"/>
        </w:rPr>
        <w:footnoteReference w:id="2988"/>
      </w:r>
      <w:r>
        <w:rPr>
          <w:rFonts w:ascii="IRNazanin" w:hAnsi="IRNazanin" w:eastAsia="IRNazanin" w:cs="IRNazanin"/>
          <w:lang w:bidi="fa-IR"/>
          <w:color w:val="111111"/>
          <w:sz w:val="28"/>
          <w:szCs w:val="28"/>
          <w:rtl/>
        </w:rPr>
        <w:t xml:space="preserve">من عدم تحقّق الخیار،و من تحقّق سببه.</w:t>
      </w:r>
    </w:p>
    <w:p>
      <w:pPr>
        <w:pStyle w:val="BookText"/>
      </w:pPr>
      <w:r>
        <w:rPr>
          <w:rFonts w:ascii="IRNazanin" w:hAnsi="IRNazanin" w:eastAsia="IRNazanin" w:cs="IRNazanin"/>
          <w:lang w:bidi="fa-IR"/>
          <w:color w:val="111111"/>
          <w:sz w:val="28"/>
          <w:szCs w:val="28"/>
          <w:rtl/>
        </w:rPr>
        <w:t xml:space="preserve">و أمّا المناقشة فی تحدید مبدأ الخیار بالردّ بلزوم جهالة مدّة الخیار، ففیه:أنّها لا تقدح مع تحدید زمان التسلّط علی الردّ و الفسخ بعده إن</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340" w:name="pg14419_167420"/>
    <w:bookmarkEnd w:id="340"/>
    <w:p>
      <w:pPr>
        <w:pStyle w:val="BookText"/>
      </w:pPr>
      <w:r>
        <w:rPr>
          <w:rFonts w:ascii="IRNazanin" w:hAnsi="IRNazanin" w:eastAsia="IRNazanin" w:cs="IRNazanin"/>
          <w:lang w:bidi="fa-IR"/>
          <w:color w:val="111111"/>
          <w:sz w:val="28"/>
          <w:szCs w:val="28"/>
          <w:rtl/>
        </w:rPr>
        <w:t xml:space="preserve">شاء.نعم،ذکر فی التذکرة:أنّه لا یجوز اشتراط الخیار من حین التفرّق إذا جعلنا مبدأه عند الإطلاق من حین العقد </w:t>
      </w:r>
      <w:r>
        <w:rPr>
          <w:rStyle w:val="FootnoteReference"/>
        </w:rPr>
        <w:footnoteReference w:id="2989"/>
      </w:r>
      <w:r>
        <w:rPr>
          <w:rFonts w:ascii="IRNazanin" w:hAnsi="IRNazanin" w:eastAsia="IRNazanin" w:cs="IRNazanin"/>
          <w:lang w:bidi="fa-IR"/>
          <w:color w:val="111111"/>
          <w:sz w:val="28"/>
          <w:szCs w:val="28"/>
          <w:rtl/>
        </w:rPr>
        <w:t xml:space="preserve">.لکن الفرق یظهر بالتأمّل.</w:t>
      </w:r>
    </w:p>
    <w:p>
      <w:pPr>
        <w:pStyle w:val="BookText"/>
      </w:pPr>
      <w:r>
        <w:rPr>
          <w:rFonts w:ascii="IRNazanin" w:hAnsi="IRNazanin" w:eastAsia="IRNazanin" w:cs="IRNazanin"/>
          <w:lang w:bidi="fa-IR"/>
          <w:color w:val="111111"/>
          <w:sz w:val="28"/>
          <w:szCs w:val="28"/>
          <w:rtl/>
        </w:rPr>
        <w:t xml:space="preserve">و أمّا الاستشهاد علیه بحکم العرف،ففیه:أنّ زمان الخیار عرفاً لا یراد به إلّا ما کان الخیار متحقّقاً فیه شرعاً أو بجعل المتعاقدین، و المفروض أنّ الخیار هنا جعلیٌّ،فالشکّ </w:t>
      </w:r>
      <w:r>
        <w:rPr>
          <w:rStyle w:val="FootnoteReference"/>
        </w:rPr>
        <w:footnoteReference w:id="2990"/>
      </w:r>
      <w:r>
        <w:rPr>
          <w:rFonts w:ascii="IRNazanin" w:hAnsi="IRNazanin" w:eastAsia="IRNazanin" w:cs="IRNazanin"/>
          <w:lang w:bidi="fa-IR"/>
          <w:color w:val="111111"/>
          <w:sz w:val="28"/>
          <w:szCs w:val="28"/>
          <w:rtl/>
        </w:rPr>
        <w:t xml:space="preserve">فی تحقّق الخیار قبل الردّ بجعل المتعاقدین.</w:t>
      </w:r>
    </w:p>
    <w:p>
      <w:pPr>
        <w:pStyle w:val="BookText"/>
      </w:pPr>
      <w:r>
        <w:rPr>
          <w:rFonts w:ascii="IRNazanin" w:hAnsi="IRNazanin" w:eastAsia="IRNazanin" w:cs="IRNazanin"/>
          <w:lang w:bidi="fa-IR"/>
          <w:color w:val="111111"/>
          <w:sz w:val="28"/>
          <w:szCs w:val="28"/>
          <w:rtl/>
        </w:rPr>
        <w:t xml:space="preserve">و أمّا ما ذکره بعض الأصحاب </w:t>
      </w:r>
      <w:r>
        <w:rPr>
          <w:rStyle w:val="FootnoteReference"/>
        </w:rPr>
        <w:footnoteReference w:id="2991"/>
      </w:r>
      <w:r>
        <w:rPr>
          <w:rFonts w:ascii="IRNazanin" w:hAnsi="IRNazanin" w:eastAsia="IRNazanin" w:cs="IRNazanin"/>
          <w:lang w:bidi="fa-IR"/>
          <w:color w:val="111111"/>
          <w:sz w:val="28"/>
          <w:szCs w:val="28"/>
          <w:rtl/>
        </w:rPr>
        <w:t xml:space="preserve">فی ردّ الشیخ من بعض أخبار المسألة،فلعلّهم فهموا من مذهبه توقّف الملک علی انقضاء زمان الخیار مطلقاً حتّی المنفصل،کما لا یبعد عن إطلاق کلامه و إطلاق ما استدلّ له به من الأخبار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6"/>
      </w:pPr>
      <w:bookmarkStart w:id="1227" w:name="_Toc667"/>
      <w:r>
        <w:t>الخامس : لو تلف المبیع کان من المشتری</w:t>
      </w:r>
      <w:bookmarkEnd w:id="12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سواءً کان قبل الردّ أو بعده، و نماؤه أیضاً له مطلقاً.و الظاهر عدم سقوط خیار البائع،فیستردّ المثل</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القیمة بردّ الثمن أو بدله.و یحتمل عدم الخیار،بناءً علی أنّ مورد هذا الخیار هو إلزام أنّ له ردّ الثمن و ارتجاع البیع </w:t>
      </w:r>
      <w:r>
        <w:rPr>
          <w:rStyle w:val="FootnoteReference"/>
        </w:rPr>
        <w:footnoteReference w:id="2993"/>
      </w:r>
      <w:r>
        <w:rPr>
          <w:rFonts w:ascii="IRNazanin" w:hAnsi="IRNazanin" w:eastAsia="IRNazanin" w:cs="IRNazanin"/>
          <w:lang w:bidi="fa-IR"/>
          <w:color w:val="111111"/>
          <w:sz w:val="28"/>
          <w:szCs w:val="28"/>
          <w:rtl/>
        </w:rPr>
        <w:t xml:space="preserve">،و ظاهره اعتبار بقاء المبیع فی ذلک،فلا خیار مع تلفه.</w:t>
      </w:r>
    </w:p>
    <w:p>
      <w:pPr>
        <w:pStyle w:val="BookText"/>
      </w:pPr>
      <w:r>
        <w:rPr>
          <w:rFonts w:ascii="IRNazanin" w:hAnsi="IRNazanin" w:eastAsia="IRNazanin" w:cs="IRNazanin"/>
          <w:lang w:bidi="fa-IR"/>
          <w:color w:val="111111"/>
          <w:sz w:val="28"/>
          <w:szCs w:val="28"/>
          <w:rtl/>
        </w:rPr>
        <w:t xml:space="preserve">ثمّ إنّه لا تنافی بین شرطیّة البقاء و عدم جواز تفویت الشرط، فلا یجوز للمشتری إتلاف المبیع کما سیجیء فی أحکام الخیار </w:t>
      </w:r>
      <w:r>
        <w:rPr>
          <w:rStyle w:val="FootnoteReference"/>
        </w:rPr>
        <w:footnoteReference w:id="2994"/>
      </w:r>
      <w:r>
        <w:rPr>
          <w:rFonts w:ascii="IRNazanin" w:hAnsi="IRNazanin" w:eastAsia="IRNazanin" w:cs="IRNazanin"/>
          <w:lang w:bidi="fa-IR"/>
          <w:color w:val="111111"/>
          <w:sz w:val="28"/>
          <w:szCs w:val="28"/>
          <w:rtl/>
        </w:rPr>
        <w:t xml:space="preserve">لأنّ غرض البائع من الخیار استرداد عین ماله،و لا یتمّ إلّا بالتزام إبقائه للبائع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تلف الثمن:</w:t>
      </w:r>
    </w:p>
    <w:p>
      <w:pPr>
        <w:pStyle w:val="BookText"/>
      </w:pPr>
      <w:r>
        <w:rPr>
          <w:rFonts w:ascii="IRNazanin" w:hAnsi="IRNazanin" w:eastAsia="IRNazanin" w:cs="IRNazanin"/>
          <w:lang w:bidi="fa-IR"/>
          <w:color w:val="111111"/>
          <w:sz w:val="28"/>
          <w:szCs w:val="28"/>
          <w:rtl/>
        </w:rPr>
        <w:t xml:space="preserve">فإن کان بعد الردّ و قبل الفسخ،فمقتضی ما سیجیء:من«أنّ التلف فی زمان الخیار ممّن لا خیار له» </w:t>
      </w:r>
      <w:r>
        <w:rPr>
          <w:rStyle w:val="FootnoteReference"/>
        </w:rPr>
        <w:footnoteReference w:id="2996"/>
      </w:r>
      <w:r>
        <w:rPr>
          <w:rFonts w:ascii="IRNazanin" w:hAnsi="IRNazanin" w:eastAsia="IRNazanin" w:cs="IRNazanin"/>
          <w:lang w:bidi="fa-IR"/>
          <w:color w:val="111111"/>
          <w:sz w:val="28"/>
          <w:szCs w:val="28"/>
          <w:rtl/>
        </w:rPr>
        <w:t xml:space="preserve">کونه من المشتری و إن کان ملکاً للبائع،إلّا أن یمنع شمول تلک القاعدة للثمن و یدّعی اختصاصها بالمبیع،کما ذکره بعض المعاصرین </w:t>
      </w:r>
      <w:r>
        <w:rPr>
          <w:rStyle w:val="FootnoteReference"/>
        </w:rPr>
        <w:footnoteReference w:id="2997"/>
      </w:r>
      <w:r>
        <w:rPr>
          <w:rFonts w:ascii="IRNazanin" w:hAnsi="IRNazanin" w:eastAsia="IRNazanin" w:cs="IRNazanin"/>
          <w:lang w:bidi="fa-IR"/>
          <w:color w:val="111111"/>
          <w:sz w:val="28"/>
          <w:szCs w:val="28"/>
          <w:rtl/>
        </w:rPr>
        <w:t xml:space="preserve">و استظهره من روایة معاویة بن میسرة المتقدّمة </w:t>
      </w:r>
      <w:r>
        <w:rPr>
          <w:rStyle w:val="FootnoteReference"/>
        </w:rPr>
        <w:footnoteReference w:id="2998"/>
      </w:r>
      <w:r>
        <w:rPr>
          <w:rFonts w:ascii="IRNazanin" w:hAnsi="IRNazanin" w:eastAsia="IRNazanin" w:cs="IRNazanin"/>
          <w:lang w:bidi="fa-IR"/>
          <w:color w:val="111111"/>
          <w:sz w:val="28"/>
          <w:szCs w:val="28"/>
          <w:rtl/>
        </w:rPr>
        <w:t xml:space="preserve">.و لم أعرف وجه الاستظهار،إذ لیس فیها إلّا أنّ نماء الثمن للبائع و تلف المبیع من المشتری،و هما إجماعیّان حتّی فی مورد کون التلف ممّن لا خیار له،فلا حاجة لهما إلی تلک الروایة،و لا تکون</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341" w:name="pg14419_167422"/>
    <w:bookmarkEnd w:id="341"/>
    <w:p>
      <w:pPr>
        <w:pStyle w:val="BookText"/>
      </w:pPr>
      <w:r>
        <w:rPr>
          <w:rFonts w:ascii="IRNazanin" w:hAnsi="IRNazanin" w:eastAsia="IRNazanin" w:cs="IRNazanin"/>
          <w:lang w:bidi="fa-IR"/>
          <w:color w:val="111111"/>
          <w:sz w:val="28"/>
          <w:szCs w:val="28"/>
          <w:rtl/>
        </w:rPr>
        <w:t xml:space="preserve">الروایة مخالفةً للقاعدة،و إنّما المخالف لها هی قاعدة«أنّ الخراج بالضمان» إذا انضمّت إلی الإجماع علی کون النماء للمالک.نعم،الإشکال فی عموم تلک القاعدة للثمن کعمومها لجمیع أفراد الخیار.لکن الظاهر من إطلاق غیر واحدٍ عموم القاعدة للثمن و اختصاصها بالخیارات الثلاثة-أعنی خیار المجلس و الشرط و الحیوان و سیجیء الکلام فی أحکام الخیار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التلف قبل الردّ فمن البائع </w:t>
      </w:r>
      <w:r>
        <w:rPr>
          <w:rStyle w:val="FootnoteReference"/>
        </w:rPr>
        <w:footnoteReference w:id="3000"/>
      </w:r>
      <w:r>
        <w:rPr>
          <w:rFonts w:ascii="IRNazanin" w:hAnsi="IRNazanin" w:eastAsia="IRNazanin" w:cs="IRNazanin"/>
          <w:lang w:bidi="fa-IR"/>
          <w:color w:val="111111"/>
          <w:sz w:val="28"/>
          <w:szCs w:val="28"/>
          <w:rtl/>
        </w:rPr>
        <w:t xml:space="preserve">بناءً علی عدم ثبوت الخیار قبل الردّ.</w:t>
      </w:r>
    </w:p>
    <w:p>
      <w:pPr>
        <w:pStyle w:val="BookText"/>
      </w:pPr>
      <w:r>
        <w:rPr>
          <w:rFonts w:ascii="IRNazanin" w:hAnsi="IRNazanin" w:eastAsia="IRNazanin" w:cs="IRNazanin"/>
          <w:lang w:bidi="fa-IR"/>
          <w:color w:val="111111"/>
          <w:sz w:val="28"/>
          <w:szCs w:val="28"/>
          <w:rtl/>
        </w:rPr>
        <w:t xml:space="preserve">و فیه-مع ما عرفت من منع المبنی-:منعُ البناء،فإنّ دلیل ضمان من لا خیار له مالَ صاحبِه هو تزلزلُ البیع سواءً کان بخیارٍ متّصلٍ أم بمنفصلٍ،کما یقتضیه أخبار تلک المسألة،کما سیجیء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قلنا:بأنّ تلف الثمن من المشتری انفسخ البیع،و إن قلنا:</w:t>
      </w:r>
    </w:p>
    <w:p>
      <w:pPr>
        <w:pStyle w:val="BookText"/>
      </w:pPr>
      <w:r>
        <w:rPr>
          <w:rFonts w:ascii="IRNazanin" w:hAnsi="IRNazanin" w:eastAsia="IRNazanin" w:cs="IRNazanin"/>
          <w:lang w:bidi="fa-IR"/>
          <w:color w:val="111111"/>
          <w:sz w:val="28"/>
          <w:szCs w:val="28"/>
          <w:rtl/>
        </w:rPr>
        <w:t xml:space="preserve">بأنّه من البائع فالظاهر بقاء الخیار،فیردّ البدل و یرتجع المبیع.</w:t>
      </w:r>
    </w:p>
    <w:p>
      <w:pPr>
        <w:pStyle w:val="Heading6"/>
      </w:pPr>
      <w:bookmarkStart w:id="1228" w:name="_Toc668"/>
      <w:r>
        <w:t>السادس : لا إشکال فی القدرة علی الفسخ بردّ الثمن علی نفس المشتری</w:t>
      </w:r>
      <w:bookmarkEnd w:id="1228"/>
    </w:p>
    <w:p>
      <w:pPr>
        <w:pStyle w:val="BookText"/>
      </w:pPr>
      <w:r>
        <w:rPr>
          <w:rFonts w:ascii="IRNazanin" w:hAnsi="IRNazanin" w:eastAsia="IRNazanin" w:cs="IRNazanin"/>
          <w:lang w:bidi="fa-IR"/>
          <w:color w:val="111111"/>
          <w:sz w:val="28"/>
          <w:szCs w:val="28"/>
          <w:rtl/>
        </w:rPr>
        <w:t xml:space="preserve">أو بردّه علی وکیله المطلق أو الحاکم أو العدول مع التصریح بذلک</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العقد.</w:t>
      </w:r>
    </w:p>
    <w:p>
      <w:pPr>
        <w:pStyle w:val="BookText"/>
      </w:pPr>
      <w:r>
        <w:rPr>
          <w:rFonts w:ascii="IRNazanin" w:hAnsi="IRNazanin" w:eastAsia="IRNazanin" w:cs="IRNazanin"/>
          <w:lang w:bidi="fa-IR"/>
          <w:color w:val="111111"/>
          <w:sz w:val="28"/>
          <w:szCs w:val="28"/>
          <w:rtl/>
        </w:rPr>
        <w:t xml:space="preserve">و إن کان المشروط هو ردّه إلی المشتری مع عدم التصریح ببدله، فامتنع ردّه إلیه عقلاً لغیبةٍ و نحوها،أو شرعاً لجنونٍ و نحوه،ففی حصول الشرط بردّه إلی الحاکم،کما اختاره المحقّق القمّی فی بعض أجوبة مسائله </w:t>
      </w:r>
      <w:r>
        <w:rPr>
          <w:rStyle w:val="FootnoteReference"/>
        </w:rPr>
        <w:footnoteReference w:id="3002"/>
      </w:r>
      <w:r>
        <w:rPr>
          <w:rFonts w:ascii="IRNazanin" w:hAnsi="IRNazanin" w:eastAsia="IRNazanin" w:cs="IRNazanin"/>
          <w:lang w:bidi="fa-IR"/>
          <w:color w:val="111111"/>
          <w:sz w:val="28"/>
          <w:szCs w:val="28"/>
          <w:rtl/>
        </w:rPr>
        <w:t xml:space="preserve">و عدمه،کما اختاره سیّد مشایخنا فی مناهله </w:t>
      </w:r>
      <w:r>
        <w:rPr>
          <w:rStyle w:val="FootnoteReference"/>
        </w:rPr>
        <w:footnoteReference w:id="3003"/>
      </w:r>
      <w:r>
        <w:rPr>
          <w:rFonts w:ascii="IRNazanin" w:hAnsi="IRNazanin" w:eastAsia="IRNazanin" w:cs="IRNazanin"/>
          <w:lang w:bidi="fa-IR"/>
          <w:color w:val="111111"/>
          <w:sz w:val="28"/>
          <w:szCs w:val="28"/>
          <w:rtl/>
        </w:rPr>
        <w:t xml:space="preserve">،قولان.</w:t>
      </w:r>
    </w:p>
    <w:p>
      <w:pPr>
        <w:pStyle w:val="BookText"/>
      </w:pPr>
      <w:r>
        <w:rPr>
          <w:rFonts w:ascii="IRNazanin" w:hAnsi="IRNazanin" w:eastAsia="IRNazanin" w:cs="IRNazanin"/>
          <w:lang w:bidi="fa-IR"/>
          <w:color w:val="111111"/>
          <w:sz w:val="28"/>
          <w:szCs w:val="28"/>
          <w:rtl/>
        </w:rPr>
        <w:t xml:space="preserve">و ربما یظهر من صاحب الحدائق الاتّفاق علی عدم لزوم ردّ الثمن إلی المشتری مع غیبته،حیث إنّه بعد[نقل </w:t>
      </w:r>
      <w:r>
        <w:rPr>
          <w:rStyle w:val="FootnoteReference"/>
        </w:rPr>
        <w:footnoteReference w:id="3004"/>
      </w:r>
      <w:r>
        <w:rPr>
          <w:rFonts w:ascii="IRNazanin" w:hAnsi="IRNazanin" w:eastAsia="IRNazanin" w:cs="IRNazanin"/>
          <w:lang w:bidi="fa-IR"/>
          <w:color w:val="111111"/>
          <w:sz w:val="28"/>
          <w:szCs w:val="28"/>
          <w:rtl/>
        </w:rPr>
        <w:t xml:space="preserve">]قول المشهور بعدم اعتبار حضور الخصم فی فسخ ذی الخیار،و أنّه لا اعتبار بالإشهاد خلافاً لبعض علمائنا قال:إنّ ظاهر الروایة اعتبار حضور المشتری لیفسخ البائع بعد دفع الثمن إلیه؛فما ذکروه:من جواز الفسخ مع عدم حضور المشتری و جعل الثمن أمانةً إلی أن یجیء المشتری،و إن کان ظاهرهم الاتّفاق علیه،إلّا أنّه بعیدٌ عن مساق الأخبار المذکورة </w:t>
      </w:r>
      <w:r>
        <w:rPr>
          <w:rStyle w:val="FootnoteReference"/>
        </w:rPr>
        <w:footnoteReference w:id="300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أقول:لم أجد فیما رأیت مَن تعرّض لحکم ردّ الثمن مع غیبة المشتری فی هذا الخیار،و لم یظهر منهم جواز الفسخ بجعل الثمن أمانةً عند البائع حتّی یحضر المشتری.و ذکرهم لعدم اعتبار حضور الخصم فی فسخ ذی الخیار إنّما هو لبیان حال الفسخ من حیث هو فی مقابل</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 بعض الخاصّة </w:t>
      </w:r>
      <w:r>
        <w:rPr>
          <w:rStyle w:val="FootnoteReference"/>
        </w:rPr>
        <w:footnoteReference w:id="3006"/>
      </w:r>
      <w:r>
        <w:rPr>
          <w:rFonts w:ascii="IRNazanin" w:hAnsi="IRNazanin" w:eastAsia="IRNazanin" w:cs="IRNazanin"/>
          <w:lang w:bidi="fa-IR"/>
          <w:color w:val="111111"/>
          <w:sz w:val="28"/>
          <w:szCs w:val="28"/>
          <w:rtl/>
        </w:rPr>
        <w:t xml:space="preserve">،حیث اشترطوا فی الفسخ بالخیار حضور الخصم،و لا تنافی بینه و بین اعتبار حضوره لتحقّق شرطٍ آخر للفسخ، و هو ردّ الثمن إلی المشتری،مع أنّ ما ذکره من أخبار المسألة لا یدلّ علی اعتبار حضور الخصم فی الفسخ و إن کان موردها صورة حضوره لأجل تحقّق الردّ،إلّا أنّ الفسخ قد یتأخّر عن الردّ بزمانٍ؛بناءً علی مغایرة الفسخ للردّ و عدم الاکتفاء به عنه.</w:t>
      </w:r>
    </w:p>
    <w:p>
      <w:pPr>
        <w:pStyle w:val="BookText"/>
      </w:pPr>
      <w:r>
        <w:rPr>
          <w:rFonts w:ascii="IRNazanin" w:hAnsi="IRNazanin" w:eastAsia="IRNazanin" w:cs="IRNazanin"/>
          <w:lang w:bidi="fa-IR"/>
          <w:color w:val="111111"/>
          <w:sz w:val="28"/>
          <w:szCs w:val="28"/>
          <w:rtl/>
        </w:rPr>
        <w:t xml:space="preserve">نعم،لو قلنا بحصول الفسخ بالردّ اختصّ موردها بحضور الخصم.</w:t>
      </w:r>
    </w:p>
    <w:p>
      <w:pPr>
        <w:pStyle w:val="BookText"/>
      </w:pPr>
      <w:r>
        <w:rPr>
          <w:rFonts w:ascii="IRNazanin" w:hAnsi="IRNazanin" w:eastAsia="IRNazanin" w:cs="IRNazanin"/>
          <w:lang w:bidi="fa-IR"/>
          <w:color w:val="111111"/>
          <w:sz w:val="28"/>
          <w:szCs w:val="28"/>
          <w:rtl/>
        </w:rPr>
        <w:t xml:space="preserve">لکن الأصحاب لم ینکروا اعتبار الحضور فی هذا الخیار،خصوصاً لو فرض قولهم بحصول الفسخ بردّ </w:t>
      </w:r>
      <w:r>
        <w:rPr>
          <w:rStyle w:val="FootnoteReference"/>
        </w:rPr>
        <w:footnoteReference w:id="3007"/>
      </w:r>
      <w:r>
        <w:rPr>
          <w:rFonts w:ascii="IRNazanin" w:hAnsi="IRNazanin" w:eastAsia="IRNazanin" w:cs="IRNazanin"/>
          <w:lang w:bidi="fa-IR"/>
          <w:color w:val="111111"/>
          <w:sz w:val="28"/>
          <w:szCs w:val="28"/>
          <w:rtl/>
        </w:rPr>
        <w:t xml:space="preserve">الثمن،فافهم.</w:t>
      </w:r>
    </w:p>
    <w:p>
      <w:pPr>
        <w:pStyle w:val="BookText"/>
      </w:pPr>
      <w:r>
        <w:rPr>
          <w:rFonts w:ascii="IRNazanin" w:hAnsi="IRNazanin" w:eastAsia="IRNazanin" w:cs="IRNazanin"/>
          <w:lang w:bidi="fa-IR"/>
          <w:color w:val="111111"/>
          <w:sz w:val="28"/>
          <w:szCs w:val="28"/>
          <w:rtl/>
        </w:rPr>
        <w:t xml:space="preserve">و کیف کان،فالأقوی فیما لم یصرّح باشتراط الردّ إلی خصوص المشتری هو قیام الولیّ مقامه؛لأنّ الظاهر من«الردّ إلی المشتری» حصوله عنده و تملّکه له حتّی لا یبقی الثمن فی ذمّة البائع بعد الفسخ، و لذا لو دفع إلی وارث المشتری کفی.و کذا لو ردّ وارث البائع مع أنّ المصرَّح به فی العقد ردّ البائع،و لیس ذلک لأجل إرثه للخیار؛لأنّ ذلک متفرّعٌ علی عدم مدخلیّة خصوص البائع فی الرد،و کذا الکلام فی ولیّه.</w:t>
      </w:r>
    </w:p>
    <w:p>
      <w:pPr>
        <w:pStyle w:val="BookText"/>
      </w:pPr>
      <w:r>
        <w:rPr>
          <w:rFonts w:ascii="IRNazanin" w:hAnsi="IRNazanin" w:eastAsia="IRNazanin" w:cs="IRNazanin"/>
          <w:lang w:bidi="fa-IR"/>
          <w:color w:val="111111"/>
          <w:sz w:val="28"/>
          <w:szCs w:val="28"/>
          <w:rtl/>
        </w:rPr>
        <w:t xml:space="preserve">و دعوی:أنّ الحاکم إنّما یتصرّف فی مال الغائب علی وجه الحفظ</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3008"/>
      </w:r>
      <w:r>
        <w:rPr>
          <w:rFonts w:ascii="IRNazanin" w:hAnsi="IRNazanin" w:eastAsia="IRNazanin" w:cs="IRNazanin"/>
          <w:lang w:bidi="fa-IR"/>
          <w:color w:val="111111"/>
          <w:sz w:val="28"/>
          <w:szCs w:val="28"/>
          <w:rtl/>
        </w:rPr>
        <w:t xml:space="preserve">المصلحة،و الثمن قبل ردّه باقٍ علی ملک البائع،و قبضه عنه الموجب لسلطنة البائع علی الفسخ قد لا یکون مصلحةً للغائب أو شبهه،فلا یکون ولیّاً فی القبض،فلا یحصل ملکُ المشتری المدفوعَ بعد الفسخ.</w:t>
      </w:r>
    </w:p>
    <w:p>
      <w:pPr>
        <w:pStyle w:val="BookText"/>
      </w:pPr>
      <w:r>
        <w:rPr>
          <w:rFonts w:ascii="IRNazanin" w:hAnsi="IRNazanin" w:eastAsia="IRNazanin" w:cs="IRNazanin"/>
          <w:lang w:bidi="fa-IR"/>
          <w:color w:val="111111"/>
          <w:sz w:val="28"/>
          <w:szCs w:val="28"/>
          <w:rtl/>
        </w:rPr>
        <w:t xml:space="preserve">مدفوعة:بأنّ هذا لیس تصرّفاً اختیاریّاً من قبل الولیّ حتّی یناط بالمصلحة،بل البائع حیث وجد من هو منصوبٌ شرعاً لحفظ مال الغائب صحّ له الفسخ؛إذ لا یعتبر فیه قبول المشتری أو ولیّه للثمن حتّی یقال:إنّ ولایته فی القبول متوقّفةٌ علی المصلحة،بل المعتبر تمکین المشتری أو ولیّه منه إذا حصل الفسخ.</w:t>
      </w:r>
    </w:p>
    <w:p>
      <w:pPr>
        <w:pStyle w:val="BookText"/>
      </w:pPr>
      <w:r>
        <w:rPr>
          <w:rFonts w:ascii="IRNazanin" w:hAnsi="IRNazanin" w:eastAsia="IRNazanin" w:cs="IRNazanin"/>
          <w:lang w:bidi="fa-IR"/>
          <w:color w:val="111111"/>
          <w:sz w:val="28"/>
          <w:szCs w:val="28"/>
          <w:rtl/>
        </w:rPr>
        <w:t xml:space="preserve">و ممّا ذکرنا یظهر جواز الفسخ بردّ الثمن إلی عدول المؤمنین لیحفظوها حِسْبةً عن الغائب و شبهه.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اشتری الأب للطفل بخیار البائع،فهل یصحّ له الفسخ مع ردّ الثمن إلی الولیّ الآخر أعنی الجدّ مطلقاً،أو مع عدم التمکّن من الردّ إلی الأب،أو لا؟وجوهٌ.</w:t>
      </w:r>
    </w:p>
    <w:p>
      <w:pPr>
        <w:pStyle w:val="BookText"/>
      </w:pPr>
      <w:r>
        <w:rPr>
          <w:rFonts w:ascii="IRNazanin" w:hAnsi="IRNazanin" w:eastAsia="IRNazanin" w:cs="IRNazanin"/>
          <w:lang w:bidi="fa-IR"/>
          <w:color w:val="111111"/>
          <w:sz w:val="28"/>
          <w:szCs w:val="28"/>
          <w:rtl/>
        </w:rPr>
        <w:t xml:space="preserve">و یجری مثلها فیما لو اشتری الحاکم للصغیر،فردّ البائع إلی حاکمٍ آخر،و لیس فی قبول الحاکم الآخر مزاحمةٌ للأوّل حتّی لا یجوز قبوله للثمن،و لا یجری ولایته بالنسبة إلی هذه المعاملة بناءً علی عدم جواز مزاحمة الحاکم </w:t>
      </w:r>
      <w:r>
        <w:rPr>
          <w:rStyle w:val="FootnoteReference"/>
        </w:rPr>
        <w:footnoteReference w:id="3009"/>
      </w:r>
      <w:r>
        <w:rPr>
          <w:rFonts w:ascii="IRNazanin" w:hAnsi="IRNazanin" w:eastAsia="IRNazanin" w:cs="IRNazanin"/>
          <w:lang w:bidi="fa-IR"/>
          <w:color w:val="111111"/>
          <w:sz w:val="28"/>
          <w:szCs w:val="28"/>
          <w:rtl/>
        </w:rPr>
        <w:t xml:space="preserve">لحاکمٍ آخر فی مثل هذه الأُمور؛لما عرفت:من أنّ أخذ الثمن من البائع لیس تصرّفاً اختیاریّاً،بل البائع إذا وجد من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42" w:name="pg14419_167426"/>
    <w:bookmarkEnd w:id="342"/>
    <w:p>
      <w:pPr>
        <w:pStyle w:val="BookText"/>
      </w:pPr>
      <w:r>
        <w:rPr>
          <w:rFonts w:ascii="IRNazanin" w:hAnsi="IRNazanin" w:eastAsia="IRNazanin" w:cs="IRNazanin"/>
          <w:lang w:bidi="fa-IR"/>
          <w:color w:val="111111"/>
          <w:sz w:val="28"/>
          <w:szCs w:val="28"/>
          <w:rtl/>
        </w:rPr>
        <w:t xml:space="preserve">یجوز أن یتملّک الثمن عن المشتری عند فسخه جاز له الفسخ.و لیس فی مجرّد تملّک الحاکم الثانی الثمنَ عن المشتری مزاحمةٌ للحاکم الأوّل، غایة الأمر وجوب دفعه إلیه،مع احتمال عدم الوجوب؛لأنّ هذا ملکٌ جدیدٌ للصغیر لم یتصرّف فیه الحاکم الأوّل،فلا مزاحمة.لکن الأظهر أنّها مزاحمةٌ عرفاً.</w:t>
      </w:r>
    </w:p>
    <w:p>
      <w:pPr>
        <w:pStyle w:val="Heading6"/>
      </w:pPr>
      <w:bookmarkStart w:id="1229" w:name="_Toc669"/>
      <w:r>
        <w:t>السابع : إذا أطلق اشتراط الفسخ بردّ الثمن لم یکن له ذلک إلّا بردّ الجمیع</w:t>
      </w:r>
      <w:bookmarkEnd w:id="1229"/>
    </w:p>
    <w:p>
      <w:pPr>
        <w:pStyle w:val="BookText"/>
      </w:pPr>
      <w:r>
        <w:rPr>
          <w:rFonts w:ascii="IRNazanin" w:hAnsi="IRNazanin" w:eastAsia="IRNazanin" w:cs="IRNazanin"/>
          <w:lang w:bidi="fa-IR"/>
          <w:color w:val="111111"/>
          <w:sz w:val="28"/>
          <w:szCs w:val="28"/>
          <w:rtl/>
        </w:rPr>
        <w:t xml:space="preserve">فلو ردّ بعضه لم یکن له الفسخ.و لیس للمشتری التصرّف فی المدفوع إلیه؛لبقائه علی ملک البائع.</w:t>
      </w:r>
    </w:p>
    <w:p>
      <w:pPr>
        <w:pStyle w:val="BookText"/>
      </w:pPr>
      <w:r>
        <w:rPr>
          <w:rFonts w:ascii="IRNazanin" w:hAnsi="IRNazanin" w:eastAsia="IRNazanin" w:cs="IRNazanin"/>
          <w:lang w:bidi="fa-IR"/>
          <w:color w:val="111111"/>
          <w:sz w:val="28"/>
          <w:szCs w:val="28"/>
          <w:rtl/>
        </w:rPr>
        <w:t xml:space="preserve">و الظاهر أنّه ضامنٌ له لو تلف إذا دفعه إلیه علی وجه الثمنیّة،إلّا أن یصرّح بکونها أمانةً عنده إلی أن یجتمع قدر الثمن فیفسخ البائع.</w:t>
      </w:r>
    </w:p>
    <w:p>
      <w:pPr>
        <w:pStyle w:val="BookText"/>
      </w:pPr>
      <w:r>
        <w:rPr>
          <w:rFonts w:ascii="IRNazanin" w:hAnsi="IRNazanin" w:eastAsia="IRNazanin" w:cs="IRNazanin"/>
          <w:lang w:bidi="fa-IR"/>
          <w:color w:val="111111"/>
          <w:sz w:val="28"/>
          <w:szCs w:val="28"/>
          <w:rtl/>
        </w:rPr>
        <w:t xml:space="preserve">و لو شرط البائع الفسخ فی کلِّ جزءٍ بردّ ما یخصّه من الثمن جاز الفسخ فیما قابل المدفوع،و للمشتری خیار التبعیض إذا لم یفسخ البائع بقیّة المبیع و خرجت المدّة.و هل له ذلک قبل خروجها؟الوجه ذلک.</w:t>
      </w:r>
    </w:p>
    <w:p>
      <w:pPr>
        <w:pStyle w:val="BookText"/>
      </w:pPr>
      <w:r>
        <w:rPr>
          <w:rFonts w:ascii="IRNazanin" w:hAnsi="IRNazanin" w:eastAsia="IRNazanin" w:cs="IRNazanin"/>
          <w:lang w:bidi="fa-IR"/>
          <w:color w:val="111111"/>
          <w:sz w:val="28"/>
          <w:szCs w:val="28"/>
          <w:rtl/>
        </w:rPr>
        <w:t xml:space="preserve">و یجوز اشتراط الفسخ فی الکلّ بردّ جزءٍ معیّنٍ من الثمن فی المدّة، بل بجزءٍ غیر معیّنٍ،فیبقی الباقی فی ذمّة البائع بعد الفسخ.</w:t>
      </w:r>
    </w:p>
    <w:p>
      <w:pPr>
        <w:pStyle w:val="Heading6"/>
      </w:pPr>
      <w:bookmarkStart w:id="1230" w:name="_Toc670"/>
      <w:r>
        <w:t>الثامن : کما یجوز للبائع اشتراط الفسخ بردّ الثمن،کذا یجوز للمشتری اشتراط الفسخ بردّ المثمن</w:t>
      </w:r>
      <w:bookmarkEnd w:id="1230"/>
    </w:p>
    <w:p>
      <w:pPr>
        <w:pStyle w:val="BookText"/>
      </w:pPr>
      <w:r>
        <w:rPr>
          <w:rFonts w:ascii="IRNazanin" w:hAnsi="IRNazanin" w:eastAsia="IRNazanin" w:cs="IRNazanin"/>
          <w:lang w:bidi="fa-IR"/>
          <w:color w:val="111111"/>
          <w:sz w:val="28"/>
          <w:szCs w:val="28"/>
          <w:rtl/>
        </w:rPr>
        <w:t xml:space="preserve">و لا إشکال فی انصراف الإطلاق إلی العین، و لا فی جواز التصریح بردّ بدله مع تلفه؛لأنّ مرجعه إلی اشتراط الخیار</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المبیع مع وجوده و بدله مع تلفه و عدم بقاء مال البائع عند المشتری بعد الفسخ.</w:t>
      </w:r>
    </w:p>
    <w:p>
      <w:pPr>
        <w:pStyle w:val="BookText"/>
      </w:pPr>
      <w:r>
        <w:rPr>
          <w:rFonts w:ascii="IRNazanin" w:hAnsi="IRNazanin" w:eastAsia="IRNazanin" w:cs="IRNazanin"/>
          <w:lang w:bidi="fa-IR"/>
          <w:color w:val="111111"/>
          <w:sz w:val="28"/>
          <w:szCs w:val="28"/>
          <w:rtl/>
        </w:rPr>
        <w:t xml:space="preserve">و فی جواز اشتراط ردّ بدله و لو مع التمکّن من العین إشکالٌ:من أنّه خلاف مقتضی الفسخ؛لأنّ مقتضاه رجوع کلٍّ من العوضین إلی صاحبه،فاشتراط البدل اشتراطٌ للفسخ علی وجهٍ غیر مشروعٍ،بل لیس فسخاً فی الحقیقة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اشترط ردّ التالف بالمثل فی القیمی و بالقیمة فی المثلی أمکن الجواز؛لأنّه بمنزلة اشتراط إیفاء ما فی الذمّة بغیر جنسه، لا اشتراط ضمان التالف المثلی بالقیمة و القیمی بالمثل،و لا اشتراط رجوع غیر ما اقتضاه العقد إلی البائع،فتأمّل.</w:t>
      </w:r>
    </w:p>
    <w:p>
      <w:pPr>
        <w:pStyle w:val="BookText"/>
      </w:pPr>
      <w:r>
        <w:rPr>
          <w:rFonts w:ascii="IRNazanin" w:hAnsi="IRNazanin" w:eastAsia="IRNazanin" w:cs="IRNazanin"/>
          <w:lang w:bidi="fa-IR"/>
          <w:color w:val="111111"/>
          <w:sz w:val="28"/>
          <w:szCs w:val="28"/>
          <w:rtl/>
        </w:rPr>
        <w:t xml:space="preserve">و یجوز اشتراط الفسخ لکلٍّ منهما بردّ ما انتقل إلیه أو بدله؛و اللّٰه العالم.</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343" w:name="pg14419_167428"/>
    <w:bookmarkEnd w:id="343"/>
    <w:p>
      <w:pPr>
        <w:pStyle w:val="Heading6"/>
      </w:pPr>
      <w:bookmarkStart w:id="1231" w:name="_Toc671"/>
      <w:r>
        <w:t>مسألة : لا إشکال و لا خلاف فی عدم اختصاص خیار الشرط بالبیع و جریانه فی کلّ معاوضةٍ لازمةٍ</w:t>
      </w:r>
      <w:bookmarkEnd w:id="1231"/>
    </w:p>
    <w:p>
      <w:pPr>
        <w:pStyle w:val="BookText"/>
      </w:pPr>
      <w:r>
        <w:rPr>
          <w:rFonts w:ascii="IRNazanin" w:hAnsi="IRNazanin" w:eastAsia="IRNazanin" w:cs="IRNazanin"/>
          <w:lang w:bidi="fa-IR"/>
          <w:color w:val="111111"/>
          <w:sz w:val="28"/>
          <w:szCs w:val="28"/>
          <w:rtl/>
        </w:rPr>
        <w:t xml:space="preserve">کالإجارة و الصلح و المزارعة و المساقاة- بل قال فی التذکرة:الأقرب عندی دخول خیار الشرط فی کلِّ عقد معاوضةٍ،خلافاً للجمهور </w:t>
      </w:r>
      <w:r>
        <w:rPr>
          <w:rStyle w:val="FootnoteReference"/>
        </w:rPr>
        <w:footnoteReference w:id="3011"/>
      </w:r>
      <w:r>
        <w:rPr>
          <w:rFonts w:ascii="IRNazanin" w:hAnsi="IRNazanin" w:eastAsia="IRNazanin" w:cs="IRNazanin"/>
          <w:lang w:bidi="fa-IR"/>
          <w:color w:val="111111"/>
          <w:sz w:val="28"/>
          <w:szCs w:val="28"/>
          <w:rtl/>
        </w:rPr>
        <w:t xml:space="preserve">.و مراده ما یکون لازماً؛لأنّه صرّح بعدم دخوله فی الوکالة و الجعالة و القراض و العاریة و الودیعة؛لأنّ الخیار لکلٍّ منهما دائماً،فلا معنی لدخول خیار الشرط فیه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فیما ذکر عموم«المؤمنون عند شروطهم» </w:t>
      </w:r>
      <w:r>
        <w:rPr>
          <w:rStyle w:val="FootnoteReference"/>
        </w:rPr>
        <w:footnoteReference w:id="3013"/>
      </w:r>
      <w:r>
        <w:rPr>
          <w:rFonts w:ascii="IRNazanin" w:hAnsi="IRNazanin" w:eastAsia="IRNazanin" w:cs="IRNazanin"/>
          <w:lang w:bidi="fa-IR"/>
          <w:color w:val="111111"/>
          <w:sz w:val="28"/>
          <w:szCs w:val="28"/>
          <w:rtl/>
        </w:rPr>
        <w:t xml:space="preserve">،بل الظاهر المصرَّح به فی کلمات جماعةٍ </w:t>
      </w:r>
      <w:r>
        <w:rPr>
          <w:rStyle w:val="FootnoteReference"/>
        </w:rPr>
        <w:footnoteReference w:id="3014"/>
      </w:r>
      <w:r>
        <w:rPr>
          <w:rFonts w:ascii="IRNazanin" w:hAnsi="IRNazanin" w:eastAsia="IRNazanin" w:cs="IRNazanin"/>
          <w:lang w:bidi="fa-IR"/>
          <w:color w:val="111111"/>
          <w:sz w:val="28"/>
          <w:szCs w:val="28"/>
          <w:rtl/>
        </w:rPr>
        <w:t xml:space="preserve">دخوله فی غیر المعاوضات من العقود اللازمة و لو من طرفٍ واحدٍ،بل إطلاقها یشمل العقود الجائزة،إلّا أن</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44" w:name="pg14419_167429"/>
    <w:bookmarkEnd w:id="344"/>
    <w:p>
      <w:pPr>
        <w:pStyle w:val="BookText"/>
      </w:pPr>
      <w:r>
        <w:rPr>
          <w:rFonts w:ascii="IRNazanin" w:hAnsi="IRNazanin" w:eastAsia="IRNazanin" w:cs="IRNazanin"/>
          <w:lang w:bidi="fa-IR"/>
          <w:color w:val="111111"/>
          <w:sz w:val="28"/>
          <w:szCs w:val="28"/>
          <w:rtl/>
        </w:rPr>
        <w:t xml:space="preserve">یدّعی من الخارج عدم معنیً للخیار فی العقد الجائز و لو من الطرف الواحد.</w:t>
      </w:r>
    </w:p>
    <w:p>
      <w:pPr>
        <w:pStyle w:val="BookText"/>
      </w:pPr>
      <w:r>
        <w:rPr>
          <w:rFonts w:ascii="IRNazanin" w:hAnsi="IRNazanin" w:eastAsia="IRNazanin" w:cs="IRNazanin"/>
          <w:lang w:bidi="fa-IR"/>
          <w:color w:val="111111"/>
          <w:sz w:val="28"/>
          <w:szCs w:val="28"/>
          <w:rtl/>
        </w:rPr>
        <w:t xml:space="preserve">فعن الشرائع و الإرشاد و الدروس و تعلیق الإرشاد و مجمع البرهان و الکفایة </w:t>
      </w:r>
      <w:r>
        <w:rPr>
          <w:rStyle w:val="FootnoteReference"/>
        </w:rPr>
        <w:footnoteReference w:id="3015"/>
      </w:r>
      <w:r>
        <w:rPr>
          <w:rFonts w:ascii="IRNazanin" w:hAnsi="IRNazanin" w:eastAsia="IRNazanin" w:cs="IRNazanin"/>
          <w:lang w:bidi="fa-IR"/>
          <w:color w:val="111111"/>
          <w:sz w:val="28"/>
          <w:szCs w:val="28"/>
          <w:rtl/>
        </w:rPr>
        <w:t xml:space="preserve">:دخول خیار الشرط فی کلّ عقدٍ سوی النکاح و الوقف و الإبراء و الطلاق و العتق.و ظاهرها ما عدا الجائز؛و لذا ذکر نحو هذه العبارة فی التحریر </w:t>
      </w:r>
      <w:r>
        <w:rPr>
          <w:rStyle w:val="FootnoteReference"/>
        </w:rPr>
        <w:footnoteReference w:id="3016"/>
      </w:r>
      <w:r>
        <w:rPr>
          <w:rFonts w:ascii="IRNazanin" w:hAnsi="IRNazanin" w:eastAsia="IRNazanin" w:cs="IRNazanin"/>
          <w:lang w:bidi="fa-IR"/>
          <w:color w:val="111111"/>
          <w:sz w:val="28"/>
          <w:szCs w:val="28"/>
          <w:rtl/>
        </w:rPr>
        <w:t xml:space="preserve">بعد ما منع الخیار فی العقود الجائزة.</w:t>
      </w:r>
    </w:p>
    <w:p>
      <w:pPr>
        <w:pStyle w:val="BookText"/>
      </w:pPr>
      <w:r>
        <w:rPr>
          <w:rFonts w:ascii="IRNazanin" w:hAnsi="IRNazanin" w:eastAsia="IRNazanin" w:cs="IRNazanin"/>
          <w:lang w:bidi="fa-IR"/>
          <w:color w:val="111111"/>
          <w:sz w:val="28"/>
          <w:szCs w:val="28"/>
          <w:rtl/>
        </w:rPr>
        <w:t xml:space="preserve">و کیف کان:فالظاهر عدم الخلاف بینهم فی أنّ مقتضی عموم أدلّة الشرط الصحّة فی الکلّ و إنّما الإخراج لمانع؛و لذا قال فی الدروس -بعد حکایة المنع من دخول خیار الشرط فی الصرف عن الشیخ قدّس سرّه-:</w:t>
      </w:r>
    </w:p>
    <w:p>
      <w:pPr>
        <w:pStyle w:val="BookText"/>
      </w:pPr>
      <w:r>
        <w:rPr>
          <w:rFonts w:ascii="IRNazanin" w:hAnsi="IRNazanin" w:eastAsia="IRNazanin" w:cs="IRNazanin"/>
          <w:lang w:bidi="fa-IR"/>
          <w:color w:val="111111"/>
          <w:sz w:val="28"/>
          <w:szCs w:val="28"/>
          <w:rtl/>
        </w:rPr>
        <w:t xml:space="preserve">إنّه لم یعلم وجهه مع عموم صحیحة ابن سنان:«المؤمنون عند شروطهم» </w:t>
      </w:r>
      <w:r>
        <w:rPr>
          <w:rStyle w:val="FootnoteReference"/>
        </w:rPr>
        <w:footnoteReference w:id="3017"/>
      </w:r>
      <w:r>
        <w:rPr>
          <w:rFonts w:ascii="IRNazanin" w:hAnsi="IRNazanin" w:eastAsia="IRNazanin" w:cs="IRNazanin"/>
          <w:lang w:bidi="fa-IR"/>
          <w:color w:val="111111"/>
          <w:sz w:val="28"/>
          <w:szCs w:val="28"/>
          <w:rtl/>
        </w:rPr>
        <w:t xml:space="preserve">،فالمهمّ هنا بیان ما خرج عن هذا العموم.</w:t>
      </w:r>
    </w:p>
    <w:p>
      <w:pPr>
        <w:pStyle w:val="Heading6"/>
      </w:pPr>
      <w:bookmarkStart w:id="1232" w:name="_Toc672"/>
      <w:r>
        <w:t>[عدم جریان خیار الشرط فی الإیقاعات]</w:t>
      </w:r>
      <w:bookmarkEnd w:id="1232"/>
    </w:p>
    <w:p>
      <w:pPr>
        <w:pStyle w:val="BookText"/>
      </w:pPr>
      <w:r>
        <w:rPr>
          <w:rFonts w:ascii="IRNazanin" w:hAnsi="IRNazanin" w:eastAsia="IRNazanin" w:cs="IRNazanin"/>
          <w:lang w:bidi="fa-IR"/>
          <w:color w:val="111111"/>
          <w:sz w:val="28"/>
          <w:szCs w:val="28"/>
          <w:rtl/>
        </w:rPr>
        <w:t xml:space="preserve">فنقول:أمّا الإیقاعات،فالظاهر عدم الخلاف فی عدم دخول الخیار فیها،کما یرشد إلیه استدلال الحلّی فی السرائر علی عدم دخوله فی الطلاق بخروجه عن العقود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قیل:لأنّ المفهوم من الشرط ما کان بین اثنین کما ینبّه علیه</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من الأخبار و الإیقاع إنّما یقوم بواحدٍ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المستفاد من الأخبار کون الشرط قائماً بشخصین:</w:t>
      </w:r>
    </w:p>
    <w:p>
      <w:pPr>
        <w:pStyle w:val="BookText"/>
      </w:pPr>
      <w:r>
        <w:rPr>
          <w:rFonts w:ascii="IRNazanin" w:hAnsi="IRNazanin" w:eastAsia="IRNazanin" w:cs="IRNazanin"/>
          <w:lang w:bidi="fa-IR"/>
          <w:color w:val="111111"/>
          <w:sz w:val="28"/>
          <w:szCs w:val="28"/>
          <w:rtl/>
        </w:rPr>
        <w:t xml:space="preserve">المشروط له،و المشروط علیه،لا کونه متوقِّفاً علی الإیجاب و القبول؛ أ لا تری أنّهم جوّزوا أن یشترط فی إعتاق العبد خدمةَ مدّةٍ </w:t>
      </w:r>
      <w:r>
        <w:rPr>
          <w:rStyle w:val="FootnoteReference"/>
        </w:rPr>
        <w:footnoteReference w:id="3020"/>
      </w:r>
      <w:r>
        <w:rPr>
          <w:rFonts w:ascii="IRNazanin" w:hAnsi="IRNazanin" w:eastAsia="IRNazanin" w:cs="IRNazanin"/>
          <w:lang w:bidi="fa-IR"/>
          <w:color w:val="111111"/>
          <w:sz w:val="28"/>
          <w:szCs w:val="28"/>
          <w:rtl/>
        </w:rPr>
        <w:t xml:space="preserve">تمسّکاً بعموم:«المؤمنون عند شروطهم»،غایة الأمر توقّف لزومه کاشتراط مالٍ علی العبد علی قبول العبد علی قول بعضٍ </w:t>
      </w:r>
      <w:r>
        <w:rPr>
          <w:rStyle w:val="FootnoteReference"/>
        </w:rPr>
        <w:footnoteReference w:id="3021"/>
      </w:r>
      <w:r>
        <w:rPr>
          <w:rFonts w:ascii="IRNazanin" w:hAnsi="IRNazanin" w:eastAsia="IRNazanin" w:cs="IRNazanin"/>
          <w:lang w:bidi="fa-IR"/>
          <w:color w:val="111111"/>
          <w:sz w:val="28"/>
          <w:szCs w:val="28"/>
          <w:rtl/>
        </w:rPr>
        <w:t xml:space="preserve">.لکن هذا غیر اشتراط وقوع الشرط بین الإیجاب و القبول.</w:t>
      </w:r>
    </w:p>
    <w:p>
      <w:pPr>
        <w:pStyle w:val="BookText"/>
      </w:pPr>
      <w:r>
        <w:rPr>
          <w:rFonts w:ascii="IRNazanin" w:hAnsi="IRNazanin" w:eastAsia="IRNazanin" w:cs="IRNazanin"/>
          <w:lang w:bidi="fa-IR"/>
          <w:color w:val="111111"/>
          <w:sz w:val="28"/>
          <w:szCs w:val="28"/>
          <w:rtl/>
        </w:rPr>
        <w:t xml:space="preserve">فالأولی الاستدلال علیه مضافاً إلی إمکان منع صدق الشرط، أو </w:t>
      </w:r>
      <w:r>
        <w:rPr>
          <w:rStyle w:val="FootnoteReference"/>
        </w:rPr>
        <w:footnoteReference w:id="3022"/>
      </w:r>
      <w:r>
        <w:rPr>
          <w:rFonts w:ascii="IRNazanin" w:hAnsi="IRNazanin" w:eastAsia="IRNazanin" w:cs="IRNazanin"/>
          <w:lang w:bidi="fa-IR"/>
          <w:color w:val="111111"/>
          <w:sz w:val="28"/>
          <w:szCs w:val="28"/>
          <w:rtl/>
        </w:rPr>
        <w:t xml:space="preserve">انصرافه،خصوصاً علی ما تقدّم عن القاموس </w:t>
      </w:r>
      <w:r>
        <w:rPr>
          <w:rStyle w:val="FootnoteReference"/>
        </w:rPr>
        <w:footnoteReference w:id="3023"/>
      </w:r>
      <w:r>
        <w:rPr>
          <w:rFonts w:ascii="IRNazanin" w:hAnsi="IRNazanin" w:eastAsia="IRNazanin" w:cs="IRNazanin"/>
          <w:lang w:bidi="fa-IR"/>
          <w:color w:val="111111"/>
          <w:sz w:val="28"/>
          <w:szCs w:val="28"/>
          <w:rtl/>
        </w:rPr>
        <w:t xml:space="preserve">-:بعدم مشروعیّة الفسخ فی الإیقاعات حتّی تقبل لاشتراط التسلّط علی الفسخ فیها.</w:t>
      </w:r>
    </w:p>
    <w:p>
      <w:pPr>
        <w:pStyle w:val="BookText"/>
      </w:pPr>
      <w:r>
        <w:rPr>
          <w:rFonts w:ascii="IRNazanin" w:hAnsi="IRNazanin" w:eastAsia="IRNazanin" w:cs="IRNazanin"/>
          <w:lang w:bidi="fa-IR"/>
          <w:color w:val="111111"/>
          <w:sz w:val="28"/>
          <w:szCs w:val="28"/>
          <w:rtl/>
        </w:rPr>
        <w:t xml:space="preserve">و الرجوع فی العدّة لیس فسخاً للطلاق،بل هو حکم شرعیٌّ فی بعض أقسامه لا یقبل </w:t>
      </w:r>
      <w:r>
        <w:rPr>
          <w:rStyle w:val="FootnoteReference"/>
        </w:rPr>
        <w:footnoteReference w:id="3024"/>
      </w:r>
      <w:r>
        <w:rPr>
          <w:rFonts w:ascii="IRNazanin" w:hAnsi="IRNazanin" w:eastAsia="IRNazanin" w:cs="IRNazanin"/>
          <w:lang w:bidi="fa-IR"/>
          <w:color w:val="111111"/>
          <w:sz w:val="28"/>
          <w:szCs w:val="28"/>
          <w:rtl/>
        </w:rPr>
        <w:t xml:space="preserve">الثبوت فی غیر مورده،بل و لا السقوط فی مورده.</w:t>
      </w:r>
    </w:p>
    <w:p>
      <w:pPr>
        <w:pStyle w:val="BookText"/>
      </w:pPr>
      <w:r>
        <w:rPr>
          <w:rFonts w:ascii="IRNazanin" w:hAnsi="IRNazanin" w:eastAsia="IRNazanin" w:cs="IRNazanin"/>
          <w:lang w:bidi="fa-IR"/>
          <w:color w:val="111111"/>
          <w:sz w:val="28"/>
          <w:szCs w:val="28"/>
          <w:rtl/>
        </w:rPr>
        <w:t xml:space="preserve">و مرجع هذا إلی أنّ مشروعیّة الفسخ لا بدّ لها من دلیلٍ،و قد وجد فی</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345" w:name="pg14419_167431"/>
    <w:bookmarkEnd w:id="345"/>
    <w:p>
      <w:pPr>
        <w:pStyle w:val="BookText"/>
      </w:pPr>
      <w:r>
        <w:rPr>
          <w:rFonts w:ascii="IRNazanin" w:hAnsi="IRNazanin" w:eastAsia="IRNazanin" w:cs="IRNazanin"/>
          <w:lang w:bidi="fa-IR"/>
          <w:color w:val="111111"/>
          <w:sz w:val="28"/>
          <w:szCs w:val="28"/>
          <w:rtl/>
        </w:rPr>
        <w:t xml:space="preserve">العقود من جهة مشروعیّة الإقالة و ثبوت خیار المجلس و الحیوان و غیرهما فی بعضها،بخلاف الإیقاعات؛فإنّه لم یُعهد من الشارع تجویز نقض أثرها بعد وقوعها حتّی یصحّ اشتراط ذلک فیها.</w:t>
      </w:r>
    </w:p>
    <w:p>
      <w:pPr>
        <w:pStyle w:val="BookText"/>
      </w:pPr>
      <w:r>
        <w:rPr>
          <w:rFonts w:ascii="IRNazanin" w:hAnsi="IRNazanin" w:eastAsia="IRNazanin" w:cs="IRNazanin"/>
          <w:lang w:bidi="fa-IR"/>
          <w:color w:val="111111"/>
          <w:sz w:val="28"/>
          <w:szCs w:val="28"/>
          <w:rtl/>
        </w:rPr>
        <w:t xml:space="preserve">و بالجملة،فالشرط لا یَجعل غیرَ السبب الشرعی سبباً،فإذا لم یعلم کون الفسخ سبباً لارتفاع الإیقاع أو علم عدمه بناءً علی أنّ اللزوم فی الإیقاعات حکمٌ شرعیٌّ کالجواز فی العقود الجائزة فلا یصیر سبباً باشتراط التسلّط علیه فی متن الإیقاع.</w:t>
      </w:r>
    </w:p>
    <w:p>
      <w:pPr>
        <w:pStyle w:val="BookText"/>
      </w:pPr>
      <w:r>
        <w:rPr>
          <w:rFonts w:ascii="IRNazanin" w:hAnsi="IRNazanin" w:eastAsia="IRNazanin" w:cs="IRNazanin"/>
          <w:lang w:bidi="fa-IR"/>
          <w:color w:val="111111"/>
          <w:sz w:val="28"/>
          <w:szCs w:val="28"/>
          <w:rtl/>
        </w:rPr>
        <w:t xml:space="preserve">هذا کلّه،مضافاً إلی الإجماع عن المبسوط و نفی الخلاف عن السرائر علی عدم دخوله فی العتق و الطلاق </w:t>
      </w:r>
      <w:r>
        <w:rPr>
          <w:rStyle w:val="FootnoteReference"/>
        </w:rPr>
        <w:footnoteReference w:id="3025"/>
      </w:r>
      <w:r>
        <w:rPr>
          <w:rFonts w:ascii="IRNazanin" w:hAnsi="IRNazanin" w:eastAsia="IRNazanin" w:cs="IRNazanin"/>
          <w:lang w:bidi="fa-IR"/>
          <w:color w:val="111111"/>
          <w:sz w:val="28"/>
          <w:szCs w:val="28"/>
          <w:rtl/>
        </w:rPr>
        <w:t xml:space="preserve">،و إجماع المسالک علی عدم دخوله فی العتق و الإبراء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Heading6"/>
      </w:pPr>
      <w:bookmarkStart w:id="1233" w:name="_Toc673"/>
      <w:r>
        <w:t>[عدم جریان خیار الشرط فی العقود المتضمنة للإیقاع]</w:t>
      </w:r>
      <w:bookmarkEnd w:id="1233"/>
    </w:p>
    <w:p>
      <w:pPr>
        <w:pStyle w:val="BookText"/>
      </w:pPr>
      <w:r>
        <w:rPr>
          <w:rFonts w:ascii="IRNazanin" w:hAnsi="IRNazanin" w:eastAsia="IRNazanin" w:cs="IRNazanin"/>
          <w:lang w:bidi="fa-IR"/>
          <w:color w:val="111111"/>
          <w:sz w:val="28"/>
          <w:szCs w:val="28"/>
          <w:rtl/>
        </w:rPr>
        <w:t xml:space="preserve">و ممّا ذکرنا فی الإیقاع یمکن أن یمنع دخول الخیار فیما تضمّن الإیقاع و لو کان عقداً،کالصلح المفید فائدة الإبراء،کما فی التحریر و جامع المقاصد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غایة المرام:أنّ الصلح إن وقع معاوضةً دخله خیار الشرط، و إن وقع عمّا فی الذمّة مع جهالته أو علی إسقاط الدعوی قبل ثبوتها لم یدخله؛لأنّ مشروعیّته لقطع المنازعة فقط،و اشتراط الخیار لعود الخصومة ینافی مشروعیّتَه،و کلّ شرطٍ ینافی مشروعیّة العقد غیر لازمٍ </w:t>
      </w:r>
      <w:r>
        <w:rPr>
          <w:rStyle w:val="FootnoteReference"/>
        </w:rPr>
        <w:footnoteReference w:id="302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346" w:name="pg14419_167432"/>
    <w:bookmarkEnd w:id="346"/>
    <w:p>
      <w:pPr>
        <w:pStyle w:val="BookText"/>
      </w:pPr>
      <w:r>
        <w:rPr>
          <w:rFonts w:ascii="IRNazanin" w:hAnsi="IRNazanin" w:eastAsia="IRNazanin" w:cs="IRNazanin"/>
          <w:lang w:bidi="fa-IR"/>
          <w:color w:val="111111"/>
          <w:sz w:val="28"/>
          <w:szCs w:val="28"/>
          <w:rtl/>
        </w:rPr>
        <w:t xml:space="preserve">و الکبری المذکورة فی کلامه راجعةٌ إلی ما ذکرنا فی وجه المنع عن الإیقاعات،و لا أقلّ من الشکّ فی ذلک الراجع إلی الشکّ فی سببیّة الفسخ لرفع الإیقاع.</w:t>
      </w:r>
    </w:p>
    <w:p>
      <w:pPr>
        <w:pStyle w:val="Heading6"/>
      </w:pPr>
      <w:bookmarkStart w:id="1234" w:name="_Toc674"/>
      <w:r>
        <w:t>[أقسام العقود من حیث دخول خیار الشرط فیها]</w:t>
      </w:r>
      <w:bookmarkEnd w:id="1234"/>
    </w:p>
    <w:p>
      <w:pPr>
        <w:pStyle w:val="Heading6"/>
      </w:pPr>
      <w:bookmarkStart w:id="1235" w:name="_Toc675"/>
      <w:r>
        <w:t>[ما لا یدخله اتّفاقاً]</w:t>
      </w:r>
      <w:bookmarkEnd w:id="12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العقود:فمنها ما لا یدخله اتّفاقاً،و منها ما اختلف فیه، و منها ما یدخله اتّفاقاً.</w:t>
      </w:r>
    </w:p>
    <w:p>
      <w:pPr>
        <w:pStyle w:val="BookText"/>
      </w:pPr>
      <w:r>
        <w:rPr>
          <w:rFonts w:ascii="IRNazanin" w:hAnsi="IRNazanin" w:eastAsia="IRNazanin" w:cs="IRNazanin"/>
          <w:lang w:bidi="fa-IR"/>
          <w:color w:val="111111"/>
          <w:sz w:val="28"/>
          <w:szCs w:val="28"/>
          <w:rtl/>
        </w:rPr>
        <w:t xml:space="preserve">فالأوّل: النکاح،فإنّه لا یدخله اتّفاقاً،کما عن الخلاف و المبسوط و السرائر و جامع المقاصد و المسالک:الإجماع علیه </w:t>
      </w:r>
      <w:r>
        <w:rPr>
          <w:rStyle w:val="FootnoteReference"/>
        </w:rPr>
        <w:footnoteReference w:id="3029"/>
      </w:r>
      <w:r>
        <w:rPr>
          <w:rFonts w:ascii="IRNazanin" w:hAnsi="IRNazanin" w:eastAsia="IRNazanin" w:cs="IRNazanin"/>
          <w:lang w:bidi="fa-IR"/>
          <w:color w:val="111111"/>
          <w:sz w:val="28"/>
          <w:szCs w:val="28"/>
          <w:rtl/>
        </w:rPr>
        <w:t xml:space="preserve">.و لعلّه لتوقّف ارتفاعه شرعاً علی الطلاق و عدم مشروعیّة التقایل فیه.</w:t>
      </w:r>
    </w:p>
    <w:p>
      <w:pPr>
        <w:pStyle w:val="Heading6"/>
      </w:pPr>
      <w:bookmarkStart w:id="1236" w:name="_Toc676"/>
      <w:r>
        <w:t>[ما اختلف فی دخوله فیه]</w:t>
      </w:r>
      <w:bookmarkEnd w:id="1236"/>
    </w:p>
    <w:p>
      <w:pPr>
        <w:pStyle w:val="Heading6"/>
      </w:pPr>
      <w:bookmarkStart w:id="1237" w:name="_Toc677"/>
      <w:r>
        <w:t>[الوقف]</w:t>
      </w:r>
      <w:bookmarkEnd w:id="1237"/>
    </w:p>
    <w:p>
      <w:pPr>
        <w:pStyle w:val="BookText"/>
      </w:pPr>
      <w:r>
        <w:rPr>
          <w:rFonts w:ascii="IRNazanin" w:hAnsi="IRNazanin" w:eastAsia="IRNazanin" w:cs="IRNazanin"/>
          <w:lang w:bidi="fa-IR"/>
          <w:color w:val="111111"/>
          <w:sz w:val="28"/>
          <w:szCs w:val="28"/>
          <w:rtl/>
        </w:rPr>
        <w:t xml:space="preserve">و من الثانی: الوقف،فإنّ المشهور عدم دخوله فیه،و عن المسالک:</w:t>
      </w:r>
    </w:p>
    <w:p>
      <w:pPr>
        <w:pStyle w:val="BookText"/>
      </w:pPr>
      <w:r>
        <w:rPr>
          <w:rFonts w:ascii="IRNazanin" w:hAnsi="IRNazanin" w:eastAsia="IRNazanin" w:cs="IRNazanin"/>
          <w:lang w:bidi="fa-IR"/>
          <w:color w:val="111111"/>
          <w:sz w:val="28"/>
          <w:szCs w:val="28"/>
          <w:rtl/>
        </w:rPr>
        <w:t xml:space="preserve">أنّه موضع وفاق </w:t>
      </w:r>
      <w:r>
        <w:rPr>
          <w:rStyle w:val="FootnoteReference"/>
        </w:rPr>
        <w:footnoteReference w:id="3030"/>
      </w:r>
      <w:r>
        <w:rPr>
          <w:rFonts w:ascii="IRNazanin" w:hAnsi="IRNazanin" w:eastAsia="IRNazanin" w:cs="IRNazanin"/>
          <w:lang w:bidi="fa-IR"/>
          <w:color w:val="111111"/>
          <w:sz w:val="28"/>
          <w:szCs w:val="28"/>
          <w:rtl/>
        </w:rPr>
        <w:t xml:space="preserve">.و یظهر من محکیّ السرائر و الدروس وجود الخلاف فیه </w:t>
      </w:r>
      <w:r>
        <w:rPr>
          <w:rStyle w:val="FootnoteReference"/>
        </w:rPr>
        <w:footnoteReference w:id="3031"/>
      </w:r>
      <w:r>
        <w:rPr>
          <w:rFonts w:ascii="Amiri" w:hAnsi="Amiri" w:eastAsia="Amiri" w:cs="Amiri"/>
          <w:lang w:bidi="ar-SA"/>
          <w:color w:val="111111"/>
          <w:sz w:val="28"/>
          <w:szCs w:val="28"/>
          <w:rtl/>
        </w:rPr>
        <w:t xml:space="preserve">.و ربما علّل باشتراط القربة فیه و أنّه فکّ ملکٍ بغیر عوضٍ </w:t>
      </w:r>
      <w:r>
        <w:rPr>
          <w:rStyle w:val="FootnoteReference"/>
        </w:rPr>
        <w:footnoteReference w:id="3032"/>
      </w:r>
      <w:r>
        <w:rPr>
          <w:rFonts w:ascii="IRNazanin" w:hAnsi="IRNazanin" w:eastAsia="IRNazanin" w:cs="IRNazanin"/>
          <w:lang w:bidi="fa-IR"/>
          <w:color w:val="111111"/>
          <w:sz w:val="28"/>
          <w:szCs w:val="28"/>
          <w:rtl/>
        </w:rPr>
        <w:t xml:space="preserve">، و الکبری فی الصغریین ممنوعةٌ.</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الاستدلال له بالموثّقة المذکورة فی مسألة شرط الواقف کونَه أحقّ بالوقف عند الحاجة،و هی قوله علیه السلام:«من أوقف أرضاً ثمّ قال:إن احتجتُ إلیها فأنا أحقّ بها،ثمّ مات الرجل فإنّها ترجع فی المیراث» </w:t>
      </w:r>
      <w:r>
        <w:rPr>
          <w:rStyle w:val="FootnoteReference"/>
        </w:rPr>
        <w:footnoteReference w:id="3033"/>
      </w:r>
      <w:r>
        <w:rPr>
          <w:rFonts w:ascii="IRNazanin" w:hAnsi="IRNazanin" w:eastAsia="IRNazanin" w:cs="IRNazanin"/>
          <w:lang w:bidi="fa-IR"/>
          <w:color w:val="111111"/>
          <w:sz w:val="28"/>
          <w:szCs w:val="28"/>
          <w:rtl/>
        </w:rPr>
        <w:t xml:space="preserve">و قریبٌ منها غیرها </w:t>
      </w:r>
      <w:r>
        <w:rPr>
          <w:rStyle w:val="FootnoteReference"/>
        </w:rPr>
        <w:footnoteReference w:id="3034"/>
      </w:r>
      <w:r>
        <w:rPr>
          <w:rFonts w:ascii="IRNazanin" w:hAnsi="IRNazanin" w:eastAsia="IRNazanin" w:cs="IRNazanin"/>
          <w:lang w:bidi="fa-IR"/>
          <w:color w:val="111111"/>
          <w:sz w:val="28"/>
          <w:szCs w:val="28"/>
          <w:rtl/>
        </w:rPr>
        <w:t xml:space="preserve">.و فی دلالتهما </w:t>
      </w:r>
      <w:r>
        <w:rPr>
          <w:rStyle w:val="FootnoteReference"/>
        </w:rPr>
        <w:footnoteReference w:id="3035"/>
      </w:r>
      <w:r>
        <w:rPr>
          <w:rFonts w:ascii="Amiri" w:hAnsi="Amiri" w:eastAsia="Amiri" w:cs="Amiri"/>
          <w:lang w:bidi="ar-SA"/>
          <w:color w:val="111111"/>
          <w:sz w:val="28"/>
          <w:szCs w:val="28"/>
          <w:rtl/>
        </w:rPr>
        <w:t xml:space="preserve">علی المدّعی تأمّلٌ.</w:t>
      </w:r>
    </w:p>
    <w:p>
      <w:pPr>
        <w:pStyle w:val="BookText"/>
      </w:pPr>
      <w:r>
        <w:rPr>
          <w:rFonts w:ascii="IRNazanin" w:hAnsi="IRNazanin" w:eastAsia="IRNazanin" w:cs="IRNazanin"/>
          <w:lang w:bidi="fa-IR"/>
          <w:color w:val="111111"/>
          <w:sz w:val="28"/>
          <w:szCs w:val="28"/>
          <w:rtl/>
        </w:rPr>
        <w:t xml:space="preserve">و یظهر من المحکیّ عن المشایخ الثلاثة فی تلک المسألة </w:t>
      </w:r>
      <w:r>
        <w:rPr>
          <w:rStyle w:val="FootnoteReference"/>
        </w:rPr>
        <w:footnoteReference w:id="3036"/>
      </w:r>
      <w:r>
        <w:rPr>
          <w:rFonts w:ascii="IRNazanin" w:hAnsi="IRNazanin" w:eastAsia="IRNazanin" w:cs="IRNazanin"/>
          <w:lang w:bidi="fa-IR"/>
          <w:color w:val="111111"/>
          <w:sz w:val="28"/>
          <w:szCs w:val="28"/>
          <w:rtl/>
        </w:rPr>
        <w:t xml:space="preserve">تجویز اشتراط الخیار فی الوقف </w:t>
      </w:r>
      <w:r>
        <w:rPr>
          <w:rStyle w:val="FootnoteReference"/>
        </w:rPr>
        <w:footnoteReference w:id="3037"/>
      </w:r>
      <w:r>
        <w:rPr>
          <w:rFonts w:ascii="Amiri" w:hAnsi="Amiri" w:eastAsia="Amiri" w:cs="Amiri"/>
          <w:lang w:bidi="ar-SA"/>
          <w:color w:val="111111"/>
          <w:sz w:val="28"/>
          <w:szCs w:val="28"/>
          <w:rtl/>
        </w:rPr>
        <w:t xml:space="preserve">،و لعلّه </w:t>
      </w:r>
      <w:r>
        <w:rPr>
          <w:rStyle w:val="FootnoteReference"/>
        </w:rPr>
        <w:footnoteReference w:id="3038"/>
      </w:r>
      <w:r>
        <w:rPr>
          <w:rFonts w:ascii="IRNazanin" w:hAnsi="IRNazanin" w:eastAsia="IRNazanin" w:cs="IRNazanin"/>
          <w:lang w:bidi="fa-IR"/>
          <w:color w:val="111111"/>
          <w:sz w:val="28"/>
          <w:szCs w:val="28"/>
          <w:rtl/>
        </w:rPr>
        <w:t xml:space="preserve">المخالف الذی أُشیر إلیه فی محکیّ السرائر و الدروس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حکم الصدقة فالظاهر أنّه حکم الوقف،قال فی التذکرة فی باب الوقف:إنّه یشترط فی الوقف الإلزام فلا یقع لو شرط الخیار فیه لنفسه،و یکون الوقف باطلاً کالعتق و الصدقة </w:t>
      </w:r>
      <w:r>
        <w:rPr>
          <w:rStyle w:val="FootnoteReference"/>
        </w:rPr>
        <w:footnoteReference w:id="304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قال فی باب خیار الشرط:أمّا الهبة المقبوضة،فإن کانت لأجنبیٍّ غیر معوّضٍ عنها و لا قصد بها القربة و لا تصرّف[المتّهب </w:t>
      </w:r>
      <w:r>
        <w:rPr>
          <w:rStyle w:val="FootnoteReference"/>
        </w:rPr>
        <w:footnoteReference w:id="30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47" w:name="pg14419_167434"/>
    <w:bookmarkEnd w:id="347"/>
    <w:p>
      <w:pPr>
        <w:pStyle w:val="BookText"/>
      </w:pPr>
      <w:r>
        <w:rPr>
          <w:rFonts w:ascii="IRNazanin" w:hAnsi="IRNazanin" w:eastAsia="IRNazanin" w:cs="IRNazanin"/>
          <w:lang w:bidi="fa-IR"/>
          <w:color w:val="111111"/>
          <w:sz w:val="28"/>
          <w:szCs w:val="28"/>
          <w:rtl/>
        </w:rPr>
        <w:t xml:space="preserve">یجوز للواهب الرجوع فیها،و إن اختلّ أحد القیود لزمت.و هل یدخلها خیار الشرط؟الأقرب ذلک </w:t>
      </w:r>
      <w:r>
        <w:rPr>
          <w:rStyle w:val="FootnoteReference"/>
        </w:rPr>
        <w:footnoteReference w:id="304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ظاهره دخول الخیار فی الهبة اللازمة حتّی الصدقة.</w:t>
      </w:r>
    </w:p>
    <w:p>
      <w:pPr>
        <w:pStyle w:val="BookText"/>
      </w:pPr>
      <w:r>
        <w:rPr>
          <w:rFonts w:ascii="IRNazanin" w:hAnsi="IRNazanin" w:eastAsia="IRNazanin" w:cs="IRNazanin"/>
          <w:lang w:bidi="fa-IR"/>
          <w:color w:val="111111"/>
          <w:sz w:val="28"/>
          <w:szCs w:val="28"/>
          <w:rtl/>
        </w:rPr>
        <w:t xml:space="preserve">و کیف کان،فالأقوی عدم دخوله فیها؛لعموم ما دلّ علی أنّه لا یُرجع فیما کان للّٰه </w:t>
      </w:r>
      <w:r>
        <w:rPr>
          <w:rStyle w:val="FootnoteReference"/>
        </w:rPr>
        <w:footnoteReference w:id="3043"/>
      </w:r>
      <w:r>
        <w:rPr>
          <w:rFonts w:ascii="IRNazanin" w:hAnsi="IRNazanin" w:eastAsia="IRNazanin" w:cs="IRNazanin"/>
          <w:lang w:bidi="fa-IR"/>
          <w:color w:val="111111"/>
          <w:sz w:val="28"/>
          <w:szCs w:val="28"/>
          <w:rtl/>
        </w:rPr>
        <w:t xml:space="preserve">،بناءً علی أنّ المستفاد منه کون اللزوم حکماً شرعیّاً لماهیّة الصدقة،نظیر الجواز للعقود الجائزة.</w:t>
      </w:r>
    </w:p>
    <w:p>
      <w:pPr>
        <w:pStyle w:val="BookText"/>
      </w:pPr>
      <w:r>
        <w:rPr>
          <w:rFonts w:ascii="IRNazanin" w:hAnsi="IRNazanin" w:eastAsia="IRNazanin" w:cs="IRNazanin"/>
          <w:lang w:bidi="fa-IR"/>
          <w:color w:val="111111"/>
          <w:sz w:val="28"/>
          <w:szCs w:val="28"/>
          <w:rtl/>
        </w:rPr>
        <w:t xml:space="preserve">و لو شکّ فی ذلک کفی فی عدم سببیّة الفسخ التی یتوقّف صحّة اشتراط الخیار علیها.و توهّم إمکان إثبات السببیّة بنفس دلیل الشرط واضح الاندفاع.</w:t>
      </w:r>
    </w:p>
    <w:p>
      <w:pPr>
        <w:pStyle w:val="Heading6"/>
      </w:pPr>
      <w:bookmarkStart w:id="1238" w:name="_Toc678"/>
      <w:r>
        <w:t>و منه : الصلح</w:t>
      </w:r>
      <w:bookmarkEnd w:id="1238"/>
    </w:p>
    <w:p>
      <w:pPr>
        <w:pStyle w:val="BookText"/>
      </w:pPr>
      <w:r>
        <w:rPr>
          <w:rFonts w:ascii="IRNazanin" w:hAnsi="IRNazanin" w:eastAsia="IRNazanin" w:cs="IRNazanin"/>
          <w:lang w:bidi="fa-IR"/>
          <w:color w:val="111111"/>
          <w:sz w:val="28"/>
          <w:szCs w:val="28"/>
          <w:rtl/>
        </w:rPr>
        <w:t xml:space="preserve">و منه </w:t>
      </w:r>
      <w:r>
        <w:rPr>
          <w:rStyle w:val="FootnoteReference"/>
        </w:rPr>
        <w:footnoteReference w:id="3044"/>
      </w:r>
      <w:r>
        <w:rPr>
          <w:rFonts w:ascii="IRNazanin" w:hAnsi="IRNazanin" w:eastAsia="IRNazanin" w:cs="IRNazanin"/>
          <w:lang w:bidi="fa-IR"/>
          <w:color w:val="111111"/>
          <w:sz w:val="28"/>
          <w:szCs w:val="28"/>
          <w:rtl/>
        </w:rPr>
        <w:t xml:space="preserve">: الصلح،</w:t>
      </w:r>
    </w:p>
    <w:p>
      <w:pPr>
        <w:pStyle w:val="BookText"/>
      </w:pPr>
      <w:r>
        <w:rPr>
          <w:rFonts w:ascii="IRNazanin" w:hAnsi="IRNazanin" w:eastAsia="IRNazanin" w:cs="IRNazanin"/>
          <w:lang w:bidi="fa-IR"/>
          <w:color w:val="111111"/>
          <w:sz w:val="28"/>
          <w:szCs w:val="28"/>
          <w:rtl/>
        </w:rPr>
        <w:t xml:space="preserve">فإنّ الظاهر المصرّح به فی کلام جماعةٍ-کالعلّامة فی التذکرة </w:t>
      </w:r>
      <w:r>
        <w:rPr>
          <w:rStyle w:val="FootnoteReference"/>
        </w:rPr>
        <w:footnoteReference w:id="3045"/>
      </w:r>
      <w:r>
        <w:rPr>
          <w:rFonts w:ascii="IRNazanin" w:hAnsi="IRNazanin" w:eastAsia="IRNazanin" w:cs="IRNazanin"/>
          <w:lang w:bidi="fa-IR"/>
          <w:color w:val="111111"/>
          <w:sz w:val="28"/>
          <w:szCs w:val="28"/>
          <w:rtl/>
        </w:rPr>
        <w:t xml:space="preserve">-:دخول الخیار فیه مطلقاً،بل عن المهذّب البارع فی باب الصلح:الإجماع علی دخوله فیه بقولٍ مطلقٍ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المبسوط کالمحکیّ عن الخلاف </w:t>
      </w:r>
      <w:r>
        <w:rPr>
          <w:rStyle w:val="FootnoteReference"/>
        </w:rPr>
        <w:footnoteReference w:id="3047"/>
      </w:r>
      <w:r>
        <w:rPr>
          <w:rFonts w:ascii="IRNazanin" w:hAnsi="IRNazanin" w:eastAsia="IRNazanin" w:cs="IRNazanin"/>
          <w:lang w:bidi="fa-IR"/>
          <w:color w:val="111111"/>
          <w:sz w:val="28"/>
          <w:szCs w:val="28"/>
          <w:rtl/>
        </w:rPr>
        <w:t xml:space="preserve">-:عدم دخوله فیه مطلقاً.</w:t>
      </w:r>
    </w:p>
    <w:p>
      <w:pPr>
        <w:pStyle w:val="BookText"/>
      </w:pPr>
      <w:r>
        <w:rPr>
          <w:rFonts w:ascii="IRNazanin" w:hAnsi="IRNazanin" w:eastAsia="IRNazanin" w:cs="IRNazanin"/>
          <w:lang w:bidi="fa-IR"/>
          <w:color w:val="111111"/>
          <w:sz w:val="28"/>
          <w:szCs w:val="28"/>
          <w:rtl/>
        </w:rPr>
        <w:t xml:space="preserve">و قد تقدّم التفصیل عن التحریر و جامع المقاصد و غایة المرام </w:t>
      </w:r>
      <w:r>
        <w:rPr>
          <w:rStyle w:val="FootnoteReference"/>
        </w:rPr>
        <w:footnoteReference w:id="3048"/>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348" w:name="pg14419_167435"/>
    <w:bookmarkEnd w:id="348"/>
    <w:p>
      <w:pPr>
        <w:pStyle w:val="BookText"/>
      </w:pPr>
      <w:r>
        <w:rPr>
          <w:rFonts w:ascii="IRNazanin" w:hAnsi="IRNazanin" w:eastAsia="IRNazanin" w:cs="IRNazanin"/>
          <w:lang w:bidi="fa-IR"/>
          <w:color w:val="111111"/>
          <w:sz w:val="28"/>
          <w:szCs w:val="28"/>
          <w:rtl/>
        </w:rPr>
        <w:t xml:space="preserve">و لا یخلو عن قربٍ؛لما تقدّم من الشکّ فی سببیّة الفسخ لرفع الإبراء أو ما یفید فائدته.</w:t>
      </w:r>
    </w:p>
    <w:p>
      <w:pPr>
        <w:pStyle w:val="Heading6"/>
      </w:pPr>
      <w:bookmarkStart w:id="1239" w:name="_Toc679"/>
      <w:r>
        <w:t>و منه : الضمان</w:t>
      </w:r>
      <w:bookmarkEnd w:id="1239"/>
    </w:p>
    <w:p>
      <w:pPr>
        <w:pStyle w:val="BookText"/>
      </w:pPr>
      <w:r>
        <w:rPr>
          <w:rFonts w:ascii="IRNazanin" w:hAnsi="IRNazanin" w:eastAsia="IRNazanin" w:cs="IRNazanin"/>
          <w:lang w:bidi="fa-IR"/>
          <w:color w:val="111111"/>
          <w:sz w:val="28"/>
          <w:szCs w:val="28"/>
          <w:rtl/>
        </w:rPr>
        <w:t xml:space="preserve">فإنّ المحکیّ عن ضمان التذکرة و القواعد </w:t>
      </w:r>
      <w:r>
        <w:rPr>
          <w:rStyle w:val="FootnoteReference"/>
        </w:rPr>
        <w:footnoteReference w:id="3049"/>
      </w:r>
      <w:r>
        <w:rPr>
          <w:rFonts w:ascii="IRNazanin" w:hAnsi="IRNazanin" w:eastAsia="IRNazanin" w:cs="IRNazanin"/>
          <w:lang w:bidi="fa-IR"/>
          <w:color w:val="111111"/>
          <w:sz w:val="28"/>
          <w:szCs w:val="28"/>
          <w:rtl/>
        </w:rPr>
        <w:t xml:space="preserve">:عدم دخول خیار الشرط[فیه </w:t>
      </w:r>
      <w:r>
        <w:rPr>
          <w:rStyle w:val="FootnoteReference"/>
        </w:rPr>
        <w:footnoteReference w:id="3050"/>
      </w:r>
      <w:r>
        <w:rPr>
          <w:rFonts w:ascii="IRNazanin" w:hAnsi="IRNazanin" w:eastAsia="IRNazanin" w:cs="IRNazanin"/>
          <w:lang w:bidi="fa-IR"/>
          <w:color w:val="111111"/>
          <w:sz w:val="28"/>
          <w:szCs w:val="28"/>
          <w:rtl/>
        </w:rPr>
        <w:t xml:space="preserve">]،و هو ظاهر المبسوط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دخوله فیه لو قلنا بالتقایل فیه.</w:t>
      </w:r>
    </w:p>
    <w:p>
      <w:pPr>
        <w:pStyle w:val="Heading6"/>
      </w:pPr>
      <w:bookmarkStart w:id="1240" w:name="_Toc680"/>
      <w:r>
        <w:t>و منه : الرهن</w:t>
      </w:r>
      <w:bookmarkEnd w:id="1240"/>
    </w:p>
    <w:p>
      <w:pPr>
        <w:pStyle w:val="BookText"/>
      </w:pPr>
      <w:r>
        <w:rPr>
          <w:rFonts w:ascii="IRNazanin" w:hAnsi="IRNazanin" w:eastAsia="IRNazanin" w:cs="IRNazanin"/>
          <w:lang w:bidi="fa-IR"/>
          <w:color w:val="111111"/>
          <w:sz w:val="28"/>
          <w:szCs w:val="28"/>
          <w:rtl/>
        </w:rPr>
        <w:t xml:space="preserve">فإنّ المصرَّح به فی غایة المرام عدم ثبوت الخیار للراهن </w:t>
      </w:r>
      <w:r>
        <w:rPr>
          <w:rStyle w:val="FootnoteReference"/>
        </w:rPr>
        <w:footnoteReference w:id="3052"/>
      </w:r>
      <w:r>
        <w:rPr>
          <w:rFonts w:ascii="IRNazanin" w:hAnsi="IRNazanin" w:eastAsia="IRNazanin" w:cs="IRNazanin"/>
          <w:lang w:bidi="fa-IR"/>
          <w:color w:val="111111"/>
          <w:sz w:val="28"/>
          <w:szCs w:val="28"/>
          <w:rtl/>
        </w:rPr>
        <w:t xml:space="preserve">لأنّ الرهن وثیقةٌ للدین،و الخیار ینافی الاستیثاق؛و لعلّه لذا استشکل فی التحریر </w:t>
      </w:r>
      <w:r>
        <w:rPr>
          <w:rStyle w:val="FootnoteReference"/>
        </w:rPr>
        <w:footnoteReference w:id="3053"/>
      </w:r>
      <w:r>
        <w:rPr>
          <w:rFonts w:ascii="IRNazanin" w:hAnsi="IRNazanin" w:eastAsia="IRNazanin" w:cs="IRNazanin"/>
          <w:lang w:bidi="fa-IR"/>
          <w:color w:val="111111"/>
          <w:sz w:val="28"/>
          <w:szCs w:val="28"/>
          <w:rtl/>
        </w:rPr>
        <w:t xml:space="preserve">و هو ظاهر المبسوط </w:t>
      </w:r>
      <w:r>
        <w:rPr>
          <w:rStyle w:val="FootnoteReference"/>
        </w:rPr>
        <w:footnoteReference w:id="3054"/>
      </w:r>
      <w:r>
        <w:rPr>
          <w:rFonts w:ascii="IRNazanin" w:hAnsi="IRNazanin" w:eastAsia="IRNazanin" w:cs="IRNazanin"/>
          <w:lang w:bidi="fa-IR"/>
          <w:color w:val="111111"/>
          <w:sz w:val="28"/>
          <w:szCs w:val="28"/>
          <w:rtl/>
        </w:rPr>
        <w:t xml:space="preserve">،و مرجعه إلی أنّ مقتضی طبیعة الرهن شرعاً بل عرفاً کونها وثیقةً،و الخیار منافٍ لذلک.</w:t>
      </w:r>
    </w:p>
    <w:p>
      <w:pPr>
        <w:pStyle w:val="BookText"/>
      </w:pPr>
      <w:r>
        <w:rPr>
          <w:rFonts w:ascii="IRNazanin" w:hAnsi="IRNazanin" w:eastAsia="IRNazanin" w:cs="IRNazanin"/>
          <w:lang w:bidi="fa-IR"/>
          <w:color w:val="111111"/>
          <w:sz w:val="28"/>
          <w:szCs w:val="28"/>
          <w:rtl/>
        </w:rPr>
        <w:t xml:space="preserve">و فیه:أنّ غایة الأمر کون وضعه علی اللزوم،فلا ینافی جواز جعل الخیار بتراضی الطرفین.</w:t>
      </w:r>
    </w:p>
    <w:p>
      <w:pPr>
        <w:pStyle w:val="Heading6"/>
      </w:pPr>
      <w:bookmarkStart w:id="1241" w:name="_Toc681"/>
      <w:r>
        <w:t>و منه : الصرف</w:t>
      </w:r>
      <w:bookmarkEnd w:id="1241"/>
    </w:p>
    <w:p>
      <w:pPr>
        <w:pStyle w:val="BookText"/>
      </w:pPr>
      <w:r>
        <w:rPr>
          <w:rFonts w:ascii="IRNazanin" w:hAnsi="IRNazanin" w:eastAsia="IRNazanin" w:cs="IRNazanin"/>
          <w:lang w:bidi="fa-IR"/>
          <w:color w:val="111111"/>
          <w:sz w:val="28"/>
          <w:szCs w:val="28"/>
          <w:rtl/>
        </w:rPr>
        <w:t xml:space="preserve">فإنّ صریح المبسوط و الغنیة و السرائر عدم دخول</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349" w:name="pg14419_167436"/>
    <w:bookmarkEnd w:id="349"/>
    <w:p>
      <w:pPr>
        <w:pStyle w:val="BookText"/>
      </w:pPr>
      <w:r>
        <w:rPr>
          <w:rFonts w:ascii="IRNazanin" w:hAnsi="IRNazanin" w:eastAsia="IRNazanin" w:cs="IRNazanin"/>
          <w:lang w:bidi="fa-IR"/>
          <w:color w:val="111111"/>
          <w:sz w:val="28"/>
          <w:szCs w:val="28"/>
          <w:rtl/>
        </w:rPr>
        <w:t xml:space="preserve">خیار الشرط فیه </w:t>
      </w:r>
      <w:r>
        <w:rPr>
          <w:rStyle w:val="FootnoteReference"/>
        </w:rPr>
        <w:footnoteReference w:id="3055"/>
      </w:r>
      <w:r>
        <w:rPr>
          <w:rFonts w:ascii="IRNazanin" w:hAnsi="IRNazanin" w:eastAsia="IRNazanin" w:cs="IRNazanin"/>
          <w:lang w:bidi="fa-IR"/>
          <w:color w:val="111111"/>
          <w:sz w:val="28"/>
          <w:szCs w:val="28"/>
          <w:rtl/>
        </w:rPr>
        <w:t xml:space="preserve">،مدّعین علی ذلک الإجماع.و لعلّه لما ذکره فی التذکرة للشافعی المانع عن دخوله فی الصرف و السلم-:بأنّ </w:t>
      </w:r>
      <w:r>
        <w:rPr>
          <w:rStyle w:val="FootnoteReference"/>
        </w:rPr>
        <w:footnoteReference w:id="3056"/>
      </w:r>
      <w:r>
        <w:rPr>
          <w:rFonts w:ascii="IRNazanin" w:hAnsi="IRNazanin" w:eastAsia="IRNazanin" w:cs="IRNazanin"/>
          <w:lang w:bidi="fa-IR"/>
          <w:color w:val="111111"/>
          <w:sz w:val="28"/>
          <w:szCs w:val="28"/>
          <w:rtl/>
        </w:rPr>
        <w:t xml:space="preserve">المقصود من اعتبار التقابض فیهما أن یفترقا و لم یبق </w:t>
      </w:r>
      <w:r>
        <w:rPr>
          <w:rStyle w:val="FootnoteReference"/>
        </w:rPr>
        <w:footnoteReference w:id="3057"/>
      </w:r>
      <w:r>
        <w:rPr>
          <w:rFonts w:ascii="IRNazanin" w:hAnsi="IRNazanin" w:eastAsia="IRNazanin" w:cs="IRNazanin"/>
          <w:lang w:bidi="fa-IR"/>
          <w:color w:val="111111"/>
          <w:sz w:val="28"/>
          <w:szCs w:val="28"/>
          <w:rtl/>
        </w:rPr>
        <w:t xml:space="preserve">بینهما علقةٌ،و لو أثبتنا الخیار بقیت العلقة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الملازمة ممنوعةٌ کما فی التذکرة؛و لذا جزم فیها بدخوله فی الصرف و إن استشکله أوّلاً کما فی القواعد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Heading6"/>
      </w:pPr>
      <w:bookmarkStart w:id="1242" w:name="_Toc682"/>
      <w:r>
        <w:t>[ما یدخله خیار الشرط اتفاقا]</w:t>
      </w:r>
      <w:bookmarkEnd w:id="1242"/>
    </w:p>
    <w:p>
      <w:pPr>
        <w:pStyle w:val="BookText"/>
      </w:pPr>
      <w:r>
        <w:rPr>
          <w:rFonts w:ascii="IRNazanin" w:hAnsi="IRNazanin" w:eastAsia="IRNazanin" w:cs="IRNazanin"/>
          <w:lang w:bidi="fa-IR"/>
          <w:color w:val="111111"/>
          <w:sz w:val="28"/>
          <w:szCs w:val="28"/>
          <w:rtl/>
        </w:rPr>
        <w:t xml:space="preserve">و من الثالث </w:t>
      </w:r>
      <w:r>
        <w:rPr>
          <w:rStyle w:val="FootnoteReference"/>
        </w:rPr>
        <w:footnoteReference w:id="3060"/>
      </w:r>
      <w:r>
        <w:rPr>
          <w:rFonts w:ascii="IRNazanin" w:hAnsi="IRNazanin" w:eastAsia="IRNazanin" w:cs="IRNazanin"/>
          <w:lang w:bidi="fa-IR"/>
          <w:color w:val="111111"/>
          <w:sz w:val="28"/>
          <w:szCs w:val="28"/>
          <w:rtl/>
        </w:rPr>
        <w:t xml:space="preserve">: أقسام البیع ما عدا الصرف و مطلق الإجارة و المزارعة و المساقاة و غیر ما ذکر من موارد الخلاف،فإنّ الظاهر عدم الخلاف[فیها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6"/>
      </w:pPr>
      <w:bookmarkStart w:id="1243" w:name="_Toc683"/>
      <w:r>
        <w:t>[هل یدخل خیار الشرط فی القسمة؟]</w:t>
      </w:r>
      <w:bookmarkEnd w:id="1243"/>
    </w:p>
    <w:p>
      <w:pPr>
        <w:pStyle w:val="BookText"/>
      </w:pPr>
      <w:r>
        <w:rPr>
          <w:rFonts w:ascii="IRNazanin" w:hAnsi="IRNazanin" w:eastAsia="IRNazanin" w:cs="IRNazanin"/>
          <w:lang w:bidi="fa-IR"/>
          <w:color w:val="111111"/>
          <w:sz w:val="28"/>
          <w:szCs w:val="28"/>
          <w:rtl/>
        </w:rPr>
        <w:t xml:space="preserve">و اعلم أنّه ذکر فی التذکرة تبعاً للمبسوط </w:t>
      </w:r>
      <w:r>
        <w:rPr>
          <w:rStyle w:val="FootnoteReference"/>
        </w:rPr>
        <w:footnoteReference w:id="3062"/>
      </w:r>
      <w:r>
        <w:rPr>
          <w:rFonts w:ascii="IRNazanin" w:hAnsi="IRNazanin" w:eastAsia="IRNazanin" w:cs="IRNazanin"/>
          <w:lang w:bidi="fa-IR"/>
          <w:color w:val="111111"/>
          <w:sz w:val="28"/>
          <w:szCs w:val="28"/>
          <w:rtl/>
        </w:rPr>
        <w:t xml:space="preserve">-:دخول خیار الشرط فی القسمة و إن لم یکن فیها ردٌّ </w:t>
      </w:r>
      <w:r>
        <w:rPr>
          <w:rStyle w:val="FootnoteReference"/>
        </w:rPr>
        <w:footnoteReference w:id="3063"/>
      </w:r>
      <w:r>
        <w:rPr>
          <w:rFonts w:ascii="IRNazanin" w:hAnsi="IRNazanin" w:eastAsia="IRNazanin" w:cs="IRNazanin"/>
          <w:lang w:bidi="fa-IR"/>
          <w:color w:val="111111"/>
          <w:sz w:val="28"/>
          <w:szCs w:val="28"/>
          <w:rtl/>
        </w:rPr>
        <w:t xml:space="preserve">.و لا یتصوّر إلّا بأن یشترط الخیار فی التراضی القولی بالسهام،و أمّا التراضی الفعلی فلا یتصوّر دخول خیار الشرط فیه؛بناءً علی وجوب ذکر الشرط فی متن العقد.</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عدم جریان هذا الخیار فی المعاطاة و إن قلنا بلزومها من أوّل الأمر أو بعد التلف،و السرّ فی ذلک:أنّ الشرط القولی لا یمکن ارتباطه بالإنشاء الفعلی.</w:t>
      </w:r>
    </w:p>
    <w:p>
      <w:pPr>
        <w:pStyle w:val="BookText"/>
      </w:pPr>
      <w:r>
        <w:rPr>
          <w:rFonts w:ascii="IRNazanin" w:hAnsi="IRNazanin" w:eastAsia="IRNazanin" w:cs="IRNazanin"/>
          <w:lang w:bidi="fa-IR"/>
          <w:color w:val="111111"/>
          <w:sz w:val="28"/>
          <w:szCs w:val="28"/>
          <w:rtl/>
        </w:rPr>
        <w:t xml:space="preserve">و ذکر فیهما أیضاً دخول الخیار فی الصداق </w:t>
      </w:r>
      <w:r>
        <w:rPr>
          <w:rStyle w:val="FootnoteReference"/>
        </w:rPr>
        <w:footnoteReference w:id="3064"/>
      </w:r>
      <w:r>
        <w:rPr>
          <w:rFonts w:ascii="IRNazanin" w:hAnsi="IRNazanin" w:eastAsia="IRNazanin" w:cs="IRNazanin"/>
          <w:lang w:bidi="fa-IR"/>
          <w:color w:val="111111"/>
          <w:sz w:val="28"/>
          <w:szCs w:val="28"/>
          <w:rtl/>
        </w:rPr>
        <w:t xml:space="preserve">.و لعلّه لمشروعیّة الفسخ فیه فی بعض المقامات،کما إذا زوّجها الولیّ بدون مهر المثل.</w:t>
      </w:r>
    </w:p>
    <w:p>
      <w:pPr>
        <w:pStyle w:val="BookText"/>
      </w:pPr>
      <w:r>
        <w:rPr>
          <w:rFonts w:ascii="Amiri" w:hAnsi="Amiri" w:eastAsia="Amiri" w:cs="Amiri"/>
          <w:lang w:bidi="ar-SA"/>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و ذکر فی المبسوط أیضاً دخول هذا الخیار فی السبق و الرمایة؛ للعموم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الأظهر بحسب القواعد إناطة دخول خیار الشرط بصحّة التقایل فی العقد،فمتی شرع التقایل مع التراضی بعد العقد جاز تراضیهما حین العقد علی سلطنة أحدهما أو کلیهما علی الفسخ،فإنّ إقدامه علی ذلک حین العقد کافٍ فی ذلک بعد ما وجب علیه شرعاً القیام و الوفاء بما شرطه علی نفسه،فیکون أمر الشارع إیّاه بعد العقد بالرضا بما یفعله صاحبه من الفسخ و الالتزام و عدم الاعتراض علیه قائماً مقام رضاه الفعلی بفعل صاحبه،و إن لم یرضَ فعلاً.</w:t>
      </w:r>
    </w:p>
    <w:p>
      <w:pPr>
        <w:pStyle w:val="BookText"/>
      </w:pPr>
      <w:r>
        <w:rPr>
          <w:rFonts w:ascii="IRNazanin" w:hAnsi="IRNazanin" w:eastAsia="IRNazanin" w:cs="IRNazanin"/>
          <w:lang w:bidi="fa-IR"/>
          <w:color w:val="111111"/>
          <w:sz w:val="28"/>
          <w:szCs w:val="28"/>
          <w:rtl/>
        </w:rPr>
        <w:t xml:space="preserve">و أمّا إذا لم یصحّ التقایل فیه لم یصحّ اشتراط الخیار فیه؛لأنّه إذا لم یثبت تأثیر الفسخ بعد العقد عن تراضٍ منهما،فالالتزام حین العقد لسلطنة أحدهما علیه لا یحدث له أثراً؛لما عرفت:من أنّ الالتزام حین العقد لا یفید إلّا فائدة الرضا الفعلی بعد العقد بفسخ صاحبه،و لا یجعل الفسخ مؤثّراً شرعیّاً،و اللّٰه العالم.</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350" w:name="pg14419_167438"/>
    <w:bookmarkEnd w:id="350"/>
    <w:p>
      <w:pPr>
        <w:pStyle w:val="Heading6"/>
      </w:pPr>
      <w:bookmarkStart w:id="1244" w:name="_Toc684"/>
      <w:r>
        <w:t>الرابع : خیار الغبن</w:t>
      </w:r>
      <w:bookmarkEnd w:id="1244"/>
    </w:p>
    <w:p>
      <w:pPr>
        <w:pStyle w:val="Heading6"/>
      </w:pPr>
      <w:bookmarkStart w:id="1245" w:name="_Toc685"/>
      <w:r>
        <w:t>[الغبن لغة و اصطلاحا]</w:t>
      </w:r>
      <w:bookmarkEnd w:id="12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واصلة الخدیعة،قال فی الصحاح:هو بالتسکین فی البیع، و </w:t>
      </w:r>
      <w:r>
        <w:rPr>
          <w:rStyle w:val="FootnoteReference"/>
        </w:rPr>
        <w:footnoteReference w:id="3066"/>
      </w:r>
      <w:r>
        <w:rPr>
          <w:rFonts w:ascii="IRNazanin" w:hAnsi="IRNazanin" w:eastAsia="IRNazanin" w:cs="IRNazanin"/>
          <w:lang w:bidi="fa-IR"/>
          <w:color w:val="111111"/>
          <w:sz w:val="28"/>
          <w:szCs w:val="28"/>
          <w:rtl/>
        </w:rPr>
        <w:t xml:space="preserve">بالتحریک فی الرأی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فی اصطلاح الفقهاء:تملیک ماله بما یزید علی قیمته مع جهل الآخر.و تسمیة المملّک غابناً و الآخر مغبوناً،مع أنّه قد لا یکون خَدْعٌ أصلاً کما لو کانا جاهلین لأجل غلبة صدور هذه المعاوضة علی وجه الخَدْع.</w:t>
      </w:r>
    </w:p>
    <w:p>
      <w:pPr>
        <w:pStyle w:val="BookText"/>
      </w:pPr>
      <w:r>
        <w:rPr>
          <w:rFonts w:ascii="IRNazanin" w:hAnsi="IRNazanin" w:eastAsia="IRNazanin" w:cs="IRNazanin"/>
          <w:lang w:bidi="fa-IR"/>
          <w:color w:val="111111"/>
          <w:sz w:val="28"/>
          <w:szCs w:val="28"/>
          <w:rtl/>
        </w:rPr>
        <w:t xml:space="preserve">و المراد بما یزید أو ینقص:العوض مع ملاحظة ما انضمّ إلیه من الشرط،فلو باع ما یسوی </w:t>
      </w:r>
      <w:r>
        <w:rPr>
          <w:rStyle w:val="FootnoteReference"/>
        </w:rPr>
        <w:footnoteReference w:id="3068"/>
      </w:r>
      <w:r>
        <w:rPr>
          <w:rFonts w:ascii="IRNazanin" w:hAnsi="IRNazanin" w:eastAsia="IRNazanin" w:cs="IRNazanin"/>
          <w:lang w:bidi="fa-IR"/>
          <w:color w:val="111111"/>
          <w:sz w:val="28"/>
          <w:szCs w:val="28"/>
          <w:rtl/>
        </w:rPr>
        <w:t xml:space="preserve">مائة دینار بأقلّ منه مع اشتراط الخیار للبائع،فلا غبن؛لأنّ المبیع ببیع الخیار ینقص ثمنُه عن المبیع بالبیع اللازم،و هکذا غیره من الشروط.</w:t>
      </w:r>
    </w:p>
    <w:p>
      <w:pPr>
        <w:pStyle w:val="BookText"/>
      </w:pPr>
      <w:r>
        <w:rPr>
          <w:rFonts w:ascii="IRNazanin" w:hAnsi="IRNazanin" w:eastAsia="IRNazanin" w:cs="IRNazanin"/>
          <w:lang w:bidi="fa-IR"/>
          <w:color w:val="111111"/>
          <w:sz w:val="28"/>
          <w:szCs w:val="28"/>
          <w:rtl/>
        </w:rPr>
        <w:t xml:space="preserve">و الظاهر أنّ کون الزیادة ممّا لا یتسامح به شرطٌ خارجٌ عن</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51" w:name="pg14419_167439"/>
    <w:bookmarkEnd w:id="351"/>
    <w:p>
      <w:pPr>
        <w:pStyle w:val="BookText"/>
      </w:pPr>
      <w:r>
        <w:rPr>
          <w:rFonts w:ascii="IRNazanin" w:hAnsi="IRNazanin" w:eastAsia="IRNazanin" w:cs="IRNazanin"/>
          <w:lang w:bidi="fa-IR"/>
          <w:color w:val="111111"/>
          <w:sz w:val="28"/>
          <w:szCs w:val="28"/>
          <w:rtl/>
        </w:rPr>
        <w:t xml:space="preserve">مفهومه،بخلاف الجهل بقیمته.</w:t>
      </w:r>
    </w:p>
    <w:p>
      <w:pPr>
        <w:pStyle w:val="BookText"/>
      </w:pPr>
      <w:r>
        <w:rPr>
          <w:rFonts w:ascii="IRNazanin" w:hAnsi="IRNazanin" w:eastAsia="IRNazanin" w:cs="IRNazanin"/>
          <w:lang w:bidi="fa-IR"/>
          <w:color w:val="111111"/>
          <w:sz w:val="28"/>
          <w:szCs w:val="28"/>
          <w:rtl/>
        </w:rPr>
        <w:t xml:space="preserve">ثمّ إنّ ثبوت الخیار به مع الشرط المذکور هو المعروف بین الأصحاب،و نسبه فی التذکرة إلی علمائنا </w:t>
      </w:r>
      <w:r>
        <w:rPr>
          <w:rStyle w:val="FootnoteReference"/>
        </w:rPr>
        <w:footnoteReference w:id="3069"/>
      </w:r>
      <w:r>
        <w:rPr>
          <w:rFonts w:ascii="IRNazanin" w:hAnsi="IRNazanin" w:eastAsia="IRNazanin" w:cs="IRNazanin"/>
          <w:lang w:bidi="fa-IR"/>
          <w:color w:val="111111"/>
          <w:sz w:val="28"/>
          <w:szCs w:val="28"/>
          <w:rtl/>
        </w:rPr>
        <w:t xml:space="preserve">،و عن نهج الحقّ نسبته إلی الإمامیّة </w:t>
      </w:r>
      <w:r>
        <w:rPr>
          <w:rStyle w:val="FootnoteReference"/>
        </w:rPr>
        <w:footnoteReference w:id="3070"/>
      </w:r>
      <w:r>
        <w:rPr>
          <w:rFonts w:ascii="IRNazanin" w:hAnsi="IRNazanin" w:eastAsia="IRNazanin" w:cs="IRNazanin"/>
          <w:lang w:bidi="fa-IR"/>
          <w:color w:val="111111"/>
          <w:sz w:val="28"/>
          <w:szCs w:val="28"/>
          <w:rtl/>
        </w:rPr>
        <w:t xml:space="preserve">،و عن الغنیة و المختلف الإجماع علیه صریحاً </w:t>
      </w:r>
      <w:r>
        <w:rPr>
          <w:rStyle w:val="FootnoteReference"/>
        </w:rPr>
        <w:footnoteReference w:id="3071"/>
      </w:r>
      <w:r>
        <w:rPr>
          <w:rFonts w:ascii="Amiri" w:hAnsi="Amiri" w:eastAsia="Amiri" w:cs="Amiri"/>
          <w:lang w:bidi="ar-SA"/>
          <w:color w:val="111111"/>
          <w:sz w:val="28"/>
          <w:szCs w:val="28"/>
          <w:rtl/>
        </w:rPr>
        <w:t xml:space="preserve">.نعم،المحکیّ عن المحقّق قدّس سرّه فی درسه إنکاره </w:t>
      </w:r>
      <w:r>
        <w:rPr>
          <w:rStyle w:val="FootnoteReference"/>
        </w:rPr>
        <w:footnoteReference w:id="3072"/>
      </w:r>
      <w:r>
        <w:rPr>
          <w:rFonts w:ascii="IRNazanin" w:hAnsi="IRNazanin" w:eastAsia="IRNazanin" w:cs="IRNazanin"/>
          <w:lang w:bidi="fa-IR"/>
          <w:color w:val="111111"/>
          <w:sz w:val="28"/>
          <w:szCs w:val="28"/>
          <w:rtl/>
        </w:rPr>
        <w:t xml:space="preserve">.و لا یعدّ ذلک خلافاً فی المسألة، کسکوت جماعةٍ عن التعرّض له.</w:t>
      </w:r>
    </w:p>
    <w:p>
      <w:pPr>
        <w:pStyle w:val="BookText"/>
      </w:pPr>
      <w:r>
        <w:rPr>
          <w:rFonts w:ascii="IRNazanin" w:hAnsi="IRNazanin" w:eastAsia="IRNazanin" w:cs="IRNazanin"/>
          <w:lang w:bidi="fa-IR"/>
          <w:color w:val="111111"/>
          <w:sz w:val="28"/>
          <w:szCs w:val="28"/>
          <w:rtl/>
        </w:rPr>
        <w:t xml:space="preserve">نعم،حکی عن الإسکافی منعه </w:t>
      </w:r>
      <w:r>
        <w:rPr>
          <w:rStyle w:val="FootnoteReference"/>
        </w:rPr>
        <w:footnoteReference w:id="3073"/>
      </w:r>
      <w:r>
        <w:rPr>
          <w:rFonts w:ascii="Amiri" w:hAnsi="Amiri" w:eastAsia="Amiri" w:cs="Amiri"/>
          <w:lang w:bidi="ar-SA"/>
          <w:color w:val="111111"/>
          <w:sz w:val="28"/>
          <w:szCs w:val="28"/>
          <w:rtl/>
        </w:rPr>
        <w:t xml:space="preserve">.و هو شاذٌّ.</w:t>
      </w:r>
    </w:p>
    <w:p>
      <w:pPr>
        <w:pStyle w:val="Heading6"/>
      </w:pPr>
      <w:bookmarkStart w:id="1246" w:name="_Toc686"/>
      <w:r>
        <w:t>[الاستدلال بآیة تجارة عن تراض علی هذا الخیار]</w:t>
      </w:r>
      <w:bookmarkEnd w:id="1246"/>
    </w:p>
    <w:p>
      <w:pPr>
        <w:pStyle w:val="BookText"/>
      </w:pPr>
      <w:r>
        <w:rPr>
          <w:rFonts w:ascii="Amiri" w:hAnsi="Amiri" w:eastAsia="Amiri" w:cs="Amiri"/>
          <w:lang w:bidi="ar-SA"/>
          <w:color w:val="111111"/>
          <w:sz w:val="28"/>
          <w:szCs w:val="28"/>
          <w:rtl/>
        </w:rPr>
        <w:t xml:space="preserve">و استدلّ فی التذکرة علی هذا الخیار بقوله تعالی إِلاّٰ أَنْ تَکُونَ تِجٰارَةً عَنْ تَرٰاضٍ مِنْکُمْ </w:t>
      </w:r>
      <w:r>
        <w:rPr>
          <w:rStyle w:val="FootnoteReference"/>
        </w:rPr>
        <w:footnoteReference w:id="3074"/>
      </w:r>
      <w:r>
        <w:rPr>
          <w:rFonts w:ascii="IRNazanin" w:hAnsi="IRNazanin" w:eastAsia="IRNazanin" w:cs="IRNazanin"/>
          <w:lang w:bidi="fa-IR"/>
          <w:color w:val="111111"/>
          <w:sz w:val="28"/>
          <w:szCs w:val="28"/>
          <w:rtl/>
        </w:rPr>
        <w:t xml:space="preserve">قال:و معلومٌ أنّ المغبون لو عرف الحال لم یرض </w:t>
      </w:r>
      <w:r>
        <w:rPr>
          <w:rStyle w:val="FootnoteReference"/>
        </w:rPr>
        <w:footnoteReference w:id="3075"/>
      </w:r>
      <w:r>
        <w:rPr>
          <w:rFonts w:ascii="IRNazanin" w:hAnsi="IRNazanin" w:eastAsia="IRNazanin" w:cs="IRNazanin"/>
          <w:lang w:bidi="fa-IR"/>
          <w:color w:val="111111"/>
          <w:sz w:val="28"/>
          <w:szCs w:val="28"/>
          <w:rtl/>
        </w:rPr>
        <w:t xml:space="preserve">.و توجیهه:أنّ رضا المغبون بکون ما یأخذه عوضاً عمّا یدفعه مبنیٌّ علی عنوانٍ مفقودٍ،و هو عدم نقصه عنه فی المالیّة،فکأنه قال:</w:t>
      </w:r>
    </w:p>
    <w:p>
      <w:pPr>
        <w:pStyle w:val="BookText"/>
      </w:pPr>
      <w:r>
        <w:rPr>
          <w:rFonts w:ascii="IRNazanin" w:hAnsi="IRNazanin" w:eastAsia="IRNazanin" w:cs="IRNazanin"/>
          <w:lang w:bidi="fa-IR"/>
          <w:color w:val="111111"/>
          <w:sz w:val="28"/>
          <w:szCs w:val="28"/>
          <w:rtl/>
        </w:rPr>
        <w:t xml:space="preserve">«اشتریت هذا الذی یسوی </w:t>
      </w:r>
      <w:r>
        <w:rPr>
          <w:rStyle w:val="FootnoteReference"/>
        </w:rPr>
        <w:footnoteReference w:id="3076"/>
      </w:r>
      <w:r>
        <w:rPr>
          <w:rFonts w:ascii="Amiri" w:hAnsi="Amiri" w:eastAsia="Amiri" w:cs="Amiri"/>
          <w:lang w:bidi="ar-SA"/>
          <w:color w:val="111111"/>
          <w:sz w:val="28"/>
          <w:szCs w:val="28"/>
          <w:rtl/>
        </w:rPr>
        <w:t xml:space="preserve">درهماً بدرهمٍ»فإذا تبیّن أنّه لا یسوی </w:t>
      </w:r>
      <w:r>
        <w:rPr>
          <w:rStyle w:val="FootnoteReference"/>
        </w:rPr>
        <w:footnoteReference w:id="3077"/>
      </w:r>
      <w:r>
        <w:rPr>
          <w:rFonts w:ascii="Amiri" w:hAnsi="Amiri" w:eastAsia="Amiri" w:cs="Amiri"/>
          <w:lang w:bidi="ar-SA"/>
          <w:color w:val="111111"/>
          <w:sz w:val="28"/>
          <w:szCs w:val="28"/>
          <w:rtl/>
        </w:rPr>
        <w:t xml:space="preserve">درهماً تبیّن أنّه لم یکن راضیاً به عوضاً،لکن لمّا کان المفقود صفةً</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352" w:name="pg14419_167440"/>
    <w:bookmarkEnd w:id="352"/>
    <w:p>
      <w:pPr>
        <w:pStyle w:val="BookText"/>
      </w:pPr>
      <w:r>
        <w:rPr>
          <w:rFonts w:ascii="IRNazanin" w:hAnsi="IRNazanin" w:eastAsia="IRNazanin" w:cs="IRNazanin"/>
          <w:lang w:bidi="fa-IR"/>
          <w:color w:val="111111"/>
          <w:sz w:val="28"/>
          <w:szCs w:val="28"/>
          <w:rtl/>
        </w:rPr>
        <w:t xml:space="preserve">من صفات المبیع لم یکن تبیّن فقده کاشفاً عن بطلان البیع،بل کان کسائر الصفات المقصودة التی لا یوجب تبیّن فقدها إلّا الخیار،فراراً عن استلزام لزوم المعاملة إلزامه بما لم یلتزم و لم یرض به،فالآیة إنّما تدلّ علی عدم لزوم العقد،فإذا حصل التراضی بالعوض الغیر المساوی کان کالرضا السابق؛لفحوی حکم الفضولی و المُکره.</w:t>
      </w:r>
    </w:p>
    <w:p>
      <w:pPr>
        <w:pStyle w:val="BookText"/>
      </w:pPr>
      <w:r>
        <w:rPr>
          <w:rFonts w:ascii="IRNazanin" w:hAnsi="IRNazanin" w:eastAsia="IRNazanin" w:cs="IRNazanin"/>
          <w:lang w:bidi="fa-IR"/>
          <w:color w:val="111111"/>
          <w:sz w:val="28"/>
          <w:szCs w:val="28"/>
          <w:rtl/>
        </w:rPr>
        <w:t xml:space="preserve">و یضعّف بمنع کون الوصف المذکور عنواناً،بل لیس إلّا من قبیل الداعی الذی لا یوجب تخلّفه شیئاً،بل قد لا یکون داعیاً أیضاً.کما إذا کان المقصود ذات المبیع من دون ملاحظة مقدار مالیّته،فقد یُقدم علی أخذ الشیء و إن کان ثمنه أضعاف قیمته و التفت إلی احتمال ذلک، مع أنّ أخذه علی وجه التقیید لا یوجب خیاراً إذا لم یذکر فی متن العقد.</w:t>
      </w:r>
    </w:p>
    <w:p>
      <w:pPr>
        <w:pStyle w:val="Heading6"/>
      </w:pPr>
      <w:bookmarkStart w:id="1247" w:name="_Toc687"/>
      <w:r>
        <w:t>[الاستدلال بآیة و لا تأکلوا أموالکم]</w:t>
      </w:r>
      <w:bookmarkEnd w:id="124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لو أبدل قدّس سرّه هذه الآیة بقوله تعالی وَ لاٰ تَأْکُلُوا أَمْوٰالَکُمْ بَیْنَکُمْ بِالْبٰاطِلِ </w:t>
      </w:r>
      <w:r>
        <w:rPr>
          <w:rStyle w:val="FootnoteReference"/>
        </w:rPr>
        <w:footnoteReference w:id="3078"/>
      </w:r>
      <w:r>
        <w:rPr>
          <w:rFonts w:ascii="IRNazanin" w:hAnsi="IRNazanin" w:eastAsia="IRNazanin" w:cs="IRNazanin"/>
          <w:lang w:bidi="fa-IR"/>
          <w:color w:val="111111"/>
          <w:sz w:val="28"/>
          <w:szCs w:val="28"/>
          <w:rtl/>
        </w:rPr>
        <w:t xml:space="preserve">کان أولی،بناءً علی أنّ أکل المال علی وجه الخَدْع ببیع ما یسوی درهماً بعشرةٍ مع عدم تسلّط المخدوع بعد تبیّن خدعه علی ردّ المعاملة و عدم نفوذ ردّه أکلُ المال بالباطل،أمّا مع رضاه بعد التبیّن بذلک فلا یُعدّ أکلاً بالباطل.</w:t>
      </w:r>
    </w:p>
    <w:p>
      <w:pPr>
        <w:pStyle w:val="BookText"/>
      </w:pPr>
      <w:r>
        <w:rPr>
          <w:rFonts w:ascii="IRNazanin" w:hAnsi="IRNazanin" w:eastAsia="IRNazanin" w:cs="IRNazanin"/>
          <w:lang w:bidi="fa-IR"/>
          <w:color w:val="111111"/>
          <w:sz w:val="28"/>
          <w:szCs w:val="28"/>
          <w:rtl/>
        </w:rPr>
        <w:t xml:space="preserve">و مقتضی الآیة و إن کان حرمة الأکل حتّی قبل تبیّن الخَدْع،إلّا أنّه خرج بالإجماع و بقی ما بعد اطّلاع المغبون و ردِّه للمعاملة.</w:t>
      </w:r>
    </w:p>
    <w:p>
      <w:pPr>
        <w:pStyle w:val="BookText"/>
      </w:pPr>
      <w:r>
        <w:rPr>
          <w:rFonts w:ascii="Amiri" w:hAnsi="Amiri" w:eastAsia="Amiri" w:cs="Amiri"/>
          <w:lang w:bidi="ar-SA"/>
          <w:color w:val="111111"/>
          <w:sz w:val="28"/>
          <w:szCs w:val="28"/>
          <w:rtl/>
        </w:rPr>
        <w:t xml:space="preserve">لکن یعارض الآیة ظاهر قوله تعالی إِلاّٰ أَنْ تَکُونَ تِجٰارَةً عَنْ تَرٰاضٍ بناءً علی ما ذکرنا:من عدم خروج ذلک عن موضوع التراضی،</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353" w:name="pg14419_167441"/>
    <w:bookmarkEnd w:id="353"/>
    <w:p>
      <w:pPr>
        <w:pStyle w:val="BookText"/>
      </w:pPr>
      <w:r>
        <w:rPr>
          <w:rFonts w:ascii="IRNazanin" w:hAnsi="IRNazanin" w:eastAsia="IRNazanin" w:cs="IRNazanin"/>
          <w:lang w:bidi="fa-IR"/>
          <w:color w:val="111111"/>
          <w:sz w:val="28"/>
          <w:szCs w:val="28"/>
          <w:rtl/>
        </w:rPr>
        <w:t xml:space="preserve">فمع التکافؤ یرجع إلی أصالة اللزوم.إلّا أن یقال:إنّ التراضی مع الجهل بالحال لا یخرج </w:t>
      </w:r>
      <w:r>
        <w:rPr>
          <w:rStyle w:val="FootnoteReference"/>
        </w:rPr>
        <w:footnoteReference w:id="3079"/>
      </w:r>
      <w:r>
        <w:rPr>
          <w:rFonts w:ascii="IRNazanin" w:hAnsi="IRNazanin" w:eastAsia="IRNazanin" w:cs="IRNazanin"/>
          <w:lang w:bidi="fa-IR"/>
          <w:color w:val="111111"/>
          <w:sz w:val="28"/>
          <w:szCs w:val="28"/>
          <w:rtl/>
        </w:rPr>
        <w:t xml:space="preserve">عن کون أکل الغابن لمال المغبون الجاهل أکلاً بالباطل.</w:t>
      </w:r>
    </w:p>
    <w:p>
      <w:pPr>
        <w:pStyle w:val="BookText"/>
      </w:pPr>
      <w:r>
        <w:rPr>
          <w:rFonts w:ascii="IRNazanin" w:hAnsi="IRNazanin" w:eastAsia="IRNazanin" w:cs="IRNazanin"/>
          <w:lang w:bidi="fa-IR"/>
          <w:color w:val="111111"/>
          <w:sz w:val="28"/>
          <w:szCs w:val="28"/>
          <w:rtl/>
        </w:rPr>
        <w:t xml:space="preserve">و یمکن أن یقال:إنّ آیة التراضی یشمل غیر صورة الخَدْع،کما إذا أقدم المغبون علی شراء العین محتمِلاً لکونه بأضعاف قیمته،فیدلّ علی نفی الخیار فی هذه الصورة من دون معارضٍ </w:t>
      </w:r>
      <w:r>
        <w:rPr>
          <w:rStyle w:val="FootnoteReference"/>
        </w:rPr>
        <w:footnoteReference w:id="3080"/>
      </w:r>
      <w:r>
        <w:rPr>
          <w:rFonts w:ascii="IRNazanin" w:hAnsi="IRNazanin" w:eastAsia="IRNazanin" w:cs="IRNazanin"/>
          <w:lang w:bidi="fa-IR"/>
          <w:color w:val="111111"/>
          <w:sz w:val="28"/>
          <w:szCs w:val="28"/>
          <w:rtl/>
        </w:rPr>
        <w:t xml:space="preserve">،فیثبت عدم الخیار فی الباقی بعدم القول بالفصل،فتعارض مع آیة النهی،المختصّة بصورة الخَدْع،الشاملة غیرها بعدم القول بالفصل،فیرجع بعد تعارضهما بضمیمة عدم القول بالفصل و تکافئهما إلی أصالة اللزوم.</w:t>
      </w:r>
    </w:p>
    <w:p>
      <w:pPr>
        <w:pStyle w:val="Heading6"/>
      </w:pPr>
      <w:bookmarkStart w:id="1248" w:name="_Toc688"/>
      <w:r>
        <w:t>[ما استدل به فی التذکرة و المناقشة فیه]</w:t>
      </w:r>
      <w:bookmarkEnd w:id="1248"/>
    </w:p>
    <w:p>
      <w:pPr>
        <w:pStyle w:val="BookText"/>
      </w:pPr>
      <w:r>
        <w:rPr>
          <w:rFonts w:ascii="Amiri" w:hAnsi="Amiri" w:eastAsia="Amiri" w:cs="Amiri"/>
          <w:lang w:bidi="ar-SA"/>
          <w:color w:val="111111"/>
          <w:sz w:val="28"/>
          <w:szCs w:val="28"/>
          <w:rtl/>
        </w:rPr>
        <w:t xml:space="preserve">و استدلّ أیضاً فی التذکرة:بأنّ النبیّ صلّی اللّٰه علیه و آله أثبت الخیار فی تلقّی الرکبان و إنّما أثبته للغبن </w:t>
      </w:r>
      <w:r>
        <w:rPr>
          <w:rStyle w:val="FootnoteReference"/>
        </w:rPr>
        <w:footnoteReference w:id="3081"/>
      </w:r>
      <w:r>
        <w:rPr>
          <w:rFonts w:ascii="IRNazanin" w:hAnsi="IRNazanin" w:eastAsia="IRNazanin" w:cs="IRNazanin"/>
          <w:lang w:bidi="fa-IR"/>
          <w:color w:val="111111"/>
          <w:sz w:val="28"/>
          <w:szCs w:val="28"/>
          <w:rtl/>
        </w:rPr>
        <w:t xml:space="preserve">.و یمکن أن یمنع صحّة حکایة إثبات الخیار؛لعدم </w:t>
      </w:r>
      <w:r>
        <w:rPr>
          <w:rStyle w:val="FootnoteReference"/>
        </w:rPr>
        <w:footnoteReference w:id="3082"/>
      </w:r>
      <w:r>
        <w:rPr>
          <w:rFonts w:ascii="IRNazanin" w:hAnsi="IRNazanin" w:eastAsia="IRNazanin" w:cs="IRNazanin"/>
          <w:lang w:bidi="fa-IR"/>
          <w:color w:val="111111"/>
          <w:sz w:val="28"/>
          <w:szCs w:val="28"/>
          <w:rtl/>
        </w:rPr>
        <w:t xml:space="preserve">وجودها فی الکتب المعروفة بین الإمامیّة لیقبل ضعفه الانجبار بالعمل.</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354" w:name="pg14419_167442"/>
    <w:bookmarkEnd w:id="354"/>
    <w:p>
      <w:pPr>
        <w:pStyle w:val="Heading6"/>
      </w:pPr>
      <w:bookmarkStart w:id="1249" w:name="_Toc689"/>
      <w:r>
        <w:t>[الاستدلال بلا ضرر و لا ضرار]</w:t>
      </w:r>
      <w:bookmarkEnd w:id="1249"/>
    </w:p>
    <w:p>
      <w:pPr>
        <w:pStyle w:val="BookText"/>
      </w:pPr>
      <w:r>
        <w:rPr>
          <w:rFonts w:ascii="IRNazanin" w:hAnsi="IRNazanin" w:eastAsia="IRNazanin" w:cs="IRNazanin"/>
          <w:lang w:bidi="fa-IR"/>
          <w:color w:val="111111"/>
          <w:sz w:val="28"/>
          <w:szCs w:val="28"/>
          <w:rtl/>
        </w:rPr>
        <w:t xml:space="preserve">و أقوی ما استدلّ به علی ذلک فی التذکرة </w:t>
      </w:r>
      <w:r>
        <w:rPr>
          <w:rStyle w:val="FootnoteReference"/>
        </w:rPr>
        <w:footnoteReference w:id="3083"/>
      </w:r>
      <w:r>
        <w:rPr>
          <w:rFonts w:ascii="IRNazanin" w:hAnsi="IRNazanin" w:eastAsia="IRNazanin" w:cs="IRNazanin"/>
          <w:lang w:bidi="fa-IR"/>
          <w:color w:val="111111"/>
          <w:sz w:val="28"/>
          <w:szCs w:val="28"/>
          <w:rtl/>
        </w:rPr>
        <w:t xml:space="preserve">و غیرها </w:t>
      </w:r>
      <w:r>
        <w:rPr>
          <w:rStyle w:val="FootnoteReference"/>
        </w:rPr>
        <w:footnoteReference w:id="3084"/>
      </w:r>
      <w:r>
        <w:rPr>
          <w:rFonts w:ascii="Amiri" w:hAnsi="Amiri" w:eastAsia="Amiri" w:cs="Amiri"/>
          <w:lang w:bidi="ar-SA"/>
          <w:color w:val="111111"/>
          <w:sz w:val="28"/>
          <w:szCs w:val="28"/>
          <w:rtl/>
        </w:rPr>
        <w:t xml:space="preserve">قوله صلّی اللّٰه علیه و آله:</w:t>
      </w:r>
    </w:p>
    <w:p>
      <w:pPr>
        <w:pStyle w:val="BookText"/>
      </w:pPr>
      <w:r>
        <w:rPr>
          <w:rFonts w:ascii="IRNazanin" w:hAnsi="IRNazanin" w:eastAsia="IRNazanin" w:cs="IRNazanin"/>
          <w:lang w:bidi="fa-IR"/>
          <w:color w:val="111111"/>
          <w:sz w:val="28"/>
          <w:szCs w:val="28"/>
          <w:rtl/>
        </w:rPr>
        <w:t xml:space="preserve">«لا ضرر و لا ضرار فی الإسلام» </w:t>
      </w:r>
      <w:r>
        <w:rPr>
          <w:rStyle w:val="FootnoteReference"/>
        </w:rPr>
        <w:footnoteReference w:id="3085"/>
      </w:r>
      <w:r>
        <w:rPr>
          <w:rFonts w:ascii="IRNazanin" w:hAnsi="IRNazanin" w:eastAsia="IRNazanin" w:cs="IRNazanin"/>
          <w:lang w:bidi="fa-IR"/>
          <w:color w:val="111111"/>
          <w:sz w:val="28"/>
          <w:szCs w:val="28"/>
          <w:rtl/>
        </w:rPr>
        <w:t xml:space="preserve">،و کأنّ وجه الاستدلال:أنّ لزوم مثل هذا البیع و عدم تسلّط المغبون علی فسخه ضررٌ علیه و إضرارٌ به فیکون منفیّاً،فحاصل الروایة:أنّ الشارع لم یحکم بحکمٍ یکون فیه الضرر و لم یسوّغ إضرارَ المسلمین بعضِهم بعضاً،و لم یمضِ لهم من التصرّفات ما فیه ضررٌ علی الممضی علیه.</w:t>
      </w:r>
    </w:p>
    <w:p>
      <w:pPr>
        <w:pStyle w:val="BookText"/>
      </w:pPr>
      <w:r>
        <w:rPr>
          <w:rFonts w:ascii="IRNazanin" w:hAnsi="IRNazanin" w:eastAsia="IRNazanin" w:cs="IRNazanin"/>
          <w:lang w:bidi="fa-IR"/>
          <w:color w:val="111111"/>
          <w:sz w:val="28"/>
          <w:szCs w:val="28"/>
          <w:rtl/>
        </w:rPr>
        <w:t xml:space="preserve">و منه یظهر صحّة التمسّک لتزلزل کلِّ عقدٍ یکون لزومه ضرراً علی الممضی علیه،سواءً کان من جهة الغبن أم لا،و سواءً کان فی البیع أم فی غیره،کالصلح الغیر المبنی علی المسامحة و الإجارة و غیرها من المعاوضات.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هذا،و لکن یمکن الخدشة فی ذلک:بأنّ انتفاء اللزوم و ثبوت التزلزل فی العقد لا یستلزم ثبوت الخیار للمغبون بین الردّ و الإمضاء بکلِّ الثمن؛ إذ یحتمل أن یتخیّر بین إمضاء العقد بکلِّ الثمن و ردِّه فی المقدار الزائد، غایة الأمر ثبوت الخیار للغابن؛لتبعّض المال علیه،فیکون حال المغبون حال المریض إذا اشتری بأزید من ثمن المثل،و حاله بعد العلم بالقیمة حال الوارث إذا مات ذلک المریض المشتری،فی أنّ له استرداد الزیادة من دون ردّ جزءٍ من العوض،کما علیه الأکثر فی معاوضات المریض المشتملة علی المحاباة </w:t>
      </w:r>
      <w:r>
        <w:rPr>
          <w:rStyle w:val="FootnoteReference"/>
        </w:rPr>
        <w:footnoteReference w:id="3086"/>
      </w:r>
      <w:r>
        <w:rPr>
          <w:rFonts w:ascii="IRNazanin" w:hAnsi="IRNazanin" w:eastAsia="IRNazanin" w:cs="IRNazanin"/>
          <w:lang w:bidi="fa-IR"/>
          <w:color w:val="111111"/>
          <w:sz w:val="28"/>
          <w:szCs w:val="28"/>
          <w:rtl/>
        </w:rPr>
        <w:t xml:space="preserve">و إن اعترض علیهم العلّامة بما حاصله:أنّ</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استرداد بعض أحد العوضین من دون ردّ بعضَ الآخر ینافی مقتضی المعاوضة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أیضاً أن یکون نفی اللزوم بتسلّط المغبون علی إلزام الغابن بأحد الأمرین:من الفسخ فی الکلّ،و من تدارک ما فات علی المغبون بردّ القدر الزائد أو بدله،و مرجعه إلی أنّ للمغبون الفسخ إذا لم یبذل الغابن التفاوت،فالمبذول غرامةٌ لما فات علی المغبون علی تقدیر إمضاء البیع،لا هبةٌ مستقلّةٌ کما فی الإیضاح و جامع المقاصد،حیث انتصرا للمشهور القائلین بعدم سقوط الخیار ببذل الغابن للتفاوت-:</w:t>
      </w:r>
    </w:p>
    <w:p>
      <w:pPr>
        <w:pStyle w:val="BookText"/>
      </w:pPr>
      <w:r>
        <w:rPr>
          <w:rFonts w:ascii="IRNazanin" w:hAnsi="IRNazanin" w:eastAsia="IRNazanin" w:cs="IRNazanin"/>
          <w:lang w:bidi="fa-IR"/>
          <w:color w:val="111111"/>
          <w:sz w:val="28"/>
          <w:szCs w:val="28"/>
          <w:rtl/>
        </w:rPr>
        <w:t xml:space="preserve">بأنّ الهبة المستقلّة لا تُخرِج المعاملةَ عن الغبن الموجب للخیار </w:t>
      </w:r>
      <w:r>
        <w:rPr>
          <w:rStyle w:val="FootnoteReference"/>
        </w:rPr>
        <w:footnoteReference w:id="3088"/>
      </w:r>
      <w:r>
        <w:rPr>
          <w:rFonts w:ascii="IRNazanin" w:hAnsi="IRNazanin" w:eastAsia="IRNazanin" w:cs="IRNazanin"/>
          <w:lang w:bidi="fa-IR"/>
          <w:color w:val="111111"/>
          <w:sz w:val="28"/>
          <w:szCs w:val="28"/>
          <w:rtl/>
        </w:rPr>
        <w:t xml:space="preserve">، و سیجیء ذلک </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ذکرنا نظیر ما اختاره العلّامة فی التذکرة و احتمله فی القواعد:</w:t>
      </w:r>
    </w:p>
    <w:p>
      <w:pPr>
        <w:pStyle w:val="BookText"/>
      </w:pPr>
      <w:r>
        <w:rPr>
          <w:rFonts w:ascii="IRNazanin" w:hAnsi="IRNazanin" w:eastAsia="IRNazanin" w:cs="IRNazanin"/>
          <w:lang w:bidi="fa-IR"/>
          <w:color w:val="111111"/>
          <w:sz w:val="28"/>
          <w:szCs w:val="28"/>
          <w:rtl/>
        </w:rPr>
        <w:t xml:space="preserve">من أنّه إذا ظهر کذب البائع مرابحةً فی إخباره برأس المال فبذل المقدار الزائد مع ربحه،فلا خیار للمشتری </w:t>
      </w:r>
      <w:r>
        <w:rPr>
          <w:rStyle w:val="FootnoteReference"/>
        </w:rPr>
        <w:footnoteReference w:id="3090"/>
      </w:r>
      <w:r>
        <w:rPr>
          <w:rFonts w:ascii="IRNazanin" w:hAnsi="IRNazanin" w:eastAsia="IRNazanin" w:cs="IRNazanin"/>
          <w:lang w:bidi="fa-IR"/>
          <w:color w:val="111111"/>
          <w:sz w:val="28"/>
          <w:szCs w:val="28"/>
          <w:rtl/>
        </w:rPr>
        <w:t xml:space="preserve">،فإنّ مرجع هذا إلی تخییر البائع بین ردّ التفاوت و بین الالتزام بفسخ المشتری.</w:t>
      </w:r>
    </w:p>
    <w:p>
      <w:pPr>
        <w:pStyle w:val="BookText"/>
      </w:pPr>
      <w:r>
        <w:rPr>
          <w:rFonts w:ascii="IRNazanin" w:hAnsi="IRNazanin" w:eastAsia="IRNazanin" w:cs="IRNazanin"/>
          <w:lang w:bidi="fa-IR"/>
          <w:color w:val="111111"/>
          <w:sz w:val="28"/>
          <w:szCs w:val="28"/>
          <w:rtl/>
        </w:rPr>
        <w:t xml:space="preserve">و حاصل الاحتمالین:عدم الخیار للمغبون مع بذل الغابن للتفاوت، فالمتیقّن من ثبوت الخیار له صورة امتناع الغابن من البذل.و لعلّ هذا</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الوجه فی استشکال العلّامة فی التذکرة فی ثبوت الخیار مع البذل </w:t>
      </w:r>
      <w:r>
        <w:rPr>
          <w:rStyle w:val="FootnoteReference"/>
        </w:rPr>
        <w:footnoteReference w:id="3091"/>
      </w:r>
      <w:r>
        <w:rPr>
          <w:rFonts w:ascii="IRNazanin" w:hAnsi="IRNazanin" w:eastAsia="IRNazanin" w:cs="IRNazanin"/>
          <w:lang w:bidi="fa-IR"/>
          <w:color w:val="111111"/>
          <w:sz w:val="28"/>
          <w:szCs w:val="28"/>
          <w:rtl/>
        </w:rPr>
        <w:t xml:space="preserve">، بل قول بعضٍ بعدمه </w:t>
      </w:r>
      <w:r>
        <w:rPr>
          <w:rStyle w:val="FootnoteReference"/>
        </w:rPr>
        <w:footnoteReference w:id="3092"/>
      </w:r>
      <w:r>
        <w:rPr>
          <w:rFonts w:ascii="IRNazanin" w:hAnsi="IRNazanin" w:eastAsia="IRNazanin" w:cs="IRNazanin"/>
          <w:lang w:bidi="fa-IR"/>
          <w:color w:val="111111"/>
          <w:sz w:val="28"/>
          <w:szCs w:val="28"/>
          <w:rtl/>
        </w:rPr>
        <w:t xml:space="preserve">کما یظهر من الریاض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المبذول لیس هبةً مستقلّةً حتّی یقال:إنّها لا تُخرِج المعاملة المشتملة علی الغبن عن کونها مشتملةً علیه،و لا جزءً من أحد العوضین حتّی یکون استرداده مع العوض الآخر جمعاً بین جزء العوض و تمام المعوّض </w:t>
      </w:r>
      <w:r>
        <w:rPr>
          <w:rStyle w:val="FootnoteReference"/>
        </w:rPr>
        <w:footnoteReference w:id="3094"/>
      </w:r>
      <w:r>
        <w:rPr>
          <w:rFonts w:ascii="IRNazanin" w:hAnsi="IRNazanin" w:eastAsia="IRNazanin" w:cs="IRNazanin"/>
          <w:lang w:bidi="fa-IR"/>
          <w:color w:val="111111"/>
          <w:sz w:val="28"/>
          <w:szCs w:val="28"/>
          <w:rtl/>
        </w:rPr>
        <w:t xml:space="preserve">منافیاً لمقتضی المعاوضة،بل هی غرامةٌ لما أتلفه الغابن علیه من الزیادة بالمعاملة الغبنیّة،فلا یعتبر کونه من عین الثمن،نظیر الأرش فی المعیب.</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 هنا ظهر الخدشة فیما فی الإیضاح و الجامع،من الاستدلال علی عدم السقوط مع البذل بعد الاستصحاب-:بأنّ بذل التفاوت لا یُخرِج المعاملة عن کونها غبنیّةً؛لأنّها هبةٌ مستقلّة،حتّی أنّه لو دفعه علی وجه الاستحقاق لم یحلّ أخذه؛إذ لا ریب[فی </w:t>
      </w:r>
      <w:r>
        <w:rPr>
          <w:rStyle w:val="FootnoteReference"/>
        </w:rPr>
        <w:footnoteReference w:id="3095"/>
      </w:r>
      <w:r>
        <w:rPr>
          <w:rFonts w:ascii="Amiri" w:hAnsi="Amiri" w:eastAsia="Amiri" w:cs="Amiri"/>
          <w:lang w:bidi="ar-SA"/>
          <w:color w:val="111111"/>
          <w:sz w:val="28"/>
          <w:szCs w:val="28"/>
          <w:rtl/>
        </w:rPr>
        <w:t xml:space="preserve">]أنّ من قَبِلَ هبة الغابن لا یسقط خیاره </w:t>
      </w:r>
      <w:r>
        <w:rPr>
          <w:rStyle w:val="FootnoteReference"/>
        </w:rPr>
        <w:footnoteReference w:id="3096"/>
      </w:r>
      <w:r>
        <w:rPr>
          <w:rFonts w:ascii="IRNazanin" w:hAnsi="IRNazanin" w:eastAsia="IRNazanin" w:cs="IRNazanin"/>
          <w:lang w:bidi="fa-IR"/>
          <w:color w:val="111111"/>
          <w:sz w:val="28"/>
          <w:szCs w:val="28"/>
          <w:rtl/>
        </w:rPr>
        <w:t xml:space="preserve">،انتهی بمعناه.</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55" w:name="pg14419_167445"/>
    <w:bookmarkEnd w:id="355"/>
    <w:p>
      <w:pPr>
        <w:pStyle w:val="BookText"/>
      </w:pPr>
      <w:r>
        <w:rPr>
          <w:rFonts w:ascii="Amiri" w:hAnsi="Amiri" w:eastAsia="Amiri" w:cs="Amiri"/>
          <w:lang w:bidi="ar-SA"/>
          <w:color w:val="111111"/>
          <w:sz w:val="28"/>
          <w:szCs w:val="28"/>
          <w:rtl/>
        </w:rPr>
        <w:t xml:space="preserve">وجه الخدشة:ما تقدّم </w:t>
      </w:r>
      <w:r>
        <w:rPr>
          <w:rStyle w:val="FootnoteReference"/>
        </w:rPr>
        <w:footnoteReference w:id="3097"/>
      </w:r>
      <w:r>
        <w:rPr>
          <w:rFonts w:ascii="IRNazanin" w:hAnsi="IRNazanin" w:eastAsia="IRNazanin" w:cs="IRNazanin"/>
          <w:lang w:bidi="fa-IR"/>
          <w:color w:val="111111"/>
          <w:sz w:val="28"/>
          <w:szCs w:val="28"/>
          <w:rtl/>
        </w:rPr>
        <w:t xml:space="preserve">،من احتمال کون المبذول غرامةً لما أتلفه الغابن علی المغبون قد دلّ علیه نفی الضرر.</w:t>
      </w:r>
    </w:p>
    <w:p>
      <w:pPr>
        <w:pStyle w:val="BookText"/>
      </w:pPr>
      <w:r>
        <w:rPr>
          <w:rFonts w:ascii="IRNazanin" w:hAnsi="IRNazanin" w:eastAsia="IRNazanin" w:cs="IRNazanin"/>
          <w:lang w:bidi="fa-IR"/>
          <w:color w:val="111111"/>
          <w:sz w:val="28"/>
          <w:szCs w:val="28"/>
          <w:rtl/>
        </w:rPr>
        <w:t xml:space="preserve">و أمّا الاستصحاب،ففیه:أنّ الشکّ فی اندفاع الخیار بالبذل لا فی ارتفاعه به؛إذ </w:t>
      </w:r>
      <w:r>
        <w:rPr>
          <w:rStyle w:val="FootnoteReference"/>
        </w:rPr>
        <w:footnoteReference w:id="3098"/>
      </w:r>
      <w:r>
        <w:rPr>
          <w:rFonts w:ascii="IRNazanin" w:hAnsi="IRNazanin" w:eastAsia="IRNazanin" w:cs="IRNazanin"/>
          <w:lang w:bidi="fa-IR"/>
          <w:color w:val="111111"/>
          <w:sz w:val="28"/>
          <w:szCs w:val="28"/>
          <w:rtl/>
        </w:rPr>
        <w:t xml:space="preserve">المحتمل ثبوت الخیار علی الممتنع دون الباذل.</w:t>
      </w:r>
    </w:p>
    <w:p>
      <w:pPr>
        <w:pStyle w:val="BookText"/>
      </w:pPr>
      <w:r>
        <w:rPr>
          <w:rFonts w:ascii="IRNazanin" w:hAnsi="IRNazanin" w:eastAsia="IRNazanin" w:cs="IRNazanin"/>
          <w:lang w:bidi="fa-IR"/>
          <w:color w:val="111111"/>
          <w:sz w:val="28"/>
          <w:szCs w:val="28"/>
          <w:rtl/>
        </w:rPr>
        <w:t xml:space="preserve">ثمّ إنّ الظاهر أنّ تدارک ضرر المغبون بأحد الاحتمالین المذکورین أولی من إثبات الخیار له؛لأنّ إلزام الغابن بالفسخ ضررٌ؛لتعلّق غرض الناس بما ینتقل إلیهم من أعواض أموالهم خصوصاً النقود،و نقض الغرض ضررٌ و إن لم یبلغ حدّ المعارضة لضرر المغبون،إلّا أنّه یصلح مرجِّحاً لأحد الاحتمالین المذکورین علی ما اشتهر من تخییره بین الردّ و الإمضاء بکلّ الثمن،إلّا أن یعارض ذلک بأنّ غرض المغبون قد یتعلّق بتملّک عینٍ ذات قیمةٍ؛لکون المقصود اقتناءها للتجمّل،و قد یستنکف عن اقتناء ذات القیمة الیسیرة للتجمّل،فتأمّل.</w:t>
      </w:r>
    </w:p>
    <w:p>
      <w:pPr>
        <w:pStyle w:val="Heading6"/>
      </w:pPr>
      <w:bookmarkStart w:id="1250" w:name="_Toc690"/>
      <w:r>
        <w:t>[الاستدلال علی خیار الغبن بالأخبار الواردة فی حکم الغبن]</w:t>
      </w:r>
      <w:bookmarkEnd w:id="1250"/>
    </w:p>
    <w:p>
      <w:pPr>
        <w:pStyle w:val="BookText"/>
      </w:pPr>
      <w:r>
        <w:rPr>
          <w:rFonts w:ascii="IRNazanin" w:hAnsi="IRNazanin" w:eastAsia="IRNazanin" w:cs="IRNazanin"/>
          <w:lang w:bidi="fa-IR"/>
          <w:color w:val="111111"/>
          <w:sz w:val="28"/>
          <w:szCs w:val="28"/>
          <w:rtl/>
        </w:rPr>
        <w:t xml:space="preserve">و قد یستدلّ علی الخیار بأخبارٍ واردةٍ فی حکم الغبن:</w:t>
      </w:r>
    </w:p>
    <w:p>
      <w:pPr>
        <w:pStyle w:val="BookText"/>
      </w:pPr>
      <w:r>
        <w:rPr>
          <w:rFonts w:ascii="IRNazanin" w:hAnsi="IRNazanin" w:eastAsia="IRNazanin" w:cs="IRNazanin"/>
          <w:lang w:bidi="fa-IR"/>
          <w:color w:val="111111"/>
          <w:sz w:val="28"/>
          <w:szCs w:val="28"/>
          <w:rtl/>
        </w:rPr>
        <w:t xml:space="preserve">فعن الکافی بسنده إلی إسحاق بن عمّار،عن أبی عبد اللّٰه علیه السلام، قال:«غبن المسترسل سحتٌ» </w:t>
      </w:r>
      <w:r>
        <w:rPr>
          <w:rStyle w:val="FootnoteReference"/>
        </w:rPr>
        <w:footnoteReference w:id="3099"/>
      </w:r>
      <w:r>
        <w:rPr>
          <w:rFonts w:ascii="IRNazanin" w:hAnsi="IRNazanin" w:eastAsia="IRNazanin" w:cs="IRNazanin"/>
          <w:lang w:bidi="fa-IR"/>
          <w:color w:val="111111"/>
          <w:sz w:val="28"/>
          <w:szCs w:val="28"/>
          <w:rtl/>
        </w:rPr>
        <w:t xml:space="preserve">.و عن میسّر عن أبی عبد اللّٰه علیه السلام، قال:«غبن المؤمن حرامٌ» </w:t>
      </w:r>
      <w:r>
        <w:rPr>
          <w:rStyle w:val="FootnoteReference"/>
        </w:rPr>
        <w:footnoteReference w:id="3100"/>
      </w:r>
      <w:r>
        <w:rPr>
          <w:rFonts w:ascii="IRNazanin" w:hAnsi="IRNazanin" w:eastAsia="IRNazanin" w:cs="IRNazanin"/>
          <w:lang w:bidi="fa-IR"/>
          <w:color w:val="111111"/>
          <w:sz w:val="28"/>
          <w:szCs w:val="28"/>
          <w:rtl/>
        </w:rPr>
        <w:t xml:space="preserve">،و فی روایةٍ أُخری:«لا تغبن المسترسل،</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356" w:name="pg14419_167446"/>
    <w:bookmarkEnd w:id="356"/>
    <w:p>
      <w:pPr>
        <w:pStyle w:val="BookText"/>
      </w:pPr>
      <w:r>
        <w:rPr>
          <w:rFonts w:ascii="Amiri" w:hAnsi="Amiri" w:eastAsia="Amiri" w:cs="Amiri"/>
          <w:lang w:bidi="ar-SA"/>
          <w:color w:val="111111"/>
          <w:sz w:val="28"/>
          <w:szCs w:val="28"/>
          <w:rtl/>
        </w:rPr>
        <w:t xml:space="preserve">فإنّ غبنه لا یحلّ»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مجمع البحرین:أنّ الاسترسال الاستئناس و الطمأنینة إلی الإنسان و الثقة به فیما یحدّثه،واصلة السکون و الثبات،و منه الحدیث:</w:t>
      </w:r>
    </w:p>
    <w:p>
      <w:pPr>
        <w:pStyle w:val="BookText"/>
      </w:pPr>
      <w:r>
        <w:rPr>
          <w:rFonts w:ascii="IRNazanin" w:hAnsi="IRNazanin" w:eastAsia="IRNazanin" w:cs="IRNazanin"/>
          <w:lang w:bidi="fa-IR"/>
          <w:color w:val="111111"/>
          <w:sz w:val="28"/>
          <w:szCs w:val="28"/>
          <w:rtl/>
        </w:rPr>
        <w:t xml:space="preserve">«أیّما مسلمٍ استرسل إلی مسلم فغبنه فهو کذا»،و منه:«غبن المسترسل سحتٌ» </w:t>
      </w:r>
      <w:r>
        <w:rPr>
          <w:rStyle w:val="FootnoteReference"/>
        </w:rPr>
        <w:footnoteReference w:id="3102"/>
      </w:r>
      <w:r>
        <w:rPr>
          <w:rFonts w:ascii="Amiri" w:hAnsi="Amiri" w:eastAsia="Amiri" w:cs="Amiri"/>
          <w:lang w:bidi="ar-SA"/>
          <w:color w:val="111111"/>
          <w:sz w:val="28"/>
          <w:szCs w:val="28"/>
          <w:rtl/>
        </w:rPr>
        <w:t xml:space="preserve">،انتهی.و یظهر منه أنّ ما ذکره أوّلاً حدیثٌ رابعٌ.</w:t>
      </w:r>
    </w:p>
    <w:p>
      <w:pPr>
        <w:pStyle w:val="BookText"/>
      </w:pPr>
      <w:r>
        <w:rPr>
          <w:rFonts w:ascii="IRNazanin" w:hAnsi="IRNazanin" w:eastAsia="IRNazanin" w:cs="IRNazanin"/>
          <w:lang w:bidi="fa-IR"/>
          <w:color w:val="111111"/>
          <w:sz w:val="28"/>
          <w:szCs w:val="28"/>
          <w:rtl/>
        </w:rPr>
        <w:t xml:space="preserve">و الإنصاف:عدم دلالتها علی المدّعی؛فإنّ ما عدا الروایة الأُولی ظاهرةٌ فی حرمة الخیانة فی المشاورة،فیحتمل کون الغبن بفتح الباء.</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الروایة الأُولی،فهی و إن کانت ظاهرةً فیما یتعلّق بالأموال، لکن یحتمل حینئذٍ أن یراد کون الغابن بمنزلة آکل السحت فی استحقاق العقاب علی أصل العمل و الخدیعة فی أخذ المال.و یحتمل أن یراد کون المقدار الذی یأخذه زائداً علی ما یستحقّه بمنزلة السحت فی الحرمة و الضمان.و یحتمل إرادة کون مجموع العوض المشتمل علی الزیادة بمنزلة السحت فی تحریم الأکل فی صورةٍ خاصّةٍ،و هی اطّلاع المغبون و ردّه للمعاملة المغبون فیها.و لا ریب أنّ الحمل علی أحد الأوّلین أولی، و لا أقلّ من المساواة للثالث،فلا دلالة.</w:t>
      </w:r>
    </w:p>
    <w:p>
      <w:pPr>
        <w:pStyle w:val="Heading6"/>
      </w:pPr>
      <w:bookmarkStart w:id="1251" w:name="_Toc691"/>
      <w:r>
        <w:t>[العمدة فی المسألة الإجماع]</w:t>
      </w:r>
      <w:bookmarkEnd w:id="1251"/>
    </w:p>
    <w:p>
      <w:pPr>
        <w:pStyle w:val="BookText"/>
      </w:pPr>
      <w:r>
        <w:rPr>
          <w:rFonts w:ascii="IRNazanin" w:hAnsi="IRNazanin" w:eastAsia="IRNazanin" w:cs="IRNazanin"/>
          <w:lang w:bidi="fa-IR"/>
          <w:color w:val="111111"/>
          <w:sz w:val="28"/>
          <w:szCs w:val="28"/>
          <w:rtl/>
        </w:rPr>
        <w:t xml:space="preserve">فالعمدة فی المسألة الإجماع المحکیّ المعتضد بالشهرة المحقّقة، و حدیث نفی الضرر بالنسبة إلی خصوص الممتنع عن بذل التفاوت.</w:t>
      </w:r>
    </w:p>
    <w:p>
      <w:pPr>
        <w:pStyle w:val="Heading6"/>
      </w:pPr>
      <w:bookmarkStart w:id="1252" w:name="_Toc692"/>
      <w:r>
        <w:t>ثمّ إنّ تنقیح هذا المطلب یتمّ برسم مسائل</w:t>
      </w:r>
      <w:bookmarkEnd w:id="1252"/>
    </w:p>
    <w:p>
      <w:pPr>
        <w:pStyle w:val="Heading6"/>
      </w:pPr>
      <w:bookmarkStart w:id="1253" w:name="_Toc693"/>
      <w:r>
        <w:t>اشارة</w:t>
      </w:r>
      <w:bookmarkEnd w:id="1253"/>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357" w:name="pg14419_167447"/>
    <w:bookmarkEnd w:id="357"/>
    <w:p>
      <w:pPr>
        <w:pStyle w:val="Heading6"/>
      </w:pPr>
      <w:bookmarkStart w:id="1254" w:name="_Toc694"/>
      <w:r>
        <w:t>مسألة : یشترط فی هذا الخیار أمران</w:t>
      </w:r>
      <w:bookmarkEnd w:id="1254"/>
    </w:p>
    <w:p>
      <w:pPr>
        <w:pStyle w:val="Heading6"/>
      </w:pPr>
      <w:bookmarkStart w:id="1255" w:name="_Toc695"/>
      <w:r>
        <w:t>الأوّل : عدم علم المغبون بالقیمة</w:t>
      </w:r>
      <w:bookmarkEnd w:id="1255"/>
    </w:p>
    <w:p>
      <w:pPr>
        <w:pStyle w:val="BookText"/>
      </w:pPr>
      <w:r>
        <w:rPr>
          <w:rFonts w:ascii="IRNazanin" w:hAnsi="IRNazanin" w:eastAsia="IRNazanin" w:cs="IRNazanin"/>
          <w:lang w:bidi="fa-IR"/>
          <w:color w:val="111111"/>
          <w:sz w:val="28"/>
          <w:szCs w:val="28"/>
          <w:rtl/>
        </w:rPr>
        <w:t xml:space="preserve">فلو علم بالقیمة فلا خیار،بل لا غبن کما عرفت بلا خلافٍ و لا إشکالٍ؛لأنّه أقدم علی الضرر.</w:t>
      </w:r>
    </w:p>
    <w:p>
      <w:pPr>
        <w:pStyle w:val="BookText"/>
      </w:pPr>
      <w:r>
        <w:rPr>
          <w:rFonts w:ascii="IRNazanin" w:hAnsi="IRNazanin" w:eastAsia="IRNazanin" w:cs="IRNazanin"/>
          <w:lang w:bidi="fa-IR"/>
          <w:color w:val="111111"/>
          <w:sz w:val="28"/>
          <w:szCs w:val="28"/>
          <w:rtl/>
        </w:rPr>
        <w:t xml:space="preserve">ثمّ إنّ الظاهر عدم الفرق بین کونه غافلاً من القیمة بالمرّة أو ملتفتاً إلیها،و لا بین کونه مسبوقاً بالعلم و عدمه،و لا بین الجهل المرکّب و البسیط مع الظنّ بعدم الزیادة و النقیصة أو الظنّ بهما أو الشکّ.</w:t>
      </w:r>
    </w:p>
    <w:p>
      <w:pPr>
        <w:pStyle w:val="BookText"/>
      </w:pPr>
      <w:r>
        <w:rPr>
          <w:rFonts w:ascii="IRNazanin" w:hAnsi="IRNazanin" w:eastAsia="IRNazanin" w:cs="IRNazanin"/>
          <w:lang w:bidi="fa-IR"/>
          <w:color w:val="111111"/>
          <w:sz w:val="28"/>
          <w:szCs w:val="28"/>
          <w:rtl/>
        </w:rPr>
        <w:t xml:space="preserve">و یشکل فی الأخیرین إذا أقدم علی المعاملة بانیاً علی المسامحة علی تقدیر الزیادة أو </w:t>
      </w:r>
      <w:r>
        <w:rPr>
          <w:rStyle w:val="FootnoteReference"/>
        </w:rPr>
        <w:footnoteReference w:id="3103"/>
      </w:r>
      <w:r>
        <w:rPr>
          <w:rFonts w:ascii="IRNazanin" w:hAnsi="IRNazanin" w:eastAsia="IRNazanin" w:cs="IRNazanin"/>
          <w:lang w:bidi="fa-IR"/>
          <w:color w:val="111111"/>
          <w:sz w:val="28"/>
          <w:szCs w:val="28"/>
          <w:rtl/>
        </w:rPr>
        <w:t xml:space="preserve">النقیصة فهو کالعالم،بل الشاکّ فی الشیء إذا أقدم علیه بانیاً علی تحمّله فهو فی حکم العالم من حیث استحقاق المدح علیه أو الذمّ،و من حیث عدم معذوریّته لو کان ذلک الشیء ممّا یعذر الغافل فیه،و الحاصل:أنّ الشاکّ الملتفت إلی الضرر مُقدِمٌ علیه.</w:t>
      </w:r>
    </w:p>
    <w:p>
      <w:pPr>
        <w:pStyle w:val="BookText"/>
      </w:pPr>
      <w:r>
        <w:rPr>
          <w:rFonts w:ascii="IRNazanin" w:hAnsi="IRNazanin" w:eastAsia="IRNazanin" w:cs="IRNazanin"/>
          <w:lang w:bidi="fa-IR"/>
          <w:color w:val="111111"/>
          <w:sz w:val="28"/>
          <w:szCs w:val="28"/>
          <w:rtl/>
        </w:rPr>
        <w:t xml:space="preserve">و من أنّ مقتضی عموم نفی الضرر و إطلاق الإجماع المحکی ثبوته بمجرّد تحقّق الضرر،خرج المقدِم علیه عن علمٍ،بل مطلق الشاکّ لیس</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 علی الضرر،بل قد یُقدِم برجاء عدمه،و مساواته للعالم فی الآثار ممنوعةٌ حتّی فی استحقاق المدح و الذمّ لو کان المشکوک ممّا یترتّب علیه ذلک عند الإقدام علیه،و لذا قد یحصل للشاکّ بعد اطّلاعه علی الغبن حالةٌ اخری لو حصلت له قبل العقد لم یُقدم علیه.نعم،لو صرّح فی العقد بالالتزام به و لو علی تقدیر ظهور الغبن کان ذلک راجعاً إلی إسقاط الغبن.</w:t>
      </w:r>
    </w:p>
    <w:p>
      <w:pPr>
        <w:pStyle w:val="BookText"/>
      </w:pPr>
      <w:r>
        <w:rPr>
          <w:rFonts w:ascii="IRNazanin" w:hAnsi="IRNazanin" w:eastAsia="IRNazanin" w:cs="IRNazanin"/>
          <w:lang w:bidi="fa-IR"/>
          <w:color w:val="111111"/>
          <w:sz w:val="28"/>
          <w:szCs w:val="28"/>
          <w:rtl/>
        </w:rPr>
        <w:t xml:space="preserve">و ممّا ذکرنا یظهر ثبوت الخیار للجاهل و إن کان قادراً علی السؤال،کما صرّح به فی التحریر و التذکرة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أقدم عالماً علی غبنٍ یتسامح به فبان أزید بما لا یتسامح بالمجموع منه و من المعلوم،فلا یبعد الخیار.و لو أقدم علی ما لا یتسامح فبان أزید بما یتسامح به منفرداً أو بما لا یتسامح،ففی الخیار وجهٌ.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المعتبر القیمة حال العقد،فلو زادت بعده و لو قبل اطّلاع المغبون علی النقصان حین العقد لم ینفع؛لأنّ الزیادة إنّما حصلت فی ملکه و المعاملة وقعت علی الغبن.و یحتمل عدم الخیار حینئذٍ؛لأنّ التدارک حصل قبل الردّ،فلا یثبت الردّ المشروع لتدارک الضرر،کما لو برئ المعیوب قبل الاطّلاع علی عیبه،بل فی التذکرة:أنّه مهما زال العیب قبل العلم أو بعده قبل الردّ سقط حقّ الردّ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أشکل منه ما لو توقّف الملک علی القبض فارتفع الغبن قبله؛ لأنّ الملک قد انتقل إلیه حینئذٍ من دون نقصٍ فی قیمته.</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نعم،لو قلنا بوجوب التقابض بمجرّد العقد کما صرّح به العلّامة فی الصرف </w:t>
      </w:r>
      <w:r>
        <w:rPr>
          <w:rStyle w:val="FootnoteReference"/>
        </w:rPr>
        <w:footnoteReference w:id="3106"/>
      </w:r>
      <w:r>
        <w:rPr>
          <w:rFonts w:ascii="IRNazanin" w:hAnsi="IRNazanin" w:eastAsia="IRNazanin" w:cs="IRNazanin"/>
          <w:lang w:bidi="fa-IR"/>
          <w:color w:val="111111"/>
          <w:sz w:val="28"/>
          <w:szCs w:val="28"/>
          <w:rtl/>
        </w:rPr>
        <w:t xml:space="preserve">یثبت الخیار؛لثبوت الضرر بوجوب إقباض الزائد فی مقابلة الناقص.لکن ظاهر المشهور عدم وجوب التقابض.</w:t>
      </w:r>
    </w:p>
    <w:p>
      <w:pPr>
        <w:pStyle w:val="BookText"/>
      </w:pPr>
      <w:r>
        <w:rPr>
          <w:rFonts w:ascii="IRNazanin" w:hAnsi="IRNazanin" w:eastAsia="IRNazanin" w:cs="IRNazanin"/>
          <w:lang w:bidi="fa-IR"/>
          <w:color w:val="111111"/>
          <w:sz w:val="28"/>
          <w:szCs w:val="28"/>
          <w:rtl/>
        </w:rPr>
        <w:t xml:space="preserve">و لو ثبت الزیادة أو النقیصة بعد العقد،فإنّه لا عبرة بهما إجماعاً کما فی التذکرة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لا عبرة بعلم الوکیل فی مجرّد العقد،بل العبرة بعلم الموکّل و جهله.نعم،لو کان وکیلاً فی المعاملة و المساومة،فمع علمه و فرض صحّة المعاملة حینئذٍ لا خیار للموکِّل،و مع جهله یثبت الخیار للموکِّل، إلّا أن یکون عالماً بالقیمة و بأنّ موکِّله </w:t>
      </w:r>
      <w:r>
        <w:rPr>
          <w:rStyle w:val="FootnoteReference"/>
        </w:rPr>
        <w:footnoteReference w:id="3108"/>
      </w:r>
      <w:r>
        <w:rPr>
          <w:rFonts w:ascii="IRNazanin" w:hAnsi="IRNazanin" w:eastAsia="IRNazanin" w:cs="IRNazanin"/>
          <w:lang w:bidi="fa-IR"/>
          <w:color w:val="111111"/>
          <w:sz w:val="28"/>
          <w:szCs w:val="28"/>
          <w:rtl/>
        </w:rPr>
        <w:t xml:space="preserve">یعقد علی أزید منها و یقرّره له.</w:t>
      </w:r>
    </w:p>
    <w:p>
      <w:pPr>
        <w:pStyle w:val="BookText"/>
      </w:pPr>
      <w:r>
        <w:rPr>
          <w:rFonts w:ascii="Amiri" w:hAnsi="Amiri" w:eastAsia="Amiri" w:cs="Amiri"/>
          <w:lang w:bidi="ar-SA"/>
          <w:color w:val="111111"/>
          <w:sz w:val="28"/>
          <w:szCs w:val="28"/>
          <w:rtl/>
        </w:rPr>
        <w:t xml:space="preserve">و إذا ثبت الخیار فی عقد الوکیل فهو للموکِّل خاصّةً،إلّا أن یکون وکیلاً مطلقاً بحیث یشمل مثل الفسخ،فإنّه کالولیّ حینئذٍ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الجهل إنّما یثبت باعتراف الغابن،و بالبیّنة إن تحقّقت،و بقول مدّعیه مع الیمین؛لأصالة عدم العلم الحاکمة علی أصالة اللزوم،مع أنّه قد یتعسّر إقامة البیّنة علی الجهل،و لا یمکن للغابن الحلف علی علمه، لجهله بالحال،فتأمّل.</w:t>
      </w:r>
    </w:p>
    <w:p>
      <w:pPr>
        <w:pStyle w:val="BookText"/>
      </w:pPr>
      <w:r>
        <w:rPr>
          <w:rFonts w:ascii="IRNazanin" w:hAnsi="IRNazanin" w:eastAsia="IRNazanin" w:cs="IRNazanin"/>
          <w:lang w:bidi="fa-IR"/>
          <w:color w:val="111111"/>
          <w:sz w:val="28"/>
          <w:szCs w:val="28"/>
          <w:rtl/>
        </w:rPr>
        <w:t xml:space="preserve">هذا کلّه إذا لم یکن المغبون من أهل الخبرة بحیث لا یخفی علیه القیمة إلّا لعارضٍ من غفلةٍ أو غیرها،و إلّا فلا یقبل قوله کما فی</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358" w:name="pg14419_167450"/>
    <w:bookmarkEnd w:id="358"/>
    <w:p>
      <w:pPr>
        <w:pStyle w:val="BookText"/>
      </w:pPr>
      <w:r>
        <w:rPr>
          <w:rFonts w:ascii="IRNazanin" w:hAnsi="IRNazanin" w:eastAsia="IRNazanin" w:cs="IRNazanin"/>
          <w:lang w:bidi="fa-IR"/>
          <w:color w:val="111111"/>
          <w:sz w:val="28"/>
          <w:szCs w:val="28"/>
          <w:rtl/>
        </w:rPr>
        <w:t xml:space="preserve">الجامع </w:t>
      </w:r>
      <w:r>
        <w:rPr>
          <w:rStyle w:val="FootnoteReference"/>
        </w:rPr>
        <w:footnoteReference w:id="3110"/>
      </w:r>
      <w:r>
        <w:rPr>
          <w:rFonts w:ascii="IRNazanin" w:hAnsi="IRNazanin" w:eastAsia="IRNazanin" w:cs="IRNazanin"/>
          <w:lang w:bidi="fa-IR"/>
          <w:color w:val="111111"/>
          <w:sz w:val="28"/>
          <w:szCs w:val="28"/>
          <w:rtl/>
        </w:rPr>
        <w:t xml:space="preserve">و المسالک </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قد یشکل بأنّ هذا إنّما یوجب عدم قبول قوله من حیث تقدیم الظاهر علی الأصل،فغایة الأمر أن یصیر مدّعیاً من جهة مخالفة قوله للظاهر،لکن المدّعی لمّا تعسّر إقامة البیّنة علیه و لا یُعرف إلّا من قِبَله یُقبل قوله مع الیمین،فلیکن هذا من هذا القبیل.</w:t>
      </w:r>
    </w:p>
    <w:p>
      <w:pPr>
        <w:pStyle w:val="BookText"/>
      </w:pPr>
      <w:r>
        <w:rPr>
          <w:rFonts w:ascii="Amiri" w:hAnsi="Amiri" w:eastAsia="Amiri" w:cs="Amiri"/>
          <w:lang w:bidi="ar-SA"/>
          <w:color w:val="111111"/>
          <w:sz w:val="28"/>
          <w:szCs w:val="28"/>
          <w:rtl/>
        </w:rPr>
        <w:t xml:space="preserve">إلّا أن یقال:إنّ معنی </w:t>
      </w:r>
      <w:r>
        <w:rPr>
          <w:rStyle w:val="FootnoteReference"/>
        </w:rPr>
        <w:footnoteReference w:id="3112"/>
      </w:r>
      <w:r>
        <w:rPr>
          <w:rFonts w:ascii="IRNazanin" w:hAnsi="IRNazanin" w:eastAsia="IRNazanin" w:cs="IRNazanin"/>
          <w:lang w:bidi="fa-IR"/>
          <w:color w:val="111111"/>
          <w:sz w:val="28"/>
          <w:szCs w:val="28"/>
          <w:rtl/>
        </w:rPr>
        <w:t xml:space="preserve">تقدیم الظاهر جعل مدّعیه مقبول القول بیمینه،لا جعل مخالفه مدّعیاً یجری علیه جمیع أحکام المدّعی حتّی فی قبول قوله إذا تعسّر علیه إقامة البیّنة،أ لا تری أنّهم لم یحکموا بقبول قول مدّعی فساد العقد إذا تعسّر علیه إقامة البیّنة علی سبب الفساد؟ مع أنّ عموم تلک القاعدة ثمّ اندراج المسألة فیها محلّ تأمّلٍ.</w:t>
      </w:r>
    </w:p>
    <w:p>
      <w:pPr>
        <w:pStyle w:val="BookText"/>
      </w:pPr>
      <w:r>
        <w:rPr>
          <w:rFonts w:ascii="IRNazanin" w:hAnsi="IRNazanin" w:eastAsia="IRNazanin" w:cs="IRNazanin"/>
          <w:lang w:bidi="fa-IR"/>
          <w:color w:val="111111"/>
          <w:sz w:val="28"/>
          <w:szCs w:val="28"/>
          <w:rtl/>
        </w:rPr>
        <w:t xml:space="preserve">و لو اختلفا فی القیمة وقت العقد أو فی القیمة بعده مع تعذّر الاستعلام،فالقول قول منکر سبب الغبن؛لأصالة عدم التغیّر،و أصالة اللزوم.</w:t>
      </w:r>
    </w:p>
    <w:p>
      <w:pPr>
        <w:pStyle w:val="BookText"/>
      </w:pPr>
      <w:r>
        <w:rPr>
          <w:rFonts w:ascii="IRNazanin" w:hAnsi="IRNazanin" w:eastAsia="IRNazanin" w:cs="IRNazanin"/>
          <w:lang w:bidi="fa-IR"/>
          <w:color w:val="111111"/>
          <w:sz w:val="28"/>
          <w:szCs w:val="28"/>
          <w:rtl/>
        </w:rPr>
        <w:t xml:space="preserve">و منه یظهر حکم ما لو اتّفقا علی التغیّر و اختلفا فی تأریخ العقد.</w:t>
      </w:r>
    </w:p>
    <w:p>
      <w:pPr>
        <w:pStyle w:val="BookText"/>
      </w:pPr>
      <w:r>
        <w:rPr>
          <w:rFonts w:ascii="IRNazanin" w:hAnsi="IRNazanin" w:eastAsia="IRNazanin" w:cs="IRNazanin"/>
          <w:lang w:bidi="fa-IR"/>
          <w:color w:val="111111"/>
          <w:sz w:val="28"/>
          <w:szCs w:val="28"/>
          <w:rtl/>
        </w:rPr>
        <w:t xml:space="preserve">و لو عُلم تأریخ التغیّر فالأصل و إن اقتضی تأخّر العقد الواقع علی الزائد عن القیمة،إلّا أنّه لا یثبت به وقوع العقد علی الزائد حتّی یثبت الغبن.</w:t>
      </w:r>
    </w:p>
    <w:p>
      <w:pPr>
        <w:pStyle w:val="Heading6"/>
      </w:pPr>
      <w:bookmarkStart w:id="1256" w:name="_Toc696"/>
      <w:r>
        <w:t>الشرط الثانی : کون التفاوت فاحشاً</w:t>
      </w:r>
      <w:bookmarkEnd w:id="12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الشرط الثانی </w:t>
      </w:r>
      <w:r>
        <w:rPr>
          <w:rStyle w:val="FootnoteReference"/>
        </w:rPr>
        <w:footnoteReference w:id="3113"/>
      </w:r>
      <w:r>
        <w:rPr>
          <w:rFonts w:ascii="IRNazanin" w:hAnsi="IRNazanin" w:eastAsia="IRNazanin" w:cs="IRNazanin"/>
          <w:lang w:bidi="fa-IR"/>
          <w:color w:val="111111"/>
          <w:sz w:val="28"/>
          <w:szCs w:val="28"/>
          <w:rtl/>
        </w:rPr>
        <w:t xml:space="preserve">: کون التفاوت فاحشاً،</w:t>
      </w:r>
    </w:p>
    <w:p>
      <w:pPr>
        <w:pStyle w:val="BookText"/>
      </w:pPr>
      <w:r>
        <w:rPr>
          <w:rFonts w:ascii="IRNazanin" w:hAnsi="IRNazanin" w:eastAsia="IRNazanin" w:cs="IRNazanin"/>
          <w:lang w:bidi="fa-IR"/>
          <w:color w:val="111111"/>
          <w:sz w:val="28"/>
          <w:szCs w:val="28"/>
          <w:rtl/>
        </w:rPr>
        <w:t xml:space="preserve">فالواحد بل الاثنان فی</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359" w:name="pg14419_167451"/>
    <w:bookmarkEnd w:id="359"/>
    <w:p>
      <w:pPr>
        <w:pStyle w:val="BookText"/>
      </w:pPr>
      <w:r>
        <w:rPr>
          <w:rFonts w:ascii="IRNazanin" w:hAnsi="IRNazanin" w:eastAsia="IRNazanin" w:cs="IRNazanin"/>
          <w:lang w:bidi="fa-IR"/>
          <w:color w:val="111111"/>
          <w:sz w:val="28"/>
          <w:szCs w:val="28"/>
          <w:rtl/>
        </w:rPr>
        <w:t xml:space="preserve">العشرین لا یوجب الغبن.</w:t>
      </w:r>
    </w:p>
    <w:p>
      <w:pPr>
        <w:pStyle w:val="Heading6"/>
      </w:pPr>
      <w:bookmarkStart w:id="1257" w:name="_Toc697"/>
      <w:r>
        <w:t>[حد التفاوت الفاحش]</w:t>
      </w:r>
      <w:bookmarkEnd w:id="1257"/>
    </w:p>
    <w:p>
      <w:pPr>
        <w:pStyle w:val="BookText"/>
      </w:pPr>
      <w:r>
        <w:rPr>
          <w:rFonts w:ascii="IRNazanin" w:hAnsi="IRNazanin" w:eastAsia="IRNazanin" w:cs="IRNazanin"/>
          <w:lang w:bidi="fa-IR"/>
          <w:color w:val="111111"/>
          <w:sz w:val="28"/>
          <w:szCs w:val="28"/>
          <w:rtl/>
        </w:rPr>
        <w:t xml:space="preserve">و حدّه عندنا کما فی التذکرة-:ما لا یتغابن الناس بمثله.</w:t>
      </w:r>
    </w:p>
    <w:p>
      <w:pPr>
        <w:pStyle w:val="BookText"/>
      </w:pPr>
      <w:r>
        <w:rPr>
          <w:rFonts w:ascii="IRNazanin" w:hAnsi="IRNazanin" w:eastAsia="IRNazanin" w:cs="IRNazanin"/>
          <w:lang w:bidi="fa-IR"/>
          <w:color w:val="111111"/>
          <w:sz w:val="28"/>
          <w:szCs w:val="28"/>
          <w:rtl/>
        </w:rPr>
        <w:t xml:space="preserve">و حکی فیها عن مالک:أنّ التفاوت بالثلث لا یوجب الخیار و إن کان بأکثر من الثلث أوجبه.و ردّه:بأنّه تخمینٌ لم یشهد له أصل فی الشرع </w:t>
      </w:r>
      <w:r>
        <w:rPr>
          <w:rStyle w:val="FootnoteReference"/>
        </w:rPr>
        <w:footnoteReference w:id="311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الظاهر أنّه لا إشکال فی کون التفاوت بالثلث بل الربع فاحشاً.</w:t>
      </w:r>
    </w:p>
    <w:p>
      <w:pPr>
        <w:pStyle w:val="BookText"/>
      </w:pPr>
      <w:r>
        <w:rPr>
          <w:rFonts w:ascii="IRNazanin" w:hAnsi="IRNazanin" w:eastAsia="IRNazanin" w:cs="IRNazanin"/>
          <w:lang w:bidi="fa-IR"/>
          <w:color w:val="111111"/>
          <w:sz w:val="28"/>
          <w:szCs w:val="28"/>
          <w:rtl/>
        </w:rPr>
        <w:t xml:space="preserve">نعم،الإشکال فی الخمس،و لا یبعد دعوی عدم مسامحة الناس فیه،کما سیجیء التصریح به من المحقّق القمّی فی تصویره لغبن کلا المتبایعین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6"/>
      </w:pPr>
      <w:bookmarkStart w:id="1258" w:name="_Toc698"/>
      <w:r>
        <w:t>[ما هو المناط فی الضرر الموجب للخیار]</w:t>
      </w:r>
      <w:bookmarkEnd w:id="1258"/>
    </w:p>
    <w:p>
      <w:pPr>
        <w:pStyle w:val="BookText"/>
      </w:pPr>
      <w:r>
        <w:rPr>
          <w:rFonts w:ascii="IRNazanin" w:hAnsi="IRNazanin" w:eastAsia="IRNazanin" w:cs="IRNazanin"/>
          <w:lang w:bidi="fa-IR"/>
          <w:color w:val="111111"/>
          <w:sz w:val="28"/>
          <w:szCs w:val="28"/>
          <w:rtl/>
        </w:rPr>
        <w:t xml:space="preserve">ثمّ الظاهر أنّ المرجع عند الشکّ فی ذلک هو أصالة ثبوت الخیار؛ لأنّه ضررٌ لم یُعلم تسامح الناس فیه.و یحتمل الرجوع إلی أصالة اللزوم؛ لأنّ الخارج هو الضرر الذی یُناقش فیه،لا مطلق الضرر.</w:t>
      </w:r>
    </w:p>
    <w:p>
      <w:pPr>
        <w:pStyle w:val="BookText"/>
      </w:pPr>
      <w:r>
        <w:rPr>
          <w:rFonts w:ascii="IRNazanin" w:hAnsi="IRNazanin" w:eastAsia="IRNazanin" w:cs="IRNazanin"/>
          <w:lang w:bidi="fa-IR"/>
          <w:color w:val="111111"/>
          <w:sz w:val="28"/>
          <w:szCs w:val="28"/>
          <w:rtl/>
        </w:rPr>
        <w:t xml:space="preserve">بقی هنا شیءٌ،و هو:أنّ ظاهر الأصحاب و غیرهم أنّ المناط فی الضرر الموجب للخیار کون المعاملة ضرریّةً مع قطع النظر عن ملاحظة حال أشخاص المتبایعین؛و لذا حدّوه بما لا یتغابن به الناس أو بالزائد علی الثلث،کما عرفت عن بعض العامّة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حدیث نفی الضرر </w:t>
      </w:r>
      <w:r>
        <w:rPr>
          <w:rStyle w:val="FootnoteReference"/>
        </w:rPr>
        <w:footnoteReference w:id="3117"/>
      </w:r>
      <w:r>
        <w:rPr>
          <w:rFonts w:ascii="IRNazanin" w:hAnsi="IRNazanin" w:eastAsia="IRNazanin" w:cs="IRNazanin"/>
          <w:lang w:bidi="fa-IR"/>
          <w:color w:val="111111"/>
          <w:sz w:val="28"/>
          <w:szCs w:val="28"/>
          <w:rtl/>
        </w:rPr>
        <w:t xml:space="preserve">ملاحظة الضرر بالنسبة إلی شخص الواقعة؛و لذا استدلّوا به علی عدم وجوب شراء ماء الوضوء بمبلغٍ کثیرٍ</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360" w:name="pg14419_167452"/>
    <w:bookmarkEnd w:id="360"/>
    <w:p>
      <w:pPr>
        <w:pStyle w:val="BookText"/>
      </w:pPr>
      <w:r>
        <w:rPr>
          <w:rFonts w:ascii="IRNazanin" w:hAnsi="IRNazanin" w:eastAsia="IRNazanin" w:cs="IRNazanin"/>
          <w:lang w:bidi="fa-IR"/>
          <w:color w:val="111111"/>
          <w:sz w:val="28"/>
          <w:szCs w:val="28"/>
          <w:rtl/>
        </w:rPr>
        <w:t xml:space="preserve">إذا أضرّ بالمکلّف و وجوب شرائه بذلک المبلغ علی من لا یضرّ به ذلک </w:t>
      </w:r>
      <w:r>
        <w:rPr>
          <w:rStyle w:val="FootnoteReference"/>
        </w:rPr>
        <w:footnoteReference w:id="3118"/>
      </w:r>
      <w:r>
        <w:rPr>
          <w:rFonts w:ascii="Amiri" w:hAnsi="Amiri" w:eastAsia="Amiri" w:cs="Amiri"/>
          <w:lang w:bidi="ar-SA"/>
          <w:color w:val="111111"/>
          <w:sz w:val="28"/>
          <w:szCs w:val="28"/>
          <w:rtl/>
        </w:rPr>
        <w:t xml:space="preserve">،مع أنّ أصل شراء الماء بأضعاف قیمته معاملةٌ ضرریّةٌ فی حقّ الکلّ.</w:t>
      </w:r>
    </w:p>
    <w:p>
      <w:pPr>
        <w:pStyle w:val="BookText"/>
      </w:pPr>
      <w:r>
        <w:rPr>
          <w:rFonts w:ascii="IRNazanin" w:hAnsi="IRNazanin" w:eastAsia="IRNazanin" w:cs="IRNazanin"/>
          <w:lang w:bidi="fa-IR"/>
          <w:color w:val="111111"/>
          <w:sz w:val="28"/>
          <w:szCs w:val="28"/>
          <w:rtl/>
        </w:rPr>
        <w:t xml:space="preserve">و الحاصل:أنّ العبرة إن کان بالضرر المالی لم یجب شراء ماء الوضوء بأضعاف قیمته،و إن کانت بالضرر الحالی تعیّن التفصیل فی خیار الغبن بین ما یضرّ بحال المغبون و غیره.</w:t>
      </w:r>
    </w:p>
    <w:p>
      <w:pPr>
        <w:pStyle w:val="Heading6"/>
      </w:pPr>
      <w:bookmarkStart w:id="1259" w:name="_Toc699"/>
      <w:r>
        <w:t>[الأظهر اعتبار الضرر المالی]</w:t>
      </w:r>
      <w:bookmarkEnd w:id="1259"/>
    </w:p>
    <w:p>
      <w:pPr>
        <w:pStyle w:val="BookText"/>
      </w:pPr>
      <w:r>
        <w:rPr>
          <w:rFonts w:ascii="IRNazanin" w:hAnsi="IRNazanin" w:eastAsia="IRNazanin" w:cs="IRNazanin"/>
          <w:lang w:bidi="fa-IR"/>
          <w:color w:val="111111"/>
          <w:sz w:val="28"/>
          <w:szCs w:val="28"/>
          <w:rtl/>
        </w:rPr>
        <w:t xml:space="preserve">و الأظهر اعتبار الضرر المالی؛لأنّه ضررٌ فی نفسه من غیر مدخلیّةٍ لحال الشخص.و تحمّله فی بعض المقامات کالتیمّم </w:t>
      </w:r>
      <w:r>
        <w:rPr>
          <w:rStyle w:val="FootnoteReference"/>
        </w:rPr>
        <w:footnoteReference w:id="3119"/>
      </w:r>
      <w:r>
        <w:rPr>
          <w:rFonts w:ascii="IRNazanin" w:hAnsi="IRNazanin" w:eastAsia="IRNazanin" w:cs="IRNazanin"/>
          <w:lang w:bidi="fa-IR"/>
          <w:color w:val="111111"/>
          <w:sz w:val="28"/>
          <w:szCs w:val="28"/>
          <w:rtl/>
        </w:rPr>
        <w:t xml:space="preserve">إنّما خرج بالنصّ؛و لذا أجاب فی المعتبر عن الشافعی المنکر لوجوب الوضوء فی الفرض المذکور-:بأنّ الضرر لا یعتبر مع معارضة النصّ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أیضاً أن یلتزم الضرر المالی فی مقام التکلیف،لا لتخصیص عموم نفی الضرر بالنصّ،بل لعدم کونه ضرراً بملاحظة ما بإزائه من الأجر،کما یشیر إلیه قوله علیه السلام بعد شرائه صلوات اللّٰه علیه ماء وضوئه بأضعاف قیمته:«إنّ ما یشتری به مالٌ کثیرٌ»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کان الضرر مجحفاً بالمکلّف انتفی بأدلة نفی الحرج،لا دلیل</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361" w:name="pg14419_167453"/>
    <w:bookmarkEnd w:id="361"/>
    <w:p>
      <w:pPr>
        <w:pStyle w:val="BookText"/>
      </w:pPr>
      <w:r>
        <w:rPr>
          <w:rFonts w:ascii="IRNazanin" w:hAnsi="IRNazanin" w:eastAsia="IRNazanin" w:cs="IRNazanin"/>
          <w:lang w:bidi="fa-IR"/>
          <w:color w:val="111111"/>
          <w:sz w:val="28"/>
          <w:szCs w:val="28"/>
          <w:rtl/>
        </w:rPr>
        <w:t xml:space="preserve">نفی الضرر،فنفی </w:t>
      </w:r>
      <w:r>
        <w:rPr>
          <w:rStyle w:val="FootnoteReference"/>
        </w:rPr>
        <w:footnoteReference w:id="3122"/>
      </w:r>
      <w:r>
        <w:rPr>
          <w:rFonts w:ascii="IRNazanin" w:hAnsi="IRNazanin" w:eastAsia="IRNazanin" w:cs="IRNazanin"/>
          <w:lang w:bidi="fa-IR"/>
          <w:color w:val="111111"/>
          <w:sz w:val="28"/>
          <w:szCs w:val="28"/>
          <w:rtl/>
        </w:rPr>
        <w:t xml:space="preserve">الضرر المالی فی التکالیف لا یتحقّق </w:t>
      </w:r>
      <w:r>
        <w:rPr>
          <w:rStyle w:val="FootnoteReference"/>
        </w:rPr>
        <w:footnoteReference w:id="3123"/>
      </w:r>
      <w:r>
        <w:rPr>
          <w:rFonts w:ascii="Amiri" w:hAnsi="Amiri" w:eastAsia="Amiri" w:cs="Amiri"/>
          <w:lang w:bidi="ar-SA"/>
          <w:color w:val="111111"/>
          <w:sz w:val="28"/>
          <w:szCs w:val="28"/>
          <w:rtl/>
        </w:rPr>
        <w:t xml:space="preserve">إلّا إذا کان تحمّله حرجاً.</w:t>
      </w:r>
    </w:p>
    <w:p>
      <w:pPr>
        <w:pStyle w:val="Heading6"/>
      </w:pPr>
      <w:bookmarkStart w:id="1260" w:name="_Toc700"/>
      <w:r>
        <w:t>[تصویر الغبن من الطرفین و الإشکال فیه]</w:t>
      </w:r>
      <w:bookmarkEnd w:id="1260"/>
    </w:p>
    <w:p>
      <w:pPr>
        <w:pStyle w:val="BookText"/>
      </w:pPr>
      <w:r>
        <w:rPr>
          <w:rFonts w:ascii="IRNazanin" w:hAnsi="IRNazanin" w:eastAsia="IRNazanin" w:cs="IRNazanin"/>
          <w:lang w:bidi="fa-IR"/>
          <w:color w:val="111111"/>
          <w:sz w:val="28"/>
          <w:szCs w:val="28"/>
          <w:rtl/>
        </w:rPr>
        <w:t xml:space="preserve">إشکال:</w:t>
      </w:r>
    </w:p>
    <w:p>
      <w:pPr>
        <w:pStyle w:val="BookText"/>
      </w:pPr>
      <w:r>
        <w:rPr>
          <w:rFonts w:ascii="IRNazanin" w:hAnsi="IRNazanin" w:eastAsia="IRNazanin" w:cs="IRNazanin"/>
          <w:lang w:bidi="fa-IR"/>
          <w:color w:val="111111"/>
          <w:sz w:val="28"/>
          <w:szCs w:val="28"/>
          <w:rtl/>
        </w:rPr>
        <w:t xml:space="preserve">ذکر فی الروضة و المسالک تبعاً لجامع المقاصد فی أقسام الغبن:</w:t>
      </w:r>
    </w:p>
    <w:p>
      <w:pPr>
        <w:pStyle w:val="BookText"/>
      </w:pPr>
      <w:r>
        <w:rPr>
          <w:rFonts w:ascii="IRNazanin" w:hAnsi="IRNazanin" w:eastAsia="IRNazanin" w:cs="IRNazanin"/>
          <w:lang w:bidi="fa-IR"/>
          <w:color w:val="111111"/>
          <w:sz w:val="28"/>
          <w:szCs w:val="28"/>
          <w:rtl/>
        </w:rPr>
        <w:t xml:space="preserve">أنّ المغبون إمّا أن یکون هو البائع أو المشتری أو هما </w:t>
      </w:r>
      <w:r>
        <w:rPr>
          <w:rStyle w:val="FootnoteReference"/>
        </w:rPr>
        <w:footnoteReference w:id="31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فیقع الإشکال فی تصوّر غبن کلٍّ من المتبایعین معاً.و المحکیّ عن بعض </w:t>
      </w:r>
      <w:r>
        <w:rPr>
          <w:rStyle w:val="FootnoteReference"/>
        </w:rPr>
        <w:footnoteReference w:id="3125"/>
      </w:r>
      <w:r>
        <w:rPr>
          <w:rFonts w:ascii="IRNazanin" w:hAnsi="IRNazanin" w:eastAsia="IRNazanin" w:cs="IRNazanin"/>
          <w:lang w:bidi="fa-IR"/>
          <w:color w:val="111111"/>
          <w:sz w:val="28"/>
          <w:szCs w:val="28"/>
          <w:rtl/>
        </w:rPr>
        <w:t xml:space="preserve">الفضلاء فی تعلیقه علی الروضة ما حاصله استحالة ذلک،حیث قال:قد عرفت أنّ الغبن فی طرف البائع إنّما هو إذا باع بأقلّ من القیمة السوقیّة،و فی طرف المشتری إذا اشتری بأزید منها،و لا یتفاوت الحال بکون الثمن و المثمن من الأثمان أو العروض أو مختلفین،و حینئذٍ فلا یعقل کونهما معاً مغبونین،و إلّا لزم کون الثمن أقلّ من القیمة السوقیّة و أکثر،و هو محالٌ،فتأمّل،انتهی.</w:t>
      </w:r>
    </w:p>
    <w:p>
      <w:pPr>
        <w:pStyle w:val="Heading6"/>
      </w:pPr>
      <w:bookmarkStart w:id="1261" w:name="_Toc701"/>
      <w:r>
        <w:t>[الوجوه المذکورة فی تصویر ذلک]</w:t>
      </w:r>
      <w:bookmarkEnd w:id="1261"/>
    </w:p>
    <w:p>
      <w:pPr>
        <w:pStyle w:val="Heading6"/>
      </w:pPr>
      <w:bookmarkStart w:id="1262" w:name="_Toc702"/>
      <w:r>
        <w:t>اشارة</w:t>
      </w:r>
      <w:bookmarkEnd w:id="12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قد تعرّض غیر واحدٍ ممّن قارب عصرنا لتصویر ذلک فی بعض الفروض:</w:t>
      </w:r>
    </w:p>
    <w:p>
      <w:pPr>
        <w:pStyle w:val="Heading6"/>
      </w:pPr>
      <w:bookmarkStart w:id="1263" w:name="_Toc703"/>
      <w:r>
        <w:t>منها : ما ذکره المحقّق القمّی صاحب القوانین</w:t>
      </w:r>
      <w:bookmarkEnd w:id="1263"/>
    </w:p>
    <w:p>
      <w:pPr>
        <w:pStyle w:val="BookText"/>
      </w:pPr>
      <w:r>
        <w:rPr>
          <w:rFonts w:ascii="IRNazanin" w:hAnsi="IRNazanin" w:eastAsia="IRNazanin" w:cs="IRNazanin"/>
          <w:lang w:bidi="fa-IR"/>
          <w:color w:val="111111"/>
          <w:sz w:val="28"/>
          <w:szCs w:val="28"/>
          <w:rtl/>
        </w:rPr>
        <w:t xml:space="preserve">فی جواب من سأله</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362" w:name="pg14419_167454"/>
    <w:bookmarkEnd w:id="362"/>
    <w:p>
      <w:pPr>
        <w:pStyle w:val="BookText"/>
      </w:pPr>
      <w:r>
        <w:rPr>
          <w:rFonts w:ascii="IRNazanin" w:hAnsi="IRNazanin" w:eastAsia="IRNazanin" w:cs="IRNazanin"/>
          <w:lang w:bidi="fa-IR"/>
          <w:color w:val="111111"/>
          <w:sz w:val="28"/>
          <w:szCs w:val="28"/>
          <w:rtl/>
        </w:rPr>
        <w:t xml:space="preserve">عن هذه العبارة من الروضة قال:إنّها تفرض فیما إذا باع متاعه بأربعة توامین من الفلوس علی أن یعطیه عنها ثمانیة دنانیر معتقداً أنّها تسوی أربعة توامین،ثمّ تبیّن أنّ المتاع یسوی خمسة توامین و أنّ الدنانیر تسوی خمسة توامین إلّا خُمساً،فصار البائع مغبوناً من کون الثمن أقلّ من القیمة السوقیّة بخُمس تومان،و المشتری مغبوناً من جهة زیادة الدنانیر علی أربعة توامین،فالبائع مغبونٌ فی أصل البیع، و المشتری مغبونٌ فیما التزمه من إعطاء الدنانیر عن الثمن و إن لم یکن مغبوناً فی أصل البیع </w:t>
      </w:r>
      <w:r>
        <w:rPr>
          <w:rStyle w:val="FootnoteReference"/>
        </w:rPr>
        <w:footnoteReference w:id="312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أقول:الظاهر أنّ مثل هذا البیع المشروط بهذا الشرط یلاحظ فیه حاصل ما یصل إلی البائع بسبب مجموع العقد و الشرط،کما لو باع شیئاً یسوی خمسة دراهم بدرهمین علی أن یخیط له ثوباً مع فرض کون أُجرة الخیاطة ثلاثة دراهم،و من هنا یقال:إنّ للشروط قسطاً من العوض.و إن أبیت إلّا عن أنّ الشرط معاملةٌ مستقلّةٌ فلا </w:t>
      </w:r>
      <w:r>
        <w:rPr>
          <w:rStyle w:val="FootnoteReference"/>
        </w:rPr>
        <w:footnoteReference w:id="3127"/>
      </w:r>
      <w:r>
        <w:rPr>
          <w:rFonts w:ascii="IRNazanin" w:hAnsi="IRNazanin" w:eastAsia="IRNazanin" w:cs="IRNazanin"/>
          <w:lang w:bidi="fa-IR"/>
          <w:color w:val="111111"/>
          <w:sz w:val="28"/>
          <w:szCs w:val="28"/>
          <w:rtl/>
        </w:rPr>
        <w:t xml:space="preserve">مدخل له فی زیادة الثمن،خرج ذلک عن فرض غبن کلٍّ من المتبایعین فی معاملةٍ واحدةٍ.لکن الحقّ ما ذکرنا:من وحدة المعاملة و کون الغبن من طرفٍ واحدٍ.</w:t>
      </w:r>
    </w:p>
    <w:p>
      <w:pPr>
        <w:pStyle w:val="Heading6"/>
      </w:pPr>
      <w:bookmarkStart w:id="1264" w:name="_Toc704"/>
      <w:r>
        <w:t>و منها : ما ذکره بعض المعاصرین</w:t>
      </w:r>
      <w:bookmarkEnd w:id="1264"/>
    </w:p>
    <w:p>
      <w:pPr>
        <w:pStyle w:val="BookText"/>
      </w:pPr>
      <w:r>
        <w:rPr>
          <w:rFonts w:ascii="IRNazanin" w:hAnsi="IRNazanin" w:eastAsia="IRNazanin" w:cs="IRNazanin"/>
          <w:lang w:bidi="fa-IR"/>
          <w:color w:val="111111"/>
          <w:sz w:val="28"/>
          <w:szCs w:val="28"/>
          <w:rtl/>
        </w:rPr>
        <w:t xml:space="preserve">من فرض المسألة فیما إذا باع شیئین فی عقدٍ واحدٍ بثمنین،فغبن البائع فی أحدهما و المشتری فی الآخر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363" w:name="pg14419_167455"/>
    <w:bookmarkEnd w:id="363"/>
    <w:p>
      <w:pPr>
        <w:pStyle w:val="BookText"/>
      </w:pPr>
      <w:r>
        <w:rPr>
          <w:rFonts w:ascii="IRNazanin" w:hAnsi="IRNazanin" w:eastAsia="IRNazanin" w:cs="IRNazanin"/>
          <w:lang w:bidi="fa-IR"/>
          <w:color w:val="111111"/>
          <w:sz w:val="28"/>
          <w:szCs w:val="28"/>
          <w:rtl/>
        </w:rPr>
        <w:t xml:space="preserve">و هذا الجواب قریبٌ من سابقه فی الضعف؛لأنّه إن جاز التفکیک بینهما عند فرض ثبوت الغبن لأحدهما خاصّةً حتّی یجوز له الفسخ فی العین المغبون فیها خاصّةً،فهما معاملتان مستقلّتان کان الغبن فی کلّ واحدةٍ منهما </w:t>
      </w:r>
      <w:r>
        <w:rPr>
          <w:rStyle w:val="FootnoteReference"/>
        </w:rPr>
        <w:footnoteReference w:id="3129"/>
      </w:r>
      <w:r>
        <w:rPr>
          <w:rFonts w:ascii="IRNazanin" w:hAnsi="IRNazanin" w:eastAsia="IRNazanin" w:cs="IRNazanin"/>
          <w:lang w:bidi="fa-IR"/>
          <w:color w:val="111111"/>
          <w:sz w:val="28"/>
          <w:szCs w:val="28"/>
          <w:rtl/>
        </w:rPr>
        <w:t xml:space="preserve">لأحدهما خاصّةً،فلا وجه لجعل هذا قسماً ثالثاً لقسمی غبن البائع خاصّةً و المشتری خاصّةً.و إن لم یجز التفکیک بینهما لم یکن غبنٌ أصلاً مع تساوی الزیادة فی أحدهما للنقیصة فی الآخر،و مع عدم المساواة فالغبن من طرفٍ واحدٍ.</w:t>
      </w:r>
    </w:p>
    <w:p>
      <w:pPr>
        <w:pStyle w:val="Heading6"/>
      </w:pPr>
      <w:bookmarkStart w:id="1265" w:name="_Toc705"/>
      <w:r>
        <w:t>و منها : أن یراد بالغبن فی المقسم معناه الأعمّ</w:t>
      </w:r>
      <w:bookmarkEnd w:id="1265"/>
    </w:p>
    <w:p>
      <w:pPr>
        <w:pStyle w:val="BookText"/>
      </w:pPr>
      <w:r>
        <w:rPr>
          <w:rFonts w:ascii="IRNazanin" w:hAnsi="IRNazanin" w:eastAsia="IRNazanin" w:cs="IRNazanin"/>
          <w:lang w:bidi="fa-IR"/>
          <w:color w:val="111111"/>
          <w:sz w:val="28"/>
          <w:szCs w:val="28"/>
          <w:rtl/>
        </w:rPr>
        <w:t xml:space="preserve">الشامل لصورة خروج العین المشاهدة سابقاً علی خلاف ما شاهده أو خروج ما أخبر البائع بوزنه علی خلاف خبره،و قد أطلق الغبن علی هذا المعنی الأعمّ العلّامة فی القواعد </w:t>
      </w:r>
      <w:r>
        <w:rPr>
          <w:rStyle w:val="FootnoteReference"/>
        </w:rPr>
        <w:footnoteReference w:id="3130"/>
      </w:r>
      <w:r>
        <w:rPr>
          <w:rFonts w:ascii="IRNazanin" w:hAnsi="IRNazanin" w:eastAsia="IRNazanin" w:cs="IRNazanin"/>
          <w:lang w:bidi="fa-IR"/>
          <w:color w:val="111111"/>
          <w:sz w:val="28"/>
          <w:szCs w:val="28"/>
          <w:rtl/>
        </w:rPr>
        <w:t xml:space="preserve">و الشهید فی اللمعة </w:t>
      </w:r>
      <w:r>
        <w:rPr>
          <w:rStyle w:val="FootnoteReference"/>
        </w:rPr>
        <w:footnoteReference w:id="3131"/>
      </w:r>
      <w:r>
        <w:rPr>
          <w:rFonts w:ascii="IRNazanin" w:hAnsi="IRNazanin" w:eastAsia="IRNazanin" w:cs="IRNazanin"/>
          <w:lang w:bidi="fa-IR"/>
          <w:color w:val="111111"/>
          <w:sz w:val="28"/>
          <w:szCs w:val="28"/>
          <w:rtl/>
        </w:rPr>
        <w:t xml:space="preserve">،و علی هذا المعنی الأعمّ تحقّق الغبن فی کلٍّ منهما.</w:t>
      </w:r>
    </w:p>
    <w:p>
      <w:pPr>
        <w:pStyle w:val="BookText"/>
      </w:pPr>
      <w:r>
        <w:rPr>
          <w:rFonts w:ascii="IRNazanin" w:hAnsi="IRNazanin" w:eastAsia="IRNazanin" w:cs="IRNazanin"/>
          <w:lang w:bidi="fa-IR"/>
          <w:color w:val="111111"/>
          <w:sz w:val="28"/>
          <w:szCs w:val="28"/>
          <w:rtl/>
        </w:rPr>
        <w:t xml:space="preserve">و هذا حسنٌ،لکن ظاهر عبارة الشهید </w:t>
      </w:r>
      <w:r>
        <w:rPr>
          <w:rStyle w:val="FootnoteReference"/>
        </w:rPr>
        <w:footnoteReference w:id="3132"/>
      </w:r>
      <w:r>
        <w:rPr>
          <w:rFonts w:ascii="Amiri" w:hAnsi="Amiri" w:eastAsia="Amiri" w:cs="Amiri"/>
          <w:lang w:bidi="ar-SA"/>
          <w:color w:val="111111"/>
          <w:sz w:val="28"/>
          <w:szCs w:val="28"/>
          <w:rtl/>
        </w:rPr>
        <w:t xml:space="preserve">و المحقّق </w:t>
      </w:r>
      <w:r>
        <w:rPr>
          <w:rStyle w:val="FootnoteReference"/>
        </w:rPr>
        <w:footnoteReference w:id="3133"/>
      </w:r>
      <w:r>
        <w:rPr>
          <w:rFonts w:ascii="IRNazanin" w:hAnsi="IRNazanin" w:eastAsia="IRNazanin" w:cs="IRNazanin"/>
          <w:lang w:bidi="fa-IR"/>
          <w:color w:val="111111"/>
          <w:sz w:val="28"/>
          <w:szCs w:val="28"/>
          <w:rtl/>
        </w:rPr>
        <w:t xml:space="preserve">الثانیین إرادة ما عنون به هذا الخیار و هو الغبن بالمعنی الأخصّ علی ما فسّروه به.</w:t>
      </w:r>
    </w:p>
    <w:p>
      <w:pPr>
        <w:pStyle w:val="Heading6"/>
      </w:pPr>
      <w:bookmarkStart w:id="1266" w:name="_Toc706"/>
      <w:r>
        <w:t>و منها : ما ذکره بعضٌ:من أنّه یحصل بفرض المتبایعین وقت العقد فی مکانین</w:t>
      </w:r>
      <w:bookmarkEnd w:id="1266"/>
    </w:p>
    <w:p>
      <w:pPr>
        <w:pStyle w:val="BookText"/>
      </w:pPr>
      <w:r>
        <w:rPr>
          <w:rFonts w:ascii="IRNazanin" w:hAnsi="IRNazanin" w:eastAsia="IRNazanin" w:cs="IRNazanin"/>
          <w:lang w:bidi="fa-IR"/>
          <w:color w:val="111111"/>
          <w:sz w:val="28"/>
          <w:szCs w:val="28"/>
          <w:rtl/>
        </w:rPr>
        <w:t xml:space="preserve">کما إذا حصر العسکر البلد و فُرض قیمة الطعام خارج البلد</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364" w:name="pg14419_167456"/>
    <w:bookmarkEnd w:id="364"/>
    <w:p>
      <w:pPr>
        <w:pStyle w:val="BookText"/>
      </w:pPr>
      <w:r>
        <w:rPr>
          <w:rFonts w:ascii="IRNazanin" w:hAnsi="IRNazanin" w:eastAsia="IRNazanin" w:cs="IRNazanin"/>
          <w:lang w:bidi="fa-IR"/>
          <w:color w:val="111111"/>
          <w:sz w:val="28"/>
          <w:szCs w:val="28"/>
          <w:rtl/>
        </w:rPr>
        <w:t xml:space="preserve">ضعف قیمته فی البلد،فاشتری بعض أهل البلد من وراء سور البلد طعاماً من العسکر بثمنٍ متوسّطٍ بین القیمتین،فالمشتری مغبونٌ لزیادة الثمن علی قیمة الطعام فی مکانه،و البائع مغبونٌ لنقصانه عن القیمة فی مکانه </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ردّه بأنّ المبیع بعد العقد باقٍ علی قیمته حین العقد، و لا غبن فیه للمشتری ما دام فی محلّ العقد،و إنّما نزلت قیمته بقبض المشتری و نقله إیّاه إلی مکان الرخص.و بالجملة،الطعام عند العقد لا یکون إلّا فی محلٍّ واحدٍ له قیمةٌ واحدةٌ.</w:t>
      </w:r>
    </w:p>
    <w:p>
      <w:pPr>
        <w:pStyle w:val="Heading6"/>
      </w:pPr>
      <w:bookmarkStart w:id="1267" w:name="_Toc707"/>
      <w:r>
        <w:t>و منها : ما ذکره فی مفتاح الکرامة:من فرضه فیما إذا ادّعی کلٌّ من المتبایعین الغبن</w:t>
      </w:r>
      <w:bookmarkEnd w:id="1267"/>
    </w:p>
    <w:p>
      <w:pPr>
        <w:pStyle w:val="BookText"/>
      </w:pPr>
      <w:r>
        <w:rPr>
          <w:rFonts w:ascii="IRNazanin" w:hAnsi="IRNazanin" w:eastAsia="IRNazanin" w:cs="IRNazanin"/>
          <w:lang w:bidi="fa-IR"/>
          <w:color w:val="111111"/>
          <w:sz w:val="28"/>
          <w:szCs w:val="28"/>
          <w:rtl/>
        </w:rPr>
        <w:t xml:space="preserve">کما إذا بیع ثوبٌ بفرسٍ بظنّ المساواة،ثمّ ادّعی کلٌّ منهما نقص ما فی یده عمّا فی ید الآخر،و لم یوجد المقوِّم لیرجع إلیه، فتحالفا،فیثبت الغبن لکلٍّ منهما فی ما وصل إلیه،قال:و یتصوّر غبنهما فی أحد العوضین،کما لو تبایعا شیئاً بمائة درهم،ثمّ ادّعی البائع کونه یسوی بمأتین و المشتری کونه لا یسوی إلّا بخمسین،و لا مقوِّم یرجع إلیه فتحالفا،و یثبت الفسخ لکلٍّ منهما </w:t>
      </w:r>
      <w:r>
        <w:rPr>
          <w:rStyle w:val="FootnoteReference"/>
        </w:rPr>
        <w:footnoteReference w:id="313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فیه:أنّ الظاهر أنّ لازم التحالف عدم الغبن لأحدهما </w:t>
      </w:r>
      <w:r>
        <w:rPr>
          <w:rStyle w:val="FootnoteReference"/>
        </w:rPr>
        <w:footnoteReference w:id="3136"/>
      </w:r>
      <w:r>
        <w:rPr>
          <w:rFonts w:ascii="IRNazanin" w:hAnsi="IRNazanin" w:eastAsia="IRNazanin" w:cs="IRNazanin"/>
          <w:lang w:bidi="fa-IR"/>
          <w:color w:val="111111"/>
          <w:sz w:val="28"/>
          <w:szCs w:val="28"/>
          <w:rtl/>
        </w:rPr>
        <w:t xml:space="preserve">،مع أنّ الکلام فی الغبن الواقعی دون الظاهری.</w:t>
      </w:r>
    </w:p>
    <w:p>
      <w:pPr>
        <w:pStyle w:val="BookText"/>
      </w:pPr>
      <w:r>
        <w:rPr>
          <w:rFonts w:ascii="IRNazanin" w:hAnsi="IRNazanin" w:eastAsia="IRNazanin" w:cs="IRNazanin"/>
          <w:lang w:bidi="fa-IR"/>
          <w:color w:val="111111"/>
          <w:sz w:val="28"/>
          <w:szCs w:val="28"/>
          <w:rtl/>
        </w:rPr>
        <w:t xml:space="preserve">و الأولی من هذه الوجوه هو الوجه الثالث،و اللّٰه العالم.</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65" w:name="pg14419_167457"/>
    <w:bookmarkEnd w:id="365"/>
    <w:p>
      <w:pPr>
        <w:pStyle w:val="Heading6"/>
      </w:pPr>
      <w:bookmarkStart w:id="1268" w:name="_Toc708"/>
      <w:r>
        <w:t>مسألة : ظهور الغبن شرطٌ شرعیٌّ لحدوث الخیار،أو کاشفٌ عقلیٌّ عن ثبوته حین العقد؟</w:t>
      </w:r>
      <w:bookmarkEnd w:id="12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وجهان،منشؤهما اختلاف کلمات العلماء فی فتاویهم و معاقد إجماعهم و استدلالاتهم.</w:t>
      </w:r>
    </w:p>
    <w:p>
      <w:pPr>
        <w:pStyle w:val="BookText"/>
      </w:pPr>
      <w:r>
        <w:rPr>
          <w:rFonts w:ascii="IRNazanin" w:hAnsi="IRNazanin" w:eastAsia="IRNazanin" w:cs="IRNazanin"/>
          <w:lang w:bidi="fa-IR"/>
          <w:color w:val="111111"/>
          <w:sz w:val="28"/>
          <w:szCs w:val="28"/>
          <w:rtl/>
        </w:rPr>
        <w:t xml:space="preserve">فظاهر عبارة المبسوط و الغنیة و الشرائع </w:t>
      </w:r>
      <w:r>
        <w:rPr>
          <w:rStyle w:val="FootnoteReference"/>
        </w:rPr>
        <w:footnoteReference w:id="3137"/>
      </w:r>
      <w:r>
        <w:rPr>
          <w:rFonts w:ascii="IRNazanin" w:hAnsi="IRNazanin" w:eastAsia="IRNazanin" w:cs="IRNazanin"/>
          <w:lang w:bidi="fa-IR"/>
          <w:color w:val="111111"/>
          <w:sz w:val="28"/>
          <w:szCs w:val="28"/>
          <w:rtl/>
        </w:rPr>
        <w:t xml:space="preserve">و غیرها هو الأوّل،و فی الغنیة:الإجماع علی أنّ ظهور الغبن سببٌ للخیار.</w:t>
      </w:r>
    </w:p>
    <w:p>
      <w:pPr>
        <w:pStyle w:val="BookText"/>
      </w:pPr>
      <w:r>
        <w:rPr>
          <w:rFonts w:ascii="IRNazanin" w:hAnsi="IRNazanin" w:eastAsia="IRNazanin" w:cs="IRNazanin"/>
          <w:lang w:bidi="fa-IR"/>
          <w:color w:val="111111"/>
          <w:sz w:val="28"/>
          <w:szCs w:val="28"/>
          <w:rtl/>
        </w:rPr>
        <w:t xml:space="preserve">و ظاهر کلمات آخرین </w:t>
      </w:r>
      <w:r>
        <w:rPr>
          <w:rStyle w:val="FootnoteReference"/>
        </w:rPr>
        <w:footnoteReference w:id="3138"/>
      </w:r>
      <w:r>
        <w:rPr>
          <w:rFonts w:ascii="IRNazanin" w:hAnsi="IRNazanin" w:eastAsia="IRNazanin" w:cs="IRNazanin"/>
          <w:lang w:bidi="fa-IR"/>
          <w:color w:val="111111"/>
          <w:sz w:val="28"/>
          <w:szCs w:val="28"/>
          <w:rtl/>
        </w:rPr>
        <w:t xml:space="preserve">الثانی.و فی التذکرة:أنّ الغبن سببٌ لثبوت الخیار عند علمائنا </w:t>
      </w:r>
      <w:r>
        <w:rPr>
          <w:rStyle w:val="FootnoteReference"/>
        </w:rPr>
        <w:footnoteReference w:id="3139"/>
      </w:r>
      <w:r>
        <w:rPr>
          <w:rFonts w:ascii="IRNazanin" w:hAnsi="IRNazanin" w:eastAsia="IRNazanin" w:cs="IRNazanin"/>
          <w:lang w:bidi="fa-IR"/>
          <w:color w:val="111111"/>
          <w:sz w:val="28"/>
          <w:szCs w:val="28"/>
          <w:rtl/>
        </w:rPr>
        <w:t xml:space="preserve">.و قولهم:«لا یسقط هذا الخیار بالتصرّف» </w:t>
      </w:r>
      <w:r>
        <w:rPr>
          <w:rStyle w:val="FootnoteReference"/>
        </w:rPr>
        <w:footnoteReference w:id="3140"/>
      </w:r>
      <w:r>
        <w:rPr>
          <w:rFonts w:ascii="IRNazanin" w:hAnsi="IRNazanin" w:eastAsia="IRNazanin" w:cs="IRNazanin"/>
          <w:lang w:bidi="fa-IR"/>
          <w:color w:val="111111"/>
          <w:sz w:val="28"/>
          <w:szCs w:val="28"/>
          <w:rtl/>
        </w:rPr>
        <w:t xml:space="preserve">فإنّ المراد التصرّف قبل العلم بالغبن،و عدم السقوط </w:t>
      </w:r>
      <w:r>
        <w:rPr>
          <w:rStyle w:val="FootnoteReference"/>
        </w:rPr>
        <w:footnoteReference w:id="3141"/>
      </w:r>
      <w:r>
        <w:rPr>
          <w:rFonts w:ascii="IRNazanin" w:hAnsi="IRNazanin" w:eastAsia="IRNazanin" w:cs="IRNazanin"/>
          <w:lang w:bidi="fa-IR"/>
          <w:color w:val="111111"/>
          <w:sz w:val="28"/>
          <w:szCs w:val="28"/>
          <w:rtl/>
        </w:rPr>
        <w:t xml:space="preserve">ظاهرٌ فی ثبوته.</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یؤیّد الأوّل:أنّهم اختلفوا </w:t>
      </w:r>
      <w:r>
        <w:rPr>
          <w:rStyle w:val="FootnoteReference"/>
        </w:rPr>
        <w:footnoteReference w:id="3142"/>
      </w:r>
      <w:r>
        <w:rPr>
          <w:rFonts w:ascii="IRNazanin" w:hAnsi="IRNazanin" w:eastAsia="IRNazanin" w:cs="IRNazanin"/>
          <w:lang w:bidi="fa-IR"/>
          <w:color w:val="111111"/>
          <w:sz w:val="28"/>
          <w:szCs w:val="28"/>
          <w:rtl/>
        </w:rPr>
        <w:t xml:space="preserve">فی صحّة التصرّفات الناقلة فی زمان الخیار و لم یحکموا ببطلان التصرّفات الواقعة من الغابن حین جهل المغبون،بل صرّح بعضهم </w:t>
      </w:r>
      <w:r>
        <w:rPr>
          <w:rStyle w:val="FootnoteReference"/>
        </w:rPr>
        <w:footnoteReference w:id="3143"/>
      </w:r>
      <w:r>
        <w:rPr>
          <w:rFonts w:ascii="IRNazanin" w:hAnsi="IRNazanin" w:eastAsia="IRNazanin" w:cs="IRNazanin"/>
          <w:lang w:bidi="fa-IR"/>
          <w:color w:val="111111"/>
          <w:sz w:val="28"/>
          <w:szCs w:val="28"/>
          <w:rtl/>
        </w:rPr>
        <w:t xml:space="preserve">بنفوذها و انتقال المغبون بعد ظهور غبنه إلی البدل.</w:t>
      </w:r>
    </w:p>
    <w:p>
      <w:pPr>
        <w:pStyle w:val="BookText"/>
      </w:pPr>
      <w:r>
        <w:rPr>
          <w:rFonts w:ascii="IRNazanin" w:hAnsi="IRNazanin" w:eastAsia="IRNazanin" w:cs="IRNazanin"/>
          <w:lang w:bidi="fa-IR"/>
          <w:color w:val="111111"/>
          <w:sz w:val="28"/>
          <w:szCs w:val="28"/>
          <w:rtl/>
        </w:rPr>
        <w:t xml:space="preserve">و یؤیّده أیضاً:الاستدلال فی التذکرة </w:t>
      </w:r>
      <w:r>
        <w:rPr>
          <w:rStyle w:val="FootnoteReference"/>
        </w:rPr>
        <w:footnoteReference w:id="3144"/>
      </w:r>
      <w:r>
        <w:rPr>
          <w:rFonts w:ascii="IRNazanin" w:hAnsi="IRNazanin" w:eastAsia="IRNazanin" w:cs="IRNazanin"/>
          <w:lang w:bidi="fa-IR"/>
          <w:color w:val="111111"/>
          <w:sz w:val="28"/>
          <w:szCs w:val="28"/>
          <w:rtl/>
        </w:rPr>
        <w:t xml:space="preserve">و الغنیة </w:t>
      </w:r>
      <w:r>
        <w:rPr>
          <w:rStyle w:val="FootnoteReference"/>
        </w:rPr>
        <w:footnoteReference w:id="3145"/>
      </w:r>
      <w:r>
        <w:rPr>
          <w:rFonts w:ascii="IRNazanin" w:hAnsi="IRNazanin" w:eastAsia="IRNazanin" w:cs="IRNazanin"/>
          <w:lang w:bidi="fa-IR"/>
          <w:color w:val="111111"/>
          <w:sz w:val="28"/>
          <w:szCs w:val="28"/>
          <w:rtl/>
        </w:rPr>
        <w:t xml:space="preserve">علی هذا الخیار بقوله صلّی اللّٰه علیه و آله فی حدیث تلقّی الرکبان:«إنّهم بالخیار إذا دخلوا السوق» </w:t>
      </w:r>
      <w:r>
        <w:rPr>
          <w:rStyle w:val="FootnoteReference"/>
        </w:rPr>
        <w:footnoteReference w:id="3146"/>
      </w:r>
      <w:r>
        <w:rPr>
          <w:rFonts w:ascii="IRNazanin" w:hAnsi="IRNazanin" w:eastAsia="IRNazanin" w:cs="IRNazanin"/>
          <w:lang w:bidi="fa-IR"/>
          <w:color w:val="111111"/>
          <w:sz w:val="28"/>
          <w:szCs w:val="28"/>
          <w:rtl/>
        </w:rPr>
        <w:t xml:space="preserve">فإنّ ظاهره حدوث الخیار بعد الدخول الموجب لظهور الغبن.</w:t>
      </w:r>
    </w:p>
    <w:p>
      <w:pPr>
        <w:pStyle w:val="BookText"/>
      </w:pPr>
      <w:r>
        <w:rPr>
          <w:rFonts w:ascii="IRNazanin" w:hAnsi="IRNazanin" w:eastAsia="IRNazanin" w:cs="IRNazanin"/>
          <w:lang w:bidi="fa-IR"/>
          <w:color w:val="111111"/>
          <w:sz w:val="28"/>
          <w:szCs w:val="28"/>
          <w:rtl/>
        </w:rPr>
        <w:t xml:space="preserve">هذا،و لکن لا یخفی إمکان إرجاع الکلمات إلی أحد الوجهین بتوجیه ما کان منها ظاهراً فی المعنی الآخر.</w:t>
      </w:r>
    </w:p>
    <w:p>
      <w:pPr>
        <w:pStyle w:val="BookText"/>
      </w:pPr>
      <w:r>
        <w:rPr>
          <w:rFonts w:ascii="IRNazanin" w:hAnsi="IRNazanin" w:eastAsia="IRNazanin" w:cs="IRNazanin"/>
          <w:lang w:bidi="fa-IR"/>
          <w:color w:val="111111"/>
          <w:sz w:val="28"/>
          <w:szCs w:val="28"/>
          <w:rtl/>
        </w:rPr>
        <w:t xml:space="preserve">و توضیح ذلک </w:t>
      </w:r>
      <w:r>
        <w:rPr>
          <w:rStyle w:val="FootnoteReference"/>
        </w:rPr>
        <w:footnoteReference w:id="3147"/>
      </w:r>
      <w:r>
        <w:rPr>
          <w:rFonts w:ascii="IRNazanin" w:hAnsi="IRNazanin" w:eastAsia="IRNazanin" w:cs="IRNazanin"/>
          <w:lang w:bidi="fa-IR"/>
          <w:color w:val="111111"/>
          <w:sz w:val="28"/>
          <w:szCs w:val="28"/>
          <w:rtl/>
        </w:rPr>
        <w:t xml:space="preserve">:أنّه إن أُرید بالخیار السلطنة الفعلیّة التی یقتدر بها علی الفسخ و الإمضاء قولاً أو فعلاً،فلا یحدث إلّا بعد ظهور الغبن.</w:t>
      </w:r>
    </w:p>
    <w:p>
      <w:pPr>
        <w:pStyle w:val="BookText"/>
      </w:pPr>
      <w:r>
        <w:rPr>
          <w:rFonts w:ascii="IRNazanin" w:hAnsi="IRNazanin" w:eastAsia="IRNazanin" w:cs="IRNazanin"/>
          <w:lang w:bidi="fa-IR"/>
          <w:color w:val="111111"/>
          <w:sz w:val="28"/>
          <w:szCs w:val="28"/>
          <w:rtl/>
        </w:rPr>
        <w:t xml:space="preserve">و إن أُرید به ثبوت حقٍّ للمغبون لو علم به لقام بمقتضاه،فهو ثابتٌ قبل العلم،و إنّما یتوقّف علی العلم إعمال هذا الحقّ،فیکون حال</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 بموضوع الغبن کالجاهل بحکمه أو بحکم خیاری المجلس أو الحیوان أو غیرهما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الآثار المجعولة للخیار:</w:t>
      </w:r>
    </w:p>
    <w:p>
      <w:pPr>
        <w:pStyle w:val="BookText"/>
      </w:pPr>
      <w:r>
        <w:rPr>
          <w:rFonts w:ascii="IRNazanin" w:hAnsi="IRNazanin" w:eastAsia="IRNazanin" w:cs="IRNazanin"/>
          <w:lang w:bidi="fa-IR"/>
          <w:color w:val="111111"/>
          <w:sz w:val="28"/>
          <w:szCs w:val="28"/>
          <w:rtl/>
        </w:rPr>
        <w:t xml:space="preserve">بین ما یترتّب علی </w:t>
      </w:r>
      <w:r>
        <w:rPr>
          <w:rStyle w:val="FootnoteReference"/>
        </w:rPr>
        <w:footnoteReference w:id="3149"/>
      </w:r>
      <w:r>
        <w:rPr>
          <w:rFonts w:ascii="IRNazanin" w:hAnsi="IRNazanin" w:eastAsia="IRNazanin" w:cs="IRNazanin"/>
          <w:lang w:bidi="fa-IR"/>
          <w:color w:val="111111"/>
          <w:sz w:val="28"/>
          <w:szCs w:val="28"/>
          <w:rtl/>
        </w:rPr>
        <w:t xml:space="preserve">السلطنة الفعلیّة،کالسقوط بالتصرّف،فإنّه لا یکون إلّا بعد ظهور الغبن،فلا یسقط قبله کما سیجیء،و منه التلف؛ فإنّ الظاهر أنّه قبل ظهور الغبن من المغبون اتّفاقاً و لو قلنا بعموم قاعدة«کون التلف فی زمان الخیار ممّن لا خیار له»لمثل خیار الغبن، کما جزم به بعضٌ </w:t>
      </w:r>
      <w:r>
        <w:rPr>
          <w:rStyle w:val="FootnoteReference"/>
        </w:rPr>
        <w:footnoteReference w:id="3150"/>
      </w:r>
      <w:r>
        <w:rPr>
          <w:rFonts w:ascii="IRNazanin" w:hAnsi="IRNazanin" w:eastAsia="IRNazanin" w:cs="IRNazanin"/>
          <w:lang w:bidi="fa-IR"/>
          <w:color w:val="111111"/>
          <w:sz w:val="28"/>
          <w:szCs w:val="28"/>
          <w:rtl/>
        </w:rPr>
        <w:t xml:space="preserve">و تردّد فیه آخر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ما یترتّب علی المعنی الثانی کإسقاطه بعد العقد قبل ظهوره.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بین ما یتردّد بین الأمرین کالتصرّفات الناقلة،فإنّ تعلیلهم المنع عنها بکونها مفوِّتةً لحقّ ذی الخیار من الغبن ظاهرٌ فی ترتّب المنع علی وجود نفس الحقّ و إن لم یعلم به.</w:t>
      </w:r>
    </w:p>
    <w:p>
      <w:pPr>
        <w:pStyle w:val="BookText"/>
      </w:pPr>
      <w:r>
        <w:rPr>
          <w:rFonts w:ascii="Amiri" w:hAnsi="Amiri" w:eastAsia="Amiri" w:cs="Amiri"/>
          <w:lang w:bidi="ar-SA"/>
          <w:color w:val="111111"/>
          <w:sz w:val="28"/>
          <w:szCs w:val="28"/>
          <w:rtl/>
        </w:rPr>
        <w:t xml:space="preserve">و حُکمُ بعضِ </w:t>
      </w:r>
      <w:r>
        <w:rPr>
          <w:rStyle w:val="FootnoteReference"/>
        </w:rPr>
        <w:footnoteReference w:id="3152"/>
      </w:r>
      <w:r>
        <w:rPr>
          <w:rFonts w:ascii="IRNazanin" w:hAnsi="IRNazanin" w:eastAsia="IRNazanin" w:cs="IRNazanin"/>
          <w:lang w:bidi="fa-IR"/>
          <w:color w:val="111111"/>
          <w:sz w:val="28"/>
          <w:szCs w:val="28"/>
          <w:rtl/>
        </w:rPr>
        <w:t xml:space="preserve">من منع من التصرّف فی زمان الخیار بمضیّ التصرّفات الواقعة من الغابن قبل علم المغبون،یظهر منه أنّ المنع لأجل التسلّط الفعلی.</w:t>
      </w:r>
    </w:p>
    <w:p>
      <w:pPr>
        <w:pStyle w:val="BookText"/>
      </w:pPr>
      <w:r>
        <w:rPr>
          <w:rFonts w:ascii="IRNazanin" w:hAnsi="IRNazanin" w:eastAsia="IRNazanin" w:cs="IRNazanin"/>
          <w:lang w:bidi="fa-IR"/>
          <w:color w:val="111111"/>
          <w:sz w:val="28"/>
          <w:szCs w:val="28"/>
          <w:rtl/>
        </w:rPr>
        <w:t xml:space="preserve">و المتّبع دلیل کلِّ واحدٍ من تلک الآثار،فقد یظهر منه ترتّب الأثر</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 الحقّ الواقعی و لو کان مجهولاً لصاحبه،و قد یظهر منه ترتّبه علی السلطنة الفعلیّة.</w:t>
      </w:r>
    </w:p>
    <w:p>
      <w:pPr>
        <w:pStyle w:val="BookText"/>
      </w:pPr>
      <w:r>
        <w:rPr>
          <w:rFonts w:ascii="IRNazanin" w:hAnsi="IRNazanin" w:eastAsia="IRNazanin" w:cs="IRNazanin"/>
          <w:lang w:bidi="fa-IR"/>
          <w:color w:val="111111"/>
          <w:sz w:val="28"/>
          <w:szCs w:val="28"/>
          <w:rtl/>
        </w:rPr>
        <w:t xml:space="preserve">و تظهر ثمرة الوجهین أیضاً فیما لو فسخ المغبون الجاهل اقتراحاً أو بظنّ وجود سببٍ معدومٍ فی الواقع فصادف الغبن.</w:t>
      </w:r>
    </w:p>
    <w:p>
      <w:pPr>
        <w:pStyle w:val="BookText"/>
      </w:pPr>
      <w:r>
        <w:rPr>
          <w:rFonts w:ascii="IRNazanin" w:hAnsi="IRNazanin" w:eastAsia="IRNazanin" w:cs="IRNazanin"/>
          <w:lang w:bidi="fa-IR"/>
          <w:color w:val="111111"/>
          <w:sz w:val="28"/>
          <w:szCs w:val="28"/>
          <w:rtl/>
        </w:rPr>
        <w:t xml:space="preserve">ثمّ إنّ ما ذکرناه فی الغبن من الوجهین جارٍ فی العیب.</w:t>
      </w:r>
    </w:p>
    <w:p>
      <w:pPr>
        <w:pStyle w:val="BookText"/>
      </w:pPr>
      <w:r>
        <w:rPr>
          <w:rFonts w:ascii="IRNazanin" w:hAnsi="IRNazanin" w:eastAsia="IRNazanin" w:cs="IRNazanin"/>
          <w:lang w:bidi="fa-IR"/>
          <w:color w:val="111111"/>
          <w:sz w:val="28"/>
          <w:szCs w:val="28"/>
          <w:rtl/>
        </w:rPr>
        <w:t xml:space="preserve">و قد یستظهر من عبارة القواعد فی باب التدلیس الوجهُ الأوّل، قال:و کذا یعنی لا ردّ لو تعیّبت الأمة المدلّسة[عنده </w:t>
      </w:r>
      <w:r>
        <w:rPr>
          <w:rStyle w:val="FootnoteReference"/>
        </w:rPr>
        <w:footnoteReference w:id="3153"/>
      </w:r>
      <w:r>
        <w:rPr>
          <w:rFonts w:ascii="IRNazanin" w:hAnsi="IRNazanin" w:eastAsia="IRNazanin" w:cs="IRNazanin"/>
          <w:lang w:bidi="fa-IR"/>
          <w:color w:val="111111"/>
          <w:sz w:val="28"/>
          <w:szCs w:val="28"/>
          <w:rtl/>
        </w:rPr>
        <w:t xml:space="preserve">]قبل علمه بالتدلیس </w:t>
      </w:r>
      <w:r>
        <w:rPr>
          <w:rStyle w:val="FootnoteReference"/>
        </w:rPr>
        <w:footnoteReference w:id="3154"/>
      </w:r>
      <w:r>
        <w:rPr>
          <w:rFonts w:ascii="IRNazanin" w:hAnsi="IRNazanin" w:eastAsia="IRNazanin" w:cs="IRNazanin"/>
          <w:lang w:bidi="fa-IR"/>
          <w:color w:val="111111"/>
          <w:sz w:val="28"/>
          <w:szCs w:val="28"/>
          <w:rtl/>
        </w:rPr>
        <w:t xml:space="preserve">(انتهی)،فإنّه ذکر فی جامع المقاصد:أنّه لا فرق بین تعیّبها قبل العلم و بعده؛لأنّ العیب مضمون علی المشتری.ثمّ قال:إلّا أن یقال:إنّ العیب بعد العلم غیر مضمونٍ علی المشتری لثبوت الخیار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عدم ثبوت الخیار قبل العلم بالعیب؛لکون العیب فی زمان الخیار مضموناً علی من لا خیار له.لکن الاستظهار المذکور مبنیٌّ علی شمول قاعدة التلف ممّن لا خیار له لخیار العیب،و سیجیء عدم العموم </w:t>
      </w:r>
      <w:r>
        <w:rPr>
          <w:rStyle w:val="FootnoteReference"/>
        </w:rPr>
        <w:footnoteReference w:id="3156"/>
      </w: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و أمّا خیار الرؤیة:فسیأتی أنّ ظاهر التذکرة حدوثه بالرؤیة، فلا یجوز إسقاطه قبلها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366" w:name="pg14419_167461"/>
    <w:bookmarkEnd w:id="366"/>
    <w:p>
      <w:pPr>
        <w:pStyle w:val="Heading6"/>
      </w:pPr>
      <w:bookmarkStart w:id="1269" w:name="_Toc709"/>
      <w:r>
        <w:t>مسألة : یسقط هذا الخیار بأُمور</w:t>
      </w:r>
      <w:bookmarkEnd w:id="1269"/>
    </w:p>
    <w:p>
      <w:pPr>
        <w:pStyle w:val="Heading6"/>
      </w:pPr>
      <w:bookmarkStart w:id="1270" w:name="_Toc710"/>
      <w:r>
        <w:t>أحدها : إسقاطه بعد العقد</w:t>
      </w:r>
      <w:bookmarkEnd w:id="1270"/>
    </w:p>
    <w:p>
      <w:pPr>
        <w:pStyle w:val="BookText"/>
      </w:pPr>
      <w:r>
        <w:rPr>
          <w:rFonts w:ascii="IRNazanin" w:hAnsi="IRNazanin" w:eastAsia="IRNazanin" w:cs="IRNazanin"/>
          <w:lang w:bidi="fa-IR"/>
          <w:color w:val="111111"/>
          <w:sz w:val="28"/>
          <w:szCs w:val="28"/>
          <w:rtl/>
        </w:rPr>
        <w:t xml:space="preserve">و هو قد یکون بعد العلم بالغبن،و لا </w:t>
      </w:r>
      <w:r>
        <w:rPr>
          <w:rStyle w:val="FootnoteReference"/>
        </w:rPr>
        <w:footnoteReference w:id="3158"/>
      </w:r>
      <w:r>
        <w:rPr>
          <w:rFonts w:ascii="IRNazanin" w:hAnsi="IRNazanin" w:eastAsia="IRNazanin" w:cs="IRNazanin"/>
          <w:lang w:bidi="fa-IR"/>
          <w:color w:val="111111"/>
          <w:sz w:val="28"/>
          <w:szCs w:val="28"/>
          <w:rtl/>
        </w:rPr>
        <w:t xml:space="preserve">إشکال فی صحّة إسقاطه بلا عوضٍ مع العلم بمرتبة الغبن،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لا </w:t>
      </w:r>
      <w:r>
        <w:rPr>
          <w:rStyle w:val="FootnoteReference"/>
        </w:rPr>
        <w:footnoteReference w:id="3159"/>
      </w:r>
      <w:r>
        <w:rPr>
          <w:rFonts w:ascii="IRNazanin" w:hAnsi="IRNazanin" w:eastAsia="IRNazanin" w:cs="IRNazanin"/>
          <w:lang w:bidi="fa-IR"/>
          <w:color w:val="111111"/>
          <w:sz w:val="28"/>
          <w:szCs w:val="28"/>
          <w:rtl/>
        </w:rPr>
        <w:t xml:space="preserve">مع الجهل بها إذا أسقط الغبن المسبَّب عن أیّ مرتبةٍ کان،فاحشاً کان أو أفحش.</w:t>
      </w:r>
    </w:p>
    <w:p>
      <w:pPr>
        <w:pStyle w:val="BookText"/>
      </w:pPr>
      <w:r>
        <w:rPr>
          <w:rFonts w:ascii="IRNazanin" w:hAnsi="IRNazanin" w:eastAsia="IRNazanin" w:cs="IRNazanin"/>
          <w:lang w:bidi="fa-IR"/>
          <w:color w:val="111111"/>
          <w:sz w:val="28"/>
          <w:szCs w:val="28"/>
          <w:rtl/>
        </w:rPr>
        <w:t xml:space="preserve">و لو أسقطه بزعم کون التفاوت عشرةً فظهر مائةً،ففی السقوط إشکالٌ </w:t>
      </w:r>
      <w:r>
        <w:rPr>
          <w:rStyle w:val="FootnoteReference"/>
        </w:rPr>
        <w:footnoteReference w:id="3160"/>
      </w:r>
      <w:r>
        <w:rPr>
          <w:rFonts w:ascii="IRNazanin" w:hAnsi="IRNazanin" w:eastAsia="IRNazanin" w:cs="IRNazanin"/>
          <w:lang w:bidi="fa-IR"/>
          <w:color w:val="111111"/>
          <w:sz w:val="28"/>
          <w:szCs w:val="28"/>
          <w:rtl/>
        </w:rPr>
        <w:t xml:space="preserve">:من عدم طیب نفسه بسقوط هذا المقدار من الحقّ،کما لو أسقط حقّ عِرضٍ بزعم أنّه شتمٌ لا یبلغ القذف،فتبیّن کونه قذفاً.و من أنّ الخیار أمرٌ واحدٌ مسبَّبٌ عن مطلق التفاوت الذی لا یتسامح به و لا تعدّد فیه،فیسقط بمجرّد الإسقاط،و القذف و ما دونه من الشتم حقّان مختلفان.</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الإسقاط بعوضٍ بمعنی المصالحة عنه به،فلا إشکال فیه مع العلم بمرتبة الغبن أو التصریح بعموم المراتب.</w:t>
      </w:r>
    </w:p>
    <w:p>
      <w:pPr>
        <w:pStyle w:val="BookText"/>
      </w:pPr>
      <w:r>
        <w:rPr>
          <w:rFonts w:ascii="IRNazanin" w:hAnsi="IRNazanin" w:eastAsia="IRNazanin" w:cs="IRNazanin"/>
          <w:lang w:bidi="fa-IR"/>
          <w:color w:val="111111"/>
          <w:sz w:val="28"/>
          <w:szCs w:val="28"/>
          <w:rtl/>
        </w:rPr>
        <w:t xml:space="preserve">و لو أطلق و کان للإطلاق منصرفٌ،کما لو صالح عن الغبن المحقَّق فی المتاع المشتری بعشرین بدرهم،فإنّ المتعارف من الغبن المحتمَل فی مثل هذه المعاملة هو کون التفاوت أربعةً أو خمسةً فی العشرین،فیصالح عن هذا المحتمل بدرهم.</w:t>
      </w:r>
    </w:p>
    <w:p>
      <w:pPr>
        <w:pStyle w:val="BookText"/>
      </w:pPr>
      <w:r>
        <w:rPr>
          <w:rFonts w:ascii="IRNazanin" w:hAnsi="IRNazanin" w:eastAsia="IRNazanin" w:cs="IRNazanin"/>
          <w:lang w:bidi="fa-IR"/>
          <w:color w:val="111111"/>
          <w:sz w:val="28"/>
          <w:szCs w:val="28"/>
          <w:rtl/>
        </w:rPr>
        <w:t xml:space="preserve">فلو ظهر کون التفاوت ثمانیة عشر،و أنّ المبیع یسوی درهمین، ففی بطلان الصلح؛لأنّه لم یقع علی الحقّ الموجود.</w:t>
      </w:r>
    </w:p>
    <w:p>
      <w:pPr>
        <w:pStyle w:val="BookText"/>
      </w:pPr>
      <w:r>
        <w:rPr>
          <w:rFonts w:ascii="IRNazanin" w:hAnsi="IRNazanin" w:eastAsia="IRNazanin" w:cs="IRNazanin"/>
          <w:lang w:bidi="fa-IR"/>
          <w:color w:val="111111"/>
          <w:sz w:val="28"/>
          <w:szCs w:val="28"/>
          <w:rtl/>
        </w:rPr>
        <w:t xml:space="preserve">أو صحّته مع لزومه؛لما ذکرنا:من أنّ الخیار حقّ واحدٌ له سببٌ واحدٌ و هو التفاوت الذی له أفرادٌ متعدّدةٌ فإذا أسقطه سقط.</w:t>
      </w:r>
    </w:p>
    <w:p>
      <w:pPr>
        <w:pStyle w:val="BookText"/>
      </w:pPr>
      <w:r>
        <w:rPr>
          <w:rFonts w:ascii="IRNazanin" w:hAnsi="IRNazanin" w:eastAsia="IRNazanin" w:cs="IRNazanin"/>
          <w:lang w:bidi="fa-IR"/>
          <w:color w:val="111111"/>
          <w:sz w:val="28"/>
          <w:szCs w:val="28"/>
          <w:rtl/>
        </w:rPr>
        <w:t xml:space="preserve">أو صحّته متزلزلاً؛لأنّ الخیار الذی صالح عنه باعتقاد أنّ عوضه المتعارف درهمٌ تبیّن کونه ممّا یبذل فی مقابله أزید من الدرهم، ضرورة أنّه کلّما کان التفاوت المحتمل أزید یبذل فی مقابله أزید ممّا یبذل فی مقابله لو کان أقلّ[فیحصل الغبن فی المصالحة </w:t>
      </w:r>
      <w:r>
        <w:rPr>
          <w:rStyle w:val="FootnoteReference"/>
        </w:rPr>
        <w:footnoteReference w:id="3161"/>
      </w:r>
      <w:r>
        <w:rPr>
          <w:rFonts w:ascii="IRNazanin" w:hAnsi="IRNazanin" w:eastAsia="IRNazanin" w:cs="IRNazanin"/>
          <w:lang w:bidi="fa-IR"/>
          <w:color w:val="111111"/>
          <w:sz w:val="28"/>
          <w:szCs w:val="28"/>
          <w:rtl/>
        </w:rPr>
        <w:t xml:space="preserve">]،و لا </w:t>
      </w:r>
      <w:r>
        <w:rPr>
          <w:rStyle w:val="FootnoteReference"/>
        </w:rPr>
        <w:footnoteReference w:id="3162"/>
      </w:r>
      <w:r>
        <w:rPr>
          <w:rFonts w:ascii="IRNazanin" w:hAnsi="IRNazanin" w:eastAsia="IRNazanin" w:cs="IRNazanin"/>
          <w:lang w:bidi="fa-IR"/>
          <w:color w:val="111111"/>
          <w:sz w:val="28"/>
          <w:szCs w:val="28"/>
          <w:rtl/>
        </w:rPr>
        <w:t xml:space="preserve">فرق فی الغبن بین کونه للجهل بمقدار مالیّته مع العلم بعینه،و بین کونه لأجل الجهل بعینه.</w:t>
      </w:r>
    </w:p>
    <w:p>
      <w:pPr>
        <w:pStyle w:val="BookText"/>
      </w:pPr>
      <w:r>
        <w:rPr>
          <w:rFonts w:ascii="Amiri" w:hAnsi="Amiri" w:eastAsia="Amiri" w:cs="Amiri"/>
          <w:lang w:bidi="ar-SA"/>
          <w:color w:val="111111"/>
          <w:sz w:val="28"/>
          <w:szCs w:val="28"/>
          <w:rtl/>
        </w:rPr>
        <w:t xml:space="preserve">[وجوهٌ </w:t>
      </w:r>
      <w:r>
        <w:rPr>
          <w:rStyle w:val="FootnoteReference"/>
        </w:rPr>
        <w:footnoteReference w:id="3163"/>
      </w:r>
      <w:r>
        <w:rPr>
          <w:rFonts w:ascii="IRNazanin" w:hAnsi="IRNazanin" w:eastAsia="IRNazanin" w:cs="IRNazanin"/>
          <w:lang w:bidi="fa-IR"/>
          <w:color w:val="111111"/>
          <w:sz w:val="28"/>
          <w:szCs w:val="28"/>
          <w:rtl/>
        </w:rPr>
        <w:t xml:space="preserve">]،و هذا هو الأقوی[فتأمّل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إسقاط هذا الخیار بعد العقد قبل ظهور الغبن،فالظاهر أیضاً</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جوازه،و لا یقدح عدم تحقّق شرطه بناءً علی کون ظهور الغبن شرطاً لحدوث الخیار؛إذ یکفی فی ذلک تحقّق السبب المقتضی للخیار،و هو الغبن الواقعی و إن لم یعلم به.و هذا کافٍ فی جواز إسقاط المسبَّب قبل حصول شرطه،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کإبراء المالک الودعیَّ المفرِّط عن الضمان،و کبراءة البائع من العیوب الراجعة إلی إسقاط الحقّ المسبَّب عن وجودها قبل العلم بها.</w:t>
      </w:r>
    </w:p>
    <w:p>
      <w:pPr>
        <w:pStyle w:val="BookText"/>
      </w:pPr>
      <w:r>
        <w:rPr>
          <w:rFonts w:ascii="IRNazanin" w:hAnsi="IRNazanin" w:eastAsia="IRNazanin" w:cs="IRNazanin"/>
          <w:lang w:bidi="fa-IR"/>
          <w:color w:val="111111"/>
          <w:sz w:val="28"/>
          <w:szCs w:val="28"/>
          <w:rtl/>
        </w:rPr>
        <w:t xml:space="preserve">و لا یقدح فی المقام أیضاً کونه إسقاطاً لما لم یتحقّق؛إذ لا مانع من ذلک إلّا التعلیق و عدم الجزم الممنوع عنه فی العقود فضلاً عن الإیقاعات،و هو غیر قادحٍ هنا،فإنّ الممنوع منه هو التعلیق علی ما لا یتوقّف تحقّق مفهوم الإنشاء علیه،و أمّا ما نحن فیه و شبهه-مثل طلاق مشکوک الزوجیّة،و إعتاق مشکوک الرقّیّة منجّزاً،و الإبراء عمّا احتمل الاشتغال به فقد تقدّم فی شرائط الصیغة </w:t>
      </w:r>
      <w:r>
        <w:rPr>
          <w:rStyle w:val="FootnoteReference"/>
        </w:rPr>
        <w:footnoteReference w:id="3165"/>
      </w:r>
      <w:r>
        <w:rPr>
          <w:rFonts w:ascii="IRNazanin" w:hAnsi="IRNazanin" w:eastAsia="IRNazanin" w:cs="IRNazanin"/>
          <w:lang w:bidi="fa-IR"/>
          <w:color w:val="111111"/>
          <w:sz w:val="28"/>
          <w:szCs w:val="28"/>
          <w:rtl/>
        </w:rPr>
        <w:t xml:space="preserve">:أنّه لا مانع منه </w:t>
      </w:r>
      <w:r>
        <w:rPr>
          <w:rStyle w:val="FootnoteReference"/>
        </w:rPr>
        <w:footnoteReference w:id="3166"/>
      </w:r>
      <w:r>
        <w:rPr>
          <w:rFonts w:ascii="IRNazanin" w:hAnsi="IRNazanin" w:eastAsia="IRNazanin" w:cs="IRNazanin"/>
          <w:lang w:bidi="fa-IR"/>
          <w:color w:val="111111"/>
          <w:sz w:val="28"/>
          <w:szCs w:val="28"/>
          <w:rtl/>
        </w:rPr>
        <w:t xml:space="preserve">، و منه البراءة عن العیوب المحتملة فی المبیع و ضمان دَرَک المبیع عند ظهوره مستحقّاً للغیر.</w:t>
      </w:r>
    </w:p>
    <w:p>
      <w:pPr>
        <w:pStyle w:val="BookText"/>
      </w:pPr>
      <w:r>
        <w:rPr>
          <w:rFonts w:ascii="IRNazanin" w:hAnsi="IRNazanin" w:eastAsia="IRNazanin" w:cs="IRNazanin"/>
          <w:lang w:bidi="fa-IR"/>
          <w:color w:val="111111"/>
          <w:sz w:val="28"/>
          <w:szCs w:val="28"/>
          <w:rtl/>
        </w:rPr>
        <w:t xml:space="preserve">نعم،قد یشکل الأمر من حیث العوض المصالح به،فإنّه لا بدّ من وقوع شیءٍ بإزائه و هو غیر معلومٍ،فالأولی ضمّ شیءٍ إلی المصالح عنه المجهول التحقّق،أو ضمّ سائر الخیارات إلیه بأن یقول:«صالحتک عن کلّ خیارٍ لی بکذا»،و لو تبیّن عدم الغبن لم یقسّط العوض علیه؛ لأنّ المعدوم إنّما دخل علی تقدیر وجوده،لا منجّزاً باعتقاد الوجود.</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367" w:name="pg14419_167464"/>
    <w:bookmarkEnd w:id="367"/>
    <w:p>
      <w:pPr>
        <w:pStyle w:val="Heading6"/>
      </w:pPr>
      <w:bookmarkStart w:id="1271" w:name="_Toc711"/>
      <w:r>
        <w:t>الثانی من المسقطات : اشتراط سقوط الخیار فی متن العقد</w:t>
      </w:r>
      <w:bookmarkEnd w:id="1271"/>
    </w:p>
    <w:p>
      <w:pPr>
        <w:pStyle w:val="BookText"/>
      </w:pPr>
      <w:r>
        <w:rPr>
          <w:rFonts w:ascii="IRNazanin" w:hAnsi="IRNazanin" w:eastAsia="IRNazanin" w:cs="IRNazanin"/>
          <w:lang w:bidi="fa-IR"/>
          <w:color w:val="111111"/>
          <w:sz w:val="28"/>
          <w:szCs w:val="28"/>
          <w:rtl/>
        </w:rPr>
        <w:t xml:space="preserve">و الإشکال فیه من الجهات المذکورة هنا،أو المتقدّمة فی إسقاط الخیارات المتقدّمة قد عُلم التفصّی عنها.</w:t>
      </w:r>
    </w:p>
    <w:p>
      <w:pPr>
        <w:pStyle w:val="BookText"/>
      </w:pPr>
      <w:r>
        <w:rPr>
          <w:rFonts w:ascii="Amiri" w:hAnsi="Amiri" w:eastAsia="Amiri" w:cs="Amiri"/>
          <w:lang w:bidi="ar-SA"/>
          <w:color w:val="111111"/>
          <w:sz w:val="28"/>
          <w:szCs w:val="28"/>
          <w:rtl/>
        </w:rPr>
        <w:t xml:space="preserve">نعم،هنا وجهٌ آخر للمنع مختصٌّ </w:t>
      </w:r>
      <w:r>
        <w:rPr>
          <w:rStyle w:val="FootnoteReference"/>
        </w:rPr>
        <w:footnoteReference w:id="3167"/>
      </w:r>
      <w:r>
        <w:rPr>
          <w:rFonts w:ascii="IRNazanin" w:hAnsi="IRNazanin" w:eastAsia="IRNazanin" w:cs="IRNazanin"/>
          <w:lang w:bidi="fa-IR"/>
          <w:color w:val="111111"/>
          <w:sz w:val="28"/>
          <w:szCs w:val="28"/>
          <w:rtl/>
        </w:rPr>
        <w:t xml:space="preserve">بهذا الخیار و خیار الرؤیة، و هو لزوم الغرر من اشتراط إسقاطه.</w:t>
      </w:r>
    </w:p>
    <w:p>
      <w:pPr>
        <w:pStyle w:val="BookText"/>
      </w:pPr>
      <w:r>
        <w:rPr>
          <w:rFonts w:ascii="IRNazanin" w:hAnsi="IRNazanin" w:eastAsia="IRNazanin" w:cs="IRNazanin"/>
          <w:lang w:bidi="fa-IR"/>
          <w:color w:val="111111"/>
          <w:sz w:val="28"/>
          <w:szCs w:val="28"/>
          <w:rtl/>
        </w:rPr>
        <w:t xml:space="preserve">قال فی الدروس فی هذا المقام ما لفظه:و لو اشترطا رفعه أو رفع خیار الرؤیة،فالظاهر بطلان العقد للغرر </w:t>
      </w:r>
      <w:r>
        <w:rPr>
          <w:rStyle w:val="FootnoteReference"/>
        </w:rPr>
        <w:footnoteReference w:id="3168"/>
      </w:r>
      <w:r>
        <w:rPr>
          <w:rFonts w:ascii="IRNazanin" w:hAnsi="IRNazanin" w:eastAsia="IRNazanin" w:cs="IRNazanin"/>
          <w:lang w:bidi="fa-IR"/>
          <w:color w:val="111111"/>
          <w:sz w:val="28"/>
          <w:szCs w:val="28"/>
          <w:rtl/>
        </w:rPr>
        <w:t xml:space="preserve">،انتهی.ثمّ احتمل الفرق بین الخیارین:بأنّ الغرر فی الغبن سهل الإزالة.</w:t>
      </w:r>
    </w:p>
    <w:p>
      <w:pPr>
        <w:pStyle w:val="BookText"/>
      </w:pPr>
      <w:r>
        <w:rPr>
          <w:rFonts w:ascii="IRNazanin" w:hAnsi="IRNazanin" w:eastAsia="IRNazanin" w:cs="IRNazanin"/>
          <w:lang w:bidi="fa-IR"/>
          <w:color w:val="111111"/>
          <w:sz w:val="28"/>
          <w:szCs w:val="28"/>
          <w:rtl/>
        </w:rPr>
        <w:t xml:space="preserve">و جَزَم الصیمری فی غایة المرام ببطلان العقد و الشرط </w:t>
      </w:r>
      <w:r>
        <w:rPr>
          <w:rStyle w:val="FootnoteReference"/>
        </w:rPr>
        <w:footnoteReference w:id="3169"/>
      </w:r>
      <w:r>
        <w:rPr>
          <w:rFonts w:ascii="Amiri" w:hAnsi="Amiri" w:eastAsia="Amiri" w:cs="Amiri"/>
          <w:lang w:bidi="ar-SA"/>
          <w:color w:val="111111"/>
          <w:sz w:val="28"/>
          <w:szCs w:val="28"/>
          <w:rtl/>
        </w:rPr>
        <w:t xml:space="preserve">،و تَرَدّد فیه المحقّق الثانی،إلّا أنّه استظهر الصحّة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توجیه کلام الشهید هو:أنّ الغرر باعتبار الجهل بمقدار مالیّة المبیع کالجهل بصفاته؛لأنّ وجه کون الجهل بالصفات غرراً هو رجوعه إلی الجهل بمقدار مالیّته؛و لذا لا غرر مع الجهل بالصفات التی لا مدخل لها فی القیمة.</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لکن الأقوی الصحّة؛لأنّ مجرّد الجهل بمقدار المالیّة لو کان غرراً</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368" w:name="pg14419_167465"/>
    <w:bookmarkEnd w:id="368"/>
    <w:p>
      <w:pPr>
        <w:pStyle w:val="BookText"/>
      </w:pPr>
      <w:r>
        <w:rPr>
          <w:rFonts w:ascii="IRNazanin" w:hAnsi="IRNazanin" w:eastAsia="IRNazanin" w:cs="IRNazanin"/>
          <w:lang w:bidi="fa-IR"/>
          <w:color w:val="111111"/>
          <w:sz w:val="28"/>
          <w:szCs w:val="28"/>
          <w:rtl/>
        </w:rPr>
        <w:t xml:space="preserve">لم یصحّ البیع مع الشکّ فی القیمة،و أیضاً فإنّ ارتفاع الغرر عن هذا البیع لیس لأجل الخیار حتّی یکون إسقاطه موجباً لثبوته،و إلّا لم یصحّ البیع،إذ لا یجدی فی الإخراج عن الغرر ثبوت الخیار؛لأنّه حکمٌ شرعیٌّ لا یرتفع به موضوع الغرر،و إلّا لصحّ کلّ بیعٍ غرریٍّ علی وجه التزلزل و ثبوت الخیار،کبیع المجهول وجوده و المتعذّر تسلیمه.</w:t>
      </w:r>
    </w:p>
    <w:p>
      <w:pPr>
        <w:pStyle w:val="BookText"/>
      </w:pPr>
      <w:r>
        <w:rPr>
          <w:rFonts w:ascii="IRNazanin" w:hAnsi="IRNazanin" w:eastAsia="IRNazanin" w:cs="IRNazanin"/>
          <w:lang w:bidi="fa-IR"/>
          <w:color w:val="111111"/>
          <w:sz w:val="28"/>
          <w:szCs w:val="28"/>
          <w:rtl/>
        </w:rPr>
        <w:t xml:space="preserve">و أمّا خیار الرؤیة،فاشتراط سقوطه راجعٌ إلی إسقاط اعتبار ما اشترطاه من الأوصاف فی العین الغیر المرئیّة،فکأنهما تبایعا سواءً وجد فیها تلک الأوصاف أم لا،فصحّة البیع موقوفةٌ علی اشتراط تلک الأوصاف،و إسقاط الخیار فی معنی إلغائها الموجب للبطلان.</w:t>
      </w:r>
    </w:p>
    <w:p>
      <w:pPr>
        <w:pStyle w:val="BookText"/>
      </w:pPr>
      <w:r>
        <w:rPr>
          <w:rFonts w:ascii="IRNazanin" w:hAnsi="IRNazanin" w:eastAsia="IRNazanin" w:cs="IRNazanin"/>
          <w:lang w:bidi="fa-IR"/>
          <w:color w:val="111111"/>
          <w:sz w:val="28"/>
          <w:szCs w:val="28"/>
          <w:rtl/>
        </w:rPr>
        <w:t xml:space="preserve">مع احتمال الصحّة هناک أیضاً؛لأنّ مرجع إسقاط خیار الرؤیة إلی التزام عدم تأثیر تخلّف تلک الشروط،لا إلی عدم التزام ما اشترطاه من الأوصاف،و لا تنافی بین أن یُقدم علی اشتراء العین بانیاً علی وجود تلک الأوصاف،و بین الالتزام بعدم الفسخ لو تخلّفت،فتأمّل.</w:t>
      </w:r>
    </w:p>
    <w:p>
      <w:pPr>
        <w:pStyle w:val="BookText"/>
      </w:pPr>
      <w:r>
        <w:rPr>
          <w:rFonts w:ascii="IRNazanin" w:hAnsi="IRNazanin" w:eastAsia="IRNazanin" w:cs="IRNazanin"/>
          <w:lang w:bidi="fa-IR"/>
          <w:color w:val="111111"/>
          <w:sz w:val="28"/>
          <w:szCs w:val="28"/>
          <w:rtl/>
        </w:rPr>
        <w:t xml:space="preserve">و سیجیء تمام الکلام فی خیار الرؤیة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کان،فلا أری إشکالاً فی اشتراط سقوط خیار الغبن[من حیث لزوم الغرر </w:t>
      </w:r>
      <w:r>
        <w:rPr>
          <w:rStyle w:val="FootnoteReference"/>
        </w:rPr>
        <w:footnoteReference w:id="3172"/>
      </w:r>
      <w:r>
        <w:rPr>
          <w:rFonts w:ascii="IRNazanin" w:hAnsi="IRNazanin" w:eastAsia="IRNazanin" w:cs="IRNazanin"/>
          <w:lang w:bidi="fa-IR"/>
          <w:color w:val="111111"/>
          <w:sz w:val="28"/>
          <w:szCs w:val="28"/>
          <w:rtl/>
        </w:rPr>
        <w:t xml:space="preserve">]؛إذ لو لم یشرع الخیار فی الغبن أصلاً لم یلزم منه غررٌ.</w:t>
      </w:r>
    </w:p>
    <w:p>
      <w:pPr>
        <w:pStyle w:val="Heading6"/>
      </w:pPr>
      <w:bookmarkStart w:id="1272" w:name="_Toc712"/>
      <w:r>
        <w:t>الثالث : تصرّف المغبون بأحد التصرّفات المسقطة للخیارات المتقدّمة بعد علمه بالغبن</w:t>
      </w:r>
      <w:bookmarkEnd w:id="1272"/>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علیه ما دلّ علی سقوط خیاری المجلس و الشرط به-مع عدم ورود نصٍّ فیهما و اختصاص النصّ بخیار الحیوان و هو:إطلاقُ بعض معاقد الإجماع بأنّ تصرّف ذی الخیار فیما انتقل إلیه إجازةٌ و فیما انتقل عنه فسخٌ </w:t>
      </w:r>
      <w:r>
        <w:rPr>
          <w:rStyle w:val="FootnoteReference"/>
        </w:rPr>
        <w:footnoteReference w:id="3173"/>
      </w:r>
      <w:r>
        <w:rPr>
          <w:rFonts w:ascii="IRNazanin" w:hAnsi="IRNazanin" w:eastAsia="IRNazanin" w:cs="IRNazanin"/>
          <w:lang w:bidi="fa-IR"/>
          <w:color w:val="111111"/>
          <w:sz w:val="28"/>
          <w:szCs w:val="28"/>
          <w:rtl/>
        </w:rPr>
        <w:t xml:space="preserve">،و </w:t>
      </w:r>
      <w:r>
        <w:rPr>
          <w:rStyle w:val="FootnoteReference"/>
        </w:rPr>
        <w:footnoteReference w:id="3174"/>
      </w:r>
      <w:r>
        <w:rPr>
          <w:rFonts w:ascii="IRNazanin" w:hAnsi="IRNazanin" w:eastAsia="IRNazanin" w:cs="IRNazanin"/>
          <w:lang w:bidi="fa-IR"/>
          <w:color w:val="111111"/>
          <w:sz w:val="28"/>
          <w:szCs w:val="28"/>
          <w:rtl/>
        </w:rPr>
        <w:t xml:space="preserve">العلّةُ المستفادة من النصّ فی خیار الحیوان المستدلّ بها فی کلمات العلماء علی السقوط،و هی الرضا بلزوم العقد.</w:t>
      </w:r>
    </w:p>
    <w:p>
      <w:pPr>
        <w:pStyle w:val="BookText"/>
      </w:pPr>
      <w:r>
        <w:rPr>
          <w:rFonts w:ascii="IRNazanin" w:hAnsi="IRNazanin" w:eastAsia="IRNazanin" w:cs="IRNazanin"/>
          <w:lang w:bidi="fa-IR"/>
          <w:color w:val="111111"/>
          <w:sz w:val="28"/>
          <w:szCs w:val="28"/>
          <w:rtl/>
        </w:rPr>
        <w:t xml:space="preserve">مع أنّ الدلیل هنا إمّا نفی الضرر و إمّا الإجماع،و الأوّل منتفٍ، فإنّه کما لا یجری مع الإقدام علیه کذلک </w:t>
      </w:r>
      <w:r>
        <w:rPr>
          <w:rStyle w:val="FootnoteReference"/>
        </w:rPr>
        <w:footnoteReference w:id="3175"/>
      </w:r>
      <w:r>
        <w:rPr>
          <w:rFonts w:ascii="IRNazanin" w:hAnsi="IRNazanin" w:eastAsia="IRNazanin" w:cs="IRNazanin"/>
          <w:lang w:bidi="fa-IR"/>
          <w:color w:val="111111"/>
          <w:sz w:val="28"/>
          <w:szCs w:val="28"/>
          <w:rtl/>
        </w:rPr>
        <w:t xml:space="preserve">لا یجری مع الرضا به بعده.</w:t>
      </w:r>
    </w:p>
    <w:p>
      <w:pPr>
        <w:pStyle w:val="BookText"/>
      </w:pPr>
      <w:r>
        <w:rPr>
          <w:rFonts w:ascii="IRNazanin" w:hAnsi="IRNazanin" w:eastAsia="IRNazanin" w:cs="IRNazanin"/>
          <w:lang w:bidi="fa-IR"/>
          <w:color w:val="111111"/>
          <w:sz w:val="28"/>
          <w:szCs w:val="28"/>
          <w:rtl/>
        </w:rPr>
        <w:t xml:space="preserve">و أمّا الإجماع فهو غیر ثابتٍ مع الرضا.</w:t>
      </w:r>
    </w:p>
    <w:p>
      <w:pPr>
        <w:pStyle w:val="BookText"/>
      </w:pPr>
      <w:r>
        <w:rPr>
          <w:rFonts w:ascii="IRNazanin" w:hAnsi="IRNazanin" w:eastAsia="IRNazanin" w:cs="IRNazanin"/>
          <w:lang w:bidi="fa-IR"/>
          <w:color w:val="111111"/>
          <w:sz w:val="28"/>
          <w:szCs w:val="28"/>
          <w:rtl/>
        </w:rPr>
        <w:t xml:space="preserve">إلّا أن یقال:إنّ الشکّ فی الرفع لا الدفع،فیستصحب،فتأمّل.أو ندّعی أنّ ظاهر قولهم فیما نحن فیه:«إنّ هذا الخیار لا یسقط بالتصرّف»شموله للتصرّف بعد العلم بالغبن و اختصاص هذا الخیار من بین الخیارات بذلک.</w:t>
      </w:r>
    </w:p>
    <w:p>
      <w:pPr>
        <w:pStyle w:val="BookText"/>
      </w:pPr>
      <w:r>
        <w:rPr>
          <w:rFonts w:ascii="IRNazanin" w:hAnsi="IRNazanin" w:eastAsia="IRNazanin" w:cs="IRNazanin"/>
          <w:lang w:bidi="fa-IR"/>
          <w:color w:val="111111"/>
          <w:sz w:val="28"/>
          <w:szCs w:val="28"/>
          <w:rtl/>
        </w:rPr>
        <w:t xml:space="preserve">لکنّ الإنصاف عدم شمول التصرّف فی کلماتهم لما بعد العلم بالغبن، و غرضهم من تخصیص الحکم بهذا الخیار أنّ التصرّف مسقطٌ لکلّ خیارٍ و لو وقع قبل العلم بالخیار کما فی العیب و التدلیس سوی هذا الخیار.</w:t>
      </w:r>
    </w:p>
    <w:p>
      <w:pPr>
        <w:pStyle w:val="BookText"/>
      </w:pPr>
      <w:r>
        <w:rPr>
          <w:rFonts w:ascii="IRNazanin" w:hAnsi="IRNazanin" w:eastAsia="IRNazanin" w:cs="IRNazanin"/>
          <w:lang w:bidi="fa-IR"/>
          <w:color w:val="111111"/>
          <w:sz w:val="28"/>
          <w:szCs w:val="28"/>
          <w:rtl/>
        </w:rPr>
        <w:t xml:space="preserve">و یؤیّد ذلک ما اشتهر بینهم:من أنّ التصرّف قبل العلم بالعیب و التدلیس ملزمٌ؛لدلالته علی الرضا بالبیع فیسقط الردّ،و إنّما یثبت الأرش فی خصوص العیب لعدم دلالة التصرّف علی الرضا بالعیب.</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کان،فاختصاص التصرّف الغیر المسقط فی کلامهم بما قبل العلم لا یکاد یخفی علی المتتبّع فی کلماتهم.</w:t>
      </w:r>
    </w:p>
    <w:p>
      <w:pPr>
        <w:pStyle w:val="BookText"/>
      </w:pPr>
      <w:r>
        <w:rPr>
          <w:rFonts w:ascii="IRNazanin" w:hAnsi="IRNazanin" w:eastAsia="IRNazanin" w:cs="IRNazanin"/>
          <w:lang w:bidi="fa-IR"/>
          <w:color w:val="111111"/>
          <w:sz w:val="28"/>
          <w:szCs w:val="28"/>
          <w:rtl/>
        </w:rPr>
        <w:t xml:space="preserve">نعم،لم أجد لهم تصریحاً بذلک عدا ما حکی عن صاحب المسالک </w:t>
      </w:r>
      <w:r>
        <w:rPr>
          <w:rStyle w:val="FootnoteReference"/>
        </w:rPr>
        <w:footnoteReference w:id="3176"/>
      </w:r>
      <w:r>
        <w:rPr>
          <w:rFonts w:ascii="Amiri" w:hAnsi="Amiri" w:eastAsia="Amiri" w:cs="Amiri"/>
          <w:lang w:bidi="ar-SA"/>
          <w:color w:val="111111"/>
          <w:sz w:val="28"/>
          <w:szCs w:val="28"/>
          <w:rtl/>
        </w:rPr>
        <w:t xml:space="preserve">و تبعه جماعةٌ </w:t>
      </w:r>
      <w:r>
        <w:rPr>
          <w:rStyle w:val="FootnoteReference"/>
        </w:rPr>
        <w:footnoteReference w:id="3177"/>
      </w:r>
      <w:r>
        <w:rPr>
          <w:rFonts w:ascii="IRNazanin" w:hAnsi="IRNazanin" w:eastAsia="IRNazanin" w:cs="IRNazanin"/>
          <w:lang w:bidi="fa-IR"/>
          <w:color w:val="111111"/>
          <w:sz w:val="28"/>
          <w:szCs w:val="28"/>
          <w:rtl/>
        </w:rPr>
        <w:t xml:space="preserve">،مع أنّه إذا اقتضی الدلیل للسقوط فلا ینبغی الاستشکال من جهة ترک التصریح </w:t>
      </w:r>
      <w:r>
        <w:rPr>
          <w:rStyle w:val="FootnoteReference"/>
        </w:rPr>
        <w:footnoteReference w:id="3178"/>
      </w:r>
      <w:r>
        <w:rPr>
          <w:rFonts w:ascii="IRNazanin" w:hAnsi="IRNazanin" w:eastAsia="IRNazanin" w:cs="IRNazanin"/>
          <w:lang w:bidi="fa-IR"/>
          <w:color w:val="111111"/>
          <w:sz w:val="28"/>
          <w:szCs w:val="28"/>
          <w:rtl/>
        </w:rPr>
        <w:t xml:space="preserve">.بل ربما یستشکل فی حکمهم بعدم السقوط بالتصرّف قبل العلم مع حکمهم بسقوط خیار التدلیس و العیب بالتصرّف قبل العلم.و الاعتذار بالنصّ إنّما یتمّ فی العیب دون التدلیس، فإنّه مشترکٌ مع خیار الغبن فی عدم النصّ،و مقتضی القاعدة فی حکم التصرّف قبل العلم فیهما واحدٌ.</w:t>
      </w:r>
    </w:p>
    <w:p>
      <w:pPr>
        <w:pStyle w:val="BookText"/>
      </w:pPr>
      <w:r>
        <w:rPr>
          <w:rFonts w:ascii="IRNazanin" w:hAnsi="IRNazanin" w:eastAsia="IRNazanin" w:cs="IRNazanin"/>
          <w:lang w:bidi="fa-IR"/>
          <w:color w:val="111111"/>
          <w:sz w:val="28"/>
          <w:szCs w:val="28"/>
          <w:rtl/>
        </w:rPr>
        <w:t xml:space="preserve">و التحقیق أن یقال:إنّ مقتضی القاعدة عدم السقوط؛لبقاء الضرر، و عدم دلالة التصرّف مع الجهل علی الرضا بلزوم العقد و تحمّل الضرر.</w:t>
      </w:r>
    </w:p>
    <w:p>
      <w:pPr>
        <w:pStyle w:val="BookText"/>
      </w:pPr>
      <w:r>
        <w:rPr>
          <w:rFonts w:ascii="IRNazanin" w:hAnsi="IRNazanin" w:eastAsia="IRNazanin" w:cs="IRNazanin"/>
          <w:lang w:bidi="fa-IR"/>
          <w:color w:val="111111"/>
          <w:sz w:val="28"/>
          <w:szCs w:val="28"/>
          <w:rtl/>
        </w:rPr>
        <w:t xml:space="preserve">نعم،قد ورد النصّ فی العیب علی السقوط </w:t>
      </w:r>
      <w:r>
        <w:rPr>
          <w:rStyle w:val="FootnoteReference"/>
        </w:rPr>
        <w:footnoteReference w:id="3179"/>
      </w:r>
      <w:r>
        <w:rPr>
          <w:rFonts w:ascii="IRNazanin" w:hAnsi="IRNazanin" w:eastAsia="IRNazanin" w:cs="IRNazanin"/>
          <w:lang w:bidi="fa-IR"/>
          <w:color w:val="111111"/>
          <w:sz w:val="28"/>
          <w:szCs w:val="28"/>
          <w:rtl/>
        </w:rPr>
        <w:t xml:space="preserve">،و ادّعی علیه الإجماع </w:t>
      </w:r>
      <w:r>
        <w:rPr>
          <w:rStyle w:val="FootnoteReference"/>
        </w:rPr>
        <w:footnoteReference w:id="3180"/>
      </w:r>
      <w:r>
        <w:rPr>
          <w:rFonts w:ascii="IRNazanin" w:hAnsi="IRNazanin" w:eastAsia="IRNazanin" w:cs="IRNazanin"/>
          <w:lang w:bidi="fa-IR"/>
          <w:color w:val="111111"/>
          <w:sz w:val="28"/>
          <w:szCs w:val="28"/>
          <w:rtl/>
        </w:rPr>
        <w:t xml:space="preserve">، مع أنّ ضرر السقوط فیه متدارَکٌ بالأرش و إن کان نفس إمساک</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369" w:name="pg14419_167468"/>
    <w:bookmarkEnd w:id="369"/>
    <w:p>
      <w:pPr>
        <w:pStyle w:val="BookText"/>
      </w:pPr>
      <w:r>
        <w:rPr>
          <w:rFonts w:ascii="IRNazanin" w:hAnsi="IRNazanin" w:eastAsia="IRNazanin" w:cs="IRNazanin"/>
          <w:lang w:bidi="fa-IR"/>
          <w:color w:val="111111"/>
          <w:sz w:val="28"/>
          <w:szCs w:val="28"/>
          <w:rtl/>
        </w:rPr>
        <w:t xml:space="preserve">المعیب </w:t>
      </w:r>
      <w:r>
        <w:rPr>
          <w:rStyle w:val="FootnoteReference"/>
        </w:rPr>
        <w:footnoteReference w:id="3181"/>
      </w:r>
      <w:r>
        <w:rPr>
          <w:rFonts w:ascii="IRNazanin" w:hAnsi="IRNazanin" w:eastAsia="IRNazanin" w:cs="IRNazanin"/>
          <w:lang w:bidi="fa-IR"/>
          <w:color w:val="111111"/>
          <w:sz w:val="28"/>
          <w:szCs w:val="28"/>
          <w:rtl/>
        </w:rPr>
        <w:t xml:space="preserve">قد یکون ضرراً،فإن تمّ دلیلٌ فی التدلیس أیضاً قلنا به،و إلّا وجب الرجوع إلی دلیل خیاره.</w:t>
      </w:r>
    </w:p>
    <w:p>
      <w:pPr>
        <w:pStyle w:val="BookText"/>
      </w:pPr>
      <w:r>
        <w:rPr>
          <w:rFonts w:ascii="IRNazanin" w:hAnsi="IRNazanin" w:eastAsia="IRNazanin" w:cs="IRNazanin"/>
          <w:lang w:bidi="fa-IR"/>
          <w:color w:val="111111"/>
          <w:sz w:val="28"/>
          <w:szCs w:val="28"/>
          <w:rtl/>
        </w:rPr>
        <w:t xml:space="preserve">ثمّ إنّ الحکم بسقوط الخیار بالتصرّف بعد العلم بالغبن مبنیٌّ علی ما تقدّم فی الخیارات السابقة:من تسلیم کون التصرّف دلیلاً علی الرضا بلزوم العقد،و إلّا کان اللازم فی غیر ما دلّ فعلاً علی الالتزام بالعقد من أفراد التصرّف،الرجوع إلی أصالة بقاء الخیار.</w:t>
      </w:r>
    </w:p>
    <w:p>
      <w:pPr>
        <w:pStyle w:val="Heading6"/>
      </w:pPr>
      <w:bookmarkStart w:id="1273" w:name="_Toc713"/>
      <w:r>
        <w:t>الرابع من المسقطات : تصرّف المشتری المغبون قبل العلم بالغبن</w:t>
      </w:r>
      <w:bookmarkEnd w:id="12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تصرّفاً مخرجاً عن الملک علی وجه اللزوم کالبیع و العتق فإنّ المصرَّح به فی کلام المحقّق </w:t>
      </w:r>
      <w:r>
        <w:rPr>
          <w:rStyle w:val="FootnoteReference"/>
        </w:rPr>
        <w:footnoteReference w:id="3182"/>
      </w:r>
      <w:r>
        <w:rPr>
          <w:rFonts w:ascii="IRNazanin" w:hAnsi="IRNazanin" w:eastAsia="IRNazanin" w:cs="IRNazanin"/>
          <w:lang w:bidi="fa-IR"/>
          <w:color w:val="111111"/>
          <w:sz w:val="28"/>
          <w:szCs w:val="28"/>
          <w:rtl/>
        </w:rPr>
        <w:t xml:space="preserve">و من تأخّر عنه </w:t>
      </w:r>
      <w:r>
        <w:rPr>
          <w:rStyle w:val="FootnoteReference"/>
        </w:rPr>
        <w:footnoteReference w:id="3183"/>
      </w:r>
      <w:r>
        <w:rPr>
          <w:rFonts w:ascii="IRNazanin" w:hAnsi="IRNazanin" w:eastAsia="IRNazanin" w:cs="IRNazanin"/>
          <w:lang w:bidi="fa-IR"/>
          <w:color w:val="111111"/>
          <w:sz w:val="28"/>
          <w:szCs w:val="28"/>
          <w:rtl/>
        </w:rPr>
        <w:t xml:space="preserve">هو سقوط خیاره حینئذٍ،و قیل:إنّه المشهور </w:t>
      </w:r>
      <w:r>
        <w:rPr>
          <w:rStyle w:val="FootnoteReference"/>
        </w:rPr>
        <w:footnoteReference w:id="3184"/>
      </w:r>
      <w:r>
        <w:rPr>
          <w:rFonts w:ascii="IRNazanin" w:hAnsi="IRNazanin" w:eastAsia="IRNazanin" w:cs="IRNazanin"/>
          <w:lang w:bidi="fa-IR"/>
          <w:color w:val="111111"/>
          <w:sz w:val="28"/>
          <w:szCs w:val="28"/>
          <w:rtl/>
        </w:rPr>
        <w:t xml:space="preserve">.و هو کذلک بین المتأخّرین.</w:t>
      </w:r>
    </w:p>
    <w:p>
      <w:pPr>
        <w:pStyle w:val="BookText"/>
      </w:pPr>
      <w:r>
        <w:rPr>
          <w:rFonts w:ascii="IRNazanin" w:hAnsi="IRNazanin" w:eastAsia="IRNazanin" w:cs="IRNazanin"/>
          <w:lang w:bidi="fa-IR"/>
          <w:color w:val="111111"/>
          <w:sz w:val="28"/>
          <w:szCs w:val="28"/>
          <w:rtl/>
        </w:rPr>
        <w:t xml:space="preserve">نعم،ذکر الشیخ فی خیار المشتری مرابحةً عند کذب البائع:أنّه لو هلک السلعة أو تصرّف فیها،سقط الردّ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اتّحاد هذا الخیار مع خیار الغبن،کما یظهر من جامع</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المقاصد فی شرح قول الماتن:«و لا یسقط </w:t>
      </w:r>
      <w:r>
        <w:rPr>
          <w:rStyle w:val="FootnoteReference"/>
        </w:rPr>
        <w:footnoteReference w:id="3186"/>
      </w:r>
      <w:r>
        <w:rPr>
          <w:rFonts w:ascii="IRNazanin" w:hAnsi="IRNazanin" w:eastAsia="IRNazanin" w:cs="IRNazanin"/>
          <w:lang w:bidi="fa-IR"/>
          <w:color w:val="111111"/>
          <w:sz w:val="28"/>
          <w:szCs w:val="28"/>
          <w:rtl/>
        </w:rPr>
        <w:t xml:space="preserve">الخیار بتلف العین»فراجع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علی هذا الحکم فی التذکرة </w:t>
      </w:r>
      <w:r>
        <w:rPr>
          <w:rStyle w:val="FootnoteReference"/>
        </w:rPr>
        <w:footnoteReference w:id="3188"/>
      </w:r>
      <w:r>
        <w:rPr>
          <w:rFonts w:ascii="IRNazanin" w:hAnsi="IRNazanin" w:eastAsia="IRNazanin" w:cs="IRNazanin"/>
          <w:lang w:bidi="fa-IR"/>
          <w:color w:val="111111"/>
          <w:sz w:val="28"/>
          <w:szCs w:val="28"/>
          <w:rtl/>
        </w:rPr>
        <w:t xml:space="preserve">بعدم إمکان استدراکه مع الخروج عن الملک.و هو بظاهره مشکلٌ؛لأنّ الخیار غیر مشروطٍ عندهم بإمکان ردّ العین.</w:t>
      </w:r>
    </w:p>
    <w:p>
      <w:pPr>
        <w:pStyle w:val="BookText"/>
      </w:pPr>
      <w:r>
        <w:rPr>
          <w:rFonts w:ascii="IRNazanin" w:hAnsi="IRNazanin" w:eastAsia="IRNazanin" w:cs="IRNazanin"/>
          <w:lang w:bidi="fa-IR"/>
          <w:color w:val="111111"/>
          <w:sz w:val="28"/>
          <w:szCs w:val="28"/>
          <w:rtl/>
        </w:rPr>
        <w:t xml:space="preserve">و یمکن أن یوجّه بأنّ حدیث«نفی الضرر»لم یدلّ علی الخیار، بل المتیقّن منه جواز ردّ العین المغبون فیها،فإذا امتنع ردّها،فلا دلیل علی جواز فسخ العقد،و تضرّر المغبون من جهة زیادة الثمن معارَضٌ بتضرّر الغابن بقبول البدل،فإنّ دفع الضرر من الطرفین إنّما یکون بتسلّط المغبون علی ردّ العین،فیکون حاله من حیث إنّ له القبول و الردّ حالَ العالم بالغبن قبل المعاملة فی أنّ له أن یشتری و أن یترک، و لیس هکذا بعد خروج العین عن ملکه؛مع أنّ إخراج المغبون العینَ عن ملکه التزامٌ بالضرر،و لو جهلاً منه به.</w:t>
      </w:r>
    </w:p>
    <w:p>
      <w:pPr>
        <w:pStyle w:val="BookText"/>
      </w:pPr>
      <w:r>
        <w:rPr>
          <w:rFonts w:ascii="IRNazanin" w:hAnsi="IRNazanin" w:eastAsia="IRNazanin" w:cs="IRNazanin"/>
          <w:lang w:bidi="fa-IR"/>
          <w:color w:val="111111"/>
          <w:sz w:val="28"/>
          <w:szCs w:val="28"/>
          <w:rtl/>
        </w:rPr>
        <w:t xml:space="preserve">هذا،و لکن اعترض علیهم شیخنا الشهید قدّس روحه السعیدة- فی اللمعة </w:t>
      </w:r>
      <w:r>
        <w:rPr>
          <w:rStyle w:val="FootnoteReference"/>
        </w:rPr>
        <w:footnoteReference w:id="3189"/>
      </w:r>
      <w:r>
        <w:rPr>
          <w:rFonts w:ascii="IRNazanin" w:hAnsi="IRNazanin" w:eastAsia="IRNazanin" w:cs="IRNazanin"/>
          <w:lang w:bidi="fa-IR"/>
          <w:color w:val="111111"/>
          <w:sz w:val="28"/>
          <w:szCs w:val="28"/>
          <w:rtl/>
        </w:rPr>
        <w:t xml:space="preserve">بما توضیحه:أنّ الضرر الموجب للخیار قبل التصرّف ثابتٌ مع التصرّف،و التصرّف مع الجهل بالضرر لیس إقداماً علیه؛لما عرفت من أنّ الخارج عن عموم نفی الضرر لیس إلّا صورة الإقدام علیه عالماً به،فیجب تدارک الضرر باسترداد ما دفعه من الثمن الزائد بردّ نفس العین مع بقائها علی ملکه و بدلها مع عدمه،و فوات خصوصیّة العین</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الغابن لیس ضرراً؛لأنّ العین </w:t>
      </w:r>
      <w:r>
        <w:rPr>
          <w:rStyle w:val="FootnoteReference"/>
        </w:rPr>
        <w:footnoteReference w:id="3190"/>
      </w:r>
      <w:r>
        <w:rPr>
          <w:rFonts w:ascii="IRNazanin" w:hAnsi="IRNazanin" w:eastAsia="IRNazanin" w:cs="IRNazanin"/>
          <w:lang w:bidi="fa-IR"/>
          <w:color w:val="111111"/>
          <w:sz w:val="28"/>
          <w:szCs w:val="28"/>
          <w:rtl/>
        </w:rPr>
        <w:t xml:space="preserve">إن کانت مثلیّةً فلا ضرر بتبدّلها بمثلها،و إن کانت قیمیّةً فتعریضها للبیع یدلّ علی إرادة قیمتها،فلا ضرر أصلاً،فضلاً عن أن یعارض به ضرر زیادة الثمن علی القیمة،خصوصاً مع الإفراط فی الزیادة.</w:t>
      </w:r>
    </w:p>
    <w:p>
      <w:pPr>
        <w:pStyle w:val="BookText"/>
      </w:pPr>
      <w:r>
        <w:rPr>
          <w:rFonts w:ascii="IRNazanin" w:hAnsi="IRNazanin" w:eastAsia="IRNazanin" w:cs="IRNazanin"/>
          <w:lang w:bidi="fa-IR"/>
          <w:color w:val="111111"/>
          <w:sz w:val="28"/>
          <w:szCs w:val="28"/>
          <w:rtl/>
        </w:rPr>
        <w:t xml:space="preserve">و الإنصاف أنّ هذا حسنٌ جدّاً،لکن قال فی الروضة:إن لم یکن الحکم إجماعاً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الظاهر عدمه؛لأنّک عرفت عدم عنوان المسألة فی کلام من تقدّم علی المحقّق فیما تتبّعتُ.</w:t>
      </w:r>
    </w:p>
    <w:p>
      <w:pPr>
        <w:pStyle w:val="BookText"/>
      </w:pPr>
      <w:r>
        <w:rPr>
          <w:rFonts w:ascii="IRNazanin" w:hAnsi="IRNazanin" w:eastAsia="IRNazanin" w:cs="IRNazanin"/>
          <w:lang w:bidi="fa-IR"/>
          <w:color w:val="111111"/>
          <w:sz w:val="28"/>
          <w:szCs w:val="28"/>
          <w:rtl/>
        </w:rPr>
        <w:t xml:space="preserve">ثمّ إنّ مقتضی دلیل المشهور عدم الفرق فی المغبون المتصرّف بین البائع و المشتری.</w:t>
      </w:r>
    </w:p>
    <w:p>
      <w:pPr>
        <w:pStyle w:val="BookText"/>
      </w:pPr>
      <w:r>
        <w:rPr>
          <w:rFonts w:ascii="IRNazanin" w:hAnsi="IRNazanin" w:eastAsia="IRNazanin" w:cs="IRNazanin"/>
          <w:lang w:bidi="fa-IR"/>
          <w:color w:val="111111"/>
          <w:sz w:val="28"/>
          <w:szCs w:val="28"/>
          <w:rtl/>
        </w:rPr>
        <w:t xml:space="preserve">قال فی التحریر بعد أن صرّح بثبوت الخیار للمغبون بائعاً کان أو مشتریاً-:«و لا یسقط الخیار بالتصرّف مع إمکان الردّ» </w:t>
      </w:r>
      <w:r>
        <w:rPr>
          <w:rStyle w:val="FootnoteReference"/>
        </w:rPr>
        <w:footnoteReference w:id="3192"/>
      </w:r>
      <w:r>
        <w:rPr>
          <w:rFonts w:ascii="IRNazanin" w:hAnsi="IRNazanin" w:eastAsia="IRNazanin" w:cs="IRNazanin"/>
          <w:lang w:bidi="fa-IR"/>
          <w:color w:val="111111"/>
          <w:sz w:val="28"/>
          <w:szCs w:val="28"/>
          <w:rtl/>
        </w:rPr>
        <w:t xml:space="preserve">،و مقتضی إطلاقه عدم الفرق بین الناقل اللازم،و بین فکّ الملک کالعتق و الوقف، و بین المانع عن الردّ مع البقاء علی الملک کالاستیلاد،بل و یعمّ التلف.</w:t>
      </w:r>
    </w:p>
    <w:p>
      <w:pPr>
        <w:pStyle w:val="BookText"/>
      </w:pPr>
      <w:r>
        <w:rPr>
          <w:rFonts w:ascii="IRNazanin" w:hAnsi="IRNazanin" w:eastAsia="IRNazanin" w:cs="IRNazanin"/>
          <w:lang w:bidi="fa-IR"/>
          <w:color w:val="111111"/>
          <w:sz w:val="28"/>
          <w:szCs w:val="28"/>
          <w:rtl/>
        </w:rPr>
        <w:t xml:space="preserve">و عن جماعةٍ:تخصیص العبارة بالمشتری </w:t>
      </w:r>
      <w:r>
        <w:rPr>
          <w:rStyle w:val="FootnoteReference"/>
        </w:rPr>
        <w:footnoteReference w:id="3193"/>
      </w:r>
      <w:r>
        <w:rPr>
          <w:rFonts w:ascii="IRNazanin" w:hAnsi="IRNazanin" w:eastAsia="IRNazanin" w:cs="IRNazanin"/>
          <w:lang w:bidi="fa-IR"/>
          <w:color w:val="111111"/>
          <w:sz w:val="28"/>
          <w:szCs w:val="28"/>
          <w:rtl/>
        </w:rPr>
        <w:t xml:space="preserve">.فإن أرادوا قصرَ</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علیه فلا یُعرف له وجهٌ،إلّا أن یبنی علی مخالفته لعموم دلیل الخیار،أعنی نفی الضرر،فیقتصر علی مورد الإجماع.</w:t>
      </w:r>
    </w:p>
    <w:p>
      <w:pPr>
        <w:pStyle w:val="BookText"/>
      </w:pPr>
      <w:r>
        <w:rPr>
          <w:rFonts w:ascii="IRNazanin" w:hAnsi="IRNazanin" w:eastAsia="IRNazanin" w:cs="IRNazanin"/>
          <w:lang w:bidi="fa-IR"/>
          <w:color w:val="111111"/>
          <w:sz w:val="28"/>
          <w:szCs w:val="28"/>
          <w:rtl/>
        </w:rPr>
        <w:t xml:space="preserve">ثمّ إنّ ظاهر التقیید بصورة امتناع الردّ،و ظاهر التعلیل بعدم إمکان الاستدراک ما صرّح به جماعةٌ </w:t>
      </w:r>
      <w:r>
        <w:rPr>
          <w:rStyle w:val="FootnoteReference"/>
        </w:rPr>
        <w:footnoteReference w:id="3194"/>
      </w:r>
      <w:r>
        <w:rPr>
          <w:rFonts w:ascii="IRNazanin" w:hAnsi="IRNazanin" w:eastAsia="IRNazanin" w:cs="IRNazanin"/>
          <w:lang w:bidi="fa-IR"/>
          <w:color w:val="111111"/>
          <w:sz w:val="28"/>
          <w:szCs w:val="28"/>
          <w:rtl/>
        </w:rPr>
        <w:t xml:space="preserve">:من أنّ الناقل الجائز لا یمنع الردّ بالخیار إذا فسخه،فضلاً عن مثل التدبیر و الوصیّة من التصرّفات الغیر الموجبة للخروج عن الملک فعلاً.و هو حسنٌ؛لعموم نفی الضرر، و مجرّد الخروج عن الملک لا یُسقط تدارک ضرر الغبن.</w:t>
      </w:r>
    </w:p>
    <w:p>
      <w:pPr>
        <w:pStyle w:val="BookText"/>
      </w:pPr>
      <w:r>
        <w:rPr>
          <w:rFonts w:ascii="IRNazanin" w:hAnsi="IRNazanin" w:eastAsia="IRNazanin" w:cs="IRNazanin"/>
          <w:lang w:bidi="fa-IR"/>
          <w:color w:val="111111"/>
          <w:sz w:val="28"/>
          <w:szCs w:val="28"/>
          <w:rtl/>
        </w:rPr>
        <w:t xml:space="preserve">و لو اتّفق زوال المانع کموت ولد أُمّ الولد و فسخ العقد اللازم لعیبٍ أو غبنٍ-ففی جواز الردّ وجهان:من أنّه متمکّنٌ حینئذٍ،و من استقرار البیع.و ربما یُبنیان علی أنّ الزائل العائد کالذی لم یزُل أو کالذی لم یَعُد.و کذا الوجهان فیما لو عاد إلیه بناقلٍ جدید،و عدم الخیار هنا أولی؛لأنّ العود هنا بسببٍ جدید،و فی الفسخ برفع السبب السابق.</w:t>
      </w:r>
    </w:p>
    <w:p>
      <w:pPr>
        <w:pStyle w:val="BookText"/>
      </w:pPr>
      <w:r>
        <w:rPr>
          <w:rFonts w:ascii="IRNazanin" w:hAnsi="IRNazanin" w:eastAsia="IRNazanin" w:cs="IRNazanin"/>
          <w:lang w:bidi="fa-IR"/>
          <w:color w:val="111111"/>
          <w:sz w:val="28"/>
          <w:szCs w:val="28"/>
          <w:rtl/>
        </w:rPr>
        <w:t xml:space="preserve">و فی لحوق الإجارة بالبیع قولان:</w:t>
      </w:r>
    </w:p>
    <w:p>
      <w:pPr>
        <w:pStyle w:val="BookText"/>
      </w:pPr>
      <w:r>
        <w:rPr>
          <w:rFonts w:ascii="IRNazanin" w:hAnsi="IRNazanin" w:eastAsia="IRNazanin" w:cs="IRNazanin"/>
          <w:lang w:bidi="fa-IR"/>
          <w:color w:val="111111"/>
          <w:sz w:val="28"/>
          <w:szCs w:val="28"/>
          <w:rtl/>
        </w:rPr>
        <w:t xml:space="preserve">من امتناع الردّ،و هو مختار الصیمری </w:t>
      </w:r>
      <w:r>
        <w:rPr>
          <w:rStyle w:val="FootnoteReference"/>
        </w:rPr>
        <w:footnoteReference w:id="3195"/>
      </w:r>
      <w:r>
        <w:rPr>
          <w:rFonts w:ascii="IRNazanin" w:hAnsi="IRNazanin" w:eastAsia="IRNazanin" w:cs="IRNazanin"/>
          <w:lang w:bidi="fa-IR"/>
          <w:color w:val="111111"/>
          <w:sz w:val="28"/>
          <w:szCs w:val="28"/>
          <w:rtl/>
        </w:rPr>
        <w:t xml:space="preserve">و أبی العبّاس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مورد الاستثناء هو التصرّف المخرِج عن الملک،و هو المحکیّ عن ظاهر الأکثر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لم یعلم بالغبن إلّا بعد انقضاء الإجارة توجّه الردّ؛و کذا لو لم یعلم به حتّی انفسخ البیع.</w:t>
      </w:r>
    </w:p>
    <w:p>
      <w:pPr>
        <w:pStyle w:val="BookText"/>
      </w:pPr>
      <w:r>
        <w:rPr>
          <w:rFonts w:ascii="IRNazanin" w:hAnsi="IRNazanin" w:eastAsia="IRNazanin" w:cs="IRNazanin"/>
          <w:lang w:bidi="fa-IR"/>
          <w:color w:val="111111"/>
          <w:sz w:val="28"/>
          <w:szCs w:val="28"/>
          <w:rtl/>
        </w:rPr>
        <w:t xml:space="preserve">و فی لحوق الامتزاج مطلقاً أو فی الجملة بالخروج عن الملک وجوهٌ، أقواها اللحوق؛لحصول الشرکة،فیمتنع ردّ العین الذی هو مورد الاستثناء،و کذا لو تغیّرت العین بالنقیصة،و لو تغیّرت بالزیادة العینیّة أو الحکمیّة أو من الجهتین،فالأقوی الردّ فی الوسطی بناءً علی حصول الشرکة فی غیرها المانعة عن ردّ العین </w:t>
      </w:r>
      <w:r>
        <w:rPr>
          <w:rStyle w:val="FootnoteReference"/>
        </w:rPr>
        <w:footnoteReference w:id="3198"/>
      </w:r>
      <w:r>
        <w:rPr>
          <w:rFonts w:ascii="IRNazanin" w:hAnsi="IRNazanin" w:eastAsia="IRNazanin" w:cs="IRNazanin"/>
          <w:lang w:bidi="fa-IR"/>
          <w:color w:val="111111"/>
          <w:sz w:val="28"/>
          <w:szCs w:val="28"/>
          <w:rtl/>
        </w:rPr>
        <w:t xml:space="preserve">.هذا کلّه فی تصرّف المغبون.</w:t>
      </w:r>
    </w:p>
    <w:p>
      <w:pPr>
        <w:pStyle w:val="BookText"/>
      </w:pPr>
      <w:r>
        <w:rPr>
          <w:rFonts w:ascii="IRNazanin" w:hAnsi="IRNazanin" w:eastAsia="IRNazanin" w:cs="IRNazanin"/>
          <w:lang w:bidi="fa-IR"/>
          <w:color w:val="111111"/>
          <w:sz w:val="28"/>
          <w:szCs w:val="28"/>
          <w:rtl/>
        </w:rPr>
        <w:t xml:space="preserve">و أمّا تصرّف الغابن،فالظاهر أنّه لا وجه لسقوط خیار المغبون به،و حینئذٍ فإن فسخ و وجد العین خارجةً عن ملکه لزوماً بالعتق أو الوقف أو البیع اللازم،ففی تسلّطه علی إبطال ذلک من حینها </w:t>
      </w:r>
      <w:r>
        <w:rPr>
          <w:rStyle w:val="FootnoteReference"/>
        </w:rPr>
        <w:footnoteReference w:id="3199"/>
      </w:r>
      <w:r>
        <w:rPr>
          <w:rFonts w:ascii="IRNazanin" w:hAnsi="IRNazanin" w:eastAsia="IRNazanin" w:cs="IRNazanin"/>
          <w:lang w:bidi="fa-IR"/>
          <w:color w:val="111111"/>
          <w:sz w:val="28"/>
          <w:szCs w:val="28"/>
          <w:rtl/>
        </w:rPr>
        <w:t xml:space="preserve">أو من أصلها کالمرتهن و الشفیع أو رجوعه إلی البدل،وجوهٌ:</w:t>
      </w:r>
    </w:p>
    <w:p>
      <w:pPr>
        <w:pStyle w:val="BookText"/>
      </w:pPr>
      <w:r>
        <w:rPr>
          <w:rFonts w:ascii="IRNazanin" w:hAnsi="IRNazanin" w:eastAsia="IRNazanin" w:cs="IRNazanin"/>
          <w:lang w:bidi="fa-IR"/>
          <w:color w:val="111111"/>
          <w:sz w:val="28"/>
          <w:szCs w:val="28"/>
          <w:rtl/>
        </w:rPr>
        <w:t xml:space="preserve">من وقوع العقد فی متعلّق حقّ الغیر،فإنّ حقّ المغبون ثابتٌ بأصل المعاملة الغبنیّة،و إنّما یظهر له بظهور السبب،فله الخیار فی استرداد العین إذا ظهر السبب،و حیث وقع العقد فی ملک الغابن، فلا وجه لبطلانه من رأسٍ.</w:t>
      </w:r>
    </w:p>
    <w:p>
      <w:pPr>
        <w:pStyle w:val="BookText"/>
      </w:pPr>
      <w:r>
        <w:rPr>
          <w:rFonts w:ascii="IRNazanin" w:hAnsi="IRNazanin" w:eastAsia="IRNazanin" w:cs="IRNazanin"/>
          <w:lang w:bidi="fa-IR"/>
          <w:color w:val="111111"/>
          <w:sz w:val="28"/>
          <w:szCs w:val="28"/>
          <w:rtl/>
        </w:rPr>
        <w:t xml:space="preserve">و من أنّ وقوع العقد فی متعلّق حقّ الغیر یوجب تزلزله من رأسٍ -کما فی بیع الرهن-و مقتضی فسخ البیع الأوّل تلقیّ الملک من الغابن الذی وقع البیع معه،لا من المشتری الثانی.</w:t>
      </w:r>
    </w:p>
    <w:p>
      <w:pPr>
        <w:pStyle w:val="BookText"/>
      </w:pPr>
      <w:r>
        <w:rPr>
          <w:rFonts w:ascii="IRNazanin" w:hAnsi="IRNazanin" w:eastAsia="IRNazanin" w:cs="IRNazanin"/>
          <w:lang w:bidi="fa-IR"/>
          <w:color w:val="111111"/>
          <w:sz w:val="28"/>
          <w:szCs w:val="28"/>
          <w:rtl/>
        </w:rPr>
        <w:t xml:space="preserve">و من أنّه لا وجه للتزلزل،إمّا لأنّ التصرّف فی زمان خیار</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w:t>
      </w:r>
      <w:r>
        <w:rPr>
          <w:rStyle w:val="FootnoteReference"/>
        </w:rPr>
        <w:footnoteReference w:id="3200"/>
      </w:r>
      <w:r>
        <w:rPr>
          <w:rFonts w:ascii="IRNazanin" w:hAnsi="IRNazanin" w:eastAsia="IRNazanin" w:cs="IRNazanin"/>
          <w:lang w:bidi="fa-IR"/>
          <w:color w:val="111111"/>
          <w:sz w:val="28"/>
          <w:szCs w:val="28"/>
          <w:rtl/>
        </w:rPr>
        <w:t xml:space="preserve">المتصرّف صحیحٌ لازم کما سیجیء فی أحکام الخیار </w:t>
      </w:r>
      <w:r>
        <w:rPr>
          <w:rStyle w:val="FootnoteReference"/>
        </w:rPr>
        <w:footnoteReference w:id="3201"/>
      </w:r>
      <w:r>
        <w:rPr>
          <w:rFonts w:ascii="IRNazanin" w:hAnsi="IRNazanin" w:eastAsia="IRNazanin" w:cs="IRNazanin"/>
          <w:lang w:bidi="fa-IR"/>
          <w:color w:val="111111"/>
          <w:sz w:val="28"/>
          <w:szCs w:val="28"/>
          <w:rtl/>
        </w:rPr>
        <w:t xml:space="preserve">-فیستردّ الفاسخ البدل،و إمّا لعدم تحقّق الخیار قبل ظهور الغبن فعلاً علی وجهٍ یمنع من تصرّف مَن علیه الخیار،کما هو ظاهر الجماعة هنا و فی خیار العیب قبل ظهوره،فإنّ غیر واحدٍ ممّن منع من تصرّف غیر ذی الخیار بدون إذنه أو استشکاله </w:t>
      </w:r>
      <w:r>
        <w:rPr>
          <w:rStyle w:val="FootnoteReference"/>
        </w:rPr>
        <w:footnoteReference w:id="3202"/>
      </w:r>
      <w:r>
        <w:rPr>
          <w:rFonts w:ascii="IRNazanin" w:hAnsi="IRNazanin" w:eastAsia="IRNazanin" w:cs="IRNazanin"/>
          <w:lang w:bidi="fa-IR"/>
          <w:color w:val="111111"/>
          <w:sz w:val="28"/>
          <w:szCs w:val="28"/>
          <w:rtl/>
        </w:rPr>
        <w:t xml:space="preserve">فیه حکم بلزوم العقود الواقعة قبل ظهور الغبن و العیب </w:t>
      </w:r>
      <w:r>
        <w:rPr>
          <w:rStyle w:val="FootnoteReference"/>
        </w:rPr>
        <w:footnoteReference w:id="3203"/>
      </w:r>
      <w:r>
        <w:rPr>
          <w:rFonts w:ascii="IRNazanin" w:hAnsi="IRNazanin" w:eastAsia="IRNazanin" w:cs="IRNazanin"/>
          <w:lang w:bidi="fa-IR"/>
          <w:color w:val="111111"/>
          <w:sz w:val="28"/>
          <w:szCs w:val="28"/>
          <w:rtl/>
        </w:rPr>
        <w:t xml:space="preserve">.و هذا هو الأقوی،و ستأتی تتمّةٌ لذلک فی أحکام الخیار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کذا الحکم لو حصل مانعٌ من ردّه کالاستیلاد،و یحتمل هنا تقدیم حقّ الخیار؛لسبق سببه علی الاستیلاد.</w:t>
      </w:r>
    </w:p>
    <w:p>
      <w:pPr>
        <w:pStyle w:val="BookText"/>
      </w:pPr>
      <w:r>
        <w:rPr>
          <w:rFonts w:ascii="IRNazanin" w:hAnsi="IRNazanin" w:eastAsia="IRNazanin" w:cs="IRNazanin"/>
          <w:lang w:bidi="fa-IR"/>
          <w:color w:val="111111"/>
          <w:sz w:val="28"/>
          <w:szCs w:val="28"/>
          <w:rtl/>
        </w:rPr>
        <w:t xml:space="preserve">ثمّ إنّ مقتضی ما ذکرنا جریان الحکم فی خروج المبیع عن ملک الغابن بالعقد الجائز؛لأنّ معنی جوازه تسلّط أحد المتعاقدین علی فسخه، أمّا تسلّط الأجنبیّ و هو المغبون،فلا دلیل علیه بعد فرض وقوع العقد صحیحاً.</w:t>
      </w:r>
    </w:p>
    <w:p>
      <w:pPr>
        <w:pStyle w:val="BookText"/>
      </w:pPr>
      <w:r>
        <w:rPr>
          <w:rFonts w:ascii="IRNazanin" w:hAnsi="IRNazanin" w:eastAsia="IRNazanin" w:cs="IRNazanin"/>
          <w:lang w:bidi="fa-IR"/>
          <w:color w:val="111111"/>
          <w:sz w:val="28"/>
          <w:szCs w:val="28"/>
          <w:rtl/>
        </w:rPr>
        <w:t xml:space="preserve">و فی المسالک:لو کان الناقل ممّا یمکن إبطاله کالبیع بخیارٍ الزم</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بالفسخ،فإن امتنع فَسَخَه الحاکم،فإن امتنع </w:t>
      </w:r>
      <w:r>
        <w:rPr>
          <w:rStyle w:val="FootnoteReference"/>
        </w:rPr>
        <w:footnoteReference w:id="3205"/>
      </w:r>
      <w:r>
        <w:rPr>
          <w:rFonts w:ascii="Amiri" w:hAnsi="Amiri" w:eastAsia="Amiri" w:cs="Amiri"/>
          <w:lang w:bidi="ar-SA"/>
          <w:color w:val="111111"/>
          <w:sz w:val="28"/>
          <w:szCs w:val="28"/>
          <w:rtl/>
        </w:rPr>
        <w:t xml:space="preserve">فَسخَه المغبون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النظر فیه:بأنّ فسخ المغبون إمّا بدخول العین فی ملکه، و إمّا بدخول بدلها،فعلی الأوّل لا حاجة إلی الفسخ حتّی یتکلّم فی الفاسخ،و علی الثانی فلا وجه للعدول عمّا استحقّه بالفسخ إلی غیره.</w:t>
      </w:r>
    </w:p>
    <w:p>
      <w:pPr>
        <w:pStyle w:val="BookText"/>
      </w:pPr>
      <w:r>
        <w:rPr>
          <w:rFonts w:ascii="IRNazanin" w:hAnsi="IRNazanin" w:eastAsia="IRNazanin" w:cs="IRNazanin"/>
          <w:lang w:bidi="fa-IR"/>
          <w:color w:val="111111"/>
          <w:sz w:val="28"/>
          <w:szCs w:val="28"/>
          <w:rtl/>
        </w:rPr>
        <w:t xml:space="preserve">اللهمّ إلّا أن یقال:إنّه لا منافاة؛لأنّ البدل المستحقّ بالفسخ إنّما هو للحیلولة،فإذا أمکن ردّ العین وجب علی الغابن تحصیلها،لکن ذلک إنّما یتمّ مع کون العین </w:t>
      </w:r>
      <w:r>
        <w:rPr>
          <w:rStyle w:val="FootnoteReference"/>
        </w:rPr>
        <w:footnoteReference w:id="3207"/>
      </w:r>
      <w:r>
        <w:rPr>
          <w:rFonts w:ascii="IRNazanin" w:hAnsi="IRNazanin" w:eastAsia="IRNazanin" w:cs="IRNazanin"/>
          <w:lang w:bidi="fa-IR"/>
          <w:color w:val="111111"/>
          <w:sz w:val="28"/>
          <w:szCs w:val="28"/>
          <w:rtl/>
        </w:rPr>
        <w:t xml:space="preserve">علی ملک المغبون،و أمّا مع عدمه و تملّک المغبون للبدل فلا دلیل علی وجوب تحصیل العین.</w:t>
      </w:r>
    </w:p>
    <w:p>
      <w:pPr>
        <w:pStyle w:val="BookText"/>
      </w:pPr>
      <w:r>
        <w:rPr>
          <w:rFonts w:ascii="IRNazanin" w:hAnsi="IRNazanin" w:eastAsia="IRNazanin" w:cs="IRNazanin"/>
          <w:lang w:bidi="fa-IR"/>
          <w:color w:val="111111"/>
          <w:sz w:val="28"/>
          <w:szCs w:val="28"/>
          <w:rtl/>
        </w:rPr>
        <w:t xml:space="preserve">ثمّ علی القول بعدم وجوب الفسخ فی الجائز،لو اتّفق عود الملک إلیه لفسخٍ فی العقد الجائز أو اللازم </w:t>
      </w:r>
      <w:r>
        <w:rPr>
          <w:rStyle w:val="FootnoteReference"/>
        </w:rPr>
        <w:footnoteReference w:id="3208"/>
      </w:r>
      <w:r>
        <w:rPr>
          <w:rFonts w:ascii="IRNazanin" w:hAnsi="IRNazanin" w:eastAsia="IRNazanin" w:cs="IRNazanin"/>
          <w:lang w:bidi="fa-IR"/>
          <w:color w:val="111111"/>
          <w:sz w:val="28"/>
          <w:szCs w:val="28"/>
          <w:rtl/>
        </w:rPr>
        <w:t xml:space="preserve">فإن کان ذلک قبل فسخ المغبون فالظاهر وجوب ردّ العین.و إن کان بعده،فالظاهر عدم وجوب ردّه؛لعدم الدلیل بعد تملّک البدل.</w:t>
      </w:r>
    </w:p>
    <w:p>
      <w:pPr>
        <w:pStyle w:val="BookText"/>
      </w:pPr>
      <w:r>
        <w:rPr>
          <w:rFonts w:ascii="IRNazanin" w:hAnsi="IRNazanin" w:eastAsia="IRNazanin" w:cs="IRNazanin"/>
          <w:lang w:bidi="fa-IR"/>
          <w:color w:val="111111"/>
          <w:sz w:val="28"/>
          <w:szCs w:val="28"/>
          <w:rtl/>
        </w:rPr>
        <w:t xml:space="preserve">و لو کان العود بعقدٍ جدید فالأقوی عدم وجوب الردّ مطلقاً؛ لأنّه ملکٌ جدید تلقّاه من مالکه،و الفاسخ إنّما یملک بسبب ملکه السابق بعد ارتفاع السبب الناقل.</w:t>
      </w:r>
    </w:p>
    <w:p>
      <w:pPr>
        <w:pStyle w:val="BookText"/>
      </w:pPr>
      <w:r>
        <w:rPr>
          <w:rFonts w:ascii="IRNazanin" w:hAnsi="IRNazanin" w:eastAsia="IRNazanin" w:cs="IRNazanin"/>
          <w:lang w:bidi="fa-IR"/>
          <w:color w:val="111111"/>
          <w:sz w:val="28"/>
          <w:szCs w:val="28"/>
          <w:rtl/>
        </w:rPr>
        <w:t xml:space="preserve">و لو تصرّف الغابن تصرّفاً مغیّراً للعین،فإمّا أن یکون بالنقیصة أو بالزیادة أو بالامتزاج.</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بالنقیصة:فإمّا أن یکون نقصاً یوجب الأرش،و إمّا أن یکون ممّا لا یوجبه.</w:t>
      </w:r>
    </w:p>
    <w:p>
      <w:pPr>
        <w:pStyle w:val="BookText"/>
      </w:pPr>
      <w:r>
        <w:rPr>
          <w:rFonts w:ascii="IRNazanin" w:hAnsi="IRNazanin" w:eastAsia="IRNazanin" w:cs="IRNazanin"/>
          <w:lang w:bidi="fa-IR"/>
          <w:color w:val="111111"/>
          <w:sz w:val="28"/>
          <w:szCs w:val="28"/>
          <w:rtl/>
        </w:rPr>
        <w:t xml:space="preserve">فإن أوجب الأرش أخذه مع الأرش،کما هو مقتضی الفسخ؛لأنّ الفائت مضمونٌ بجزءٍ من العوض،فإذا ردّ تمام العوض وجب ردّ مجموع المعوّض،فیتدارک الفائت[منه] </w:t>
      </w:r>
      <w:r>
        <w:rPr>
          <w:rStyle w:val="FootnoteReference"/>
        </w:rPr>
        <w:footnoteReference w:id="3209"/>
      </w:r>
      <w:r>
        <w:rPr>
          <w:rFonts w:ascii="IRNazanin" w:hAnsi="IRNazanin" w:eastAsia="IRNazanin" w:cs="IRNazanin"/>
          <w:lang w:bidi="fa-IR"/>
          <w:color w:val="111111"/>
          <w:sz w:val="28"/>
          <w:szCs w:val="28"/>
          <w:rtl/>
        </w:rPr>
        <w:t xml:space="preserve">ببدله،و مثل ذلک ما لو تلف بعض العین.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إن کان ممّا لا یوجب شیئاً،ردَّه بلا شیءٍ.و منه ما لو وجد العین مستأجرةً،فإنّ علی الفاسخ الصبر إلی أن ینقضی مدّة الإجارة، و لا یجب علی الغابن بذل[عوض </w:t>
      </w:r>
      <w:r>
        <w:rPr>
          <w:rStyle w:val="FootnoteReference"/>
        </w:rPr>
        <w:footnoteReference w:id="3210"/>
      </w:r>
      <w:r>
        <w:rPr>
          <w:rFonts w:ascii="IRNazanin" w:hAnsi="IRNazanin" w:eastAsia="IRNazanin" w:cs="IRNazanin"/>
          <w:lang w:bidi="fa-IR"/>
          <w:color w:val="111111"/>
          <w:sz w:val="28"/>
          <w:szCs w:val="28"/>
          <w:rtl/>
        </w:rPr>
        <w:t xml:space="preserve">المنفعة المستوفاة بالنسبة إلی بقیّة المدّة بعد الفسخ؛لأنّ المنفعة من الزوائد المنفصلة المتخلّلة بین العقد و الفسخ،فهی ملکٌ للمفسوخ علیه،فالمنفعة الدائمة تابعةٌ للملک المطلق، فإذا تحقّق فی زمانٍ مَلِکَ منفعةَ العین بأسرها.و یحتمل انفساخ الإجارة فی بقیّة المدّة؛لأنّ ملک منفعة الملک المتزلزل متزلزلٌ،و هو الذی جزم به المحقّق القمّی فیما إذا فسخ البائع بخیاره المشروط له فی البیع </w:t>
      </w:r>
      <w:r>
        <w:rPr>
          <w:rStyle w:val="FootnoteReference"/>
        </w:rPr>
        <w:footnoteReference w:id="3211"/>
      </w:r>
      <w:r>
        <w:rPr>
          <w:rFonts w:ascii="IRNazanin" w:hAnsi="IRNazanin" w:eastAsia="IRNazanin" w:cs="IRNazanin"/>
          <w:lang w:bidi="fa-IR"/>
          <w:color w:val="111111"/>
          <w:sz w:val="28"/>
          <w:szCs w:val="28"/>
          <w:rtl/>
        </w:rPr>
        <w:t xml:space="preserve">.و فیه نظرٌ؛لمنع تزلزل ملک المنفعة.</w:t>
      </w:r>
    </w:p>
    <w:p>
      <w:pPr>
        <w:pStyle w:val="BookText"/>
      </w:pPr>
      <w:r>
        <w:rPr>
          <w:rFonts w:ascii="IRNazanin" w:hAnsi="IRNazanin" w:eastAsia="IRNazanin" w:cs="IRNazanin"/>
          <w:lang w:bidi="fa-IR"/>
          <w:color w:val="111111"/>
          <w:sz w:val="28"/>
          <w:szCs w:val="28"/>
          <w:rtl/>
        </w:rPr>
        <w:t xml:space="preserve">نعم،ذکر العلّامة فی القواعد فیما إذا وقع التفاسخ لأجل اختلاف المتبایعین:أنّه إذا وجد البائع العین مستأجرةً کانت الأُجرة للمشتری الموجر و وجب علیه للبائع أُجرة المثل للمدّة الباقیة بعد الفسخ </w:t>
      </w:r>
      <w:r>
        <w:rPr>
          <w:rStyle w:val="FootnoteReference"/>
        </w:rPr>
        <w:footnoteReference w:id="3212"/>
      </w:r>
      <w:r>
        <w:rPr>
          <w:rFonts w:ascii="Amiri" w:hAnsi="Amiri" w:eastAsia="Amiri" w:cs="Amiri"/>
          <w:lang w:bidi="ar-SA"/>
          <w:color w:val="111111"/>
          <w:sz w:val="28"/>
          <w:szCs w:val="28"/>
          <w:rtl/>
        </w:rPr>
        <w:t xml:space="preserve">،و قرّره</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شرّاح الکتاب </w:t>
      </w:r>
      <w:r>
        <w:rPr>
          <w:rStyle w:val="FootnoteReference"/>
        </w:rPr>
        <w:footnoteReference w:id="3213"/>
      </w:r>
      <w:r>
        <w:rPr>
          <w:rFonts w:ascii="IRNazanin" w:hAnsi="IRNazanin" w:eastAsia="IRNazanin" w:cs="IRNazanin"/>
          <w:lang w:bidi="fa-IR"/>
          <w:color w:val="111111"/>
          <w:sz w:val="28"/>
          <w:szCs w:val="28"/>
          <w:rtl/>
        </w:rPr>
        <w:t xml:space="preserve">،و سیجیء ما یمکن أن یکون فارقاً بین المقامین.</w:t>
      </w:r>
    </w:p>
    <w:p>
      <w:pPr>
        <w:pStyle w:val="BookText"/>
      </w:pPr>
      <w:r>
        <w:rPr>
          <w:rFonts w:ascii="IRNazanin" w:hAnsi="IRNazanin" w:eastAsia="IRNazanin" w:cs="IRNazanin"/>
          <w:lang w:bidi="fa-IR"/>
          <w:color w:val="111111"/>
          <w:sz w:val="28"/>
          <w:szCs w:val="28"/>
          <w:rtl/>
        </w:rPr>
        <w:t xml:space="preserve">و إن کان التغییر بالزیادة:فإن کانت حُکمیّةً محضة کقصارة الثوب و تعلیم الصنعة،فالظاهر ثبوت الشرکة فیه بنسبة تلک الزیادة،بأن تقوَّم العین معها و لا معها و تؤخذ النسبة.و لو لم یکن للزیادة مدخل فی زیادة القیمة،فالظاهر عدم شیءٍ لمحدثها؛لأنّه إنّما عمل فی ماله،و عمله لنفسه غیر مضمونٍ علی غیره،و لم یحصل منه فی الخارج ما یقابل المال و لو فی ضمن العین.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کانت الزیادة عیناً محضاً کالغرس:</w:t>
      </w:r>
    </w:p>
    <w:p>
      <w:pPr>
        <w:pStyle w:val="BookText"/>
      </w:pPr>
      <w:r>
        <w:rPr>
          <w:rFonts w:ascii="IRNazanin" w:hAnsi="IRNazanin" w:eastAsia="IRNazanin" w:cs="IRNazanin"/>
          <w:lang w:bidi="fa-IR"/>
          <w:color w:val="111111"/>
          <w:sz w:val="28"/>
          <w:szCs w:val="28"/>
          <w:rtl/>
        </w:rPr>
        <w:t xml:space="preserve">ففی تسلّط المغبون علی القلع بلا أرشٍ،کما اختاره فی المختلف فی الشفعة </w:t>
      </w:r>
      <w:r>
        <w:rPr>
          <w:rStyle w:val="FootnoteReference"/>
        </w:rPr>
        <w:footnoteReference w:id="3214"/>
      </w:r>
      <w:r>
        <w:rPr>
          <w:rFonts w:ascii="IRNazanin" w:hAnsi="IRNazanin" w:eastAsia="IRNazanin" w:cs="IRNazanin"/>
          <w:lang w:bidi="fa-IR"/>
          <w:color w:val="111111"/>
          <w:sz w:val="28"/>
          <w:szCs w:val="28"/>
          <w:rtl/>
        </w:rPr>
        <w:t xml:space="preserve">أو عدم تسلّطه علیه مطلقاً،کما علیه المشهور،فیما إذا رجع بائع الأرض المغروسة بعد تفلیس المشتری.</w:t>
      </w:r>
    </w:p>
    <w:p>
      <w:pPr>
        <w:pStyle w:val="BookText"/>
      </w:pPr>
      <w:r>
        <w:rPr>
          <w:rFonts w:ascii="IRNazanin" w:hAnsi="IRNazanin" w:eastAsia="IRNazanin" w:cs="IRNazanin"/>
          <w:lang w:bidi="fa-IR"/>
          <w:color w:val="111111"/>
          <w:sz w:val="28"/>
          <w:szCs w:val="28"/>
          <w:rtl/>
        </w:rPr>
        <w:t xml:space="preserve">أو تسلّطه علیه مع الأرش کما اختاره فی المسالک هنا </w:t>
      </w:r>
      <w:r>
        <w:rPr>
          <w:rStyle w:val="FootnoteReference"/>
        </w:rPr>
        <w:footnoteReference w:id="3215"/>
      </w:r>
      <w:r>
        <w:rPr>
          <w:rFonts w:ascii="IRNazanin" w:hAnsi="IRNazanin" w:eastAsia="IRNazanin" w:cs="IRNazanin"/>
          <w:lang w:bidi="fa-IR"/>
          <w:color w:val="111111"/>
          <w:sz w:val="28"/>
          <w:szCs w:val="28"/>
          <w:rtl/>
        </w:rPr>
        <w:t xml:space="preserve">و قیل به فی الشفعة و العاریة </w:t>
      </w:r>
      <w:r>
        <w:rPr>
          <w:rStyle w:val="FootnoteReference"/>
        </w:rPr>
        <w:footnoteReference w:id="3216"/>
      </w:r>
      <w:r>
        <w:rPr>
          <w:rFonts w:ascii="Amiri" w:hAnsi="Amiri" w:eastAsia="Amiri" w:cs="Amiri"/>
          <w:lang w:bidi="ar-SA"/>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من أنّ صفة کونه منصوباً المستلزمة لزیادة قیمته إنّما هی عبارةٌ</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کونه فی مکانٍ صار ملکاً للغیر،فلا حقّ للغرس،کما إذا باع أرضاً مشغولة بماله و کان ماله فی تلک الأرض أزید قیمةً،مضافاً إلی ما فی المختلف فی مسألة الشفعة:من أنّ الفائت لمّا حدث فی محلٍّ مُعرضٍ للزوال لم یجب تدارکه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الغرس المنصوب الذی هو مالٌ للمشتری مالٌ مغایرٌ للمقلوع عرفاً،و لیس کالمتاع الموضوع فی بیتٍ بحیث یکون تفاوت قیمته باعتبار المکان،مضافاً إلی مفهوم قوله صلّی اللّٰه علیه و آله:«لیس لعِرقِ ظالمٍ </w:t>
      </w:r>
      <w:r>
        <w:rPr>
          <w:rStyle w:val="FootnoteReference"/>
        </w:rPr>
        <w:footnoteReference w:id="3218"/>
      </w:r>
      <w:r>
        <w:rPr>
          <w:rFonts w:ascii="Amiri" w:hAnsi="Amiri" w:eastAsia="Amiri" w:cs="Amiri"/>
          <w:lang w:bidi="ar-SA"/>
          <w:color w:val="111111"/>
          <w:sz w:val="28"/>
          <w:szCs w:val="28"/>
          <w:rtl/>
        </w:rPr>
        <w:t xml:space="preserve">حقٌّ» </w:t>
      </w:r>
      <w:r>
        <w:rPr>
          <w:rStyle w:val="FootnoteReference"/>
        </w:rPr>
        <w:footnoteReference w:id="3219"/>
      </w:r>
      <w:r>
        <w:rPr>
          <w:rFonts w:ascii="IRNazanin" w:hAnsi="IRNazanin" w:eastAsia="IRNazanin" w:cs="IRNazanin"/>
          <w:lang w:bidi="fa-IR"/>
          <w:color w:val="111111"/>
          <w:sz w:val="28"/>
          <w:szCs w:val="28"/>
          <w:rtl/>
        </w:rPr>
        <w:t xml:space="preserve">فیکون کما لو باع الأرض المغروسة.</w:t>
      </w:r>
    </w:p>
    <w:p>
      <w:pPr>
        <w:pStyle w:val="BookText"/>
      </w:pPr>
      <w:r>
        <w:rPr>
          <w:rFonts w:ascii="IRNazanin" w:hAnsi="IRNazanin" w:eastAsia="IRNazanin" w:cs="IRNazanin"/>
          <w:lang w:bidi="fa-IR"/>
          <w:color w:val="111111"/>
          <w:sz w:val="28"/>
          <w:szCs w:val="28"/>
          <w:rtl/>
        </w:rPr>
        <w:t xml:space="preserve">و من أنّ الغرس إنّما وقع فی ملکٍ متزلزلٍ،و لا دلیل علی استحقاق الغرس علی الأرض البقاءَ:و قیاس الأرض المغروسة علی</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المستأجرة حیث لا یفسخ إجارتها و لا تغرم لها اجرة المثل فاسدٌ؛للفرق بتملّک المنفعة فی تمام المدّة قبل استحقاق الفاسخ هناک بخلاف ما نحن فیه،فإنّ المستحقّ هو الغرس المنصوب من دون استحقاق مکانٍ فی الأرض.</w:t>
      </w:r>
    </w:p>
    <w:p>
      <w:pPr>
        <w:pStyle w:val="BookText"/>
      </w:pPr>
      <w:r>
        <w:rPr>
          <w:rFonts w:ascii="IRNazanin" w:hAnsi="IRNazanin" w:eastAsia="IRNazanin" w:cs="IRNazanin"/>
          <w:lang w:bidi="fa-IR"/>
          <w:color w:val="111111"/>
          <w:sz w:val="28"/>
          <w:szCs w:val="28"/>
          <w:rtl/>
        </w:rPr>
        <w:t xml:space="preserve">فالتحقیق:أنّ کلاّ من المالکین یملک ماله لا بشرط حقٍّ له علی الآخر و لا علیه له،فلکلٍّ منهما تخلیص ماله عن مال صاحبه.فإن أراد مالک الغرس قلعَه فعلیه أرش طمّ الحفر،و إن أراد مالک الأرض تخلیصَها فعلیه أرش الغرس،أعنی تفاوت ما بین کونه منصوباً دائماً و کونه مقلوعاً.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کونه مالاً للمالک علی صفة النصب دائماً لیس اعترافاً علی عدم </w:t>
      </w:r>
      <w:r>
        <w:rPr>
          <w:rStyle w:val="FootnoteReference"/>
        </w:rPr>
        <w:footnoteReference w:id="3220"/>
      </w:r>
      <w:r>
        <w:rPr>
          <w:rFonts w:ascii="IRNazanin" w:hAnsi="IRNazanin" w:eastAsia="IRNazanin" w:cs="IRNazanin"/>
          <w:lang w:bidi="fa-IR"/>
          <w:color w:val="111111"/>
          <w:sz w:val="28"/>
          <w:szCs w:val="28"/>
          <w:rtl/>
        </w:rPr>
        <w:t xml:space="preserve">تسلّطه علی قلعه؛لأنّ المال هو الغرس المنصوب،و مرجع دوامه إلی دوام ثبوت هذا المال الخاصّ له،فلیس هذا من باب استحقاق الغرس للمکان،فافهم.</w:t>
      </w:r>
    </w:p>
    <w:p>
      <w:pPr>
        <w:pStyle w:val="BookText"/>
      </w:pPr>
      <w:r>
        <w:rPr>
          <w:rFonts w:ascii="IRNazanin" w:hAnsi="IRNazanin" w:eastAsia="IRNazanin" w:cs="IRNazanin"/>
          <w:lang w:bidi="fa-IR"/>
          <w:color w:val="111111"/>
          <w:sz w:val="28"/>
          <w:szCs w:val="28"/>
          <w:rtl/>
        </w:rPr>
        <w:t xml:space="preserve">و یبقی الفرق بین ما نحن فیه و بین مسألة التفلیس،حیث ذهب الأکثر إلی أن لیس للبائع الفاسخ قلع الغرس و لو مع الأرش.و یمکن الفرق بکون حدوث ملک الغرس فی ملکٍ متزلزلٍ فیما نحن فیه،فحقّ المغبون إنّما تعلّق بالأرض قبل الغرس،بخلاف مسألة التفلیس؛لأنّ سبب التزلزل هناک بعد الغرس،فیشبه بیع الأرض المغروسة و لیس للمشتری قلعه و لو مع الأرش بلا خلافٍ،بل عرفت أنّ العلّامة قدّس سرّه فی المختلف جعل التزلزل موجباً لعدم استحقاق أرش الغرس.</w:t>
      </w:r>
    </w:p>
    <w:p>
      <w:pPr>
        <w:pStyle w:val="BookText"/>
      </w:pPr>
      <w:r>
        <w:rPr>
          <w:rFonts w:ascii="IRNazanin" w:hAnsi="IRNazanin" w:eastAsia="IRNazanin" w:cs="IRNazanin"/>
          <w:lang w:bidi="fa-IR"/>
          <w:color w:val="111111"/>
          <w:sz w:val="28"/>
          <w:szCs w:val="28"/>
          <w:rtl/>
        </w:rPr>
        <w:t xml:space="preserve">ثمّ إذا جاز القلع،فهل یجوز للمغبون مباشرة القلع،أم له مطالبة</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بالقلع،و مع امتناعه یجبره الحاکم أو یقلعه؟ وجوهٌ،ذکروها </w:t>
      </w:r>
      <w:r>
        <w:rPr>
          <w:rStyle w:val="FootnoteReference"/>
        </w:rPr>
        <w:footnoteReference w:id="3221"/>
      </w:r>
      <w:r>
        <w:rPr>
          <w:rFonts w:ascii="IRNazanin" w:hAnsi="IRNazanin" w:eastAsia="IRNazanin" w:cs="IRNazanin"/>
          <w:lang w:bidi="fa-IR"/>
          <w:color w:val="111111"/>
          <w:sz w:val="28"/>
          <w:szCs w:val="28"/>
          <w:rtl/>
        </w:rPr>
        <w:t xml:space="preserve">فیما لو دخلت أغصان شجر الجار إلی داره.و یحتمل الفرق بین المقامین من جهة کون الدخول هناک بغیر فعل المالک،و لذا قیل فیه بعدم وجوب إجابة المالکِ الجارَ إلی القلع و إن جاز للجار قلعها بعد الامتناع أو قبله.</w:t>
      </w:r>
    </w:p>
    <w:p>
      <w:pPr>
        <w:pStyle w:val="BookText"/>
      </w:pPr>
      <w:r>
        <w:rPr>
          <w:rFonts w:ascii="IRNazanin" w:hAnsi="IRNazanin" w:eastAsia="IRNazanin" w:cs="IRNazanin"/>
          <w:lang w:bidi="fa-IR"/>
          <w:color w:val="111111"/>
          <w:sz w:val="28"/>
          <w:szCs w:val="28"/>
          <w:rtl/>
        </w:rPr>
        <w:t xml:space="preserve">هذا کلّه حکم القلع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لو اختار المغبون الإبقاء،فمقتضی ما ذکرنا من عدم ثبوت حقٍّ لأحد المالکین علی الآخر استحقاقه الأُجرة علی البقاء؛لأنّ انتقال الأرض إلی المغبون بحقٍّ سابقٍ علی الغرس،لا بسببٍ لاحقٍ له.</w:t>
      </w:r>
    </w:p>
    <w:p>
      <w:pPr>
        <w:pStyle w:val="BookText"/>
      </w:pPr>
      <w:r>
        <w:rPr>
          <w:rFonts w:ascii="IRNazanin" w:hAnsi="IRNazanin" w:eastAsia="IRNazanin" w:cs="IRNazanin"/>
          <w:lang w:bidi="fa-IR"/>
          <w:color w:val="111111"/>
          <w:sz w:val="28"/>
          <w:szCs w:val="28"/>
          <w:rtl/>
        </w:rPr>
        <w:t xml:space="preserve">هذا کلّه حکم الشجر.</w:t>
      </w:r>
    </w:p>
    <w:p>
      <w:pPr>
        <w:pStyle w:val="BookText"/>
      </w:pPr>
      <w:r>
        <w:rPr>
          <w:rFonts w:ascii="IRNazanin" w:hAnsi="IRNazanin" w:eastAsia="IRNazanin" w:cs="IRNazanin"/>
          <w:lang w:bidi="fa-IR"/>
          <w:color w:val="111111"/>
          <w:sz w:val="28"/>
          <w:szCs w:val="28"/>
          <w:rtl/>
        </w:rPr>
        <w:t xml:space="preserve">و أمّا الزرع:ففی المسالک:أنّه یتعیّن إبقاؤه بالأُجرة </w:t>
      </w:r>
      <w:r>
        <w:rPr>
          <w:rStyle w:val="FootnoteReference"/>
        </w:rPr>
        <w:footnoteReference w:id="3223"/>
      </w:r>
      <w:r>
        <w:rPr>
          <w:rFonts w:ascii="IRNazanin" w:hAnsi="IRNazanin" w:eastAsia="IRNazanin" w:cs="IRNazanin"/>
          <w:lang w:bidi="fa-IR"/>
          <w:color w:val="111111"/>
          <w:sz w:val="28"/>
          <w:szCs w:val="28"/>
          <w:rtl/>
        </w:rPr>
        <w:t xml:space="preserve">لأنّ له أمداً ینتظر.و لعلّه لإمکان الجمع بین الحقّین علی وجهٍ لا ضرر فیه علی الطرفین،بخلاف مسألة الشجر،فإنّ فی تعیین إبقائه بالأُجرة ضرراً علی مالک الأرض،لطول مدّة البقاء،فتأمّل.</w:t>
      </w:r>
    </w:p>
    <w:p>
      <w:pPr>
        <w:pStyle w:val="BookText"/>
      </w:pPr>
      <w:r>
        <w:rPr>
          <w:rFonts w:ascii="IRNazanin" w:hAnsi="IRNazanin" w:eastAsia="IRNazanin" w:cs="IRNazanin"/>
          <w:lang w:bidi="fa-IR"/>
          <w:color w:val="111111"/>
          <w:sz w:val="28"/>
          <w:szCs w:val="28"/>
          <w:rtl/>
        </w:rPr>
        <w:t xml:space="preserve">و لو طلب مالک الغرس القلع،فهل لمالک الأرض منعه لاستلزام نقص أرضه،فإنّ کلاّ منهما مسلّط علی ماله و لا یجوز تصرّفه فی مال غیره إلّا بإذنه،أم لا؛لأنّ التسلّط علی المال لا یوجب منع مالکٍ آخر عن التصرّف فی ماله؟وجهان:أقواهما الثانی.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370" w:name="pg14419_167480"/>
    <w:bookmarkEnd w:id="370"/>
    <w:p>
      <w:pPr>
        <w:pStyle w:val="BookText"/>
      </w:pPr>
      <w:r>
        <w:rPr>
          <w:rFonts w:ascii="IRNazanin" w:hAnsi="IRNazanin" w:eastAsia="IRNazanin" w:cs="IRNazanin"/>
          <w:lang w:bidi="fa-IR"/>
          <w:color w:val="111111"/>
          <w:sz w:val="28"/>
          <w:szCs w:val="28"/>
          <w:rtl/>
        </w:rPr>
        <w:t xml:space="preserve">و لو کان التغیّر بالامتزاج:فإمّا أن یکون بغیر جنسه،و إمّا أن یکون بجنسه.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کان بغیر الجنس،فإن کان علی وجه الاستهلاک عرفاً بحیث لا یحکم فی مثله بالشرکة کامتزاج ماء الورد المبیع بالزیت فهو فی حکم التالف یرجع إلی قیمته.و إن کان لا علی وجهٍ یُعدّ تالفاً کالخلّ الممتزج مع الأنجبین ففی کونه شریکاً أو کونه کالمعدوم </w:t>
      </w:r>
      <w:r>
        <w:rPr>
          <w:rStyle w:val="FootnoteReference"/>
        </w:rPr>
        <w:footnoteReference w:id="3224"/>
      </w:r>
      <w:r>
        <w:rPr>
          <w:rFonts w:ascii="IRNazanin" w:hAnsi="IRNazanin" w:eastAsia="IRNazanin" w:cs="IRNazanin"/>
          <w:lang w:bidi="fa-IR"/>
          <w:color w:val="111111"/>
          <w:sz w:val="28"/>
          <w:szCs w:val="28"/>
          <w:rtl/>
        </w:rPr>
        <w:t xml:space="preserve">،وجهان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الامتزاج بالجنس،فإن کان بالمساوی یثبت الشرکة، و إن کان بالأردإ فکذلک،و فی استحقاقه لأرش النقص أو تفاوت الرداءة من الجنس الممتزج أو من ثمنه،وجوهٌ.و لو کان بالأجود احتمل الشرکة فی الثمن،بأن یُباع و یُعطی من الثمن بنسبة قیمته، و یحتمل الشرکة بنسبة القیمة،فإذا کان الأجود یساوی قیمتی الردیء کان المجموع بینهما أثلاثاً،و ردّه الشیخ فی مسألة رجوع البائع علی المفلّس بعین ماله بأنّه یستلزم الربا </w:t>
      </w:r>
      <w:r>
        <w:rPr>
          <w:rStyle w:val="FootnoteReference"/>
        </w:rPr>
        <w:footnoteReference w:id="3226"/>
      </w:r>
      <w:r>
        <w:rPr>
          <w:rFonts w:ascii="IRNazanin" w:hAnsi="IRNazanin" w:eastAsia="IRNazanin" w:cs="IRNazanin"/>
          <w:lang w:bidi="fa-IR"/>
          <w:color w:val="111111"/>
          <w:sz w:val="28"/>
          <w:szCs w:val="28"/>
          <w:rtl/>
        </w:rPr>
        <w:t xml:space="preserve">.قیل:و هو حسنٌ مع عموم الربا لکلّ معاوضة </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Heading6"/>
      </w:pPr>
      <w:bookmarkStart w:id="1274" w:name="_Toc714"/>
      <w:r>
        <w:t>بقی الکلام فی حکم تلف العوضین مع الغبن</w:t>
      </w:r>
      <w:bookmarkEnd w:id="1274"/>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تفصیله:أنّ التلف إمّا أن یکون فیما وصل إلی الغابن،أو فیما وصل إلی المغبون.و التلف،إمّا بآفةٍ أو بإتلاف أحدهما أو بإتلاف الأجنبیّ.</w:t>
      </w:r>
    </w:p>
    <w:p>
      <w:pPr>
        <w:pStyle w:val="BookText"/>
      </w:pPr>
      <w:r>
        <w:rPr>
          <w:rFonts w:ascii="IRNazanin" w:hAnsi="IRNazanin" w:eastAsia="IRNazanin" w:cs="IRNazanin"/>
          <w:lang w:bidi="fa-IR"/>
          <w:color w:val="111111"/>
          <w:sz w:val="28"/>
          <w:szCs w:val="28"/>
          <w:rtl/>
        </w:rPr>
        <w:t xml:space="preserve">و حکمها:أنّه لو تلف ما فی ید المغبون،فإن کان بآفةٍ فمقتضی ما تقدّم من التذکرة </w:t>
      </w:r>
      <w:r>
        <w:rPr>
          <w:rStyle w:val="FootnoteReference"/>
        </w:rPr>
        <w:footnoteReference w:id="3228"/>
      </w:r>
      <w:r>
        <w:rPr>
          <w:rFonts w:ascii="IRNazanin" w:hAnsi="IRNazanin" w:eastAsia="IRNazanin" w:cs="IRNazanin"/>
          <w:lang w:bidi="fa-IR"/>
          <w:color w:val="111111"/>
          <w:sz w:val="28"/>
          <w:szCs w:val="28"/>
          <w:rtl/>
        </w:rPr>
        <w:t xml:space="preserve">فی الإخراج عن الملک من تعلیل السقوط بعدم إمکان الاستدراک سقوط الخیار.لکنّک قد عرفت الکلام فی مورد التعلیل فضلاً عن غیره؛و لذا اختار غیر واحدٍ بقاء الخیار </w:t>
      </w:r>
      <w:r>
        <w:rPr>
          <w:rStyle w:val="FootnoteReference"/>
        </w:rPr>
        <w:footnoteReference w:id="3229"/>
      </w:r>
      <w:r>
        <w:rPr>
          <w:rFonts w:ascii="IRNazanin" w:hAnsi="IRNazanin" w:eastAsia="IRNazanin" w:cs="IRNazanin"/>
          <w:lang w:bidi="fa-IR"/>
          <w:color w:val="111111"/>
          <w:sz w:val="28"/>
          <w:szCs w:val="28"/>
          <w:rtl/>
        </w:rPr>
        <w:t xml:space="preserve">،فإذا فسخ غرم قیمة </w:t>
      </w:r>
      <w:r>
        <w:rPr>
          <w:rStyle w:val="FootnoteReference"/>
        </w:rPr>
        <w:footnoteReference w:id="3230"/>
      </w:r>
      <w:r>
        <w:rPr>
          <w:rFonts w:ascii="IRNazanin" w:hAnsi="IRNazanin" w:eastAsia="IRNazanin" w:cs="IRNazanin"/>
          <w:lang w:bidi="fa-IR"/>
          <w:color w:val="111111"/>
          <w:sz w:val="28"/>
          <w:szCs w:val="28"/>
          <w:rtl/>
        </w:rPr>
        <w:t xml:space="preserve">یوم التلف أو یوم الفسخ و أخذ ما عند الغابن أو بدله.</w:t>
      </w:r>
    </w:p>
    <w:p>
      <w:pPr>
        <w:pStyle w:val="BookText"/>
      </w:pPr>
      <w:r>
        <w:rPr>
          <w:rFonts w:ascii="IRNazanin" w:hAnsi="IRNazanin" w:eastAsia="IRNazanin" w:cs="IRNazanin"/>
          <w:lang w:bidi="fa-IR"/>
          <w:color w:val="111111"/>
          <w:sz w:val="28"/>
          <w:szCs w:val="28"/>
          <w:rtl/>
        </w:rPr>
        <w:t xml:space="preserve">و کذا لو کان بإتلافه.</w:t>
      </w:r>
    </w:p>
    <w:p>
      <w:pPr>
        <w:pStyle w:val="BookText"/>
      </w:pPr>
      <w:r>
        <w:rPr>
          <w:rFonts w:ascii="IRNazanin" w:hAnsi="IRNazanin" w:eastAsia="IRNazanin" w:cs="IRNazanin"/>
          <w:lang w:bidi="fa-IR"/>
          <w:color w:val="111111"/>
          <w:sz w:val="28"/>
          <w:szCs w:val="28"/>
          <w:rtl/>
        </w:rPr>
        <w:t xml:space="preserve">و لو کان بإتلاف الأجنبیّ ففسخ المغبون،أخذ الثمن و رجع الغابن إلی المُتلِف إن لم یرجع المغبون علیه.و إن رجع علیه بالبدل ثمّ ظهر الغبن ففسخ ردّ علی الغابن القیمة یوم التلف أو یوم الفسخ.</w:t>
      </w:r>
    </w:p>
    <w:p>
      <w:pPr>
        <w:pStyle w:val="BookText"/>
      </w:pPr>
      <w:r>
        <w:rPr>
          <w:rFonts w:ascii="IRNazanin" w:hAnsi="IRNazanin" w:eastAsia="IRNazanin" w:cs="IRNazanin"/>
          <w:lang w:bidi="fa-IR"/>
          <w:color w:val="111111"/>
          <w:sz w:val="28"/>
          <w:szCs w:val="28"/>
          <w:rtl/>
        </w:rPr>
        <w:t xml:space="preserve">و لو کان بإتلاف الغابن فإن لم یفسخ المغبون أخذ القیمة من الغابن.و إن فسخ أخذ الثمن.و لو کان إتلافه قبل ظهور الغبن فأبرأه المغبون من الغرامة ثمّ ظهر الغبن ففسخ وجب علیه ردّ القیمة؛لأنّ ما أبرأه بمنزلة المقبوض.</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تلف ما فی ید الغابن بآفةٍ أو بإتلافه ففسخ المغبون أخذ</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البدل.و فی اعتبار القیمة یوم التلف أو یوم الفسخ قولان،ظاهر الأکثر الأوّل.</w:t>
      </w:r>
    </w:p>
    <w:p>
      <w:pPr>
        <w:pStyle w:val="BookText"/>
      </w:pPr>
      <w:r>
        <w:rPr>
          <w:rFonts w:ascii="IRNazanin" w:hAnsi="IRNazanin" w:eastAsia="IRNazanin" w:cs="IRNazanin"/>
          <w:lang w:bidi="fa-IR"/>
          <w:color w:val="111111"/>
          <w:sz w:val="28"/>
          <w:szCs w:val="28"/>
          <w:rtl/>
        </w:rPr>
        <w:t xml:space="preserve">و لکن صرّح فی الدروس </w:t>
      </w:r>
      <w:r>
        <w:rPr>
          <w:rStyle w:val="FootnoteReference"/>
        </w:rPr>
        <w:footnoteReference w:id="3231"/>
      </w:r>
      <w:r>
        <w:rPr>
          <w:rFonts w:ascii="IRNazanin" w:hAnsi="IRNazanin" w:eastAsia="IRNazanin" w:cs="IRNazanin"/>
          <w:lang w:bidi="fa-IR"/>
          <w:color w:val="111111"/>
          <w:sz w:val="28"/>
          <w:szCs w:val="28"/>
          <w:rtl/>
        </w:rPr>
        <w:t xml:space="preserve">و المسالک </w:t>
      </w:r>
      <w:r>
        <w:rPr>
          <w:rStyle w:val="FootnoteReference"/>
        </w:rPr>
        <w:footnoteReference w:id="3232"/>
      </w:r>
      <w:r>
        <w:rPr>
          <w:rFonts w:ascii="IRNazanin" w:hAnsi="IRNazanin" w:eastAsia="IRNazanin" w:cs="IRNazanin"/>
          <w:lang w:bidi="fa-IR"/>
          <w:color w:val="111111"/>
          <w:sz w:val="28"/>
          <w:szCs w:val="28"/>
          <w:rtl/>
        </w:rPr>
        <w:t xml:space="preserve">و محکیّ حاشیة الشرائع </w:t>
      </w:r>
      <w:r>
        <w:rPr>
          <w:rStyle w:val="FootnoteReference"/>
        </w:rPr>
        <w:footnoteReference w:id="3233"/>
      </w:r>
      <w:r>
        <w:rPr>
          <w:rFonts w:ascii="IRNazanin" w:hAnsi="IRNazanin" w:eastAsia="IRNazanin" w:cs="IRNazanin"/>
          <w:lang w:bidi="fa-IR"/>
          <w:color w:val="111111"/>
          <w:sz w:val="28"/>
          <w:szCs w:val="28"/>
          <w:rtl/>
        </w:rPr>
        <w:t xml:space="preserve">للمحقّق الثانی و صاحب الحدائق </w:t>
      </w:r>
      <w:r>
        <w:rPr>
          <w:rStyle w:val="FootnoteReference"/>
        </w:rPr>
        <w:footnoteReference w:id="3234"/>
      </w:r>
      <w:r>
        <w:rPr>
          <w:rFonts w:ascii="Amiri" w:hAnsi="Amiri" w:eastAsia="Amiri" w:cs="Amiri"/>
          <w:lang w:bidi="ar-SA"/>
          <w:color w:val="111111"/>
          <w:sz w:val="28"/>
          <w:szCs w:val="28"/>
          <w:rtl/>
        </w:rPr>
        <w:t xml:space="preserve">و بعضٌ آخر </w:t>
      </w:r>
      <w:r>
        <w:rPr>
          <w:rStyle w:val="FootnoteReference"/>
        </w:rPr>
        <w:footnoteReference w:id="3235"/>
      </w:r>
      <w:r>
        <w:rPr>
          <w:rFonts w:ascii="IRNazanin" w:hAnsi="IRNazanin" w:eastAsia="IRNazanin" w:cs="IRNazanin"/>
          <w:lang w:bidi="fa-IR"/>
          <w:color w:val="111111"/>
          <w:sz w:val="28"/>
          <w:szCs w:val="28"/>
          <w:rtl/>
        </w:rPr>
        <w:t xml:space="preserve">:أنّه لو اشتری عیناً بعینٍ فقبض أحدهما دون الأُخری فباع المقبوضَ ثمّ تلف غیر المقبوض:</w:t>
      </w:r>
    </w:p>
    <w:p>
      <w:pPr>
        <w:pStyle w:val="BookText"/>
      </w:pPr>
      <w:r>
        <w:rPr>
          <w:rFonts w:ascii="IRNazanin" w:hAnsi="IRNazanin" w:eastAsia="IRNazanin" w:cs="IRNazanin"/>
          <w:lang w:bidi="fa-IR"/>
          <w:color w:val="111111"/>
          <w:sz w:val="28"/>
          <w:szCs w:val="28"/>
          <w:rtl/>
        </w:rPr>
        <w:t xml:space="preserve">أنّ البیع الأوّل ینفسخ بتلف متعلّقه قبل القبض بخلاف البیع الثانی، فیغرم البائع الثانی قیمةَ ما باعه یوم تلف غیر المقبوض.</w:t>
      </w:r>
    </w:p>
    <w:p>
      <w:pPr>
        <w:pStyle w:val="BookText"/>
      </w:pPr>
      <w:r>
        <w:rPr>
          <w:rFonts w:ascii="IRNazanin" w:hAnsi="IRNazanin" w:eastAsia="IRNazanin" w:cs="IRNazanin"/>
          <w:lang w:bidi="fa-IR"/>
          <w:color w:val="111111"/>
          <w:sz w:val="28"/>
          <w:szCs w:val="28"/>
          <w:rtl/>
        </w:rPr>
        <w:t xml:space="preserve">و هذا ظاهرٌ بل صریحٌ فی أنّ العبرة بقیمة یوم الانفساخ دون تلف العین.و الفرق بین المسألتین مشکلٌ،و تمام الکلام فی باب الإقالة إن شاء اللّٰه تعالی.</w:t>
      </w:r>
    </w:p>
    <w:p>
      <w:pPr>
        <w:pStyle w:val="BookText"/>
      </w:pPr>
      <w:r>
        <w:rPr>
          <w:rFonts w:ascii="IRNazanin" w:hAnsi="IRNazanin" w:eastAsia="IRNazanin" w:cs="IRNazanin"/>
          <w:lang w:bidi="fa-IR"/>
          <w:color w:val="111111"/>
          <w:sz w:val="28"/>
          <w:szCs w:val="28"/>
          <w:rtl/>
        </w:rPr>
        <w:t xml:space="preserve">و لو تلف بإتلاف الأجنبیّ رجع المغبون بعد الفسخ إلی الغابن؛ لأنّه الذی یُردّ إلیه العوض فیؤخذ منه المعوَّض أو بدله،و لأنه مَلِکَ القیمةَ علی المُتلِف.و یحتمل الرجوع إلی المُتلِف؛لأنّ المال فی ضمانه و ما لم یدفع العوض فنفس المال فی عهدته؛و لذا صرّح فی الشرائع </w:t>
      </w:r>
      <w:r>
        <w:rPr>
          <w:rStyle w:val="FootnoteReference"/>
        </w:rPr>
        <w:footnoteReference w:id="3236"/>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بجواز المصالحة علی ذلک المتلَف بما لو صالح به علی قیمته لزم الربا، و صرّح العلّامة </w:t>
      </w:r>
      <w:r>
        <w:rPr>
          <w:rStyle w:val="FootnoteReference"/>
        </w:rPr>
        <w:footnoteReference w:id="3237"/>
      </w:r>
      <w:r>
        <w:rPr>
          <w:rFonts w:ascii="IRNazanin" w:hAnsi="IRNazanin" w:eastAsia="IRNazanin" w:cs="IRNazanin"/>
          <w:lang w:bidi="fa-IR"/>
          <w:color w:val="111111"/>
          <w:sz w:val="28"/>
          <w:szCs w:val="28"/>
          <w:rtl/>
        </w:rPr>
        <w:t xml:space="preserve">بأنّه لو صالحه علی نفس المتلَف بأقلّ من قیمته لم یلزم الربا،و إن صالحه علی قیمته بالأقلّ لزم الربا،بناءً علی جریانه فی الصلح.و یحتمل التخییر أمّا الغابن فلأنه ملک البدل،و أمّا المتلِف فلأنّ المال المتلَف فی عهدته قبل أداء القیمة.</w:t>
      </w:r>
    </w:p>
    <w:p>
      <w:pPr>
        <w:pStyle w:val="BookText"/>
      </w:pPr>
      <w:r>
        <w:rPr>
          <w:rFonts w:ascii="IRNazanin" w:hAnsi="IRNazanin" w:eastAsia="IRNazanin" w:cs="IRNazanin"/>
          <w:lang w:bidi="fa-IR"/>
          <w:color w:val="111111"/>
          <w:sz w:val="28"/>
          <w:szCs w:val="28"/>
          <w:rtl/>
        </w:rPr>
        <w:t xml:space="preserve">و إن کان بإتلاف المغبون فإن لم یفسخ غرم بدله،و لو أبرأه الغابن من بدل المتلَف فظهر الغبن ففسخ،ردّ الثمن و أخذ قیمة المتلف؛لأنّ المبرإ منه کالمقبوض.</w:t>
      </w:r>
    </w:p>
    <w:p>
      <w:pPr>
        <w:pStyle w:val="BookText"/>
      </w:pPr>
      <w:r>
        <w:rPr>
          <w:rFonts w:ascii="IRNazanin" w:hAnsi="IRNazanin" w:eastAsia="IRNazanin" w:cs="IRNazanin"/>
          <w:lang w:bidi="fa-IR"/>
          <w:color w:val="111111"/>
          <w:sz w:val="28"/>
          <w:szCs w:val="28"/>
          <w:rtl/>
        </w:rPr>
        <w:t xml:space="preserve">هذا قلیلٌ من کثیر ما یکون هذا المقام قابلاً له من الکلام، و ینبغی إحالة الزائد علی ما ذکروه فی غیر هذا المقام،و اللّٰه العالم بالأحکام و رسوله و خلفاؤه الکرام صلوات اللّٰه علیه و علیهم إلی یوم القیام.</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371" w:name="pg14419_167484"/>
    <w:bookmarkEnd w:id="371"/>
    <w:p>
      <w:pPr>
        <w:pStyle w:val="Heading6"/>
      </w:pPr>
      <w:bookmarkStart w:id="1275" w:name="_Toc715"/>
      <w:r>
        <w:t>مسألة : الظاهر ثبوت خیار الغبن فی کلّ معاوضةٍ مالیّةٍ</w:t>
      </w:r>
      <w:bookmarkEnd w:id="12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بناءً علی الاستناد فی ثبوته فی البیع إلی نفی الضرر.نعم،لو استُند إلی الإجماعات المنقولة أمکن الرجوع فی غیر البیع إلی أصالة اللزوم.</w:t>
      </w:r>
    </w:p>
    <w:p>
      <w:pPr>
        <w:pStyle w:val="BookText"/>
      </w:pPr>
      <w:r>
        <w:rPr>
          <w:rFonts w:ascii="IRNazanin" w:hAnsi="IRNazanin" w:eastAsia="IRNazanin" w:cs="IRNazanin"/>
          <w:lang w:bidi="fa-IR"/>
          <w:color w:val="111111"/>
          <w:sz w:val="28"/>
          <w:szCs w:val="28"/>
          <w:rtl/>
        </w:rPr>
        <w:t xml:space="preserve">و ممّن حکی عنه التصریح بالعموم فخر الدین قدّس سرّه فی شرح الإرشاد </w:t>
      </w:r>
      <w:r>
        <w:rPr>
          <w:rStyle w:val="FootnoteReference"/>
        </w:rPr>
        <w:footnoteReference w:id="3238"/>
      </w:r>
      <w:r>
        <w:rPr>
          <w:rFonts w:ascii="IRNazanin" w:hAnsi="IRNazanin" w:eastAsia="IRNazanin" w:cs="IRNazanin"/>
          <w:lang w:bidi="fa-IR"/>
          <w:color w:val="111111"/>
          <w:sz w:val="28"/>
          <w:szCs w:val="28"/>
          <w:rtl/>
        </w:rPr>
        <w:t xml:space="preserve">و صاحب التنقیح </w:t>
      </w:r>
      <w:r>
        <w:rPr>
          <w:rStyle w:val="FootnoteReference"/>
        </w:rPr>
        <w:footnoteReference w:id="3239"/>
      </w:r>
      <w:r>
        <w:rPr>
          <w:rFonts w:ascii="IRNazanin" w:hAnsi="IRNazanin" w:eastAsia="IRNazanin" w:cs="IRNazanin"/>
          <w:lang w:bidi="fa-IR"/>
          <w:color w:val="111111"/>
          <w:sz w:val="28"/>
          <w:szCs w:val="28"/>
          <w:rtl/>
        </w:rPr>
        <w:t xml:space="preserve">و صاحب إیضاح النافع </w:t>
      </w:r>
      <w:r>
        <w:rPr>
          <w:rStyle w:val="FootnoteReference"/>
        </w:rPr>
        <w:footnoteReference w:id="3240"/>
      </w:r>
      <w:r>
        <w:rPr>
          <w:rFonts w:ascii="IRNazanin" w:hAnsi="IRNazanin" w:eastAsia="IRNazanin" w:cs="IRNazanin"/>
          <w:lang w:bidi="fa-IR"/>
          <w:color w:val="111111"/>
          <w:sz w:val="28"/>
          <w:szCs w:val="28"/>
          <w:rtl/>
        </w:rPr>
        <w:t xml:space="preserve">،و عن إجارة جامع المقاصد:جریانه فیها مستنداً إلی أنّه من توابع المعاوضات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نعم،حکی عن المهذّب البارع عدم جریانه فی الصلح </w:t>
      </w:r>
      <w:r>
        <w:rPr>
          <w:rStyle w:val="FootnoteReference"/>
        </w:rPr>
        <w:footnoteReference w:id="3242"/>
      </w:r>
      <w:r>
        <w:rPr>
          <w:rFonts w:ascii="IRNazanin" w:hAnsi="IRNazanin" w:eastAsia="IRNazanin" w:cs="IRNazanin"/>
          <w:lang w:bidi="fa-IR"/>
          <w:color w:val="111111"/>
          <w:sz w:val="28"/>
          <w:szCs w:val="28"/>
          <w:rtl/>
        </w:rPr>
        <w:t xml:space="preserve">.و لعلّه لکون الغرض الأصلی فیه قطع المنازعة،فلا یشرع فیه الفسخ.و فیه ما لا یخفی.</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غایة المرام:التفصیل بین الصلح الواقع علی وجه المعاوضة فیجری فیه،و بین الواقع علی إسقاط دعوی قبل ثبوتها ثمّ ظهر حقّیة ما یدّعیه و کان مغبوناً فیما صالح به،و الواقع علی ما فی الذمم و کان مجهولاً ثمّ ظهر بعد عقد الصلح و ظهر غبن أحدهما علی تأمّلٍ </w:t>
      </w:r>
      <w:r>
        <w:rPr>
          <w:rStyle w:val="FootnoteReference"/>
        </w:rPr>
        <w:footnoteReference w:id="3243"/>
      </w:r>
      <w:r>
        <w:rPr>
          <w:rFonts w:ascii="IRNazanin" w:hAnsi="IRNazanin" w:eastAsia="IRNazanin" w:cs="IRNazanin"/>
          <w:lang w:bidi="fa-IR"/>
          <w:color w:val="111111"/>
          <w:sz w:val="28"/>
          <w:szCs w:val="28"/>
          <w:rtl/>
        </w:rPr>
        <w:t xml:space="preserve">.و لعلّه للإقدام فی هذین علی رفع الید عمّا صالح عنه کائناً ما کان،فقد أقدم علی الضرر.</w:t>
      </w:r>
    </w:p>
    <w:p>
      <w:pPr>
        <w:pStyle w:val="BookText"/>
      </w:pPr>
      <w:r>
        <w:rPr>
          <w:rFonts w:ascii="Amiri" w:hAnsi="Amiri" w:eastAsia="Amiri" w:cs="Amiri"/>
          <w:lang w:bidi="ar-SA"/>
          <w:color w:val="111111"/>
          <w:sz w:val="28"/>
          <w:szCs w:val="28"/>
          <w:rtl/>
        </w:rPr>
        <w:t xml:space="preserve">و حکی عن بعضٍ </w:t>
      </w:r>
      <w:r>
        <w:rPr>
          <w:rStyle w:val="FootnoteReference"/>
        </w:rPr>
        <w:footnoteReference w:id="3244"/>
      </w:r>
      <w:r>
        <w:rPr>
          <w:rFonts w:ascii="IRNazanin" w:hAnsi="IRNazanin" w:eastAsia="IRNazanin" w:cs="IRNazanin"/>
          <w:lang w:bidi="fa-IR"/>
          <w:color w:val="111111"/>
          <w:sz w:val="28"/>
          <w:szCs w:val="28"/>
          <w:rtl/>
        </w:rPr>
        <w:t xml:space="preserve">التفصیل بین کلّ عقدٍ وقع شخصه علی وجه المسامحة و کان الإقدام علی المعاملة فیه مبنیّاً علی عدم الالتفات إلی النقص و الزیادة بیعاً کان أو صلحاً أو غیرهما فإنّه لا یصدق فیه اسم الغبن،و بین غیره.</w:t>
      </w:r>
    </w:p>
    <w:p>
      <w:pPr>
        <w:pStyle w:val="BookText"/>
      </w:pPr>
      <w:r>
        <w:rPr>
          <w:rFonts w:ascii="IRNazanin" w:hAnsi="IRNazanin" w:eastAsia="IRNazanin" w:cs="IRNazanin"/>
          <w:lang w:bidi="fa-IR"/>
          <w:color w:val="111111"/>
          <w:sz w:val="28"/>
          <w:szCs w:val="28"/>
          <w:rtl/>
        </w:rPr>
        <w:t xml:space="preserve">و فیه مع أنّ منع صدق الغبن محلّ نظرٍ-:أنّ الحکم بالخیار لم یعلَّق فی دلیلٍ علی مفهوم لفظ«الغبن»حتّی یتّبع مصادیقه،فإنّ الفتاوی مختصّةٌ بغبن البیع،و حدیث نفی الضرر عامٌّ لم یخرج منه إلّا ما استُثنی فی الفتاوی من صورة الإقدام علی الضرر عالماً به.نعم،لو استدلّ بآیة التجارة عن تراضٍ أو النهی عن أکل المال بالباطل أمکن اختصاصهما بما إذا أقدم علی المعاملة محتمِلاً للضرر مسامِحاً فی دفع ذلک الاحتمال.</w:t>
      </w:r>
    </w:p>
    <w:p>
      <w:pPr>
        <w:pStyle w:val="BookText"/>
      </w:pPr>
      <w:r>
        <w:rPr>
          <w:rFonts w:ascii="IRNazanin" w:hAnsi="IRNazanin" w:eastAsia="IRNazanin" w:cs="IRNazanin"/>
          <w:lang w:bidi="fa-IR"/>
          <w:color w:val="111111"/>
          <w:sz w:val="28"/>
          <w:szCs w:val="28"/>
          <w:rtl/>
        </w:rPr>
        <w:t xml:space="preserve">و الحاصل:أنّ المسألة لا تخلو عن إشکالٍ</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أصالة اللزوم،و اختصاص معقد الإجماع و الشهرة بالبیع، و عدم تعرّض الأکثر لدخول هذا الخیار فی غیر البیع کما تعرّضوا لجریان خیار الشرط </w:t>
      </w:r>
      <w:r>
        <w:rPr>
          <w:rStyle w:val="FootnoteReference"/>
        </w:rPr>
        <w:footnoteReference w:id="3245"/>
      </w:r>
      <w:r>
        <w:rPr>
          <w:rFonts w:ascii="IRNazanin" w:hAnsi="IRNazanin" w:eastAsia="IRNazanin" w:cs="IRNazanin"/>
          <w:lang w:bidi="fa-IR"/>
          <w:color w:val="111111"/>
          <w:sz w:val="28"/>
          <w:szCs w:val="28"/>
          <w:rtl/>
        </w:rPr>
        <w:t xml:space="preserve">،و تعرّضهم لعدم جریان خیار المجلس فی غیر البیع لکونه محلّ خلافٍ لبعض العامّة فی بعض أفراد ما عدا البیع </w:t>
      </w:r>
      <w:r>
        <w:rPr>
          <w:rStyle w:val="FootnoteReference"/>
        </w:rPr>
        <w:footnoteReference w:id="3246"/>
      </w:r>
      <w:r>
        <w:rPr>
          <w:rFonts w:ascii="IRNazanin" w:hAnsi="IRNazanin" w:eastAsia="IRNazanin" w:cs="IRNazanin"/>
          <w:lang w:bidi="fa-IR"/>
          <w:color w:val="111111"/>
          <w:sz w:val="28"/>
          <w:szCs w:val="28"/>
          <w:rtl/>
        </w:rPr>
        <w:t xml:space="preserve">، فلا یدلّ علی عموم غیره لما عدا البیع.</w:t>
      </w:r>
    </w:p>
    <w:p>
      <w:pPr>
        <w:pStyle w:val="BookText"/>
      </w:pPr>
      <w:r>
        <w:rPr>
          <w:rFonts w:ascii="IRNazanin" w:hAnsi="IRNazanin" w:eastAsia="IRNazanin" w:cs="IRNazanin"/>
          <w:lang w:bidi="fa-IR"/>
          <w:color w:val="111111"/>
          <w:sz w:val="28"/>
          <w:szCs w:val="28"/>
          <w:rtl/>
        </w:rPr>
        <w:t xml:space="preserve">و من دلالة حدیث نفی الضرر علی عدم لزوم المعاملة المغبون فیها و لو فی صورة امتناع الغابن عن بذل التفاوت </w:t>
      </w:r>
      <w:r>
        <w:rPr>
          <w:rStyle w:val="FootnoteReference"/>
        </w:rPr>
        <w:footnoteReference w:id="3247"/>
      </w:r>
      <w:r>
        <w:rPr>
          <w:rFonts w:ascii="IRNazanin" w:hAnsi="IRNazanin" w:eastAsia="IRNazanin" w:cs="IRNazanin"/>
          <w:lang w:bidi="fa-IR"/>
          <w:color w:val="111111"/>
          <w:sz w:val="28"/>
          <w:szCs w:val="28"/>
          <w:rtl/>
        </w:rPr>
        <w:t xml:space="preserve">،و قد استدلّ به الأصحاب علی إثبات کثیرٍ من الخیارات،فدخوله فیما عدا البیع لا یخلو عن قوّة.</w:t>
      </w:r>
    </w:p>
    <w:p>
      <w:pPr>
        <w:pStyle w:val="BookText"/>
      </w:pPr>
      <w:r>
        <w:rPr>
          <w:rFonts w:ascii="IRNazanin" w:hAnsi="IRNazanin" w:eastAsia="IRNazanin" w:cs="IRNazanin"/>
          <w:lang w:bidi="fa-IR"/>
          <w:color w:val="111111"/>
          <w:sz w:val="28"/>
          <w:szCs w:val="28"/>
          <w:rtl/>
        </w:rPr>
        <w:t xml:space="preserve">نعم،یبقی الإشکال فی شموله للصورة المتقدّمة،و هی ما إذا علم من الخارج بناء شخص تلک المعاملة بیعاً کان أو غیره علی عدم المغابنة و المکایسة من حیث المالیّة،کما إذا احتاج المشتری إلی قلیلٍ من شیءٍ مبتذلٍ لحاجةٍ عظیمة دینیّةٍ أو دنیویّةٍ،فإنّه لا یلاحظ فی شرائه مساواته للثمن المدفوع بإزائه،فإنّ فی شمول الأدلّة لمثل هذا خفاءً،بل منعاً </w:t>
      </w:r>
      <w:r>
        <w:rPr>
          <w:rStyle w:val="FootnoteReference"/>
        </w:rPr>
        <w:footnoteReference w:id="3248"/>
      </w:r>
      <w:r>
        <w:rPr>
          <w:rFonts w:ascii="Amiri" w:hAnsi="Amiri" w:eastAsia="Amiri" w:cs="Amiri"/>
          <w:lang w:bidi="ar-SA"/>
          <w:color w:val="111111"/>
          <w:sz w:val="28"/>
          <w:szCs w:val="28"/>
          <w:rtl/>
        </w:rPr>
        <w:t xml:space="preserve">،و اللّٰه العالم.</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372" w:name="pg14419_167487"/>
    <w:bookmarkEnd w:id="372"/>
    <w:p>
      <w:pPr>
        <w:pStyle w:val="Heading6"/>
      </w:pPr>
      <w:bookmarkStart w:id="1276" w:name="_Toc716"/>
      <w:r>
        <w:t>مسألة : اختلف أصحابنا فی کون هذا الخیار علی الفور أو علی التراخی</w:t>
      </w:r>
      <w:bookmarkEnd w:id="12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علی قولین:</w:t>
      </w:r>
    </w:p>
    <w:p>
      <w:pPr>
        <w:pStyle w:val="BookText"/>
      </w:pPr>
      <w:r>
        <w:rPr>
          <w:rFonts w:ascii="IRNazanin" w:hAnsi="IRNazanin" w:eastAsia="IRNazanin" w:cs="IRNazanin"/>
          <w:lang w:bidi="fa-IR"/>
          <w:color w:val="111111"/>
          <w:sz w:val="28"/>
          <w:szCs w:val="28"/>
          <w:rtl/>
        </w:rPr>
        <w:t xml:space="preserve">و استند للقول الأوّل و هو المشهور ظاهراً إلی کون الخیار علی خلاف الأصل </w:t>
      </w:r>
      <w:r>
        <w:rPr>
          <w:rStyle w:val="FootnoteReference"/>
        </w:rPr>
        <w:footnoteReference w:id="3249"/>
      </w:r>
      <w:r>
        <w:rPr>
          <w:rFonts w:ascii="IRNazanin" w:hAnsi="IRNazanin" w:eastAsia="IRNazanin" w:cs="IRNazanin"/>
          <w:lang w:bidi="fa-IR"/>
          <w:color w:val="111111"/>
          <w:sz w:val="28"/>
          <w:szCs w:val="28"/>
          <w:rtl/>
        </w:rPr>
        <w:t xml:space="preserve">،فیقتصر فیه علی المتیقّن.و قرّره فی جامع المقاصد بأنّ العموم فی أفراد العقود یستتبع عموم الأزمنة،و إلّا لم ینتفع بعمومه </w:t>
      </w:r>
      <w:r>
        <w:rPr>
          <w:rStyle w:val="FootnoteReference"/>
        </w:rPr>
        <w:footnoteReference w:id="3250"/>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للقول الثانی[إلی </w:t>
      </w:r>
      <w:r>
        <w:rPr>
          <w:rStyle w:val="FootnoteReference"/>
        </w:rPr>
        <w:footnoteReference w:id="3251"/>
      </w:r>
      <w:r>
        <w:rPr>
          <w:rFonts w:ascii="IRNazanin" w:hAnsi="IRNazanin" w:eastAsia="IRNazanin" w:cs="IRNazanin"/>
          <w:lang w:bidi="fa-IR"/>
          <w:color w:val="111111"/>
          <w:sz w:val="28"/>
          <w:szCs w:val="28"/>
          <w:rtl/>
        </w:rPr>
        <w:t xml:space="preserve">]الاستصحاب.و ذکر فی الریاض ما حاصله:</w:t>
      </w:r>
    </w:p>
    <w:p>
      <w:pPr>
        <w:pStyle w:val="BookText"/>
      </w:pPr>
      <w:r>
        <w:rPr>
          <w:rFonts w:ascii="IRNazanin" w:hAnsi="IRNazanin" w:eastAsia="IRNazanin" w:cs="IRNazanin"/>
          <w:lang w:bidi="fa-IR"/>
          <w:color w:val="111111"/>
          <w:sz w:val="28"/>
          <w:szCs w:val="28"/>
          <w:rtl/>
        </w:rPr>
        <w:t xml:space="preserve">أنّ المستند فی هذا الخیار إن کان الإجماع المنقول اتّجه التمسّک بالاستصحاب،و إن کان نفی الضرر وجب الاقتصار علی الزمان الأوّل، إذ به یندفع الضرر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یمکن الخدشة فی جمیع الوجوه المذکورة.</w:t>
      </w:r>
    </w:p>
    <w:p>
      <w:pPr>
        <w:pStyle w:val="BookText"/>
      </w:pPr>
      <w:r>
        <w:rPr>
          <w:rFonts w:ascii="IRNazanin" w:hAnsi="IRNazanin" w:eastAsia="IRNazanin" w:cs="IRNazanin"/>
          <w:lang w:bidi="fa-IR"/>
          <w:color w:val="111111"/>
          <w:sz w:val="28"/>
          <w:szCs w:val="28"/>
          <w:rtl/>
        </w:rPr>
        <w:t xml:space="preserve">أمّا فی وجوب الاقتصار علی المتیقّن،فلأنه غیر متّجهٍ مع الاستصحاب.</w:t>
      </w:r>
    </w:p>
    <w:p>
      <w:pPr>
        <w:pStyle w:val="BookText"/>
      </w:pPr>
      <w:r>
        <w:rPr>
          <w:rFonts w:ascii="IRNazanin" w:hAnsi="IRNazanin" w:eastAsia="IRNazanin" w:cs="IRNazanin"/>
          <w:lang w:bidi="fa-IR"/>
          <w:color w:val="111111"/>
          <w:sz w:val="28"/>
          <w:szCs w:val="28"/>
          <w:rtl/>
        </w:rPr>
        <w:t xml:space="preserve">و أمّا ما ذکره فی جامع المقاصد من عموم الأزمنة فإن أراد به عمومها المستفاد من إطلاق الحکم بالنسبة إلی زمانه الراجع بدلیل الحکمة إلی استمراره فی جمیع الأزمنة،فلا یخفی أنّ هذا العموم فی کلّ فردٍ من موضوع الحکم تابعٌ لدخوله تحت العموم،فإذا فرض خروج فردٍ منه،فلا یفرق فیه بین خروجه عن حکم العامّ دائماً أو فی زمانٍ ما؛إذ لیس فی خروجه دائماً زیادة تخصیصٍ فی العامّ حتّی یقتصر عند الشکّ فیه علی المتیقّن،نظیر ما إذا ورد تحریم فعلٍ بعنوان العموم و خرج منه فردٌ خاصٌّ من ذلک الفعل،لکن وقع الشکّ فی أنّ ارتفاع الحرمة عن ذلک الفرد مختصٌّ ببعض الأزمنة أو عامٌّ لجمیعها،فإنّ اللازم هنا استصحاب حکم الخاصّ أعنی الحلّیة لا الرجوع فیما بعد الزمان المتیقّن إلی عموم التحریم،و لیس هذا من معارضة العموم للاستصحاب؛ و السرّ فیه ما عرفت:من تبعیّة العموم الزمانی للعموم الأفرادی،فإذا فرض خروج بعضها فلا مقتضی للعموم الزمانی فیه حتّی یقتصر فیه من حیث الزمان علی المتیقّن،بل الفرد الخارج واحدٌ،دام زمان خروجه أو انقطع.</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نعم،لو فرض إفادة الکلام للعموم الزمانی علی وجهٍ یکون الزمان مکثِّراً لأفراد العامّ،بحیث یکون الفرد فی کلّ زمانٍ مغایراً له فی زمانٍ آخر،کان اللازم بعد العلم بخروج فردٍ فی زمانٍ ما[الاقتصار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المتیقّن؛لأنّ خروج غیره من الزمان مستلزمٌ لخروج فردٍ آخر من العامّ غیر ما عُلم خروجه،کما إذا قال المولی لعبده:«أکرم العلماء فی کلّ یوم»بحیث کان إکرام کلِّ عالمٍ فی کلّ یومٍ واجباً مستقلا غیر إکرام ذلک العالم فی الیوم الآخر،فإذا علم بخروج زیدٍ العالم و شُکّ فی خروجه عن العموم یوماً أو أزید،وجب الرجوع فی ما بعد الیوم الأوّل إلی عموم وجوب الإکرام،لا إلی استصحاب عدم وجوبه،بل لو فرضنا عدم وجود ذلک العموم لم یجز التمسّک بالاستصحاب،بل یجب الرجوع إلی أصلٍ آخر؛کما أنّ فی الصورة الاُولی لو فرضنا عدم حجّیة الاستصحاب لم یجز الرجوع إلی العموم،فما أوضح الفرق بین الصورتین! ثمّ لا یخفی أنّ مناط هذا الفرق لیس کون عموم الزمان فی الصورة الاُولی من الإطلاق المحمول علی العموم بدلیل الحکمة و کونه فی الصورة الثانیة عموماً لغویّاً،بل المناط کون الزمان فی الأُولی ظرفاً للحکم و إن فُرض عمومه لغویّاً،فیکون الحکم فیه حکماً واحداً مستمرّاً لموضوعٍ واحد،فیکون مرجع الشکّ فیه إلی الشکّ فی استمرار حکمٍ واحدٍ و انقطاعه فیستصحب.و الزمان فی الثانیة مکثّرٌ لأفراد موضوع الحکم،فمرجع الشکّ فی وجود الحکم فی الآن الثانی إلی ثبوت حکم الخاصّ لفردٍ من العامّ مغایرٍ للفرد الأوّل،و معلومٌ أنّ المرجع فیه إلی أصالة العموم،فافهم و اغتنم.</w:t>
      </w:r>
    </w:p>
    <w:p>
      <w:pPr>
        <w:pStyle w:val="BookText"/>
      </w:pPr>
      <w:r>
        <w:rPr>
          <w:rFonts w:ascii="IRNazanin" w:hAnsi="IRNazanin" w:eastAsia="IRNazanin" w:cs="IRNazanin"/>
          <w:lang w:bidi="fa-IR"/>
          <w:color w:val="111111"/>
          <w:sz w:val="28"/>
          <w:szCs w:val="28"/>
          <w:rtl/>
        </w:rPr>
        <w:t xml:space="preserve">و بذلک یظهر فساد دفع کلام جامع المقاصد:بأنّ آیة أَوْفُوا..</w:t>
      </w:r>
    </w:p>
    <w:p>
      <w:pPr>
        <w:pStyle w:val="BookText"/>
      </w:pPr>
      <w:r>
        <w:rPr>
          <w:rFonts w:ascii="IRNazanin" w:hAnsi="IRNazanin" w:eastAsia="IRNazanin" w:cs="IRNazanin"/>
          <w:lang w:bidi="fa-IR"/>
          <w:color w:val="111111"/>
          <w:sz w:val="28"/>
          <w:szCs w:val="28"/>
          <w:rtl/>
        </w:rPr>
        <w:t xml:space="preserve">و غیرها مطلقةٌ لا عامّةٌ،فلا تنافی الاستصحاب </w:t>
      </w:r>
      <w:r>
        <w:rPr>
          <w:rStyle w:val="FootnoteReference"/>
        </w:rPr>
        <w:footnoteReference w:id="3254"/>
      </w:r>
      <w:r>
        <w:rPr>
          <w:rFonts w:ascii="Amiri" w:hAnsi="Amiri" w:eastAsia="Amiri" w:cs="Amiri"/>
          <w:lang w:bidi="ar-SA"/>
          <w:color w:val="111111"/>
          <w:sz w:val="28"/>
          <w:szCs w:val="28"/>
          <w:rtl/>
        </w:rPr>
        <w:t xml:space="preserve">إلّا أن یدّعی أنّ</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الإطلاقی لا یرجع إلّا إلی العموم الزمانی علی الوجه الأوّل.</w:t>
      </w:r>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3255"/>
      </w:r>
      <w:r>
        <w:rPr>
          <w:rFonts w:ascii="IRNazanin" w:hAnsi="IRNazanin" w:eastAsia="IRNazanin" w:cs="IRNazanin"/>
          <w:lang w:bidi="fa-IR"/>
          <w:color w:val="111111"/>
          <w:sz w:val="28"/>
          <w:szCs w:val="28"/>
          <w:rtl/>
        </w:rPr>
        <w:t xml:space="preserve">ظهر أیضاً ممّا ذکرنا من تغایر موردی الرجوع إلی الاستصحاب و الرجوع إلی العموم-:فساد ما قیل فی الأُصول:من أنّ الاستصحاب قد یخصّص العموم،و مثّل له بالصورة الأُولی،زعماً منه أنّ الاستصحاب قد خَصّص العموم </w:t>
      </w:r>
      <w:r>
        <w:rPr>
          <w:rStyle w:val="FootnoteReference"/>
        </w:rPr>
        <w:footnoteReference w:id="3256"/>
      </w:r>
      <w:r>
        <w:rPr>
          <w:rFonts w:ascii="IRNazanin" w:hAnsi="IRNazanin" w:eastAsia="IRNazanin" w:cs="IRNazanin"/>
          <w:lang w:bidi="fa-IR"/>
          <w:color w:val="111111"/>
          <w:sz w:val="28"/>
          <w:szCs w:val="28"/>
          <w:rtl/>
        </w:rPr>
        <w:t xml:space="preserve">.و قد عرفت أنّ مقام جریان الاستصحاب لا یجوز فیه الرجوع إلی العموم و لو علی فرض عدم الاستصحاب،و مقام جریان العموم لا یجوز فیه الرجوع إلی الاستصحاب و لو علی فرض عدم العموم،فلیس شیءٌ منهما ممنوعاً بالآخر فی شیءٍ من المقامین.</w:t>
      </w:r>
    </w:p>
    <w:p>
      <w:pPr>
        <w:pStyle w:val="BookText"/>
      </w:pPr>
      <w:r>
        <w:rPr>
          <w:rFonts w:ascii="IRNazanin" w:hAnsi="IRNazanin" w:eastAsia="IRNazanin" w:cs="IRNazanin"/>
          <w:lang w:bidi="fa-IR"/>
          <w:color w:val="111111"/>
          <w:sz w:val="28"/>
          <w:szCs w:val="28"/>
          <w:rtl/>
        </w:rPr>
        <w:t xml:space="preserve">إذا عرفت هذا فما نحن فیه من قبیل الأوّل؛لأنّ العقد المغبون فیه إذا خرج عن عموم وجوب الوفاء فلا فرق بین عدم وجوب الوفاء به فی زمانٍ واحدٍ و بین عدم وجوبه رأساً،نظیر العقد الجائز دائماً،فلیس الأمر دائراً بین قلّة التخصیص و کثرته حتّی یتمسّک بالعموم فیما عدا المتیقّن،فلو فرض عدم جریان الاستصحاب فی الخیار علی ما سنشیر إلیه لم یجز التمسّک بالعموم أیضاً.نعم،یتمسّک فیه حینئذٍ بأصالة اللزوم الثابتة بغیر العمومات.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استناد القول بالتراخی إلی الاستصحاب،فهو حسنٌ علی ما اشتهر من المسامحة فی تشخیص الموضوع فی استصحاب الحکم الشرعی الثابت بغیر الأدلّة اللفظیّة المشخِّصة للموضوع،مع کون الشکّ</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استعداد الحکم للبقاء.و أمّا علی التحقیق من عدم إحراز الموضوع فی مثل ذلک علی وجه التحقیق،فلا یجری فیما نحن فیه الاستصحاب؛فإنّ المتیقّن سابقاً ثبوت الخیار لمن لم یتمکّن من تدارک ضرره بالفسخ،فإذا فرضنا ثبوت </w:t>
      </w:r>
      <w:r>
        <w:rPr>
          <w:rStyle w:val="FootnoteReference"/>
        </w:rPr>
        <w:footnoteReference w:id="3257"/>
      </w:r>
      <w:r>
        <w:rPr>
          <w:rFonts w:ascii="IRNazanin" w:hAnsi="IRNazanin" w:eastAsia="IRNazanin" w:cs="IRNazanin"/>
          <w:lang w:bidi="fa-IR"/>
          <w:color w:val="111111"/>
          <w:sz w:val="28"/>
          <w:szCs w:val="28"/>
          <w:rtl/>
        </w:rPr>
        <w:t xml:space="preserve">الحکم من الشرع علی هذا الوجه </w:t>
      </w:r>
      <w:r>
        <w:rPr>
          <w:rStyle w:val="FootnoteReference"/>
        </w:rPr>
        <w:footnoteReference w:id="3258"/>
      </w:r>
      <w:r>
        <w:rPr>
          <w:rFonts w:ascii="IRNazanin" w:hAnsi="IRNazanin" w:eastAsia="IRNazanin" w:cs="IRNazanin"/>
          <w:lang w:bidi="fa-IR"/>
          <w:color w:val="111111"/>
          <w:sz w:val="28"/>
          <w:szCs w:val="28"/>
          <w:rtl/>
        </w:rPr>
        <w:t xml:space="preserve">فلا معنی لانسحابه فی الآن اللاحق مع کون الشخص قد تمکّن من التدارک و لم یفعل؛لأنّ هذا موضوعٌ آخر یکون إثبات الحکم له من القیاس المحرّم.</w:t>
      </w:r>
    </w:p>
    <w:p>
      <w:pPr>
        <w:pStyle w:val="BookText"/>
      </w:pPr>
      <w:r>
        <w:rPr>
          <w:rFonts w:ascii="IRNazanin" w:hAnsi="IRNazanin" w:eastAsia="IRNazanin" w:cs="IRNazanin"/>
          <w:lang w:bidi="fa-IR"/>
          <w:color w:val="111111"/>
          <w:sz w:val="28"/>
          <w:szCs w:val="28"/>
          <w:rtl/>
        </w:rPr>
        <w:t xml:space="preserve">نعم،لو أُحرز الموضوع من دلیلٍ لفظیٍّ علی المستصحب أو کان الشکّ فی رافع الحکم حتّی لا یحتمل أن یکون الشکّ لأجل تغیّر الموضوع اتّجه التمسّک بالاستصحاب.</w:t>
      </w:r>
    </w:p>
    <w:p>
      <w:pPr>
        <w:pStyle w:val="BookText"/>
      </w:pPr>
      <w:r>
        <w:rPr>
          <w:rFonts w:ascii="IRNazanin" w:hAnsi="IRNazanin" w:eastAsia="IRNazanin" w:cs="IRNazanin"/>
          <w:lang w:bidi="fa-IR"/>
          <w:color w:val="111111"/>
          <w:sz w:val="28"/>
          <w:szCs w:val="28"/>
          <w:rtl/>
        </w:rPr>
        <w:t xml:space="preserve">و أمّا ما ذکره فی الریاض </w:t>
      </w:r>
      <w:r>
        <w:rPr>
          <w:rStyle w:val="FootnoteReference"/>
        </w:rPr>
        <w:footnoteReference w:id="3259"/>
      </w:r>
      <w:r>
        <w:rPr>
          <w:rFonts w:ascii="IRNazanin" w:hAnsi="IRNazanin" w:eastAsia="IRNazanin" w:cs="IRNazanin"/>
          <w:lang w:bidi="fa-IR"/>
          <w:color w:val="111111"/>
          <w:sz w:val="28"/>
          <w:szCs w:val="28"/>
          <w:rtl/>
        </w:rPr>
        <w:t xml:space="preserve">،ففیه:أنّه إن بنی الأمر علی التدقیق فی موضوع الاستصحاب کما أشرنا هنا و حقّقناه فی الأُصول- فلا یجری الاستصحاب و إن کان المدرک للخیار الإجماع.و إن بنی علی المسامحة فیه کما اشتهر جری الاستصحاب و إن استند فی الخیار إلی قاعدة الضرر،کما اعترف به ولده قدّس سرّهما فی المناهل </w:t>
      </w:r>
      <w:r>
        <w:rPr>
          <w:rStyle w:val="FootnoteReference"/>
        </w:rPr>
        <w:footnoteReference w:id="3260"/>
      </w:r>
      <w:r>
        <w:rPr>
          <w:rFonts w:ascii="Amiri" w:hAnsi="Amiri" w:eastAsia="Amiri" w:cs="Amiri"/>
          <w:lang w:bidi="ar-SA"/>
          <w:color w:val="111111"/>
          <w:sz w:val="28"/>
          <w:szCs w:val="28"/>
          <w:rtl/>
        </w:rPr>
        <w:t xml:space="preserve">مستنداً</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احتمال أن یکون الضرر علّةً محدِثةً یکفی فی بقاء الحکم و إن ارتفع.</w:t>
      </w:r>
    </w:p>
    <w:p>
      <w:pPr>
        <w:pStyle w:val="BookText"/>
      </w:pPr>
      <w:r>
        <w:rPr>
          <w:rFonts w:ascii="IRNazanin" w:hAnsi="IRNazanin" w:eastAsia="IRNazanin" w:cs="IRNazanin"/>
          <w:lang w:bidi="fa-IR"/>
          <w:color w:val="111111"/>
          <w:sz w:val="28"/>
          <w:szCs w:val="28"/>
          <w:rtl/>
        </w:rPr>
        <w:t xml:space="preserve">إلّا أن یدّعی أنّه إذا استند الحکم إلی الضرر فالموضوع للخیار هو المتضرّر العاجز عن تدارک ضرره و هو غیر محقَّقٍ فی الزمان اللاحق، کما أشرنا.</w:t>
      </w:r>
    </w:p>
    <w:p>
      <w:pPr>
        <w:pStyle w:val="BookText"/>
      </w:pPr>
      <w:r>
        <w:rPr>
          <w:rFonts w:ascii="Amiri" w:hAnsi="Amiri" w:eastAsia="Amiri" w:cs="Amiri"/>
          <w:lang w:bidi="ar-SA"/>
          <w:color w:val="111111"/>
          <w:sz w:val="28"/>
          <w:szCs w:val="28"/>
          <w:rtl/>
        </w:rPr>
        <w:t xml:space="preserve">ثمّ إنّه بنی المسألةَ بعضُ المعاصرین </w:t>
      </w:r>
      <w:r>
        <w:rPr>
          <w:rStyle w:val="FootnoteReference"/>
        </w:rPr>
        <w:footnoteReference w:id="3261"/>
      </w:r>
      <w:r>
        <w:rPr>
          <w:rFonts w:ascii="IRNazanin" w:hAnsi="IRNazanin" w:eastAsia="IRNazanin" w:cs="IRNazanin"/>
          <w:lang w:bidi="fa-IR"/>
          <w:color w:val="111111"/>
          <w:sz w:val="28"/>
          <w:szCs w:val="28"/>
          <w:rtl/>
        </w:rPr>
        <w:t xml:space="preserve">علی ما لا محصَّل له،فقال ما لفظه:إنّ المسألة مبتنیة علی أنّ لزوم العقد معناه:أنّ أثر العقد مستمرٌّ إلی یوم القیامة و أنّ عموم الوفاء بالعقود عمومٌ زمانیٌّ؛للقطع بأن لیس المراد بالآیة الوفاء بالعقود آناً ما،بل علی الدوام،و قد فهم المشهور منها ذلک،و </w:t>
      </w:r>
      <w:r>
        <w:rPr>
          <w:rStyle w:val="FootnoteReference"/>
        </w:rPr>
        <w:footnoteReference w:id="3262"/>
      </w:r>
      <w:r>
        <w:rPr>
          <w:rFonts w:ascii="IRNazanin" w:hAnsi="IRNazanin" w:eastAsia="IRNazanin" w:cs="IRNazanin"/>
          <w:lang w:bidi="fa-IR"/>
          <w:color w:val="111111"/>
          <w:sz w:val="28"/>
          <w:szCs w:val="28"/>
          <w:rtl/>
        </w:rPr>
        <w:t xml:space="preserve">باعتبار أنّ الوفاء بها العمل بمقتضاها و لا ریب أنّ مفاده عرفاً و بحسب قصد المتعاقدین الدوام،</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فإذا دلّ دلیلٌ علی ثبوت خیارٍ:من ضررٍ،أو إجماعٍ،أو نصٍّ فی ثبوته فی الماضی أو مطلقاً بناءً علی الإهمال لا الإطلاق فی الأخبار فیکون استثناءً من ذلک العامّ و یبقی العامّ علی عمومه،کاستثناء أیّام الإقامة و الثلاثین و وقت المعصیة و نحوها من حکم السفر.</w:t>
      </w:r>
    </w:p>
    <w:p>
      <w:pPr>
        <w:pStyle w:val="BookText"/>
      </w:pPr>
      <w:r>
        <w:rPr>
          <w:rFonts w:ascii="IRNazanin" w:hAnsi="IRNazanin" w:eastAsia="IRNazanin" w:cs="IRNazanin"/>
          <w:lang w:bidi="fa-IR"/>
          <w:color w:val="111111"/>
          <w:sz w:val="28"/>
          <w:szCs w:val="28"/>
          <w:rtl/>
        </w:rPr>
        <w:t xml:space="preserve">أو أنّ اللزوم لیس کالعموم و إنّما یُثبت مِلکاً سابقاً و یبقی حکمه مستصحَباً إلی المزیل،فتکون المعارضة بین استصحابین،و الثانی واردٌ علی الأوّل،فیقدّم علیه،و الأوّل أقوی؛لأنّ حدوث الحادث مع زوال علّته السابقة یقضی بعدم اعتبار السابق،أمّا مع بقائها فلا یلغو اعتبار</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السابق،انتهی.</w:t>
      </w:r>
    </w:p>
    <w:p>
      <w:pPr>
        <w:pStyle w:val="BookText"/>
      </w:pPr>
      <w:r>
        <w:rPr>
          <w:rFonts w:ascii="IRNazanin" w:hAnsi="IRNazanin" w:eastAsia="IRNazanin" w:cs="IRNazanin"/>
          <w:lang w:bidi="fa-IR"/>
          <w:color w:val="111111"/>
          <w:sz w:val="28"/>
          <w:szCs w:val="28"/>
          <w:rtl/>
        </w:rPr>
        <w:t xml:space="preserve">و لا یخفی أنّ ما ذکره من المبنی للرجوع إلی العموم-و هو استمرار اللزوم مبنیٌّ لطرح العموم و الرجوع إلی الاستصحاب.</w:t>
      </w:r>
    </w:p>
    <w:p>
      <w:pPr>
        <w:pStyle w:val="BookText"/>
      </w:pPr>
      <w:r>
        <w:rPr>
          <w:rFonts w:ascii="IRNazanin" w:hAnsi="IRNazanin" w:eastAsia="IRNazanin" w:cs="IRNazanin"/>
          <w:lang w:bidi="fa-IR"/>
          <w:color w:val="111111"/>
          <w:sz w:val="28"/>
          <w:szCs w:val="28"/>
          <w:rtl/>
        </w:rPr>
        <w:t xml:space="preserve">و أمّا ما ذکره أخیراً لمبنی الرجوع إلی الاستصحاب،و حاصله:</w:t>
      </w:r>
    </w:p>
    <w:p>
      <w:pPr>
        <w:pStyle w:val="BookText"/>
      </w:pPr>
      <w:r>
        <w:rPr>
          <w:rFonts w:ascii="IRNazanin" w:hAnsi="IRNazanin" w:eastAsia="IRNazanin" w:cs="IRNazanin"/>
          <w:lang w:bidi="fa-IR"/>
          <w:color w:val="111111"/>
          <w:sz w:val="28"/>
          <w:szCs w:val="28"/>
          <w:rtl/>
        </w:rPr>
        <w:t xml:space="preserve">أنّ اللزوم إنّما یثبت بالاستصحاب،فإذا ورد علیه استصحاب الخیار قُدّم علیه.</w:t>
      </w:r>
    </w:p>
    <w:p>
      <w:pPr>
        <w:pStyle w:val="BookText"/>
      </w:pPr>
      <w:r>
        <w:rPr>
          <w:rFonts w:ascii="IRNazanin" w:hAnsi="IRNazanin" w:eastAsia="IRNazanin" w:cs="IRNazanin"/>
          <w:lang w:bidi="fa-IR"/>
          <w:color w:val="111111"/>
          <w:sz w:val="28"/>
          <w:szCs w:val="28"/>
          <w:rtl/>
        </w:rPr>
        <w:t xml:space="preserve">ففیه:أنّ الکلّ متّفقون علی الاستناد فی أصالة اللزوم إلی عموم آیة الوفاء و إن أمکن الاستناد فیه إلی الاستصحاب أیضاً،فلا وجه للإغماض عن الآیة و ملاحظة الاستصحاب المقتضی للّزوم مع استصحاب الخیار.</w:t>
      </w:r>
    </w:p>
    <w:p>
      <w:pPr>
        <w:pStyle w:val="BookText"/>
      </w:pPr>
      <w:r>
        <w:rPr>
          <w:rFonts w:ascii="IRNazanin" w:hAnsi="IRNazanin" w:eastAsia="IRNazanin" w:cs="IRNazanin"/>
          <w:lang w:bidi="fa-IR"/>
          <w:color w:val="111111"/>
          <w:sz w:val="28"/>
          <w:szCs w:val="28"/>
          <w:rtl/>
        </w:rPr>
        <w:t xml:space="preserve">ثمّ إنّه قد علم من تضاعیف ما أوردناه علی کلمات الجماعة:أنّ الأقوی کون الخیار هنا علی الفور؛لأنّه لمّا لم یجز التمسّک فی الزمان الثانی بالعموم لما عرفت سابقاً:من أنّ مرجع العموم الزمانی فی هذا المقام إلی استمرار الحکم فی الأفراد فإذا انقطع الاستمرار فلا دلیل علی العود إلیه،کما فی جمیع الأحکام المستمرّة إذا طرأ علیها الانقطاع- و لا باستصحاب الخیار لما عرفت:من أنّ الموضوع غیر محرَزٍ؛لاحتمال کون موضوع الحکم عند الشارع هو من لم یتمکّن من تدارک ضرره بالفسخ،فلا یشمل الشخصَ المتمکّن منه التارک له،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بل قد یُستظهر ذلک من حدیث نفی الضرر تَعیَّنَ </w:t>
      </w:r>
      <w:r>
        <w:rPr>
          <w:rStyle w:val="FootnoteReference"/>
        </w:rPr>
        <w:footnoteReference w:id="3263"/>
      </w:r>
      <w:r>
        <w:rPr>
          <w:rFonts w:ascii="IRNazanin" w:hAnsi="IRNazanin" w:eastAsia="IRNazanin" w:cs="IRNazanin"/>
          <w:lang w:bidi="fa-IR"/>
          <w:color w:val="111111"/>
          <w:sz w:val="28"/>
          <w:szCs w:val="28"/>
          <w:rtl/>
        </w:rPr>
        <w:t xml:space="preserve">الرجوع إلی أصالة فساد فسخ المغبون و عدم ترتّب الأثر علیه و بقاء آثار العقد،فیثبت اللزوم من</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الجهة.و هذا لیس کاستصحاب الخیار؛لأنّ الشکّ هنا فی الرافع، فالموضوع محرَزٌ کما فی استصحاب الطهارة بعد خروج المذی،فافهم و اغتنم،و الحمد للّٰه.</w:t>
      </w:r>
    </w:p>
    <w:p>
      <w:pPr>
        <w:pStyle w:val="BookText"/>
      </w:pPr>
      <w:r>
        <w:rPr>
          <w:rFonts w:ascii="IRNazanin" w:hAnsi="IRNazanin" w:eastAsia="IRNazanin" w:cs="IRNazanin"/>
          <w:lang w:bidi="fa-IR"/>
          <w:color w:val="111111"/>
          <w:sz w:val="28"/>
          <w:szCs w:val="28"/>
          <w:rtl/>
        </w:rPr>
        <w:t xml:space="preserve">هذا،مضافاً إلی ما قد یقال هنا و فیما یشبهه من إجازة عقد الفضولی و نکاحه و غیرهما-:من أنّ تجویز التأخیر فیها ضررٌ علی من علیه الخیار،و فیه تأمّلٌ.</w:t>
      </w:r>
    </w:p>
    <w:p>
      <w:pPr>
        <w:pStyle w:val="BookText"/>
      </w:pPr>
      <w:r>
        <w:rPr>
          <w:rFonts w:ascii="IRNazanin" w:hAnsi="IRNazanin" w:eastAsia="IRNazanin" w:cs="IRNazanin"/>
          <w:lang w:bidi="fa-IR"/>
          <w:color w:val="111111"/>
          <w:sz w:val="28"/>
          <w:szCs w:val="28"/>
          <w:rtl/>
        </w:rPr>
        <w:t xml:space="preserve">ثمّ إنّ مقتضی ما استند إلیه للفوریّة عدا هذا المؤیّد الأخیر- هی الفوریّة العرفیّة؛لأنّ الاقتصار علی الحقیقیّة حرجٌ علی ذی الخیار، فلا ینبغی تدارک الضرر به،و الزائد علیها لا دلیل علیه عدا الاستصحاب المتسالَم علی ردّه بین أهل هذا القول.</w:t>
      </w:r>
    </w:p>
    <w:p>
      <w:pPr>
        <w:pStyle w:val="BookText"/>
      </w:pPr>
      <w:r>
        <w:rPr>
          <w:rFonts w:ascii="IRNazanin" w:hAnsi="IRNazanin" w:eastAsia="IRNazanin" w:cs="IRNazanin"/>
          <w:lang w:bidi="fa-IR"/>
          <w:color w:val="111111"/>
          <w:sz w:val="28"/>
          <w:szCs w:val="28"/>
          <w:rtl/>
        </w:rPr>
        <w:t xml:space="preserve">لکن الذی یظهر من التذکرة فی خیار العیب علی القول بفوریّته ما هو أوسع من الفور العرفی،قال:خیار العیب لیس علی الفور علی ما تقدّم،خلافاً للشافعی،فإنّه اشترط الفوریّة و المبادرة بالعادة، فلا یؤمر بالعَدْو و لا الرکض لیردّ،و إن کان مشغولاً بصلاةٍ أو أکلٍ أو قضاء حاجةٍ فله الخیار إلی أن یفرغ،و کذا لو اطّلع حین دخل وقت هذه الأُمور فاشتغل بها فلا بأس إجماعاً،و کذا لو لبس ثوباً أو أغلق باباً.و لو اطّلع علی العیب لیلاً فله التأخیر إلی أن یُصبح و إن لم یکن عذر </w:t>
      </w:r>
      <w:r>
        <w:rPr>
          <w:rStyle w:val="FootnoteReference"/>
        </w:rPr>
        <w:footnoteReference w:id="326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صرّح فی الشفعة علی القول بفوریّتها بما یقرب من ذلک و جعلها من الأعذار.و صرّح فی الشفعة بأنّه لا یجب المبادرة علی</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العادة،و رجع </w:t>
      </w:r>
      <w:r>
        <w:rPr>
          <w:rStyle w:val="FootnoteReference"/>
        </w:rPr>
        <w:footnoteReference w:id="3265"/>
      </w:r>
      <w:r>
        <w:rPr>
          <w:rFonts w:ascii="Amiri" w:hAnsi="Amiri" w:eastAsia="Amiri" w:cs="Amiri"/>
          <w:lang w:bidi="ar-SA"/>
          <w:color w:val="111111"/>
          <w:sz w:val="28"/>
          <w:szCs w:val="28"/>
          <w:rtl/>
        </w:rPr>
        <w:t xml:space="preserve">فی ذلک کلّه إلی العرف،فکلّ ما لا یُعدّ تقصیراً لا یبطل به الشفعة،و کلّ ما یُعدّ تقصیراً و توانیاً فی الطلب فإنّه مسقطٌ لها </w:t>
      </w:r>
      <w:r>
        <w:rPr>
          <w:rStyle w:val="FootnoteReference"/>
        </w:rPr>
        <w:footnoteReference w:id="326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المسألة لا تخلو عن إشکالٍ،لأنّ جعل حضور وقت الصلاة أو دخول اللیل عذراً فی ترک الفسخ المتحقّق بمجرّد قوله:«فسخت» لا دلیل علیه.نعم،لو توقّف الفسخ علی الحضور عند الخصم أو القاضی أو علی الإشهاد،توجّه ما ذکر فی الجملة،مع أنّ قیام الدلیل علیه مشکلٌ،إلّا أن یُجعل الدلیل علی الفوریّة لزوم الإضرار لمن علیه الخیار،فدفع </w:t>
      </w:r>
      <w:r>
        <w:rPr>
          <w:rStyle w:val="FootnoteReference"/>
        </w:rPr>
        <w:footnoteReference w:id="3267"/>
      </w:r>
      <w:r>
        <w:rPr>
          <w:rFonts w:ascii="IRNazanin" w:hAnsi="IRNazanin" w:eastAsia="IRNazanin" w:cs="IRNazanin"/>
          <w:lang w:bidi="fa-IR"/>
          <w:color w:val="111111"/>
          <w:sz w:val="28"/>
          <w:szCs w:val="28"/>
          <w:rtl/>
        </w:rPr>
        <w:t xml:space="preserve">ذلک بلزوم المبادرة العرفیّة بحیث لا یُعدّ متوانیاً فیه، فإنّ هذا هو الذی یضرّ بحال من علیه الخیار من جهة عدم استقرار ملکه و کون تصرّفاته فیه فی معرض النقض </w:t>
      </w:r>
      <w:r>
        <w:rPr>
          <w:rStyle w:val="FootnoteReference"/>
        </w:rPr>
        <w:footnoteReference w:id="3268"/>
      </w:r>
      <w:r>
        <w:rPr>
          <w:rFonts w:ascii="IRNazanin" w:hAnsi="IRNazanin" w:eastAsia="IRNazanin" w:cs="IRNazanin"/>
          <w:lang w:bidi="fa-IR"/>
          <w:color w:val="111111"/>
          <w:sz w:val="28"/>
          <w:szCs w:val="28"/>
          <w:rtl/>
        </w:rPr>
        <w:t xml:space="preserve">.لکنّک عرفت التأمّل فی هذا الدلیل.</w:t>
      </w:r>
    </w:p>
    <w:p>
      <w:pPr>
        <w:pStyle w:val="BookText"/>
      </w:pPr>
      <w:r>
        <w:rPr>
          <w:rFonts w:ascii="IRNazanin" w:hAnsi="IRNazanin" w:eastAsia="IRNazanin" w:cs="IRNazanin"/>
          <w:lang w:bidi="fa-IR"/>
          <w:color w:val="111111"/>
          <w:sz w:val="28"/>
          <w:szCs w:val="28"/>
          <w:rtl/>
        </w:rPr>
        <w:t xml:space="preserve">فالإنصاف:أنّه إن تمّ الإجماع الذی تقدّم </w:t>
      </w:r>
      <w:r>
        <w:rPr>
          <w:rStyle w:val="FootnoteReference"/>
        </w:rPr>
        <w:footnoteReference w:id="3269"/>
      </w:r>
      <w:r>
        <w:rPr>
          <w:rFonts w:ascii="IRNazanin" w:hAnsi="IRNazanin" w:eastAsia="IRNazanin" w:cs="IRNazanin"/>
          <w:lang w:bidi="fa-IR"/>
          <w:color w:val="111111"/>
          <w:sz w:val="28"/>
          <w:szCs w:val="28"/>
          <w:rtl/>
        </w:rPr>
        <w:t xml:space="preserve">عن العلّامة علی عدم البأس بالأُمور المذکورة و عدم قدح أمثالها فی الفوریّة،فهو،و إلّا وجب الاقتصار علی أوّل مراتب إمکان إنشاء الفسخ،و اللّٰه العالم.</w:t>
      </w:r>
    </w:p>
    <w:p>
      <w:pPr>
        <w:pStyle w:val="BookText"/>
      </w:pPr>
      <w:r>
        <w:rPr>
          <w:rFonts w:ascii="IRNazanin" w:hAnsi="IRNazanin" w:eastAsia="IRNazanin" w:cs="IRNazanin"/>
          <w:lang w:bidi="fa-IR"/>
          <w:color w:val="111111"/>
          <w:sz w:val="28"/>
          <w:szCs w:val="28"/>
          <w:rtl/>
        </w:rPr>
        <w:t xml:space="preserve">ثمّ إنّ الظاهر أنّه لا خلاف فی معذوریّة الجاهل بالخیار فی ترک</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المبادرة،لعموم نفی الضرر؛إذ لا فرق بین الجاهل بالغبن و الجاهل بحکمه،و لیس ترک الفحص عن الحکم الشرعی منافیاً لمعذوریّته،کترک الفحص عن الغبن و عدمه.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جهل الفوریّة فظاهر بعضٍ الوفاق علی المعذوریّة.و یشکل بعدم جریان نفی الضرر هنا؛لتمکّنه من الفسخ و تدارک الضرر،فیرجع إلی ما تقدّم من أصالة بقاء آثار العقد و عدم صحّة فسخ المغبون بعد الزمان الأوّل.و قد حکی عن بعض الأساطین عدم المعذوریّة فی خیار التأخیر </w:t>
      </w:r>
      <w:r>
        <w:rPr>
          <w:rStyle w:val="FootnoteReference"/>
        </w:rPr>
        <w:footnoteReference w:id="3270"/>
      </w:r>
      <w:r>
        <w:rPr>
          <w:rFonts w:ascii="IRNazanin" w:hAnsi="IRNazanin" w:eastAsia="IRNazanin" w:cs="IRNazanin"/>
          <w:lang w:bidi="fa-IR"/>
          <w:color w:val="111111"/>
          <w:sz w:val="28"/>
          <w:szCs w:val="28"/>
          <w:rtl/>
        </w:rPr>
        <w:t xml:space="preserve">،و المناط واحدٌ.</w:t>
      </w:r>
    </w:p>
    <w:p>
      <w:pPr>
        <w:pStyle w:val="BookText"/>
      </w:pPr>
      <w:r>
        <w:rPr>
          <w:rFonts w:ascii="IRNazanin" w:hAnsi="IRNazanin" w:eastAsia="IRNazanin" w:cs="IRNazanin"/>
          <w:lang w:bidi="fa-IR"/>
          <w:color w:val="111111"/>
          <w:sz w:val="28"/>
          <w:szCs w:val="28"/>
          <w:rtl/>
        </w:rPr>
        <w:t xml:space="preserve">و لو ادّعی الجهل بالخیار فالأقوی القبول،إلّا أن یکون ممّا لا یخفی علیه هذا الحکم الشرعی إلّا لعارضٍ،ففیه نظرٌ.</w:t>
      </w:r>
    </w:p>
    <w:p>
      <w:pPr>
        <w:pStyle w:val="BookText"/>
      </w:pPr>
      <w:r>
        <w:rPr>
          <w:rFonts w:ascii="IRNazanin" w:hAnsi="IRNazanin" w:eastAsia="IRNazanin" w:cs="IRNazanin"/>
          <w:lang w:bidi="fa-IR"/>
          <w:color w:val="111111"/>
          <w:sz w:val="28"/>
          <w:szCs w:val="28"/>
          <w:rtl/>
        </w:rPr>
        <w:t xml:space="preserve">و قال فی التذکرة فی باب الشفعة:إنّه لو قال:«لم أعلم ثبوت حقّ الشفعة»أو قال:«أخّرت لأنی لم أعلم أنّ الشفعة علی الفور» فإن کان قریب العهد بالإسلام أو نشأ فی بریّةٍ لا یعرفون الأحکام قُبل قوله و له الأخذ بالشفعة،و إلّا فلا </w:t>
      </w:r>
      <w:r>
        <w:rPr>
          <w:rStyle w:val="FootnoteReference"/>
        </w:rPr>
        <w:footnoteReference w:id="327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فإن أراد بالتقیید المذکور تخصیص السماع بمن یحتمل فی حقّه الجهل،فلا حاجة إلیه؛لأنّ أکثر العوامّ و کثیراً من الخواصّ لا یعلمون مثل هذه الأحکام.و إن أراد تخصیص السماع بمن یکون الظاهر فی حقّه عدم العلم،ففیه:أنّه لا داعی إلی اعتبار الظهور،مع أنّ الأصل العدم.</w:t>
      </w:r>
    </w:p>
    <w:p>
      <w:pPr>
        <w:pStyle w:val="BookText"/>
      </w:pPr>
      <w:r>
        <w:rPr>
          <w:rFonts w:ascii="IRNazanin" w:hAnsi="IRNazanin" w:eastAsia="IRNazanin" w:cs="IRNazanin"/>
          <w:lang w:bidi="fa-IR"/>
          <w:color w:val="111111"/>
          <w:sz w:val="28"/>
          <w:szCs w:val="28"/>
          <w:rtl/>
        </w:rPr>
        <w:t xml:space="preserve">و الأقوی:أنّ الناسی فی حکم الجاهل.و فی سماع دعواه النسیان</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نظرٌ:من أنّه مدّعٍ،و من تعسّر إقامة البیّنة علیه و أنّه لا یُعرف إلّا من قِبَله.</w:t>
      </w:r>
    </w:p>
    <w:p>
      <w:pPr>
        <w:pStyle w:val="BookText"/>
      </w:pPr>
      <w:r>
        <w:rPr>
          <w:rFonts w:ascii="IRNazanin" w:hAnsi="IRNazanin" w:eastAsia="IRNazanin" w:cs="IRNazanin"/>
          <w:lang w:bidi="fa-IR"/>
          <w:color w:val="111111"/>
          <w:sz w:val="28"/>
          <w:szCs w:val="28"/>
          <w:rtl/>
        </w:rPr>
        <w:t xml:space="preserve">و أمّا الشاکّ فی ثبوت الخیار فالظاهر معذوریّته.و یحتمل عدم معذوریّته؛لتمکّنه من الفسخ بعد الاطّلاع علی الغبن ثمّ السؤال عن صحّته شرعاً،فهو متمکّنٌ من الفسخ العرفی،إذ الجهل بالصحّة لا یمنع عن الإنشاء،فهو مقصّرٌ بترک الفسخ لا لعذرٍ،فافهم،و اللّٰه العالم.</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373" w:name="pg14419_167498"/>
    <w:bookmarkEnd w:id="373"/>
    <w:p>
      <w:pPr>
        <w:pStyle w:val="Heading6"/>
      </w:pPr>
      <w:bookmarkStart w:id="1277" w:name="_Toc717"/>
      <w:r>
        <w:t>الخامس : خیار التأخیر</w:t>
      </w:r>
      <w:bookmarkEnd w:id="1277"/>
    </w:p>
    <w:p>
      <w:pPr>
        <w:pStyle w:val="Heading6"/>
      </w:pPr>
      <w:bookmarkStart w:id="1278" w:name="_Toc718"/>
      <w:r>
        <w:t>اشارة</w:t>
      </w:r>
      <w:bookmarkEnd w:id="1278"/>
    </w:p>
    <w:p>
      <w:pPr>
        <w:pStyle w:val="BookText"/>
      </w:pPr>
      <w:r>
        <w:rPr>
          <w:rFonts w:ascii="IRNazanin" w:hAnsi="IRNazanin" w:eastAsia="IRNazanin" w:cs="IRNazanin"/>
          <w:lang w:bidi="fa-IR"/>
          <w:color w:val="111111"/>
          <w:sz w:val="28"/>
          <w:szCs w:val="28"/>
          <w:rtl/>
        </w:rPr>
        <w:t xml:space="preserve">قال فی التذکرة:من باع شیئاً و لم یسلّمه إلی المشتری و لا قبض الثمن و لا شرط تأخیره و لو ساعةً لزم البیع ثلاثة أیّام،فإن جاء المشتری بالثمن فی هذه الثلاثة فهو أحقّ بالعین.و إن مضت الثلاثة و لم یأتِ بالثمن تخیّر البائع بین فسخ العقد و الصبر و المطالبة بالثمن عند علمائنا أجمع </w:t>
      </w:r>
      <w:r>
        <w:rPr>
          <w:rStyle w:val="FootnoteReference"/>
        </w:rPr>
        <w:footnoteReference w:id="3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 ذلک قبل الإجماع المحکیّ </w:t>
      </w:r>
      <w:r>
        <w:rPr>
          <w:rStyle w:val="FootnoteReference"/>
        </w:rPr>
        <w:footnoteReference w:id="3273"/>
      </w:r>
      <w:r>
        <w:rPr>
          <w:rFonts w:ascii="IRNazanin" w:hAnsi="IRNazanin" w:eastAsia="IRNazanin" w:cs="IRNazanin"/>
          <w:lang w:bidi="fa-IR"/>
          <w:color w:val="111111"/>
          <w:sz w:val="28"/>
          <w:szCs w:val="28"/>
          <w:rtl/>
        </w:rPr>
        <w:t xml:space="preserve">عن الانتصار و الخلاف و الجواهر و غیرها </w:t>
      </w:r>
      <w:r>
        <w:rPr>
          <w:rStyle w:val="FootnoteReference"/>
        </w:rPr>
        <w:footnoteReference w:id="3274"/>
      </w:r>
      <w:r>
        <w:rPr>
          <w:rFonts w:ascii="IRNazanin" w:hAnsi="IRNazanin" w:eastAsia="IRNazanin" w:cs="IRNazanin"/>
          <w:lang w:bidi="fa-IR"/>
          <w:color w:val="111111"/>
          <w:sz w:val="28"/>
          <w:szCs w:val="28"/>
          <w:rtl/>
        </w:rPr>
        <w:t xml:space="preserve">المعتضد بدعوی الاتّفاق المصرَّح بها فی التذکرة </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الظاهرة من غیرها،و بما ذکره فی التذکرة:من أنّ الصبر أبداً مظنّة الضرر المنفیّ بالخبر </w:t>
      </w:r>
      <w:r>
        <w:rPr>
          <w:rStyle w:val="FootnoteReference"/>
        </w:rPr>
        <w:footnoteReference w:id="3276"/>
      </w:r>
      <w:r>
        <w:rPr>
          <w:rFonts w:ascii="IRNazanin" w:hAnsi="IRNazanin" w:eastAsia="IRNazanin" w:cs="IRNazanin"/>
          <w:lang w:bidi="fa-IR"/>
          <w:color w:val="111111"/>
          <w:sz w:val="28"/>
          <w:szCs w:val="28"/>
          <w:rtl/>
        </w:rPr>
        <w:t xml:space="preserve">،بل الضرر هنا أشدّ من الضرر فی الغبن؛حیث إنّ المبیع هنا فی ضمانه و تلفه منه و ملکٌ لغیره لا یجوز له التصرّف فیه- الأخبار المستفیضة،منها: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روایة علیّ بن یقطین،قال:«سألت أبا الحسن علیه السلام عن الرجل یبیع البیع و لا یقبضه صاحبه و لا یقبض الثمن،قال:الأجل بینهما ثلاثة أیّام،فإن قبض </w:t>
      </w:r>
      <w:r>
        <w:rPr>
          <w:rStyle w:val="FootnoteReference"/>
        </w:rPr>
        <w:footnoteReference w:id="3277"/>
      </w:r>
      <w:r>
        <w:rPr>
          <w:rFonts w:ascii="IRNazanin" w:hAnsi="IRNazanin" w:eastAsia="IRNazanin" w:cs="IRNazanin"/>
          <w:lang w:bidi="fa-IR"/>
          <w:color w:val="111111"/>
          <w:sz w:val="28"/>
          <w:szCs w:val="28"/>
          <w:rtl/>
        </w:rPr>
        <w:t xml:space="preserve">بیعه،و إلّا فلا بیع بینهما» </w:t>
      </w:r>
      <w:r>
        <w:rPr>
          <w:rStyle w:val="FootnoteReference"/>
        </w:rPr>
        <w:footnoteReference w:id="3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إسحاق بن عمّار عن العبد الصالح،قال:«من اشتری بیعاً فمضت ثلاثة أیّامٍ و لم یجیء،فلا بیع له»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ابن الحجّاج قال:«اشتریت محمِلاً و أعطیت بعض الثمن و ترکته عند صاحبه،ثمّ احتبست أیّاماً،ثمّ جئت إلی بائع المحمِل لآخذه،فقال:قد بعته،فضحکت،ثمّ قلت:لا و اللّٰه!لا أدعک أو أُقاضیک،فقال:أ ترضی بأبی بکر بن عیّاش؟قلت:نعم،فأتیناه فقصصنا علیه قصّتنا،فقال أبو بکر:بقول من تحبّ أن یُقضی </w:t>
      </w:r>
      <w:r>
        <w:rPr>
          <w:rStyle w:val="FootnoteReference"/>
        </w:rPr>
        <w:footnoteReference w:id="3280"/>
      </w:r>
      <w:r>
        <w:rPr>
          <w:rFonts w:ascii="IRNazanin" w:hAnsi="IRNazanin" w:eastAsia="IRNazanin" w:cs="IRNazanin"/>
          <w:lang w:bidi="fa-IR"/>
          <w:color w:val="111111"/>
          <w:sz w:val="28"/>
          <w:szCs w:val="28"/>
          <w:rtl/>
        </w:rPr>
        <w:t xml:space="preserve">بینکما، بقول صاحبک أو غیره؟قلت:بقول صاحبی،قال:سمعته یقول:من اشتری شیئاً فجاء بالثمن ما بینه و بین ثلاثة أیّام،و إلّا فلا بیع له»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صحیحة زرارة عن أبی جعفر علیه السلام:«قلت له:الرجل یشتری من الرجل المتاع ثمّ یدعه عنده،فیقول:آتیک بثمنه؟قال:إن جاء ما بینه و بین ثلاثة أیّام،و إلّا فلا بیع له» </w:t>
      </w:r>
      <w:r>
        <w:rPr>
          <w:rStyle w:val="FootnoteReference"/>
        </w:rPr>
        <w:footnoteReference w:id="3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هذه الأخبار بطلان البیع،کما فهمه فی المبسوط حیث قال:روی أصحابنا أنّه إذا اشتری شیئاً بعینه بثمنٍ معلومٍ و قال للبائع أجیئک بالثمن و مضی،فإن جاء فی مدّة الثلاثة کان البیع له،و إن لم یرتجع بطل البیع </w:t>
      </w:r>
      <w:r>
        <w:rPr>
          <w:rStyle w:val="FootnoteReference"/>
        </w:rPr>
        <w:footnoteReference w:id="328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ربما یُحکی </w:t>
      </w:r>
      <w:r>
        <w:rPr>
          <w:rStyle w:val="FootnoteReference"/>
        </w:rPr>
        <w:footnoteReference w:id="3284"/>
      </w:r>
      <w:r>
        <w:rPr>
          <w:rFonts w:ascii="IRNazanin" w:hAnsi="IRNazanin" w:eastAsia="IRNazanin" w:cs="IRNazanin"/>
          <w:lang w:bidi="fa-IR"/>
          <w:color w:val="111111"/>
          <w:sz w:val="28"/>
          <w:szCs w:val="28"/>
          <w:rtl/>
        </w:rPr>
        <w:t xml:space="preserve">عن ظاهر الإسکافی </w:t>
      </w:r>
      <w:r>
        <w:rPr>
          <w:rStyle w:val="FootnoteReference"/>
        </w:rPr>
        <w:footnoteReference w:id="3285"/>
      </w:r>
      <w:r>
        <w:rPr>
          <w:rFonts w:ascii="IRNazanin" w:hAnsi="IRNazanin" w:eastAsia="IRNazanin" w:cs="IRNazanin"/>
          <w:lang w:bidi="fa-IR"/>
          <w:color w:val="111111"/>
          <w:sz w:val="28"/>
          <w:szCs w:val="28"/>
          <w:rtl/>
        </w:rPr>
        <w:t xml:space="preserve">المعبِّر بلفظ الروایات، و توقّف فیه المحقّق الأردبیلی </w:t>
      </w:r>
      <w:r>
        <w:rPr>
          <w:rStyle w:val="FootnoteReference"/>
        </w:rPr>
        <w:footnoteReference w:id="3286"/>
      </w:r>
      <w:r>
        <w:rPr>
          <w:rFonts w:ascii="IRNazanin" w:hAnsi="IRNazanin" w:eastAsia="IRNazanin" w:cs="IRNazanin"/>
          <w:lang w:bidi="fa-IR"/>
          <w:color w:val="111111"/>
          <w:sz w:val="28"/>
          <w:szCs w:val="28"/>
          <w:rtl/>
        </w:rPr>
        <w:t xml:space="preserve">،و قوّاه صاحب الکفایة </w:t>
      </w:r>
      <w:r>
        <w:rPr>
          <w:rStyle w:val="FootnoteReference"/>
        </w:rPr>
        <w:footnoteReference w:id="3287"/>
      </w:r>
      <w:r>
        <w:rPr>
          <w:rFonts w:ascii="IRNazanin" w:hAnsi="IRNazanin" w:eastAsia="IRNazanin" w:cs="IRNazanin"/>
          <w:lang w:bidi="fa-IR"/>
          <w:color w:val="111111"/>
          <w:sz w:val="28"/>
          <w:szCs w:val="28"/>
          <w:rtl/>
        </w:rPr>
        <w:t xml:space="preserve">،و جزم به فی الحدائق طاعناً علی العلّامة فی المختلف،حیث إنّه اعترف بظهور الأخبار فی خلاف المشهور ثمّ اختار المشهور مستدلا بأنّ الأصل بقاء صحّة العقد،و حَمَل الأخبار علی نفی اللزوم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أقول:ظهور الأخبار فی الفساد فی محلّه،إلّا أنّ فهم العلماء</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374" w:name="pg14419_167501"/>
    <w:bookmarkEnd w:id="374"/>
    <w:p>
      <w:pPr>
        <w:pStyle w:val="BookText"/>
      </w:pPr>
      <w:r>
        <w:rPr>
          <w:rFonts w:ascii="Amiri" w:hAnsi="Amiri" w:eastAsia="Amiri" w:cs="Amiri"/>
          <w:lang w:bidi="ar-SA"/>
          <w:color w:val="111111"/>
          <w:sz w:val="28"/>
          <w:szCs w:val="28"/>
          <w:rtl/>
        </w:rPr>
        <w:t xml:space="preserve">و حَمَلَةِ الأخبار نفیَ اللزوم </w:t>
      </w:r>
      <w:r>
        <w:rPr>
          <w:rStyle w:val="FootnoteReference"/>
        </w:rPr>
        <w:footnoteReference w:id="3289"/>
      </w:r>
      <w:r>
        <w:rPr>
          <w:rFonts w:ascii="IRNazanin" w:hAnsi="IRNazanin" w:eastAsia="IRNazanin" w:cs="IRNazanin"/>
          <w:lang w:bidi="fa-IR"/>
          <w:color w:val="111111"/>
          <w:sz w:val="28"/>
          <w:szCs w:val="28"/>
          <w:rtl/>
        </w:rPr>
        <w:t xml:space="preserve">ممّا یقرّب هذا المعنی؛مضافاً إلی ما یقال:</w:t>
      </w:r>
    </w:p>
    <w:p>
      <w:pPr>
        <w:pStyle w:val="BookText"/>
      </w:pPr>
      <w:r>
        <w:rPr>
          <w:rFonts w:ascii="IRNazanin" w:hAnsi="IRNazanin" w:eastAsia="IRNazanin" w:cs="IRNazanin"/>
          <w:lang w:bidi="fa-IR"/>
          <w:color w:val="111111"/>
          <w:sz w:val="28"/>
          <w:szCs w:val="28"/>
          <w:rtl/>
        </w:rPr>
        <w:t xml:space="preserve">من أنّ قوله علیه السلام فی أکثر تلک الأخبار:«لا بیع له»ظاهرٌ فی انتفاء البیع بالنسبة إلی المشتری فقط،و لا یکون إلّا نفی اللزوم من طرف البائع،إلّا أنّ فی روایة ابن یقطین:«فلا بیع بینهما».</w:t>
      </w:r>
    </w:p>
    <w:p>
      <w:pPr>
        <w:pStyle w:val="BookText"/>
      </w:pPr>
      <w:r>
        <w:rPr>
          <w:rFonts w:ascii="IRNazanin" w:hAnsi="IRNazanin" w:eastAsia="IRNazanin" w:cs="IRNazanin"/>
          <w:lang w:bidi="fa-IR"/>
          <w:color w:val="111111"/>
          <w:sz w:val="28"/>
          <w:szCs w:val="28"/>
          <w:rtl/>
        </w:rPr>
        <w:t xml:space="preserve">و کیف کان،فلا أقلّ من الشکّ فیرجع إلی استصحاب الآثار المترتّبة علی البیع.</w:t>
      </w:r>
    </w:p>
    <w:p>
      <w:pPr>
        <w:pStyle w:val="BookText"/>
      </w:pPr>
      <w:r>
        <w:rPr>
          <w:rFonts w:ascii="IRNazanin" w:hAnsi="IRNazanin" w:eastAsia="IRNazanin" w:cs="IRNazanin"/>
          <w:lang w:bidi="fa-IR"/>
          <w:color w:val="111111"/>
          <w:sz w:val="28"/>
          <w:szCs w:val="28"/>
          <w:rtl/>
        </w:rPr>
        <w:t xml:space="preserve">و توهّم:کون الصحّة سابقاً فی ضمن اللزوم،فترتفع بارتفاعه، مندفعٌ:بأنّ اللزوم لیس من قبیل الفصل للصحّة،و إنّما هو حکمٌ مقارنٌ له فی خصوص البیع الخالی من الخیار.</w:t>
      </w:r>
    </w:p>
    <w:p>
      <w:pPr>
        <w:pStyle w:val="Heading6"/>
      </w:pPr>
      <w:bookmarkStart w:id="1279" w:name="_Toc719"/>
      <w:r>
        <w:t>ثمّ إنّه یشترط فی هذا الخیار أُمور</w:t>
      </w:r>
      <w:bookmarkEnd w:id="1279"/>
    </w:p>
    <w:p>
      <w:pPr>
        <w:pStyle w:val="Heading6"/>
      </w:pPr>
      <w:bookmarkStart w:id="1280" w:name="_Toc720"/>
      <w:r>
        <w:t>أحدها : عدم قبض المبیع</w:t>
      </w:r>
      <w:bookmarkEnd w:id="1280"/>
    </w:p>
    <w:p>
      <w:pPr>
        <w:pStyle w:val="BookText"/>
      </w:pPr>
      <w:r>
        <w:rPr>
          <w:rFonts w:ascii="IRNazanin" w:hAnsi="IRNazanin" w:eastAsia="IRNazanin" w:cs="IRNazanin"/>
          <w:lang w:bidi="fa-IR"/>
          <w:color w:val="111111"/>
          <w:sz w:val="28"/>
          <w:szCs w:val="28"/>
          <w:rtl/>
        </w:rPr>
        <w:t xml:space="preserve">و لا خلاف فی اشتراطه ظاهراً،و یدلّ علیه من الروایات المتقدّمة قوله علیه السلام فی صحیحة علیّ بن یقطین المتقدّمة:«فإن قبض بیعه،و إلّا فلا بیع بینهما» </w:t>
      </w:r>
      <w:r>
        <w:rPr>
          <w:rStyle w:val="FootnoteReference"/>
        </w:rPr>
        <w:footnoteReference w:id="3290"/>
      </w:r>
      <w:r>
        <w:rPr>
          <w:rFonts w:ascii="IRNazanin" w:hAnsi="IRNazanin" w:eastAsia="IRNazanin" w:cs="IRNazanin"/>
          <w:lang w:bidi="fa-IR"/>
          <w:color w:val="111111"/>
          <w:sz w:val="28"/>
          <w:szCs w:val="28"/>
          <w:rtl/>
        </w:rPr>
        <w:t xml:space="preserve">بناءً علی أنّ«البیع» هنا بمعنی المبیع.</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لکن فی الریاض:إنکار دلالة الأخبار علی هذا الشرط </w:t>
      </w:r>
      <w:r>
        <w:rPr>
          <w:rStyle w:val="FootnoteReference"/>
        </w:rPr>
        <w:footnoteReference w:id="3291"/>
      </w:r>
      <w:r>
        <w:rPr>
          <w:rFonts w:ascii="IRNazanin" w:hAnsi="IRNazanin" w:eastAsia="IRNazanin" w:cs="IRNazanin"/>
          <w:lang w:bidi="fa-IR"/>
          <w:color w:val="111111"/>
          <w:sz w:val="28"/>
          <w:szCs w:val="28"/>
          <w:rtl/>
        </w:rPr>
        <w:t xml:space="preserve">،و تبعه بعض المعاصرین </w:t>
      </w:r>
      <w:r>
        <w:rPr>
          <w:rStyle w:val="FootnoteReference"/>
        </w:rPr>
        <w:footnoteReference w:id="3292"/>
      </w:r>
      <w:r>
        <w:rPr>
          <w:rFonts w:ascii="IRNazanin" w:hAnsi="IRNazanin" w:eastAsia="IRNazanin" w:cs="IRNazanin"/>
          <w:lang w:bidi="fa-IR"/>
          <w:color w:val="111111"/>
          <w:sz w:val="28"/>
          <w:szCs w:val="28"/>
          <w:rtl/>
        </w:rPr>
        <w:t xml:space="preserve">.و لا أعلم له وجهاً غیر سقوط هذه الفقرة عن</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النسخة المأخوذ منها الروایة،أو احتمال قراءة«قَبَض»بالتخفیف، و«بیّعُه»بالتشدید،یعنی:قَبَضَ بائعُه الثمنَ.و لا یخفی ضعف هذا الاحتمال؛لأنّ استعمال«البیّع»بالتشدید مفرداً نادر،بل لم یوجد،مع إمکان إجراء أصالة عدم التشدید،نظیر ما ذکره فی الروضة:من أصالة عدم المدّ فی لفظ«البکاء»الوارد فی قواطع الصلاة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لو کان عدم قبض المشتری لعدوان البائع بأن بذله </w:t>
      </w:r>
      <w:r>
        <w:rPr>
          <w:rStyle w:val="FootnoteReference"/>
        </w:rPr>
        <w:footnoteReference w:id="3294"/>
      </w:r>
      <w:r>
        <w:rPr>
          <w:rFonts w:ascii="IRNazanin" w:hAnsi="IRNazanin" w:eastAsia="IRNazanin" w:cs="IRNazanin"/>
          <w:lang w:bidi="fa-IR"/>
          <w:color w:val="111111"/>
          <w:sz w:val="28"/>
          <w:szCs w:val="28"/>
          <w:rtl/>
        </w:rPr>
        <w:t xml:space="preserve">الثمن فامتنع من أخذه و إقباض المبیع فالظاهر عدم الخیار؛لأنّ ظاهر النصّ و الفتوی کون هذا الخیار إرفاقاً للبائع و دفعاً لتضرّره،فلا یجری فیما إذا کان الامتناع من قِبَله.</w:t>
      </w:r>
    </w:p>
    <w:p>
      <w:pPr>
        <w:pStyle w:val="BookText"/>
      </w:pPr>
      <w:r>
        <w:rPr>
          <w:rFonts w:ascii="IRNazanin" w:hAnsi="IRNazanin" w:eastAsia="IRNazanin" w:cs="IRNazanin"/>
          <w:lang w:bidi="fa-IR"/>
          <w:color w:val="111111"/>
          <w:sz w:val="28"/>
          <w:szCs w:val="28"/>
          <w:rtl/>
        </w:rPr>
        <w:t xml:space="preserve">و لو قبضه المشتری علی وجهٍ یکون للبائع استرداده کما إذا کان بدون إذنه مع عدم إقباض الثمن ففی کونه ک«لا قبض»مطلقاً، أو مع استرداده،أو کونه قبضاً،وجوهٌ،رابعها:ابتناء المسألة علی ما سیجیء فی أحکام القبض،من ارتفاع الضمان عن البائع بهذا القبض و عدمه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الأقوی؛إذ مع ارتفاع الضمان بهذا القبض لا ضرر علی البائع إلّا من جهة وجوب حفظ المبیع لمالکه و تضرّره بعدم وصول ثمنه إلیه،و کلاهما ممکن الاندفاع بأخذ المبیع مقاصّةً.و أمّا مع عدم ارتفاع الضمان بذلک فیجری دلیل الضرر بالتقریب المتقدّم و إن ادّعی انصراف</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375" w:name="pg14419_167503"/>
    <w:bookmarkEnd w:id="375"/>
    <w:p>
      <w:pPr>
        <w:pStyle w:val="BookText"/>
      </w:pPr>
      <w:r>
        <w:rPr>
          <w:rFonts w:ascii="IRNazanin" w:hAnsi="IRNazanin" w:eastAsia="IRNazanin" w:cs="IRNazanin"/>
          <w:lang w:bidi="fa-IR"/>
          <w:color w:val="111111"/>
          <w:sz w:val="28"/>
          <w:szCs w:val="28"/>
          <w:rtl/>
        </w:rPr>
        <w:t xml:space="preserve">الأخبار إلی غیر هذه الصورة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مکّن المشتری من القبض فلم یقبض،فالأقوی أیضاً ابتناء المسألة علی ارتفاع الضمان و عدمه.</w:t>
      </w:r>
    </w:p>
    <w:p>
      <w:pPr>
        <w:pStyle w:val="BookText"/>
      </w:pPr>
      <w:r>
        <w:rPr>
          <w:rFonts w:ascii="IRNazanin" w:hAnsi="IRNazanin" w:eastAsia="IRNazanin" w:cs="IRNazanin"/>
          <w:lang w:bidi="fa-IR"/>
          <w:color w:val="111111"/>
          <w:sz w:val="28"/>
          <w:szCs w:val="28"/>
          <w:rtl/>
        </w:rPr>
        <w:t xml:space="preserve">و ربما یستظهر من قول السائل فی بعض الروایات:«ثمّ یدعه عنده» </w:t>
      </w:r>
      <w:r>
        <w:rPr>
          <w:rStyle w:val="FootnoteReference"/>
        </w:rPr>
        <w:footnoteReference w:id="3297"/>
      </w:r>
      <w:r>
        <w:rPr>
          <w:rFonts w:ascii="IRNazanin" w:hAnsi="IRNazanin" w:eastAsia="IRNazanin" w:cs="IRNazanin"/>
          <w:lang w:bidi="fa-IR"/>
          <w:color w:val="111111"/>
          <w:sz w:val="28"/>
          <w:szCs w:val="28"/>
          <w:rtl/>
        </w:rPr>
        <w:t xml:space="preserve">عدم کفایة التمکین.و فیه نظرٌ.و الأقوی عدم الخیار؛لعدم الضمان.</w:t>
      </w:r>
    </w:p>
    <w:p>
      <w:pPr>
        <w:pStyle w:val="BookText"/>
      </w:pPr>
      <w:r>
        <w:rPr>
          <w:rFonts w:ascii="IRNazanin" w:hAnsi="IRNazanin" w:eastAsia="IRNazanin" w:cs="IRNazanin"/>
          <w:lang w:bidi="fa-IR"/>
          <w:color w:val="111111"/>
          <w:sz w:val="28"/>
          <w:szCs w:val="28"/>
          <w:rtl/>
        </w:rPr>
        <w:t xml:space="preserve">و فی کون قبض بعض المبیع ک«لا قبضٍ»لظاهر الأخبار،أو کالقبض،لدعوی انصرافها إلی صورة عدم قبض شیءٍ منه،أو تبعیض الخیار بالنسبة إلی المقبوض و غیره استناداً مع تسلیم الانصراف المذکور إلی تحقّق الضرر بالنسبة إلی غیر المقبوض لا غیر،وجوهٌ.</w:t>
      </w:r>
    </w:p>
    <w:p>
      <w:pPr>
        <w:pStyle w:val="Heading6"/>
      </w:pPr>
      <w:bookmarkStart w:id="1281" w:name="_Toc721"/>
      <w:r>
        <w:t>الشرط الثانی : عدم قبض مجموع الثمن</w:t>
      </w:r>
      <w:bookmarkEnd w:id="12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اشتراطه مجمَعٌ علیه نصّاً و فتوی.</w:t>
      </w:r>
    </w:p>
    <w:p>
      <w:pPr>
        <w:pStyle w:val="BookText"/>
      </w:pPr>
      <w:r>
        <w:rPr>
          <w:rFonts w:ascii="IRNazanin" w:hAnsi="IRNazanin" w:eastAsia="IRNazanin" w:cs="IRNazanin"/>
          <w:lang w:bidi="fa-IR"/>
          <w:color w:val="111111"/>
          <w:sz w:val="28"/>
          <w:szCs w:val="28"/>
          <w:rtl/>
        </w:rPr>
        <w:t xml:space="preserve">و قبض البعض ک«لا قبض»؛لظاهر الأخبار المعتضد بفهم أبی بکر ابن عیّاش فی روایة ابن الحجّاج المتقدّمة </w:t>
      </w:r>
      <w:r>
        <w:rPr>
          <w:rStyle w:val="FootnoteReference"/>
        </w:rPr>
        <w:footnoteReference w:id="3298"/>
      </w:r>
      <w:r>
        <w:rPr>
          <w:rFonts w:ascii="IRNazanin" w:hAnsi="IRNazanin" w:eastAsia="IRNazanin" w:cs="IRNazanin"/>
          <w:lang w:bidi="fa-IR"/>
          <w:color w:val="111111"/>
          <w:sz w:val="28"/>
          <w:szCs w:val="28"/>
          <w:rtl/>
        </w:rPr>
        <w:t xml:space="preserve">،و ربما یستدلّ بها </w:t>
      </w:r>
      <w:r>
        <w:rPr>
          <w:rStyle w:val="FootnoteReference"/>
        </w:rPr>
        <w:footnoteReference w:id="3299"/>
      </w:r>
      <w:r>
        <w:rPr>
          <w:rFonts w:ascii="IRNazanin" w:hAnsi="IRNazanin" w:eastAsia="IRNazanin" w:cs="IRNazanin"/>
          <w:lang w:bidi="fa-IR"/>
          <w:color w:val="111111"/>
          <w:sz w:val="28"/>
          <w:szCs w:val="28"/>
          <w:rtl/>
        </w:rPr>
        <w:t xml:space="preserve">تبعاً للتذکرة </w:t>
      </w:r>
      <w:r>
        <w:rPr>
          <w:rStyle w:val="FootnoteReference"/>
        </w:rPr>
        <w:footnoteReference w:id="3300"/>
      </w:r>
      <w:r>
        <w:rPr>
          <w:rFonts w:ascii="Amiri" w:hAnsi="Amiri" w:eastAsia="Amiri" w:cs="Amiri"/>
          <w:lang w:bidi="ar-SA"/>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و القبض بدون الإذن کعدمه؛لظهور الأخبار فی اشتراط وقوعه</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76" w:name="pg14419_167504"/>
    <w:bookmarkEnd w:id="376"/>
    <w:p>
      <w:pPr>
        <w:pStyle w:val="BookText"/>
      </w:pPr>
      <w:r>
        <w:rPr>
          <w:rFonts w:ascii="IRNazanin" w:hAnsi="IRNazanin" w:eastAsia="IRNazanin" w:cs="IRNazanin"/>
          <w:lang w:bidi="fa-IR"/>
          <w:color w:val="111111"/>
          <w:sz w:val="28"/>
          <w:szCs w:val="28"/>
          <w:rtl/>
        </w:rPr>
        <w:t xml:space="preserve">بالإذن فی بقاء البیع علی اللزوم،مع أنّ ضرر ضمان المبیع مع عدم وصول الثمن إلیه علی وجهٍ یجوز له التصرّف فیه باقٍ.نعم،لو کان القبض بدون الإذن حقّا کما إذا عرض المبیع علی المشتری فلم یقبضه- فالظاهر عدم الخیار؛لعدم دخوله فی منصرف الأخبار و عدم تضرّر البائع بالتأخیر.</w:t>
      </w:r>
    </w:p>
    <w:p>
      <w:pPr>
        <w:pStyle w:val="BookText"/>
      </w:pPr>
      <w:r>
        <w:rPr>
          <w:rFonts w:ascii="IRNazanin" w:hAnsi="IRNazanin" w:eastAsia="IRNazanin" w:cs="IRNazanin"/>
          <w:lang w:bidi="fa-IR"/>
          <w:color w:val="111111"/>
          <w:sz w:val="28"/>
          <w:szCs w:val="28"/>
          <w:rtl/>
        </w:rPr>
        <w:t xml:space="preserve">و ربما یقال بکفایة القبض هنا مطلقاً مع الاعتراف باعتبار الإذن فی الشرط السابق أعنی قبض المبیع نظراً إلی أنّهم شرطوا فی عناوین المسألة فی طرف المبیع عدم إقباض المبیع إیّاه،و فی طرف الثمن عدم قبضه.و فیه نظر؛لأنّ هذا النحو من التعبیر من مناسبات عنوان المسألة باسم البائع،فیُعبّر فی طرف الثمن و المثمن بما هو فعلٌ له،و هو القبض فی الأوّل و الإقباض فی الثانی،فتأمّل.</w:t>
      </w:r>
    </w:p>
    <w:p>
      <w:pPr>
        <w:pStyle w:val="BookText"/>
      </w:pPr>
      <w:r>
        <w:rPr>
          <w:rFonts w:ascii="IRNazanin" w:hAnsi="IRNazanin" w:eastAsia="IRNazanin" w:cs="IRNazanin"/>
          <w:lang w:bidi="fa-IR"/>
          <w:color w:val="111111"/>
          <w:sz w:val="28"/>
          <w:szCs w:val="28"/>
          <w:rtl/>
        </w:rPr>
        <w:t xml:space="preserve">و لو أجاز المشتری قبض الثمن بناءً علی اعتبار الإذن کانت فی حکم الإذن.و هل هی کاشفة أو مثبتة؟أقواهما الثانی.و یترتّب علیه ما لو قبض قبل الثلاثة فأجاز المشتری بعدها.</w:t>
      </w:r>
    </w:p>
    <w:p>
      <w:pPr>
        <w:pStyle w:val="Heading6"/>
      </w:pPr>
      <w:bookmarkStart w:id="1282" w:name="_Toc722"/>
      <w:r>
        <w:t>الشرط الثالث : عدم اشتراط تأخیر تسلیم أحد العوضین</w:t>
      </w:r>
      <w:bookmarkEnd w:id="12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لأنّ المتبادر من النصّ غیر ذلک،فیقتصر فی مخالفة الأصل علی منصرف النصّ،مع أنّه فی الجملة إجماعیٌّ.</w:t>
      </w:r>
    </w:p>
    <w:p>
      <w:pPr>
        <w:pStyle w:val="Heading6"/>
      </w:pPr>
      <w:bookmarkStart w:id="1283" w:name="_Toc723"/>
      <w:r>
        <w:t>الشرط الرابع : أن یکون المبیع عیناً أو شبهه</w:t>
      </w:r>
      <w:bookmarkEnd w:id="1283"/>
    </w:p>
    <w:p>
      <w:pPr>
        <w:pStyle w:val="BookText"/>
      </w:pPr>
      <w:r>
        <w:rPr>
          <w:rFonts w:ascii="Amiri" w:hAnsi="Amiri" w:eastAsia="Amiri" w:cs="Amiri"/>
          <w:lang w:bidi="ar-SA"/>
          <w:color w:val="111111"/>
          <w:sz w:val="28"/>
          <w:szCs w:val="28"/>
          <w:rtl/>
        </w:rPr>
        <w:t xml:space="preserve">کصاعٍ من صبرةٍ.</w:t>
      </w:r>
    </w:p>
    <w:p>
      <w:pPr>
        <w:pStyle w:val="BookText"/>
      </w:pPr>
      <w:r>
        <w:rPr>
          <w:rFonts w:ascii="IRNazanin" w:hAnsi="IRNazanin" w:eastAsia="IRNazanin" w:cs="IRNazanin"/>
          <w:lang w:bidi="fa-IR"/>
          <w:color w:val="111111"/>
          <w:sz w:val="28"/>
          <w:szCs w:val="28"/>
          <w:rtl/>
        </w:rPr>
        <w:t xml:space="preserve">نصّ علیه الشیخ فی عبارته المتقدّمة </w:t>
      </w:r>
      <w:r>
        <w:rPr>
          <w:rStyle w:val="FootnoteReference"/>
        </w:rPr>
        <w:footnoteReference w:id="3301"/>
      </w:r>
      <w:r>
        <w:rPr>
          <w:rFonts w:ascii="IRNazanin" w:hAnsi="IRNazanin" w:eastAsia="IRNazanin" w:cs="IRNazanin"/>
          <w:lang w:bidi="fa-IR"/>
          <w:color w:val="111111"/>
          <w:sz w:val="28"/>
          <w:szCs w:val="28"/>
          <w:rtl/>
        </w:rPr>
        <w:t xml:space="preserve">فی نقل مضمون روایات أصحابنا.و ظاهره کونه مفتیً به عندهم،و صرّح به فی التحریر </w:t>
      </w:r>
      <w:r>
        <w:rPr>
          <w:rStyle w:val="FootnoteReference"/>
        </w:rPr>
        <w:footnoteReference w:id="3302"/>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المهذّب البارع </w:t>
      </w:r>
      <w:r>
        <w:rPr>
          <w:rStyle w:val="FootnoteReference"/>
        </w:rPr>
        <w:footnoteReference w:id="3303"/>
      </w:r>
      <w:r>
        <w:rPr>
          <w:rFonts w:ascii="IRNazanin" w:hAnsi="IRNazanin" w:eastAsia="IRNazanin" w:cs="IRNazanin"/>
          <w:lang w:bidi="fa-IR"/>
          <w:color w:val="111111"/>
          <w:sz w:val="28"/>
          <w:szCs w:val="28"/>
          <w:rtl/>
        </w:rPr>
        <w:t xml:space="preserve">و غایة المرام </w:t>
      </w:r>
      <w:r>
        <w:rPr>
          <w:rStyle w:val="FootnoteReference"/>
        </w:rPr>
        <w:footnoteReference w:id="3304"/>
      </w:r>
      <w:r>
        <w:rPr>
          <w:rFonts w:ascii="IRNazanin" w:hAnsi="IRNazanin" w:eastAsia="IRNazanin" w:cs="IRNazanin"/>
          <w:lang w:bidi="fa-IR"/>
          <w:color w:val="111111"/>
          <w:sz w:val="28"/>
          <w:szCs w:val="28"/>
          <w:rtl/>
        </w:rPr>
        <w:t xml:space="preserve">،و هو ظاهر جامع المقاصد،حیث قال:</w:t>
      </w:r>
    </w:p>
    <w:p>
      <w:pPr>
        <w:pStyle w:val="BookText"/>
      </w:pPr>
      <w:r>
        <w:rPr>
          <w:rFonts w:ascii="IRNazanin" w:hAnsi="IRNazanin" w:eastAsia="IRNazanin" w:cs="IRNazanin"/>
          <w:lang w:bidi="fa-IR"/>
          <w:color w:val="111111"/>
          <w:sz w:val="28"/>
          <w:szCs w:val="28"/>
          <w:rtl/>
        </w:rPr>
        <w:t xml:space="preserve">لا فرق فی الثمن بین کونه عیناً أو فی الذمّة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الغنیة:و روی أصحابنا أنّ المشتری إذا لم یقبض المبیع و قال:«أجیئک بالثمن»و مضی،فعلی البائع الصبر علیه ثلاثاً،ثمّ هو بالخیار بین فسخ البیع و مطالبته بالثمن.هذا إذا کان المبیع ممّا یصحّ بقاؤه،فإن لم یکن کذلک کالخضروات فعلیه الصبر یوماً واحداً ثمّ هو بالخیار.ثمّ ذکر أنّ تلف المبیع قبل الثلاثة من مال المشتری و بعده من مال البائع.ثمّ قال:و یدلّ علی ذلک کلّه إجماع الطائفة </w:t>
      </w:r>
      <w:r>
        <w:rPr>
          <w:rStyle w:val="FootnoteReference"/>
        </w:rPr>
        <w:footnoteReference w:id="330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معقد إجماع الانتصار و الخلاف و ما وجدته فی نسخة </w:t>
      </w:r>
      <w:r>
        <w:rPr>
          <w:rStyle w:val="FootnoteReference"/>
        </w:rPr>
        <w:footnoteReference w:id="3307"/>
      </w:r>
      <w:r>
        <w:rPr>
          <w:rFonts w:ascii="Amiri" w:hAnsi="Amiri" w:eastAsia="Amiri" w:cs="Amiri"/>
          <w:lang w:bidi="ar-SA"/>
          <w:color w:val="111111"/>
          <w:sz w:val="28"/>
          <w:szCs w:val="28"/>
          <w:rtl/>
        </w:rPr>
        <w:t xml:space="preserve">جواهر القاضی:«لو باع شیئاً معیّناً بثمنٍ معیّن» </w:t>
      </w:r>
      <w:r>
        <w:rPr>
          <w:rStyle w:val="FootnoteReference"/>
        </w:rPr>
        <w:footnoteReference w:id="3308"/>
      </w:r>
      <w:r>
        <w:rPr>
          <w:rFonts w:ascii="IRNazanin" w:hAnsi="IRNazanin" w:eastAsia="IRNazanin" w:cs="IRNazanin"/>
          <w:lang w:bidi="fa-IR"/>
          <w:color w:val="111111"/>
          <w:sz w:val="28"/>
          <w:szCs w:val="28"/>
          <w:rtl/>
        </w:rPr>
        <w:t xml:space="preserve">لکن فی بعض نسخ الجواهر:«لو باع شیئاً غیر معیّنٍ»،و قد أخذ عنه فی مفتاح الکرامة و غیره </w:t>
      </w:r>
      <w:r>
        <w:rPr>
          <w:rStyle w:val="FootnoteReference"/>
        </w:rPr>
        <w:footnoteReference w:id="3309"/>
      </w:r>
      <w:r>
        <w:rPr>
          <w:rFonts w:ascii="IRNazanin" w:hAnsi="IRNazanin" w:eastAsia="IRNazanin" w:cs="IRNazanin"/>
          <w:lang w:bidi="fa-IR"/>
          <w:color w:val="111111"/>
          <w:sz w:val="28"/>
          <w:szCs w:val="28"/>
          <w:rtl/>
        </w:rPr>
        <w:t xml:space="preserve">و نسب إلی القاضی دعوی الإجماع علی غیر المعیّن،و أظنّ</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الغلط فی تلک النسخة.</w:t>
      </w:r>
    </w:p>
    <w:p>
      <w:pPr>
        <w:pStyle w:val="BookText"/>
      </w:pPr>
      <w:r>
        <w:rPr>
          <w:rFonts w:ascii="IRNazanin" w:hAnsi="IRNazanin" w:eastAsia="IRNazanin" w:cs="IRNazanin"/>
          <w:lang w:bidi="fa-IR"/>
          <w:color w:val="111111"/>
          <w:sz w:val="28"/>
          <w:szCs w:val="28"/>
          <w:rtl/>
        </w:rPr>
        <w:t xml:space="preserve">و الظاهر أنّ المراد ب«الثمن المعیّن» </w:t>
      </w:r>
      <w:r>
        <w:rPr>
          <w:rStyle w:val="FootnoteReference"/>
        </w:rPr>
        <w:footnoteReference w:id="3310"/>
      </w:r>
      <w:r>
        <w:rPr>
          <w:rFonts w:ascii="IRNazanin" w:hAnsi="IRNazanin" w:eastAsia="IRNazanin" w:cs="IRNazanin"/>
          <w:lang w:bidi="fa-IR"/>
          <w:color w:val="111111"/>
          <w:sz w:val="28"/>
          <w:szCs w:val="28"/>
          <w:rtl/>
        </w:rPr>
        <w:t xml:space="preserve">هو المعلوم فی مقابل المجهول؛ لأنّ تشخّص الثمن غیر معتبر إجماعاً؛و لذا وصف فی التحریر </w:t>
      </w:r>
      <w:r>
        <w:rPr>
          <w:rStyle w:val="FootnoteReference"/>
        </w:rPr>
        <w:footnoteReference w:id="3311"/>
      </w:r>
      <w:r>
        <w:rPr>
          <w:rFonts w:ascii="IRNazanin" w:hAnsi="IRNazanin" w:eastAsia="IRNazanin" w:cs="IRNazanin"/>
          <w:lang w:bidi="fa-IR"/>
          <w:color w:val="111111"/>
          <w:sz w:val="28"/>
          <w:szCs w:val="28"/>
          <w:rtl/>
        </w:rPr>
        <w:t xml:space="preserve">تبعاً للمبسوط </w:t>
      </w:r>
      <w:r>
        <w:rPr>
          <w:rStyle w:val="FootnoteReference"/>
        </w:rPr>
        <w:footnoteReference w:id="3312"/>
      </w:r>
      <w:r>
        <w:rPr>
          <w:rFonts w:ascii="IRNazanin" w:hAnsi="IRNazanin" w:eastAsia="IRNazanin" w:cs="IRNazanin"/>
          <w:lang w:bidi="fa-IR"/>
          <w:color w:val="111111"/>
          <w:sz w:val="28"/>
          <w:szCs w:val="28"/>
          <w:rtl/>
        </w:rPr>
        <w:t xml:space="preserve">المبیع ب«المعیَّن»و الثمن ب«المعلوم»،و من البعید اختلاف عنوان ما نسبه فی الخلاف </w:t>
      </w:r>
      <w:r>
        <w:rPr>
          <w:rStyle w:val="FootnoteReference"/>
        </w:rPr>
        <w:footnoteReference w:id="3313"/>
      </w:r>
      <w:r>
        <w:rPr>
          <w:rFonts w:ascii="IRNazanin" w:hAnsi="IRNazanin" w:eastAsia="IRNazanin" w:cs="IRNazanin"/>
          <w:lang w:bidi="fa-IR"/>
          <w:color w:val="111111"/>
          <w:sz w:val="28"/>
          <w:szCs w:val="28"/>
          <w:rtl/>
        </w:rPr>
        <w:t xml:space="preserve">إلی إجماع الفرقة و أخبارهم مع ما نسبه فی المبسوط إلی روایات أصحابنا.</w:t>
      </w:r>
    </w:p>
    <w:p>
      <w:pPr>
        <w:pStyle w:val="BookText"/>
      </w:pPr>
      <w:r>
        <w:rPr>
          <w:rFonts w:ascii="IRNazanin" w:hAnsi="IRNazanin" w:eastAsia="IRNazanin" w:cs="IRNazanin"/>
          <w:lang w:bidi="fa-IR"/>
          <w:color w:val="111111"/>
          <w:sz w:val="28"/>
          <w:szCs w:val="28"/>
          <w:rtl/>
        </w:rPr>
        <w:t xml:space="preserve">مع أنّا نقول:إنّ ظاهر«المعیّن»فی معاقد الإجماعات التشخّص العینی،لا مجرّد المعلوم فی مقابل المجهول و لو کان کلّیاً،خرجنا عن هذا الظاهر بالنسبة إلی الثمن؛للإجماع علی عدم اعتبار التعیین فیه،مع أنّه فرقٌ بین«الثمن المعیّن»و«الشیء المعیّن»؛فإنّ الثانی ظاهرٌ فی الشخصی بخلاف الأوّل.</w:t>
      </w:r>
    </w:p>
    <w:p>
      <w:pPr>
        <w:pStyle w:val="BookText"/>
      </w:pPr>
      <w:r>
        <w:rPr>
          <w:rFonts w:ascii="IRNazanin" w:hAnsi="IRNazanin" w:eastAsia="IRNazanin" w:cs="IRNazanin"/>
          <w:lang w:bidi="fa-IR"/>
          <w:color w:val="111111"/>
          <w:sz w:val="28"/>
          <w:szCs w:val="28"/>
          <w:rtl/>
        </w:rPr>
        <w:t xml:space="preserve">و أمّا معقد إجماع التذکرة المتقدّم فی عنوان المسألة </w:t>
      </w:r>
      <w:r>
        <w:rPr>
          <w:rStyle w:val="FootnoteReference"/>
        </w:rPr>
        <w:footnoteReference w:id="3314"/>
      </w:r>
      <w:r>
        <w:rPr>
          <w:rFonts w:ascii="IRNazanin" w:hAnsi="IRNazanin" w:eastAsia="IRNazanin" w:cs="IRNazanin"/>
          <w:lang w:bidi="fa-IR"/>
          <w:color w:val="111111"/>
          <w:sz w:val="28"/>
          <w:szCs w:val="28"/>
          <w:rtl/>
        </w:rPr>
        <w:t xml:space="preserve">فهو مختصٌّ بالشخصی؛لأنّه ذکر فی معقد الإجماع«أنّ المشتری لو جاء بالثمن فی الثلاثة فهو أحقّ بالعین»و لا یخفی أنّ«العین»ظاهرٌ فی الشخصی.هذه حال معاقد الإجماعات.</w:t>
      </w:r>
    </w:p>
    <w:p>
      <w:pPr>
        <w:pStyle w:val="BookText"/>
      </w:pPr>
      <w:r>
        <w:rPr>
          <w:rFonts w:ascii="IRNazanin" w:hAnsi="IRNazanin" w:eastAsia="IRNazanin" w:cs="IRNazanin"/>
          <w:lang w:bidi="fa-IR"/>
          <w:color w:val="111111"/>
          <w:sz w:val="28"/>
          <w:szCs w:val="28"/>
          <w:rtl/>
        </w:rPr>
        <w:t xml:space="preserve">و أمّا حدیث نفی الضرر،فهو مختصٌّ بالشخصی؛لأنّه المضمون</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البائع قبل القبض،فیتضرّر بضمانه و عدم جواز التصرّف فیه و عدم وصول بدله إلیه،بخلاف الکلّی.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أمّا النصوص،فروایتا ابن یقطین </w:t>
      </w:r>
      <w:r>
        <w:rPr>
          <w:rStyle w:val="FootnoteReference"/>
        </w:rPr>
        <w:footnoteReference w:id="3315"/>
      </w:r>
      <w:r>
        <w:rPr>
          <w:rFonts w:ascii="Amiri" w:hAnsi="Amiri" w:eastAsia="Amiri" w:cs="Amiri"/>
          <w:lang w:bidi="ar-SA"/>
          <w:color w:val="111111"/>
          <w:sz w:val="28"/>
          <w:szCs w:val="28"/>
          <w:rtl/>
        </w:rPr>
        <w:t xml:space="preserve">و ابن عمّار </w:t>
      </w:r>
      <w:r>
        <w:rPr>
          <w:rStyle w:val="FootnoteReference"/>
        </w:rPr>
        <w:footnoteReference w:id="3316"/>
      </w:r>
      <w:r>
        <w:rPr>
          <w:rFonts w:ascii="IRNazanin" w:hAnsi="IRNazanin" w:eastAsia="IRNazanin" w:cs="IRNazanin"/>
          <w:lang w:bidi="fa-IR"/>
          <w:color w:val="111111"/>
          <w:sz w:val="28"/>
          <w:szCs w:val="28"/>
          <w:rtl/>
        </w:rPr>
        <w:t xml:space="preserve">مشتملتان علی لفظ«البیع»المراد به المبیع الذی یطلق قبل البیع علی العین المعرضة للبیع،و لا مناسبة فی إطلاقه علی الکلّی،کما لا یخفی.</w:t>
      </w:r>
    </w:p>
    <w:p>
      <w:pPr>
        <w:pStyle w:val="BookText"/>
      </w:pPr>
      <w:r>
        <w:rPr>
          <w:rFonts w:ascii="IRNazanin" w:hAnsi="IRNazanin" w:eastAsia="IRNazanin" w:cs="IRNazanin"/>
          <w:lang w:bidi="fa-IR"/>
          <w:color w:val="111111"/>
          <w:sz w:val="28"/>
          <w:szCs w:val="28"/>
          <w:rtl/>
        </w:rPr>
        <w:t xml:space="preserve">و روایة زرارة </w:t>
      </w:r>
      <w:r>
        <w:rPr>
          <w:rStyle w:val="FootnoteReference"/>
        </w:rPr>
        <w:footnoteReference w:id="3317"/>
      </w:r>
      <w:r>
        <w:rPr>
          <w:rFonts w:ascii="IRNazanin" w:hAnsi="IRNazanin" w:eastAsia="IRNazanin" w:cs="IRNazanin"/>
          <w:lang w:bidi="fa-IR"/>
          <w:color w:val="111111"/>
          <w:sz w:val="28"/>
          <w:szCs w:val="28"/>
          <w:rtl/>
        </w:rPr>
        <w:t xml:space="preserve">ظاهرةٌ أیضاً فی الشخصی من جهة لفظ«المتاع» و قوله:«یدعه عنده»،فلم یبقَ إلّا قوله علیه السلام فی روایة أبی بکر بن عیّاش:«من اشتری شیئاً» </w:t>
      </w:r>
      <w:r>
        <w:rPr>
          <w:rStyle w:val="FootnoteReference"/>
        </w:rPr>
        <w:footnoteReference w:id="3318"/>
      </w:r>
      <w:r>
        <w:rPr>
          <w:rFonts w:ascii="IRNazanin" w:hAnsi="IRNazanin" w:eastAsia="IRNazanin" w:cs="IRNazanin"/>
          <w:lang w:bidi="fa-IR"/>
          <w:color w:val="111111"/>
          <w:sz w:val="28"/>
          <w:szCs w:val="28"/>
          <w:rtl/>
        </w:rPr>
        <w:t xml:space="preserve">فإنّ إطلاقه و إن شمل المعیّن و الکلیّ،إلّا أنّ الظاهر من لفظ«الشیء»الموجود الخارجی،کما فی قول القائل:</w:t>
      </w:r>
    </w:p>
    <w:p>
      <w:pPr>
        <w:pStyle w:val="BookText"/>
      </w:pPr>
      <w:r>
        <w:rPr>
          <w:rFonts w:ascii="IRNazanin" w:hAnsi="IRNazanin" w:eastAsia="IRNazanin" w:cs="IRNazanin"/>
          <w:lang w:bidi="fa-IR"/>
          <w:color w:val="111111"/>
          <w:sz w:val="28"/>
          <w:szCs w:val="28"/>
          <w:rtl/>
        </w:rPr>
        <w:t xml:space="preserve">«اشتریت شیئاً» </w:t>
      </w:r>
      <w:r>
        <w:rPr>
          <w:rStyle w:val="FootnoteReference"/>
        </w:rPr>
        <w:footnoteReference w:id="3319"/>
      </w:r>
      <w:r>
        <w:rPr>
          <w:rFonts w:ascii="IRNazanin" w:hAnsi="IRNazanin" w:eastAsia="IRNazanin" w:cs="IRNazanin"/>
          <w:lang w:bidi="fa-IR"/>
          <w:color w:val="111111"/>
          <w:sz w:val="28"/>
          <w:szCs w:val="28"/>
          <w:rtl/>
        </w:rPr>
        <w:t xml:space="preserve">.و الکلّی المبیع لیس موجوداً خارجیّاً؛إذ لیس المراد من الکلّی هنا الکلّی الطبیعی الموجود فی الخارج؛لأنّ المبیع قد یکون معدوماً عند العقد،و الموجود منه قد لا یملکه البائع المملِّک له </w:t>
      </w:r>
      <w:r>
        <w:rPr>
          <w:rStyle w:val="FootnoteReference"/>
        </w:rPr>
        <w:footnoteReference w:id="3320"/>
      </w:r>
      <w:r>
        <w:rPr>
          <w:rFonts w:ascii="Amiri" w:hAnsi="Amiri" w:eastAsia="Amiri" w:cs="Amiri"/>
          <w:lang w:bidi="ar-SA"/>
          <w:color w:val="111111"/>
          <w:sz w:val="28"/>
          <w:szCs w:val="28"/>
          <w:rtl/>
        </w:rPr>
        <w:t xml:space="preserve">،بل هو أمرٌ اعتباریٌّ یعامِل </w:t>
      </w:r>
      <w:r>
        <w:rPr>
          <w:rStyle w:val="FootnoteReference"/>
        </w:rPr>
        <w:footnoteReference w:id="3321"/>
      </w:r>
      <w:r>
        <w:rPr>
          <w:rFonts w:ascii="IRNazanin" w:hAnsi="IRNazanin" w:eastAsia="IRNazanin" w:cs="IRNazanin"/>
          <w:lang w:bidi="fa-IR"/>
          <w:color w:val="111111"/>
          <w:sz w:val="28"/>
          <w:szCs w:val="28"/>
          <w:rtl/>
        </w:rPr>
        <w:t xml:space="preserve">العرف و الشرع معه معاملةَ الأملاک،و هذه المعاملة و إن اقتضت صحّة إطلاق لفظ«الشیء»علیه أو علی ما یعمّه، إلّا أنّه لیس بحیث لو أُرید من اللفظ خصوص ما عداه من الموجود</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الخارجی الشخصی احتیج إلی قرینةٍ علی التقیید،فهو نظیر المجاز المشهور و المطلق المنصرف إلی بعض أفراده انصرافاً لا یحوج إرادة المطلق إلی القرینة.</w:t>
      </w:r>
    </w:p>
    <w:p>
      <w:pPr>
        <w:pStyle w:val="BookText"/>
      </w:pPr>
      <w:r>
        <w:rPr>
          <w:rFonts w:ascii="IRNazanin" w:hAnsi="IRNazanin" w:eastAsia="IRNazanin" w:cs="IRNazanin"/>
          <w:lang w:bidi="fa-IR"/>
          <w:color w:val="111111"/>
          <w:sz w:val="28"/>
          <w:szCs w:val="28"/>
          <w:rtl/>
        </w:rPr>
        <w:t xml:space="preserve">فلا یمکن هنا دفع احتمال إرادة خصوص الموجود الخارجی بأصالة عدم القرینة،فافهم.</w:t>
      </w:r>
    </w:p>
    <w:p>
      <w:pPr>
        <w:pStyle w:val="BookText"/>
      </w:pPr>
      <w:r>
        <w:rPr>
          <w:rFonts w:ascii="IRNazanin" w:hAnsi="IRNazanin" w:eastAsia="IRNazanin" w:cs="IRNazanin"/>
          <w:lang w:bidi="fa-IR"/>
          <w:color w:val="111111"/>
          <w:sz w:val="28"/>
          <w:szCs w:val="28"/>
          <w:rtl/>
        </w:rPr>
        <w:t xml:space="preserve">فقد ظهر ممّا ذکرنا:أن لیس فی أدلّة المسألة من النصوص و الإجماعات المنقولة و دلیل الضرر ما یجری فی المبیع الکلّی.</w:t>
      </w:r>
    </w:p>
    <w:p>
      <w:pPr>
        <w:pStyle w:val="BookText"/>
      </w:pPr>
      <w:r>
        <w:rPr>
          <w:rFonts w:ascii="IRNazanin" w:hAnsi="IRNazanin" w:eastAsia="IRNazanin" w:cs="IRNazanin"/>
          <w:lang w:bidi="fa-IR"/>
          <w:color w:val="111111"/>
          <w:sz w:val="28"/>
          <w:szCs w:val="28"/>
          <w:rtl/>
        </w:rPr>
        <w:t xml:space="preserve">و ربما یُنسب التعمیم إلی ظاهر الأکثر </w:t>
      </w:r>
      <w:r>
        <w:rPr>
          <w:rStyle w:val="FootnoteReference"/>
        </w:rPr>
        <w:footnoteReference w:id="3322"/>
      </w:r>
      <w:r>
        <w:rPr>
          <w:rFonts w:ascii="IRNazanin" w:hAnsi="IRNazanin" w:eastAsia="IRNazanin" w:cs="IRNazanin"/>
          <w:lang w:bidi="fa-IR"/>
          <w:color w:val="111111"/>
          <w:sz w:val="28"/>
          <w:szCs w:val="28"/>
          <w:rtl/>
        </w:rPr>
        <w:t xml:space="preserve">لعدم تقییدهم البیع بالشخصی.</w:t>
      </w:r>
    </w:p>
    <w:p>
      <w:pPr>
        <w:pStyle w:val="BookText"/>
      </w:pPr>
      <w:r>
        <w:rPr>
          <w:rFonts w:ascii="IRNazanin" w:hAnsi="IRNazanin" w:eastAsia="IRNazanin" w:cs="IRNazanin"/>
          <w:lang w:bidi="fa-IR"/>
          <w:color w:val="111111"/>
          <w:sz w:val="28"/>
          <w:szCs w:val="28"/>
          <w:rtl/>
        </w:rPr>
        <w:t xml:space="preserve">و فیه:أنّ التأمّل فی عباراتهم،مع الإنصاف یُعطی الاختصاص بالمعیّن،أو الشکّ فی التعمیم،مع أنّه معارَضٌ بعدم تصریح أحدٍ بکون المسألة محلّ الخلاف من حیث التعمیم و التخصیص.نعم </w:t>
      </w:r>
      <w:r>
        <w:rPr>
          <w:rStyle w:val="FootnoteReference"/>
        </w:rPr>
        <w:footnoteReference w:id="3323"/>
      </w:r>
      <w:r>
        <w:rPr>
          <w:rFonts w:ascii="IRNazanin" w:hAnsi="IRNazanin" w:eastAsia="IRNazanin" w:cs="IRNazanin"/>
          <w:lang w:bidi="fa-IR"/>
          <w:color w:val="111111"/>
          <w:sz w:val="28"/>
          <w:szCs w:val="28"/>
          <w:rtl/>
        </w:rPr>
        <w:t xml:space="preserve">،إلّا الشهید فی الدروس،حیث قال:«إنّ الشیخ قدّس سرّه قیّد فی المبسوط هذا الخیار بشراء المعیّن» </w:t>
      </w:r>
      <w:r>
        <w:rPr>
          <w:rStyle w:val="FootnoteReference"/>
        </w:rPr>
        <w:footnoteReference w:id="3324"/>
      </w:r>
      <w:r>
        <w:rPr>
          <w:rFonts w:ascii="IRNazanin" w:hAnsi="IRNazanin" w:eastAsia="IRNazanin" w:cs="IRNazanin"/>
          <w:lang w:bidi="fa-IR"/>
          <w:color w:val="111111"/>
          <w:sz w:val="28"/>
          <w:szCs w:val="28"/>
          <w:rtl/>
        </w:rPr>
        <w:t xml:space="preserve">فإنّه ظاهرٌ فی عدم فهم هذا التقیید من کلمات باقی الأصحاب،لکنّک عرفت أنّ الشیخ قدّس سرّه قد أخذ هذا التقیید فی مضمون روایات أصحابنا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77" w:name="pg14419_167509"/>
    <w:bookmarkEnd w:id="377"/>
    <w:p>
      <w:pPr>
        <w:pStyle w:val="BookText"/>
      </w:pPr>
      <w:r>
        <w:rPr>
          <w:rFonts w:ascii="IRNazanin" w:hAnsi="IRNazanin" w:eastAsia="IRNazanin" w:cs="IRNazanin"/>
          <w:lang w:bidi="fa-IR"/>
          <w:color w:val="111111"/>
          <w:sz w:val="28"/>
          <w:szCs w:val="28"/>
          <w:rtl/>
        </w:rPr>
        <w:t xml:space="preserve">و کیف کان،فالتأمّل فی أدلّة المسألة و فتاوی الأصحاب یُشرف الفقیهَ علی القطع باختصاص الحکم بالمعیّن.</w:t>
      </w:r>
    </w:p>
    <w:p>
      <w:pPr>
        <w:pStyle w:val="Heading6"/>
      </w:pPr>
      <w:bookmarkStart w:id="1284" w:name="_Toc724"/>
      <w:r>
        <w:t>ثمّ إنّ هنا أُموراً قیل باعتبارها فی هذا الخیار</w:t>
      </w:r>
      <w:bookmarkEnd w:id="1284"/>
    </w:p>
    <w:p>
      <w:pPr>
        <w:pStyle w:val="Heading6"/>
      </w:pPr>
      <w:bookmarkStart w:id="1285" w:name="_Toc725"/>
      <w:r>
        <w:t>منها : عدم الخیار لأحدهما أو لهما</w:t>
      </w:r>
      <w:bookmarkEnd w:id="12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قال فی التحریر:«و لا خیار للبائع لو کان فی المبیع خیار لأحدهما» </w:t>
      </w:r>
      <w:r>
        <w:rPr>
          <w:rStyle w:val="FootnoteReference"/>
        </w:rPr>
        <w:footnoteReference w:id="3326"/>
      </w:r>
      <w:r>
        <w:rPr>
          <w:rFonts w:ascii="IRNazanin" w:hAnsi="IRNazanin" w:eastAsia="IRNazanin" w:cs="IRNazanin"/>
          <w:lang w:bidi="fa-IR"/>
          <w:color w:val="111111"/>
          <w:sz w:val="28"/>
          <w:szCs w:val="28"/>
          <w:rtl/>
        </w:rPr>
        <w:t xml:space="preserve">و فی السرائر قیّد الحکم فی عنوان المسألة بقوله:«و لم یشترطا خیاراً لهما أو لأحدهما» </w:t>
      </w:r>
      <w:r>
        <w:rPr>
          <w:rStyle w:val="FootnoteReference"/>
        </w:rPr>
        <w:footnoteReference w:id="3327"/>
      </w:r>
      <w:r>
        <w:rPr>
          <w:rFonts w:ascii="IRNazanin" w:hAnsi="IRNazanin" w:eastAsia="IRNazanin" w:cs="IRNazanin"/>
          <w:lang w:bidi="fa-IR"/>
          <w:color w:val="111111"/>
          <w:sz w:val="28"/>
          <w:szCs w:val="28"/>
          <w:rtl/>
        </w:rPr>
        <w:t xml:space="preserve">و ظاهره الاختصاص بخیار الشرط.و یحتمل أن یکون الاقتصار علیه لعنوان المسألة فی کلامه بغیر الحیوان و هو المتاع.</w:t>
      </w:r>
    </w:p>
    <w:p>
      <w:pPr>
        <w:pStyle w:val="BookText"/>
      </w:pPr>
      <w:r>
        <w:rPr>
          <w:rFonts w:ascii="IRNazanin" w:hAnsi="IRNazanin" w:eastAsia="IRNazanin" w:cs="IRNazanin"/>
          <w:lang w:bidi="fa-IR"/>
          <w:color w:val="111111"/>
          <w:sz w:val="28"/>
          <w:szCs w:val="28"/>
          <w:rtl/>
        </w:rPr>
        <w:t xml:space="preserve">و کیف کان،فلا أعرف وجهاً معتمداً فی اشتراط هذا الشرط سواءً أُرید </w:t>
      </w:r>
      <w:r>
        <w:rPr>
          <w:rStyle w:val="FootnoteReference"/>
        </w:rPr>
        <w:footnoteReference w:id="3328"/>
      </w:r>
      <w:r>
        <w:rPr>
          <w:rFonts w:ascii="IRNazanin" w:hAnsi="IRNazanin" w:eastAsia="IRNazanin" w:cs="IRNazanin"/>
          <w:lang w:bidi="fa-IR"/>
          <w:color w:val="111111"/>
          <w:sz w:val="28"/>
          <w:szCs w:val="28"/>
          <w:rtl/>
        </w:rPr>
        <w:t xml:space="preserve">ما یعمّ خیار الحیوان أم خصوص خیار الشرط،و سواءً أُرید مطلق الخیار و لو اختصّ بما قبل انقضاء الثلاثة أم أُرید خصوص الخیار المحقّق فیما بعد الثلاثة،سواءً حدث </w:t>
      </w:r>
      <w:r>
        <w:rPr>
          <w:rStyle w:val="FootnoteReference"/>
        </w:rPr>
        <w:footnoteReference w:id="3329"/>
      </w:r>
      <w:r>
        <w:rPr>
          <w:rFonts w:ascii="IRNazanin" w:hAnsi="IRNazanin" w:eastAsia="IRNazanin" w:cs="IRNazanin"/>
          <w:lang w:bidi="fa-IR"/>
          <w:color w:val="111111"/>
          <w:sz w:val="28"/>
          <w:szCs w:val="28"/>
          <w:rtl/>
        </w:rPr>
        <w:t xml:space="preserve">فیها أم بعدها.</w:t>
      </w:r>
    </w:p>
    <w:p>
      <w:pPr>
        <w:pStyle w:val="BookText"/>
      </w:pPr>
      <w:r>
        <w:rPr>
          <w:rFonts w:ascii="IRNazanin" w:hAnsi="IRNazanin" w:eastAsia="IRNazanin" w:cs="IRNazanin"/>
          <w:lang w:bidi="fa-IR"/>
          <w:color w:val="111111"/>
          <w:sz w:val="28"/>
          <w:szCs w:val="28"/>
          <w:rtl/>
        </w:rPr>
        <w:t xml:space="preserve">و أوجه ما یقال </w:t>
      </w:r>
      <w:r>
        <w:rPr>
          <w:rStyle w:val="FootnoteReference"/>
        </w:rPr>
        <w:footnoteReference w:id="3330"/>
      </w:r>
      <w:r>
        <w:rPr>
          <w:rFonts w:ascii="IRNazanin" w:hAnsi="IRNazanin" w:eastAsia="IRNazanin" w:cs="IRNazanin"/>
          <w:lang w:bidi="fa-IR"/>
          <w:color w:val="111111"/>
          <w:sz w:val="28"/>
          <w:szCs w:val="28"/>
          <w:rtl/>
        </w:rPr>
        <w:t xml:space="preserve">فی توجیه هذا القول مضافاً إلی دعوی انصراف النصوص إلی غیر هذا الفرض-:أنّ شرط الخیار فی قوّة اشتراط التأخیر،و تأخیر المشتری بحقّ الخیار ینفی خیار البائع.</w:t>
      </w:r>
    </w:p>
    <w:p>
      <w:pPr>
        <w:pStyle w:val="BookText"/>
      </w:pPr>
      <w:r>
        <w:rPr>
          <w:rFonts w:ascii="IRNazanin" w:hAnsi="IRNazanin" w:eastAsia="IRNazanin" w:cs="IRNazanin"/>
          <w:lang w:bidi="fa-IR"/>
          <w:color w:val="111111"/>
          <w:sz w:val="28"/>
          <w:szCs w:val="28"/>
          <w:rtl/>
        </w:rPr>
        <w:t xml:space="preserve">و توضیح ذلک ما ذکره فی التذکرة فی أحکام الخیار:من أنّه</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یجب علی البائع تسلیم المبیع و لا علی المشتری تسلیم الثمن فی زمان الخیار،و لو تبرّع أحدهما بالتسلیم لم یبطل خیاره و لا یُجبر الآخر علی تسلیم ما فی یده </w:t>
      </w:r>
      <w:r>
        <w:rPr>
          <w:rStyle w:val="FootnoteReference"/>
        </w:rPr>
        <w:footnoteReference w:id="3331"/>
      </w:r>
      <w:r>
        <w:rPr>
          <w:rFonts w:ascii="IRNazanin" w:hAnsi="IRNazanin" w:eastAsia="IRNazanin" w:cs="IRNazanin"/>
          <w:lang w:bidi="fa-IR"/>
          <w:color w:val="111111"/>
          <w:sz w:val="28"/>
          <w:szCs w:val="28"/>
          <w:rtl/>
        </w:rPr>
        <w:t xml:space="preserve">و له استرداد المدفوع قضیّةً للخیار.و قال بعض الشافعیّة:لیس له استرداده،و له أخذ ما عند صاحبه بدون رضاه، کما لو کان التسلیم بعد لزوم البیع </w:t>
      </w:r>
      <w:r>
        <w:rPr>
          <w:rStyle w:val="FootnoteReference"/>
        </w:rPr>
        <w:footnoteReference w:id="333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حینئذٍ فوجه هذا الاشتراط:أنّ ظاهر الأخبار کون عدم مجیء المشتری بالثمن بغیر حقّ التأخیر،و ذو الخیار له حقّ التأخیر،و ظاهرها أیضاً کون عدم إقباض البائع لعدم قبض الثمن لا لحقٍّ له فی عدم الإقباض.و الحاصل:أنّ الخیار بمنزلة تأجیل أحد العوضین.</w:t>
      </w:r>
    </w:p>
    <w:p>
      <w:pPr>
        <w:pStyle w:val="BookText"/>
      </w:pPr>
      <w:r>
        <w:rPr>
          <w:rFonts w:ascii="IRNazanin" w:hAnsi="IRNazanin" w:eastAsia="IRNazanin" w:cs="IRNazanin"/>
          <w:lang w:bidi="fa-IR"/>
          <w:color w:val="111111"/>
          <w:sz w:val="28"/>
          <w:szCs w:val="28"/>
          <w:rtl/>
        </w:rPr>
        <w:t xml:space="preserve">و فیه-بعد تسلیم الحکم فی الخیار و تسلیم انصراف الأخبار إلی کون التأخیر بغیر حقٍّ-:أنّه ینبغی علی هذا القول کون مبدأ الثلاثة من حین التفرّق و کون هذا الخیار مختصّاً بغیر الحیوان،مع اتّفاقهم علی ثبوته فیه کما یظهر من المختلف </w:t>
      </w:r>
      <w:r>
        <w:rPr>
          <w:rStyle w:val="FootnoteReference"/>
        </w:rPr>
        <w:footnoteReference w:id="33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إن </w:t>
      </w:r>
      <w:r>
        <w:rPr>
          <w:rStyle w:val="FootnoteReference"/>
        </w:rPr>
        <w:footnoteReference w:id="3334"/>
      </w:r>
      <w:r>
        <w:rPr>
          <w:rFonts w:ascii="IRNazanin" w:hAnsi="IRNazanin" w:eastAsia="IRNazanin" w:cs="IRNazanin"/>
          <w:lang w:bidi="fa-IR"/>
          <w:color w:val="111111"/>
          <w:sz w:val="28"/>
          <w:szCs w:val="28"/>
          <w:rtl/>
        </w:rPr>
        <w:t xml:space="preserve">ذهب الصدوق إلی کون الخیار فی الجاریة بعد شهرٍ </w:t>
      </w:r>
      <w:r>
        <w:rPr>
          <w:rStyle w:val="FootnoteReference"/>
        </w:rPr>
        <w:footnoteReference w:id="3335"/>
      </w:r>
      <w:r>
        <w:rPr>
          <w:rFonts w:ascii="IRNazanin" w:hAnsi="IRNazanin" w:eastAsia="IRNazanin" w:cs="IRNazanin"/>
          <w:lang w:bidi="fa-IR"/>
          <w:color w:val="111111"/>
          <w:sz w:val="28"/>
          <w:szCs w:val="28"/>
          <w:rtl/>
        </w:rPr>
        <w:t xml:space="preserve">.إلّا أن یراد بما فی التحریر:</w:t>
      </w:r>
    </w:p>
    <w:p>
      <w:pPr>
        <w:pStyle w:val="BookText"/>
      </w:pPr>
      <w:r>
        <w:rPr>
          <w:rFonts w:ascii="IRNazanin" w:hAnsi="IRNazanin" w:eastAsia="IRNazanin" w:cs="IRNazanin"/>
          <w:lang w:bidi="fa-IR"/>
          <w:color w:val="111111"/>
          <w:sz w:val="28"/>
          <w:szCs w:val="28"/>
          <w:rtl/>
        </w:rPr>
        <w:t xml:space="preserve">عدم ثبوت خیار التأخیر ما دام الخیار ثابتاً لأحدهما </w:t>
      </w:r>
      <w:r>
        <w:rPr>
          <w:rStyle w:val="FootnoteReference"/>
        </w:rPr>
        <w:footnoteReference w:id="3336"/>
      </w:r>
      <w:r>
        <w:rPr>
          <w:rFonts w:ascii="IRNazanin" w:hAnsi="IRNazanin" w:eastAsia="IRNazanin" w:cs="IRNazanin"/>
          <w:lang w:bidi="fa-IR"/>
          <w:color w:val="111111"/>
          <w:sz w:val="28"/>
          <w:szCs w:val="28"/>
          <w:rtl/>
        </w:rPr>
        <w:t xml:space="preserve">،فلا ینافی</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378" w:name="pg14419_167511"/>
    <w:bookmarkEnd w:id="378"/>
    <w:p>
      <w:pPr>
        <w:pStyle w:val="BookText"/>
      </w:pPr>
      <w:r>
        <w:rPr>
          <w:rFonts w:ascii="IRNazanin" w:hAnsi="IRNazanin" w:eastAsia="IRNazanin" w:cs="IRNazanin"/>
          <w:lang w:bidi="fa-IR"/>
          <w:color w:val="111111"/>
          <w:sz w:val="28"/>
          <w:szCs w:val="28"/>
          <w:rtl/>
        </w:rPr>
        <w:t xml:space="preserve">ثبوته فی الحیوان بعد الثلاثة.</w:t>
      </w:r>
    </w:p>
    <w:p>
      <w:pPr>
        <w:pStyle w:val="BookText"/>
      </w:pPr>
      <w:r>
        <w:rPr>
          <w:rFonts w:ascii="Amiri" w:hAnsi="Amiri" w:eastAsia="Amiri" w:cs="Amiri"/>
          <w:lang w:bidi="ar-SA"/>
          <w:color w:val="111111"/>
          <w:sz w:val="28"/>
          <w:szCs w:val="28"/>
          <w:rtl/>
        </w:rPr>
        <w:t xml:space="preserve">و قد یفصّل </w:t>
      </w:r>
      <w:r>
        <w:rPr>
          <w:rStyle w:val="FootnoteReference"/>
        </w:rPr>
        <w:footnoteReference w:id="3337"/>
      </w:r>
      <w:r>
        <w:rPr>
          <w:rFonts w:ascii="IRNazanin" w:hAnsi="IRNazanin" w:eastAsia="IRNazanin" w:cs="IRNazanin"/>
          <w:lang w:bidi="fa-IR"/>
          <w:color w:val="111111"/>
          <w:sz w:val="28"/>
          <w:szCs w:val="28"/>
          <w:rtl/>
        </w:rPr>
        <w:t xml:space="preserve">بین ثبوت الخیار للبائع من جهةٍ أُخری فیسقط معه هذا الخیار لأنّ خیار التأخیر شُرّع لدفع ضرره و قد اندفع بغیره، و لدلالة النصّ و الفتوی علی لزوم البیع فی الثلاثة فیختصّ بغیر صورة ثبوت الخیار له،قال:و دعوی أنّ المراد من الأخبار اللزوم من هذه الجهة،مدفوعةٌ بأنّ التأخیر سبب الخیار </w:t>
      </w:r>
      <w:r>
        <w:rPr>
          <w:rStyle w:val="FootnoteReference"/>
        </w:rPr>
        <w:footnoteReference w:id="3338"/>
      </w:r>
      <w:r>
        <w:rPr>
          <w:rFonts w:ascii="IRNazanin" w:hAnsi="IRNazanin" w:eastAsia="IRNazanin" w:cs="IRNazanin"/>
          <w:lang w:bidi="fa-IR"/>
          <w:color w:val="111111"/>
          <w:sz w:val="28"/>
          <w:szCs w:val="28"/>
          <w:rtl/>
        </w:rPr>
        <w:t xml:space="preserve">و لا یتقیّد الحکم بالسبب- و بین ما إذا کان الخیار للمشتری فلا وجه لسقوطه،مع أنّ اللازم منه عدم ثبوت هذا الخیار فی الحیوان </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ضعف هذا التفصیل:أنّ ضرر الصبر بعد الثلاثة لا یندفع بالخیار فی الثلاثة.و أمّا ما ذکره من عدم تقیید الحکم بالسبب،فلا یمنع من کون نفی الخیار فی الثلاثة من جهة التضرّر بالتأخیر،و لذا لا ینافی هذا الخیار خیارَ المجلس.</w:t>
      </w:r>
    </w:p>
    <w:p>
      <w:pPr>
        <w:pStyle w:val="Heading6"/>
      </w:pPr>
      <w:bookmarkStart w:id="1286" w:name="_Toc726"/>
      <w:r>
        <w:t>و منها : تعدّد المتعاقدین</w:t>
      </w:r>
      <w:bookmarkEnd w:id="12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3340"/>
      </w:r>
      <w:r>
        <w:rPr>
          <w:rFonts w:ascii="IRNazanin" w:hAnsi="IRNazanin" w:eastAsia="IRNazanin" w:cs="IRNazanin"/>
          <w:lang w:bidi="fa-IR"/>
          <w:color w:val="111111"/>
          <w:sz w:val="28"/>
          <w:szCs w:val="28"/>
          <w:rtl/>
        </w:rPr>
        <w:t xml:space="preserve">: تعدّد المتعاقدین؛</w:t>
      </w:r>
    </w:p>
    <w:p>
      <w:pPr>
        <w:pStyle w:val="BookText"/>
      </w:pPr>
      <w:r>
        <w:rPr>
          <w:rFonts w:ascii="IRNazanin" w:hAnsi="IRNazanin" w:eastAsia="IRNazanin" w:cs="IRNazanin"/>
          <w:lang w:bidi="fa-IR"/>
          <w:color w:val="111111"/>
          <w:sz w:val="28"/>
          <w:szCs w:val="28"/>
          <w:rtl/>
        </w:rPr>
        <w:t xml:space="preserve">لأنّ النصّ مختصٌّ بصورة التعدّد،و لأنّ هذا الخیار ثبت بعد خیار المجلس،و خیار المجلس باقٍ مع اتّحاد العاقد إلّا مع إسقاطه.</w:t>
      </w:r>
    </w:p>
    <w:p>
      <w:pPr>
        <w:pStyle w:val="BookText"/>
      </w:pPr>
      <w:r>
        <w:rPr>
          <w:rFonts w:ascii="IRNazanin" w:hAnsi="IRNazanin" w:eastAsia="IRNazanin" w:cs="IRNazanin"/>
          <w:lang w:bidi="fa-IR"/>
          <w:color w:val="111111"/>
          <w:sz w:val="28"/>
          <w:szCs w:val="28"/>
          <w:rtl/>
        </w:rPr>
        <w:t xml:space="preserve">و فیه:أنّ المناط عدم الإقباض و القبض،و لا إشکال فی تصوّره</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379" w:name="pg14419_167512"/>
    <w:bookmarkEnd w:id="379"/>
    <w:p>
      <w:pPr>
        <w:pStyle w:val="BookText"/>
      </w:pPr>
      <w:r>
        <w:rPr>
          <w:rFonts w:ascii="IRNazanin" w:hAnsi="IRNazanin" w:eastAsia="IRNazanin" w:cs="IRNazanin"/>
          <w:lang w:bidi="fa-IR"/>
          <w:color w:val="111111"/>
          <w:sz w:val="28"/>
          <w:szCs w:val="28"/>
          <w:rtl/>
        </w:rPr>
        <w:t xml:space="preserve">من المالکَین مع اتّحاد العاقد من قبلهما.و أمّا خیار المجلس،فقد عرفت أنّه غیر ثابتٍ للوکیل فی مجرّد العقد،و علی تقدیره فیمکن إسقاطه أو اشتراط عدمه.نعم،لو کان العاقد ولیّاً بیده العوضان لم یتحقّق الشرطان الأوّلان أعنی عدم الإقباض و القبض و لیس ذلک من جهة اشتراط التعدّد.</w:t>
      </w:r>
    </w:p>
    <w:p>
      <w:pPr>
        <w:pStyle w:val="Heading6"/>
      </w:pPr>
      <w:bookmarkStart w:id="1287" w:name="_Toc727"/>
      <w:r>
        <w:t>و منها : أن لا یکون المبیع حیواناً أو خصوص الجاریة</w:t>
      </w:r>
      <w:bookmarkEnd w:id="1287"/>
    </w:p>
    <w:p>
      <w:pPr>
        <w:pStyle w:val="BookText"/>
      </w:pPr>
      <w:r>
        <w:rPr>
          <w:rFonts w:ascii="IRNazanin" w:hAnsi="IRNazanin" w:eastAsia="IRNazanin" w:cs="IRNazanin"/>
          <w:lang w:bidi="fa-IR"/>
          <w:color w:val="111111"/>
          <w:sz w:val="28"/>
          <w:szCs w:val="28"/>
          <w:rtl/>
        </w:rPr>
        <w:t xml:space="preserve">فإنّ المحکیّ عن الصدوق فی المقنع أنّه إذا اشتری[جاریةً </w:t>
      </w:r>
      <w:r>
        <w:rPr>
          <w:rStyle w:val="FootnoteReference"/>
        </w:rPr>
        <w:footnoteReference w:id="3341"/>
      </w:r>
      <w:r>
        <w:rPr>
          <w:rFonts w:ascii="IRNazanin" w:hAnsi="IRNazanin" w:eastAsia="IRNazanin" w:cs="IRNazanin"/>
          <w:lang w:bidi="fa-IR"/>
          <w:color w:val="111111"/>
          <w:sz w:val="28"/>
          <w:szCs w:val="28"/>
          <w:rtl/>
        </w:rPr>
        <w:t xml:space="preserve">]فقال:أجیئک بالثمن،فإن جاء بالثمن فیما بینه و بین شهرٍ،و إلّا فلا بیع له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المختلف نسبة الخلاف إلی الصدوق فی مطلق الحیوان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المستند فیه روایة ابن یقطین عن رجلٍ اشتری جاریة فقال:أجیئک بالثمن،فقال:«إن جاء فیما بینه و بین شهر،و إلّا فلا بیع له»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فیها </w:t>
      </w:r>
      <w:r>
        <w:rPr>
          <w:rStyle w:val="FootnoteReference"/>
        </w:rPr>
        <w:footnoteReference w:id="3345"/>
      </w:r>
      <w:r>
        <w:rPr>
          <w:rFonts w:ascii="IRNazanin" w:hAnsi="IRNazanin" w:eastAsia="IRNazanin" w:cs="IRNazanin"/>
          <w:lang w:bidi="fa-IR"/>
          <w:color w:val="111111"/>
          <w:sz w:val="28"/>
          <w:szCs w:val="28"/>
          <w:rtl/>
        </w:rPr>
        <w:t xml:space="preserve">علی صورة عدم إقباض الجاریة و لا قرینة علی حملها علیها،فیحتمل الحمل علی اشتراط المجیء بالثمن إلی شهرٍ فی متن العقد،فیثبت الخیار عند تخلّف الشرط،و یحتمل الحمل علی استحباب صبر البائع و عدم فسخه إلی شهرٍ.و کیف کان،فالروایة مخالفةٌ لعمل المعظم،فلا بدّ من حملها علی بعض الوجوه.</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مبدأ الثلاثة من حین التفرّق أو من حین العقد؟وجهان:</w:t>
      </w:r>
    </w:p>
    <w:p>
      <w:pPr>
        <w:pStyle w:val="BookText"/>
      </w:pPr>
      <w:r>
        <w:rPr>
          <w:rFonts w:ascii="IRNazanin" w:hAnsi="IRNazanin" w:eastAsia="IRNazanin" w:cs="IRNazanin"/>
          <w:lang w:bidi="fa-IR"/>
          <w:color w:val="111111"/>
          <w:sz w:val="28"/>
          <w:szCs w:val="28"/>
          <w:rtl/>
        </w:rPr>
        <w:t xml:space="preserve">من ظهور قوله:«فإن جاء بالثمن بینه و بین ثلاثة أیّامٍ»فی کون مدّة الغیبة ثلاثةً،و من کون ذلک کنایةً عن عدم التقابض ثلاثة أیّامٍ،کما هو ظاهر قوله علیه السلام فی روایة ابن یقطین:«الأجل بینهما ثلاثة أیّامٍ،فإن قبض بیعه و إلّا فلا بیع بینهما» </w:t>
      </w:r>
      <w:r>
        <w:rPr>
          <w:rStyle w:val="FootnoteReference"/>
        </w:rPr>
        <w:footnoteReference w:id="3346"/>
      </w:r>
      <w:r>
        <w:rPr>
          <w:rFonts w:ascii="IRNazanin" w:hAnsi="IRNazanin" w:eastAsia="IRNazanin" w:cs="IRNazanin"/>
          <w:lang w:bidi="fa-IR"/>
          <w:color w:val="111111"/>
          <w:sz w:val="28"/>
          <w:szCs w:val="28"/>
          <w:rtl/>
        </w:rPr>
        <w:t xml:space="preserve">و هذا هو الأقوی.</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80" w:name="pg14419_167514"/>
    <w:bookmarkEnd w:id="380"/>
    <w:p>
      <w:pPr>
        <w:pStyle w:val="Heading6"/>
      </w:pPr>
      <w:bookmarkStart w:id="1288" w:name="_Toc728"/>
      <w:r>
        <w:t>مسألة : یسقط هذا الخیار بأُمورٍ</w:t>
      </w:r>
      <w:bookmarkEnd w:id="1288"/>
    </w:p>
    <w:p>
      <w:pPr>
        <w:pStyle w:val="Heading6"/>
      </w:pPr>
      <w:bookmarkStart w:id="1289" w:name="_Toc729"/>
      <w:r>
        <w:t>أحدها : إسقاطه بعد الثلاثة بلا إشکالٍ و لا خلاف</w:t>
      </w:r>
      <w:bookmarkEnd w:id="1289"/>
    </w:p>
    <w:p>
      <w:pPr>
        <w:pStyle w:val="BookText"/>
      </w:pPr>
      <w:r>
        <w:rPr>
          <w:rFonts w:ascii="IRNazanin" w:hAnsi="IRNazanin" w:eastAsia="IRNazanin" w:cs="IRNazanin"/>
          <w:lang w:bidi="fa-IR"/>
          <w:color w:val="111111"/>
          <w:sz w:val="28"/>
          <w:szCs w:val="28"/>
          <w:rtl/>
        </w:rPr>
        <w:t xml:space="preserve">و فی سقوطه بالإسقاط فی الثلاثة وجهان:من أنّ السبب فیه الضرر الحاصل بالتأخیر،فلا یتحقّق إلّا بعد الثلاثة؛و لذا صرّح فی التذکرة بعدم جواز إسقاط خیار الشرط قبل التفرّق إذا قلنا بکون مبدئه بعده </w:t>
      </w:r>
      <w:r>
        <w:rPr>
          <w:rStyle w:val="FootnoteReference"/>
        </w:rPr>
        <w:footnoteReference w:id="3347"/>
      </w:r>
      <w:r>
        <w:rPr>
          <w:rFonts w:ascii="IRNazanin" w:hAnsi="IRNazanin" w:eastAsia="IRNazanin" w:cs="IRNazanin"/>
          <w:lang w:bidi="fa-IR"/>
          <w:color w:val="111111"/>
          <w:sz w:val="28"/>
          <w:szCs w:val="28"/>
          <w:rtl/>
        </w:rPr>
        <w:t xml:space="preserve">مع أنّه أولی بالجواز،و من أنّ العقد سبب الخیار،فیکفی وجوده فی إسقاطه، مضافاً إلی فحوی جواز اشتراط سقوطه فی متن العقد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Heading6"/>
      </w:pPr>
      <w:bookmarkStart w:id="1290" w:name="_Toc730"/>
      <w:r>
        <w:t>الثانی : اشتراط سقوطه فی متن العقد</w:t>
      </w:r>
      <w:bookmarkEnd w:id="12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حکی عن الدروس و جامع المقاصد و تعلیق الإرشاد </w:t>
      </w:r>
      <w:r>
        <w:rPr>
          <w:rStyle w:val="FootnoteReference"/>
        </w:rPr>
        <w:footnoteReference w:id="3349"/>
      </w:r>
      <w:r>
        <w:rPr>
          <w:rFonts w:ascii="Amiri" w:hAnsi="Amiri" w:eastAsia="Amiri" w:cs="Amiri"/>
          <w:lang w:bidi="ar-SA"/>
          <w:color w:val="111111"/>
          <w:sz w:val="28"/>
          <w:szCs w:val="28"/>
          <w:rtl/>
        </w:rPr>
        <w:t xml:space="preserve">،و لعلّه لعموم أدلّة الشروط.</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381" w:name="pg14419_167515"/>
    <w:bookmarkEnd w:id="381"/>
    <w:p>
      <w:pPr>
        <w:pStyle w:val="BookText"/>
      </w:pPr>
      <w:r>
        <w:rPr>
          <w:rFonts w:ascii="IRNazanin" w:hAnsi="IRNazanin" w:eastAsia="IRNazanin" w:cs="IRNazanin"/>
          <w:lang w:bidi="fa-IR"/>
          <w:color w:val="111111"/>
          <w:sz w:val="28"/>
          <w:szCs w:val="28"/>
          <w:rtl/>
        </w:rPr>
        <w:t xml:space="preserve">و یشکل علی عدم جواز إسقاطه فی الثلاثة بناءً علی أنّ السبب فی هذا الخیار هو الضرر الحادث بالتأخیر دون العقد،فإنّ الشرط إنّما یسقط به ما یقبل الإسقاط بدون الشرط،و لا یوجب شرعیّة سقوط ما لا یشرع إسقاطه بدون شرطٍ،فإن کان إجماعٌ علی السقوط بالشرط -کما حکاه بعضٌ </w:t>
      </w:r>
      <w:r>
        <w:rPr>
          <w:rStyle w:val="FootnoteReference"/>
        </w:rPr>
        <w:footnoteReference w:id="3350"/>
      </w:r>
      <w:r>
        <w:rPr>
          <w:rFonts w:ascii="IRNazanin" w:hAnsi="IRNazanin" w:eastAsia="IRNazanin" w:cs="IRNazanin"/>
          <w:lang w:bidi="fa-IR"/>
          <w:color w:val="111111"/>
          <w:sz w:val="28"/>
          <w:szCs w:val="28"/>
          <w:rtl/>
        </w:rPr>
        <w:t xml:space="preserve">قلنا به،بل بصحّة الإسقاط بعد العقد؛لفحواه، و إلّا فللنظر فیه مجالٌ.</w:t>
      </w:r>
    </w:p>
    <w:p>
      <w:pPr>
        <w:pStyle w:val="Heading6"/>
      </w:pPr>
      <w:bookmarkStart w:id="1291" w:name="_Toc731"/>
      <w:r>
        <w:t>الثالث : بذل المشتری للثمن بعد الثلاثة</w:t>
      </w:r>
      <w:bookmarkEnd w:id="1291"/>
    </w:p>
    <w:p>
      <w:pPr>
        <w:pStyle w:val="BookText"/>
      </w:pPr>
      <w:r>
        <w:rPr>
          <w:rFonts w:ascii="Amiri" w:hAnsi="Amiri" w:eastAsia="Amiri" w:cs="Amiri"/>
          <w:lang w:bidi="ar-SA"/>
          <w:color w:val="111111"/>
          <w:sz w:val="28"/>
          <w:szCs w:val="28"/>
          <w:rtl/>
        </w:rPr>
        <w:t xml:space="preserve">فإنّ المصرَّح به فی التذکرة سقوط الخیار حینئذٍ </w:t>
      </w:r>
      <w:r>
        <w:rPr>
          <w:rStyle w:val="FootnoteReference"/>
        </w:rPr>
        <w:footnoteReference w:id="3351"/>
      </w:r>
      <w:r>
        <w:rPr>
          <w:rFonts w:ascii="IRNazanin" w:hAnsi="IRNazanin" w:eastAsia="IRNazanin" w:cs="IRNazanin"/>
          <w:lang w:bidi="fa-IR"/>
          <w:color w:val="111111"/>
          <w:sz w:val="28"/>
          <w:szCs w:val="28"/>
          <w:rtl/>
        </w:rPr>
        <w:t xml:space="preserve">.و قیل بعدم السقوط بذلک استصحاباً </w:t>
      </w:r>
      <w:r>
        <w:rPr>
          <w:rStyle w:val="FootnoteReference"/>
        </w:rPr>
        <w:footnoteReference w:id="3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 لو استند فی الخیار إلی الأخبار،و أمّا إذا استند فیه إلی الضرر،فلا شکّ فی عدم الضرر حال بذل الثمن،فلا ضرر لیتدارک بالخیار،و لو فرض تضرّره سابقاً بالتأخیر فالخیار لا یوجب تدارک ذلک،و إنّما یتدارک به الضرر المستقبل.</w:t>
      </w:r>
    </w:p>
    <w:p>
      <w:pPr>
        <w:pStyle w:val="BookText"/>
      </w:pPr>
      <w:r>
        <w:rPr>
          <w:rFonts w:ascii="IRNazanin" w:hAnsi="IRNazanin" w:eastAsia="IRNazanin" w:cs="IRNazanin"/>
          <w:lang w:bidi="fa-IR"/>
          <w:color w:val="111111"/>
          <w:sz w:val="28"/>
          <w:szCs w:val="28"/>
          <w:rtl/>
        </w:rPr>
        <w:t xml:space="preserve">و دعوی:أنّ حدوث الضرر قبل البذل یکفی فی بقاء الخیار، مدفوعٌ بأنّ الأحکام المترتّبة علی نفی الضرر تابعةٌ للضرر الفعلی، لا مجرّد حدوث الضرر فی زمانٍ،و لا یبعد دعوی انصراف الأخبار إلی</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382" w:name="pg14419_167516"/>
    <w:bookmarkEnd w:id="382"/>
    <w:p>
      <w:pPr>
        <w:pStyle w:val="BookText"/>
      </w:pPr>
      <w:r>
        <w:rPr>
          <w:rFonts w:ascii="IRNazanin" w:hAnsi="IRNazanin" w:eastAsia="IRNazanin" w:cs="IRNazanin"/>
          <w:lang w:bidi="fa-IR"/>
          <w:color w:val="111111"/>
          <w:sz w:val="28"/>
          <w:szCs w:val="28"/>
          <w:rtl/>
        </w:rPr>
        <w:t xml:space="preserve">صورة التضرّر فعلاً بلزوم العقد،بأن یقال:بأنّ عدم حضور المشتری علّةٌ لانتفاء اللزوم یدور معها وجوداً و عدماً.</w:t>
      </w:r>
    </w:p>
    <w:p>
      <w:pPr>
        <w:pStyle w:val="BookText"/>
      </w:pPr>
      <w:r>
        <w:rPr>
          <w:rFonts w:ascii="IRNazanin" w:hAnsi="IRNazanin" w:eastAsia="IRNazanin" w:cs="IRNazanin"/>
          <w:lang w:bidi="fa-IR"/>
          <w:color w:val="111111"/>
          <w:sz w:val="28"/>
          <w:szCs w:val="28"/>
          <w:rtl/>
        </w:rPr>
        <w:t xml:space="preserve">و کیف کان،فمختار التذکرة لا یخلو عن قوّةٍ.</w:t>
      </w:r>
    </w:p>
    <w:p>
      <w:pPr>
        <w:pStyle w:val="Heading6"/>
      </w:pPr>
      <w:bookmarkStart w:id="1292" w:name="_Toc732"/>
      <w:r>
        <w:t>الرابع : أخذ الثمن من المشتری بناءً علی عدم سقوطه بالبذل</w:t>
      </w:r>
      <w:bookmarkEnd w:id="1292"/>
    </w:p>
    <w:p>
      <w:pPr>
        <w:pStyle w:val="BookText"/>
      </w:pPr>
      <w:r>
        <w:rPr>
          <w:rFonts w:ascii="IRNazanin" w:hAnsi="IRNazanin" w:eastAsia="IRNazanin" w:cs="IRNazanin"/>
          <w:lang w:bidi="fa-IR"/>
          <w:color w:val="111111"/>
          <w:sz w:val="28"/>
          <w:szCs w:val="28"/>
          <w:rtl/>
        </w:rPr>
        <w:t xml:space="preserve">و إلّا لم یحتج إلی الأخذ به و السقوط به؛لأنّه التزامٌ فعلیٌّ بالبیع و رضاً بلزومه.و هل یشترط إفادة العلم بکونه لأجل الالتزام أو یکفی الظنّ، فلو احتمل کون الأخذ بعنوان العاریة أو غیرها لم ینفع،أم لا یعتبر الظنّ أیضاً؟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وجوهٌ:من عدم تحقّق موضوع الالتزام إلّا بالعلم،و من کون الفعل مع إفادة الظنّ أمارةً عرفیّةً علی الالتزام کالقول،و ممّا تقدّم من سقوط خیار الحیوان أو الشرط بما کان رضاً نوعیّاً بالعقد و هذا من أوضح أفراده،و قد بیّنّا </w:t>
      </w:r>
      <w:r>
        <w:rPr>
          <w:rStyle w:val="FootnoteReference"/>
        </w:rPr>
        <w:footnoteReference w:id="3353"/>
      </w:r>
      <w:r>
        <w:rPr>
          <w:rFonts w:ascii="IRNazanin" w:hAnsi="IRNazanin" w:eastAsia="IRNazanin" w:cs="IRNazanin"/>
          <w:lang w:bidi="fa-IR"/>
          <w:color w:val="111111"/>
          <w:sz w:val="28"/>
          <w:szCs w:val="28"/>
          <w:rtl/>
        </w:rPr>
        <w:t xml:space="preserve">عدم اعتبار الظنّ الشخصی فی دلالة التصرّف علی الرضا.و خیر الوجوه أوسطها،لکنّ الأقوی الأخیر.</w:t>
      </w:r>
    </w:p>
    <w:p>
      <w:pPr>
        <w:pStyle w:val="BookText"/>
      </w:pPr>
      <w:r>
        <w:rPr>
          <w:rFonts w:ascii="IRNazanin" w:hAnsi="IRNazanin" w:eastAsia="IRNazanin" w:cs="IRNazanin"/>
          <w:lang w:bidi="fa-IR"/>
          <w:color w:val="111111"/>
          <w:sz w:val="28"/>
          <w:szCs w:val="28"/>
          <w:rtl/>
        </w:rPr>
        <w:t xml:space="preserve">و هل یسقط الخیار بمطالبة الثمن؟ المصرَّح به فی التذکرة </w:t>
      </w:r>
      <w:r>
        <w:rPr>
          <w:rStyle w:val="FootnoteReference"/>
        </w:rPr>
        <w:footnoteReference w:id="3354"/>
      </w:r>
      <w:r>
        <w:rPr>
          <w:rFonts w:ascii="IRNazanin" w:hAnsi="IRNazanin" w:eastAsia="IRNazanin" w:cs="IRNazanin"/>
          <w:lang w:bidi="fa-IR"/>
          <w:color w:val="111111"/>
          <w:sz w:val="28"/>
          <w:szCs w:val="28"/>
          <w:rtl/>
        </w:rPr>
        <w:t xml:space="preserve">و غیرها </w:t>
      </w:r>
      <w:r>
        <w:rPr>
          <w:rStyle w:val="FootnoteReference"/>
        </w:rPr>
        <w:footnoteReference w:id="3355"/>
      </w:r>
      <w:r>
        <w:rPr>
          <w:rFonts w:ascii="IRNazanin" w:hAnsi="IRNazanin" w:eastAsia="IRNazanin" w:cs="IRNazanin"/>
          <w:lang w:bidi="fa-IR"/>
          <w:color w:val="111111"/>
          <w:sz w:val="28"/>
          <w:szCs w:val="28"/>
          <w:rtl/>
        </w:rPr>
        <w:t xml:space="preserve">العدم؛للأصل و عدم الدلیل.</w:t>
      </w:r>
    </w:p>
    <w:p>
      <w:pPr>
        <w:pStyle w:val="BookText"/>
      </w:pPr>
      <w:r>
        <w:rPr>
          <w:rFonts w:ascii="IRNazanin" w:hAnsi="IRNazanin" w:eastAsia="IRNazanin" w:cs="IRNazanin"/>
          <w:lang w:bidi="fa-IR"/>
          <w:color w:val="111111"/>
          <w:sz w:val="28"/>
          <w:szCs w:val="28"/>
          <w:rtl/>
        </w:rPr>
        <w:t xml:space="preserve">و یحتمل السقوط؛لدلالته علی الرضا بالبیع.</w:t>
      </w:r>
    </w:p>
    <w:p>
      <w:pPr>
        <w:pStyle w:val="BookText"/>
      </w:pPr>
      <w:r>
        <w:rPr>
          <w:rFonts w:ascii="IRNazanin" w:hAnsi="IRNazanin" w:eastAsia="IRNazanin" w:cs="IRNazanin"/>
          <w:lang w:bidi="fa-IR"/>
          <w:color w:val="111111"/>
          <w:sz w:val="28"/>
          <w:szCs w:val="28"/>
          <w:rtl/>
        </w:rPr>
        <w:t xml:space="preserve">و فیه:أنّ سبب الخیار هو التضرّر فی المستقبل،لما عرفت:من أنّ الخیار لا یتدارک به ما مضی من ضرر الصبر،و مطالبة الثمن لا تدلّ علی التزام الضرر المستقبل حتّی یکون التزاماً بالبیع،بل مطالبة</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الثمن إنّما هو استدفاعٌ للضرر المستقبل کالفسخ،لا التزامٌ بذلک الضرر لیسقط الخیار.و لیس الضرر هنا من قبیل الضرر فی بیع الغبن و نحوه ممّا کان الضرر حاصلاً بنفس العقد،حتّی یکون الرضا به بعد العقد و العلم بالضرر التزاماً بالضرر الذی هو سبب الخیار.</w:t>
      </w:r>
    </w:p>
    <w:p>
      <w:pPr>
        <w:pStyle w:val="BookText"/>
      </w:pPr>
      <w:r>
        <w:rPr>
          <w:rFonts w:ascii="IRNazanin" w:hAnsi="IRNazanin" w:eastAsia="IRNazanin" w:cs="IRNazanin"/>
          <w:lang w:bidi="fa-IR"/>
          <w:color w:val="111111"/>
          <w:sz w:val="28"/>
          <w:szCs w:val="28"/>
          <w:rtl/>
        </w:rPr>
        <w:t xml:space="preserve">و بالجملة،فالمسقط لهذا الخیار لیس إلّا دفع الضرر المستقبل ببذل الثمن،أو التزامه بإسقاطه،أو اشتراط سقوطه،و ما تقدّم من سقوط الخیارات المتقدّمة بما یدلّ علی الرضا فإنّما هو حیث یکون نفس العقد سبباً للخیار و لو من جهة التضرّر بلزومه،و ما نحن فیه لیس من هذا القبیل،مع أنّ سقوط تلک الخیارات بمجرّد مطالبة الثمن أیضاً محلّ نظرٍ؛ لعدم کونه تصرّفاً،و اللّٰه العالم.</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383" w:name="pg14419_167518"/>
    <w:bookmarkEnd w:id="383"/>
    <w:p>
      <w:pPr>
        <w:pStyle w:val="Heading6"/>
      </w:pPr>
      <w:bookmarkStart w:id="1293" w:name="_Toc733"/>
      <w:r>
        <w:t>مسألة : فی کون هذا الخیار علی الفور أو التراخی قولان</w:t>
      </w:r>
      <w:bookmarkEnd w:id="12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قد تقدّم ما یصلح أن یستند إلیه لکلٍّ من القولین فی مطلق الخیار مع قطع النظر عن خصوصیّات الموارد،و قد عرفت أنّ الأقوی الفور </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فی خصوص ما نحن فیه:إنّ ظاهر قوله علیه السلام:</w:t>
      </w:r>
    </w:p>
    <w:p>
      <w:pPr>
        <w:pStyle w:val="BookText"/>
      </w:pPr>
      <w:r>
        <w:rPr>
          <w:rFonts w:ascii="IRNazanin" w:hAnsi="IRNazanin" w:eastAsia="IRNazanin" w:cs="IRNazanin"/>
          <w:lang w:bidi="fa-IR"/>
          <w:color w:val="111111"/>
          <w:sz w:val="28"/>
          <w:szCs w:val="28"/>
          <w:rtl/>
        </w:rPr>
        <w:t xml:space="preserve">«لا بیع له» </w:t>
      </w:r>
      <w:r>
        <w:rPr>
          <w:rStyle w:val="FootnoteReference"/>
        </w:rPr>
        <w:footnoteReference w:id="3357"/>
      </w:r>
      <w:r>
        <w:rPr>
          <w:rFonts w:ascii="IRNazanin" w:hAnsi="IRNazanin" w:eastAsia="IRNazanin" w:cs="IRNazanin"/>
          <w:lang w:bidi="fa-IR"/>
          <w:color w:val="111111"/>
          <w:sz w:val="28"/>
          <w:szCs w:val="28"/>
          <w:rtl/>
        </w:rPr>
        <w:t xml:space="preserve">نفی البیع رأساً،و الأنسب بنفی الحقیقة بعد عدم إرادة نفی الصحّة هو نفی لزومه رأساً،بأن لا یعود لازماً أبداً،فتأمّل.</w:t>
      </w:r>
    </w:p>
    <w:p>
      <w:pPr>
        <w:pStyle w:val="BookText"/>
      </w:pPr>
      <w:r>
        <w:rPr>
          <w:rFonts w:ascii="IRNazanin" w:hAnsi="IRNazanin" w:eastAsia="IRNazanin" w:cs="IRNazanin"/>
          <w:lang w:bidi="fa-IR"/>
          <w:color w:val="111111"/>
          <w:sz w:val="28"/>
          <w:szCs w:val="28"/>
          <w:rtl/>
        </w:rPr>
        <w:t xml:space="preserve">ثمّ علی تقدیر إهمال النصّ و عدم ظهوره فی العموم یمکن التمسّک بالاستصحاب هنا؛لأنّ اللزوم إذا ارتفع عن البیع فی زمانٍ،فعوده یحتاج إلی دلیل.و لیس الشکّ هنا فی موضوع المستصحب نظیر ما تقدّم فی استصحاب الخیار لأنّ الموضوع مستفادٌ من النصّ،فراجع.</w:t>
      </w:r>
    </w:p>
    <w:p>
      <w:pPr>
        <w:pStyle w:val="BookText"/>
      </w:pPr>
      <w:r>
        <w:rPr>
          <w:rFonts w:ascii="IRNazanin" w:hAnsi="IRNazanin" w:eastAsia="IRNazanin" w:cs="IRNazanin"/>
          <w:lang w:bidi="fa-IR"/>
          <w:color w:val="111111"/>
          <w:sz w:val="28"/>
          <w:szCs w:val="28"/>
          <w:rtl/>
        </w:rPr>
        <w:t xml:space="preserve">و کیف کان،فالقول بالتراخی لا یخلو عن قوّة،إمّا لظهور النصّ و إمّا للاستصحاب.</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84" w:name="pg14419_167519"/>
    <w:bookmarkEnd w:id="384"/>
    <w:p>
      <w:pPr>
        <w:pStyle w:val="Heading6"/>
      </w:pPr>
      <w:bookmarkStart w:id="1294" w:name="_Toc734"/>
      <w:r>
        <w:t>مسألة : لو تلف المبیع بعد الثلاثة کان من البائع إجماعاً مستفیضاً</w:t>
      </w:r>
      <w:bookmarkEnd w:id="1294"/>
    </w:p>
    <w:p>
      <w:pPr>
        <w:pStyle w:val="BookText"/>
      </w:pPr>
      <w:r>
        <w:rPr>
          <w:rFonts w:ascii="IRNazanin" w:hAnsi="IRNazanin" w:eastAsia="IRNazanin" w:cs="IRNazanin"/>
          <w:lang w:bidi="fa-IR"/>
          <w:color w:val="111111"/>
          <w:sz w:val="28"/>
          <w:szCs w:val="28"/>
          <w:rtl/>
        </w:rPr>
        <w:t xml:space="preserve">بل متواتراً کما فی الریاض </w:t>
      </w:r>
      <w:r>
        <w:rPr>
          <w:rStyle w:val="FootnoteReference"/>
        </w:rPr>
        <w:footnoteReference w:id="3358"/>
      </w:r>
      <w:r>
        <w:rPr>
          <w:rFonts w:ascii="IRNazanin" w:hAnsi="IRNazanin" w:eastAsia="IRNazanin" w:cs="IRNazanin"/>
          <w:lang w:bidi="fa-IR"/>
          <w:color w:val="111111"/>
          <w:sz w:val="28"/>
          <w:szCs w:val="28"/>
          <w:rtl/>
        </w:rPr>
        <w:t xml:space="preserve">.و یدلّ علیه النبویّ المشهور و إن کان فی کتب روایات أصحابنا غیر مسطور-:«کلّ مبیعٍ تلف قبل قبضه فهو من مال بائعه» </w:t>
      </w:r>
      <w:r>
        <w:rPr>
          <w:rStyle w:val="FootnoteReference"/>
        </w:rPr>
        <w:footnoteReference w:id="3359"/>
      </w:r>
      <w:r>
        <w:rPr>
          <w:rFonts w:ascii="IRNazanin" w:hAnsi="IRNazanin" w:eastAsia="IRNazanin" w:cs="IRNazanin"/>
          <w:lang w:bidi="fa-IR"/>
          <w:color w:val="111111"/>
          <w:sz w:val="28"/>
          <w:szCs w:val="28"/>
          <w:rtl/>
        </w:rPr>
        <w:t xml:space="preserve">،و إطلاقه کمعاقد الإجماعات[یعمّ </w:t>
      </w:r>
      <w:r>
        <w:rPr>
          <w:rStyle w:val="FootnoteReference"/>
        </w:rPr>
        <w:footnoteReference w:id="3360"/>
      </w:r>
      <w:r>
        <w:rPr>
          <w:rFonts w:ascii="IRNazanin" w:hAnsi="IRNazanin" w:eastAsia="IRNazanin" w:cs="IRNazanin"/>
          <w:lang w:bidi="fa-IR"/>
          <w:color w:val="111111"/>
          <w:sz w:val="28"/>
          <w:szCs w:val="28"/>
          <w:rtl/>
        </w:rPr>
        <w:t xml:space="preserve">]ما لو تلف فی حال الخیار أم تلف بعد بطلانه،کما لو قلنا بکونه علی الفور فبطل بالتأخیر،أو بذل المشتری الثمن فتلف العین فی هذا الحال.</w:t>
      </w:r>
    </w:p>
    <w:p>
      <w:pPr>
        <w:pStyle w:val="BookText"/>
      </w:pPr>
      <w:r>
        <w:rPr>
          <w:rFonts w:ascii="IRNazanin" w:hAnsi="IRNazanin" w:eastAsia="IRNazanin" w:cs="IRNazanin"/>
          <w:lang w:bidi="fa-IR"/>
          <w:color w:val="111111"/>
          <w:sz w:val="28"/>
          <w:szCs w:val="28"/>
          <w:rtl/>
        </w:rPr>
        <w:t xml:space="preserve">و قد یُعارض النبویّ بقاعدة«الملازمة بین النماء و الدَّرَک»المستفادة من النصّ </w:t>
      </w:r>
      <w:r>
        <w:rPr>
          <w:rStyle w:val="FootnoteReference"/>
        </w:rPr>
        <w:footnoteReference w:id="3361"/>
      </w:r>
      <w:r>
        <w:rPr>
          <w:rFonts w:ascii="IRNazanin" w:hAnsi="IRNazanin" w:eastAsia="IRNazanin" w:cs="IRNazanin"/>
          <w:lang w:bidi="fa-IR"/>
          <w:color w:val="111111"/>
          <w:sz w:val="28"/>
          <w:szCs w:val="28"/>
          <w:rtl/>
        </w:rPr>
        <w:t xml:space="preserve">و الاستقراء و القاعدة المجمَع علیها:«بأنّ </w:t>
      </w:r>
      <w:r>
        <w:rPr>
          <w:rStyle w:val="FootnoteReference"/>
        </w:rPr>
        <w:footnoteReference w:id="3362"/>
      </w:r>
      <w:r>
        <w:rPr>
          <w:rFonts w:ascii="IRNazanin" w:hAnsi="IRNazanin" w:eastAsia="IRNazanin" w:cs="IRNazanin"/>
          <w:lang w:bidi="fa-IR"/>
          <w:color w:val="111111"/>
          <w:sz w:val="28"/>
          <w:szCs w:val="28"/>
          <w:rtl/>
        </w:rPr>
        <w:t xml:space="preserve">التلف فی زمان الخیار ممّن لا خیار له».</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النبویّ أخصّ من القاعدة الاُولی فلا معارضة،و القاعدة الثانیة لا عموم فیها یشمل جمیع أفراد الخیار و لا جمیع أحوال البیع حتّی قبل القبض،بل التحقیق فیها کما سیجیء </w:t>
      </w:r>
      <w:r>
        <w:rPr>
          <w:rStyle w:val="FootnoteReference"/>
        </w:rPr>
        <w:footnoteReference w:id="3363"/>
      </w:r>
      <w:r>
        <w:rPr>
          <w:rFonts w:ascii="IRNazanin" w:hAnsi="IRNazanin" w:eastAsia="IRNazanin" w:cs="IRNazanin"/>
          <w:lang w:bidi="fa-IR"/>
          <w:color w:val="111111"/>
          <w:sz w:val="28"/>
          <w:szCs w:val="28"/>
          <w:rtl/>
        </w:rPr>
        <w:t xml:space="preserve">إن شاء اللّٰه- اختصاصها بخیار المجلس و الشرط و الحیوان مع کون التلف بعد القبض.</w:t>
      </w:r>
    </w:p>
    <w:p>
      <w:pPr>
        <w:pStyle w:val="BookText"/>
      </w:pPr>
      <w:r>
        <w:rPr>
          <w:rFonts w:ascii="IRNazanin" w:hAnsi="IRNazanin" w:eastAsia="IRNazanin" w:cs="IRNazanin"/>
          <w:lang w:bidi="fa-IR"/>
          <w:color w:val="111111"/>
          <w:sz w:val="28"/>
          <w:szCs w:val="28"/>
          <w:rtl/>
        </w:rPr>
        <w:t xml:space="preserve">و لو تلف فی الثلاثة،فالمشهور کونه من مال البائع أیضاً،و عن الخلاف:الإجماع علیه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لجماعةٍ من القدماء منهم المفید </w:t>
      </w:r>
      <w:r>
        <w:rPr>
          <w:rStyle w:val="FootnoteReference"/>
        </w:rPr>
        <w:footnoteReference w:id="3365"/>
      </w:r>
      <w:r>
        <w:rPr>
          <w:rFonts w:ascii="Amiri" w:hAnsi="Amiri" w:eastAsia="Amiri" w:cs="Amiri"/>
          <w:lang w:bidi="ar-SA"/>
          <w:color w:val="111111"/>
          <w:sz w:val="28"/>
          <w:szCs w:val="28"/>
          <w:rtl/>
        </w:rPr>
        <w:t xml:space="preserve">و السیّدان </w:t>
      </w:r>
      <w:r>
        <w:rPr>
          <w:rStyle w:val="FootnoteReference"/>
        </w:rPr>
        <w:footnoteReference w:id="3366"/>
      </w:r>
      <w:r>
        <w:rPr>
          <w:rFonts w:ascii="IRNazanin" w:hAnsi="IRNazanin" w:eastAsia="IRNazanin" w:cs="IRNazanin"/>
          <w:lang w:bidi="fa-IR"/>
          <w:color w:val="111111"/>
          <w:sz w:val="28"/>
          <w:szCs w:val="28"/>
          <w:rtl/>
        </w:rPr>
        <w:t xml:space="preserve">-مدّعین علیه الإجماع،و هو مع قاعدة«ضمان المالک لماله»یصحّ حجّةً لهذا القول.</w:t>
      </w:r>
    </w:p>
    <w:p>
      <w:pPr>
        <w:pStyle w:val="BookText"/>
      </w:pPr>
      <w:r>
        <w:rPr>
          <w:rFonts w:ascii="Amiri" w:hAnsi="Amiri" w:eastAsia="Amiri" w:cs="Amiri"/>
          <w:lang w:bidi="ar-SA"/>
          <w:color w:val="111111"/>
          <w:sz w:val="28"/>
          <w:szCs w:val="28"/>
          <w:rtl/>
        </w:rPr>
        <w:t xml:space="preserve">لکن الإجماع معارَضٌ بل موهونٌ.و القاعدة مخصَّصةٌ بالنبویّ المذکور </w:t>
      </w:r>
      <w:r>
        <w:rPr>
          <w:rStyle w:val="FootnoteReference"/>
        </w:rPr>
        <w:footnoteReference w:id="3367"/>
      </w:r>
      <w:r>
        <w:rPr>
          <w:rFonts w:ascii="IRNazanin" w:hAnsi="IRNazanin" w:eastAsia="IRNazanin" w:cs="IRNazanin"/>
          <w:lang w:bidi="fa-IR"/>
          <w:color w:val="111111"/>
          <w:sz w:val="28"/>
          <w:szCs w:val="28"/>
          <w:rtl/>
        </w:rPr>
        <w:t xml:space="preserve">المنجبر من حیث الصدور،مضافاً إلی روایة عقبة بن خالد:</w:t>
      </w:r>
    </w:p>
    <w:p>
      <w:pPr>
        <w:pStyle w:val="BookText"/>
      </w:pPr>
      <w:r>
        <w:rPr>
          <w:rFonts w:ascii="IRNazanin" w:hAnsi="IRNazanin" w:eastAsia="IRNazanin" w:cs="IRNazanin"/>
          <w:lang w:bidi="fa-IR"/>
          <w:color w:val="111111"/>
          <w:sz w:val="28"/>
          <w:szCs w:val="28"/>
          <w:rtl/>
        </w:rPr>
        <w:t xml:space="preserve">«فی رجلٍ اشتری متاعاً من رجلٍ و أوجبه غیر أنّه ترک المتاع عنده و لم یقبضه،قال:آتیک غداً إن شاء اللّٰه،فسُرق المتاع،من مال مَن یکون؟قال:من مال صاحب المتاع الذی هو فی بیته حتّی یُقبض</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و یخرجه من بیته،فإذا أخرجه من بیته فالمبتاع ضامنٌ لحقّه حتّی یردّ إلیه حقّه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مکّنه من القبض فلم یتسلّم،فضمان البائع مبنیٌّ علی ارتفاع الضمان بذلک،و هو الأقوی.</w:t>
      </w:r>
    </w:p>
    <w:p>
      <w:pPr>
        <w:pStyle w:val="BookText"/>
      </w:pPr>
      <w:r>
        <w:rPr>
          <w:rFonts w:ascii="IRNazanin" w:hAnsi="IRNazanin" w:eastAsia="IRNazanin" w:cs="IRNazanin"/>
          <w:lang w:bidi="fa-IR"/>
          <w:color w:val="111111"/>
          <w:sz w:val="28"/>
          <w:szCs w:val="28"/>
          <w:rtl/>
        </w:rPr>
        <w:t xml:space="preserve">قال الشیخ فی النهایة:إذا باع الإنسان شیئاً و لم یقبض المتاع و لا قبض الثمن و مضی المبتاع،فإنّ العقد موقوفٌ ثلاثة أیّام،فإن جاء المبتاع فی مدّة ثلاثة أیّامٍ کان المبیع له،و إن مضت ثلاثة أیّامٍ کان البائع أولی بالمتاع،فإن هلک المتاع فی هذه الثلاثة أیّام و لم یکن قبّضه إیّاه کان من مال البائع دون المبتاع،و إن کان قبّضه إیّاه ثمّ هلک فی مدّة الثلاثة أیّام کان من مال المبتاع،و إن هلک بعد الثلاثة أیّام کان من مال البائع علی کلّ حالٍ </w:t>
      </w:r>
      <w:r>
        <w:rPr>
          <w:rStyle w:val="FootnoteReference"/>
        </w:rPr>
        <w:footnoteReference w:id="3369"/>
      </w:r>
      <w:r>
        <w:rPr>
          <w:rFonts w:ascii="IRNazanin" w:hAnsi="IRNazanin" w:eastAsia="IRNazanin" w:cs="IRNazanin"/>
          <w:lang w:bidi="fa-IR"/>
          <w:color w:val="111111"/>
          <w:sz w:val="28"/>
          <w:szCs w:val="28"/>
          <w:rtl/>
        </w:rPr>
        <w:t xml:space="preserve">،انتهی المحکیّ فی المختلف،و قال بعد الحکایة:</w:t>
      </w:r>
    </w:p>
    <w:p>
      <w:pPr>
        <w:pStyle w:val="BookText"/>
      </w:pPr>
      <w:r>
        <w:rPr>
          <w:rFonts w:ascii="IRNazanin" w:hAnsi="IRNazanin" w:eastAsia="IRNazanin" w:cs="IRNazanin"/>
          <w:lang w:bidi="fa-IR"/>
          <w:color w:val="111111"/>
          <w:sz w:val="28"/>
          <w:szCs w:val="28"/>
          <w:rtl/>
        </w:rPr>
        <w:t xml:space="preserve">و فیه نظرٌ،إذ مع القبض یلزم البیع </w:t>
      </w:r>
      <w:r>
        <w:rPr>
          <w:rStyle w:val="FootnoteReference"/>
        </w:rPr>
        <w:footnoteReference w:id="33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أقول:کأنه جعل الفِقرة الثالثة مقابلةً للفِقْرتین،فیشمل ما بعد القبض و ما قبله،خصوصاً مع قوله:«علی کلّ حال»لکنّ التعمیم-مع أنّه خلاف الإجماع منافٍ لتعلیل الحکم بعد ذلک بقوله:«لأنّ الخیار له بعد الثلاثة أیّام»فإنّ من المعلوم أنّ الخیار إنّما یکون له مع عدم القبض،فیدلّ ذلک علی أنّ الحکم المعلّل مفروضٌ فیما قبل القبض.</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385" w:name="pg14419_167522"/>
    <w:bookmarkEnd w:id="385"/>
    <w:p>
      <w:pPr>
        <w:pStyle w:val="Heading6"/>
      </w:pPr>
      <w:bookmarkStart w:id="1295" w:name="_Toc735"/>
      <w:r>
        <w:t>مسألة : لو اشتری ما یفسد من یومه</w:t>
      </w:r>
      <w:bookmarkEnd w:id="1295"/>
    </w:p>
    <w:p>
      <w:pPr>
        <w:pStyle w:val="BookText"/>
      </w:pPr>
      <w:r>
        <w:rPr>
          <w:rFonts w:ascii="IRNazanin" w:hAnsi="IRNazanin" w:eastAsia="IRNazanin" w:cs="IRNazanin"/>
          <w:lang w:bidi="fa-IR"/>
          <w:color w:val="111111"/>
          <w:sz w:val="28"/>
          <w:szCs w:val="28"/>
          <w:rtl/>
        </w:rPr>
        <w:t xml:space="preserve">فإن جاء بالثمن ما بینه و بین اللیل،و إلّا فلا بیع له کما فی مرسلة محمّد بن أبی حمزة </w:t>
      </w:r>
      <w:r>
        <w:rPr>
          <w:rStyle w:val="FootnoteReference"/>
        </w:rPr>
        <w:footnoteReference w:id="3371"/>
      </w:r>
      <w:r>
        <w:rPr>
          <w:rFonts w:ascii="IRNazanin" w:hAnsi="IRNazanin" w:eastAsia="IRNazanin" w:cs="IRNazanin"/>
          <w:lang w:bidi="fa-IR"/>
          <w:color w:val="111111"/>
          <w:sz w:val="28"/>
          <w:szCs w:val="28"/>
          <w:rtl/>
        </w:rPr>
        <w:t xml:space="preserve">.و المراد من نفی البیع نفی لزومه.و یدلّ علیه قاعدة«نفی الضرر»؛فإنّ البائع ضامنٌ للمبیع ممنوعٌ عن التصرّف فیه محرومٌ عن الثمن.</w:t>
      </w:r>
    </w:p>
    <w:p>
      <w:pPr>
        <w:pStyle w:val="BookText"/>
      </w:pPr>
      <w:r>
        <w:rPr>
          <w:rFonts w:ascii="IRNazanin" w:hAnsi="IRNazanin" w:eastAsia="IRNazanin" w:cs="IRNazanin"/>
          <w:lang w:bidi="fa-IR"/>
          <w:color w:val="111111"/>
          <w:sz w:val="28"/>
          <w:szCs w:val="28"/>
          <w:rtl/>
        </w:rPr>
        <w:t xml:space="preserve">و من هنا یمکن تعدیة الحکم إلی کلِّ موردٍ یتحقّق فیه هذا الضرر،و إن خرج عن مورد النصّ،کما إذا کان المبیع ممّا یفسد فی نصف یومٍ أو فی یومین،فیثبت فیه الخیار فی زمانٍ یکون التأخیر عنه ضرراً علی البائع.</w:t>
      </w:r>
    </w:p>
    <w:p>
      <w:pPr>
        <w:pStyle w:val="BookText"/>
      </w:pPr>
      <w:r>
        <w:rPr>
          <w:rFonts w:ascii="IRNazanin" w:hAnsi="IRNazanin" w:eastAsia="IRNazanin" w:cs="IRNazanin"/>
          <w:lang w:bidi="fa-IR"/>
          <w:color w:val="111111"/>
          <w:sz w:val="28"/>
          <w:szCs w:val="28"/>
          <w:rtl/>
        </w:rPr>
        <w:t xml:space="preserve">لکن ظاهر النصّ یوهم خلاف ما ذکرنا؛لأنّ الموضوع فیه «ما یفسد من یومه»و الحکم فیه بثبوت الخیار من أوّل اللیل،فیکون الخیار فی أوّل أزمنة الفساد،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 المعلوم أنّ الخیار حینئذٍ لا یجدی للبائع شیئاً،لکن المراد من«الیوم»:الیوم و لیله،فالمعنی:أنّه لا یبقی علی صفة الصلاح أزید من یوم بلیلته </w:t>
      </w:r>
      <w:r>
        <w:rPr>
          <w:rStyle w:val="FootnoteReference"/>
        </w:rPr>
        <w:footnoteReference w:id="3372"/>
      </w:r>
      <w:r>
        <w:rPr>
          <w:rFonts w:ascii="IRNazanin" w:hAnsi="IRNazanin" w:eastAsia="IRNazanin" w:cs="IRNazanin"/>
          <w:lang w:bidi="fa-IR"/>
          <w:color w:val="111111"/>
          <w:sz w:val="28"/>
          <w:szCs w:val="28"/>
          <w:rtl/>
        </w:rPr>
        <w:t xml:space="preserve">،فیکون المفسد له المبیت</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مجرّد دخول اللیل،فإذا فسخ البائع أوّل اللیل أمکن له الانتفاع به و ببدله،و لأجل ذلک عبّر فی الدروس عن هذا الخیار ب«خیار ما یفسده المبیت»و أنّه ثابتٌ عند دخول اللیل </w:t>
      </w:r>
      <w:r>
        <w:rPr>
          <w:rStyle w:val="FootnoteReference"/>
        </w:rPr>
        <w:footnoteReference w:id="3373"/>
      </w:r>
      <w:r>
        <w:rPr>
          <w:rFonts w:ascii="IRNazanin" w:hAnsi="IRNazanin" w:eastAsia="IRNazanin" w:cs="IRNazanin"/>
          <w:lang w:bidi="fa-IR"/>
          <w:color w:val="111111"/>
          <w:sz w:val="28"/>
          <w:szCs w:val="28"/>
          <w:rtl/>
        </w:rPr>
        <w:t xml:space="preserve">،و فی معقد إجماع الغنیة:أنّ علی البائع الصبر یوماً </w:t>
      </w:r>
      <w:r>
        <w:rPr>
          <w:rStyle w:val="FootnoteReference"/>
        </w:rPr>
        <w:footnoteReference w:id="3374"/>
      </w:r>
      <w:r>
        <w:rPr>
          <w:rFonts w:ascii="IRNazanin" w:hAnsi="IRNazanin" w:eastAsia="IRNazanin" w:cs="IRNazanin"/>
          <w:lang w:bidi="fa-IR"/>
          <w:color w:val="111111"/>
          <w:sz w:val="28"/>
          <w:szCs w:val="28"/>
          <w:rtl/>
        </w:rPr>
        <w:t xml:space="preserve">ثمّ هو بالخیار </w:t>
      </w:r>
      <w:r>
        <w:rPr>
          <w:rStyle w:val="FootnoteReference"/>
        </w:rPr>
        <w:footnoteReference w:id="3375"/>
      </w:r>
      <w:r>
        <w:rPr>
          <w:rFonts w:ascii="IRNazanin" w:hAnsi="IRNazanin" w:eastAsia="IRNazanin" w:cs="IRNazanin"/>
          <w:lang w:bidi="fa-IR"/>
          <w:color w:val="111111"/>
          <w:sz w:val="28"/>
          <w:szCs w:val="28"/>
          <w:rtl/>
        </w:rPr>
        <w:t xml:space="preserve">.و فی محکیّ الوسیلة:أنّ خیار الفواکه للبائع،فإذا مرّ علی المبیع یومٌ و لم یقبض المبتاع کان البائع بالخیار </w:t>
      </w:r>
      <w:r>
        <w:rPr>
          <w:rStyle w:val="FootnoteReference"/>
        </w:rPr>
        <w:footnoteReference w:id="3376"/>
      </w:r>
      <w:r>
        <w:rPr>
          <w:rFonts w:ascii="Amiri" w:hAnsi="Amiri" w:eastAsia="Amiri" w:cs="Amiri"/>
          <w:lang w:bidi="ar-SA"/>
          <w:color w:val="111111"/>
          <w:sz w:val="28"/>
          <w:szCs w:val="28"/>
          <w:rtl/>
        </w:rPr>
        <w:t xml:space="preserve">.و نحوها عبارة جامع الشرائع </w:t>
      </w:r>
      <w:r>
        <w:rPr>
          <w:rStyle w:val="FootnoteReference"/>
        </w:rPr>
        <w:footnoteReference w:id="3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نعم،عبارات جماعةٍ من الأصحاب لا یخلو عن اختلالٍ فی التعبیر،لکن الإجماع علی عدم الخیار للبائع فی النهار یوجب تأویلها إلی ما یوافق الدروس.و أحسن تلک العبارات عبارة الصدوق فی الفقیه التی أسندها فی الوسائل إلی روایة زرارة،قال:«العهدة فیما یفسد من یومه مثل البقول و البطّیخ و الفواکه یومٌ إلی اللیل» </w:t>
      </w:r>
      <w:r>
        <w:rPr>
          <w:rStyle w:val="FootnoteReference"/>
        </w:rPr>
        <w:footnoteReference w:id="3378"/>
      </w:r>
      <w:r>
        <w:rPr>
          <w:rFonts w:ascii="Amiri" w:hAnsi="Amiri" w:eastAsia="Amiri" w:cs="Amiri"/>
          <w:lang w:bidi="ar-SA"/>
          <w:color w:val="111111"/>
          <w:sz w:val="28"/>
          <w:szCs w:val="28"/>
          <w:rtl/>
        </w:rPr>
        <w:t xml:space="preserve">فإنّ المراد بالعهدة عهدة البائع.</w:t>
      </w:r>
    </w:p>
    <w:p>
      <w:pPr>
        <w:pStyle w:val="BookText"/>
      </w:pPr>
      <w:r>
        <w:rPr>
          <w:rFonts w:ascii="IRNazanin" w:hAnsi="IRNazanin" w:eastAsia="IRNazanin" w:cs="IRNazanin"/>
          <w:lang w:bidi="fa-IR"/>
          <w:color w:val="111111"/>
          <w:sz w:val="28"/>
          <w:szCs w:val="28"/>
          <w:rtl/>
        </w:rPr>
        <w:t xml:space="preserve">و قال فی النهایة:و إذا باع الإنسان ما لا یصحّ علیه البقاء من الخُضَر و غیرها و لم یقبض المبتاع و لا قَبَض الثمن کان الخیار فیه یوماً،</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جاء المبتاع بالثمن فی ذلک الیوم،و إلّا فلا بیع له </w:t>
      </w:r>
      <w:r>
        <w:rPr>
          <w:rStyle w:val="FootnoteReference"/>
        </w:rPr>
        <w:footnoteReference w:id="3379"/>
      </w:r>
      <w:r>
        <w:rPr>
          <w:rFonts w:ascii="IRNazanin" w:hAnsi="IRNazanin" w:eastAsia="IRNazanin" w:cs="IRNazanin"/>
          <w:lang w:bidi="fa-IR"/>
          <w:color w:val="111111"/>
          <w:sz w:val="28"/>
          <w:szCs w:val="28"/>
          <w:rtl/>
        </w:rPr>
        <w:t xml:space="preserve">،انتهی.و نحوها عبارة السرائر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بالخیار اختیار المشتری فی تأخیر القبض و الإقباض مع بقاء البیع علی حاله من اللزوم.</w:t>
      </w:r>
    </w:p>
    <w:p>
      <w:pPr>
        <w:pStyle w:val="BookText"/>
      </w:pPr>
      <w:r>
        <w:rPr>
          <w:rFonts w:ascii="IRNazanin" w:hAnsi="IRNazanin" w:eastAsia="IRNazanin" w:cs="IRNazanin"/>
          <w:lang w:bidi="fa-IR"/>
          <w:color w:val="111111"/>
          <w:sz w:val="28"/>
          <w:szCs w:val="28"/>
          <w:rtl/>
        </w:rPr>
        <w:t xml:space="preserve">و أمّا المتأخّرون،فظاهر أکثرهم یوهم کون اللیل غایةً للخیار، و إن اختلفوا بین من عبّر بکون الخیار یوماً </w:t>
      </w:r>
      <w:r>
        <w:rPr>
          <w:rStyle w:val="FootnoteReference"/>
        </w:rPr>
        <w:footnoteReference w:id="3381"/>
      </w:r>
      <w:r>
        <w:rPr>
          <w:rFonts w:ascii="IRNazanin" w:hAnsi="IRNazanin" w:eastAsia="IRNazanin" w:cs="IRNazanin"/>
          <w:lang w:bidi="fa-IR"/>
          <w:color w:val="111111"/>
          <w:sz w:val="28"/>
          <w:szCs w:val="28"/>
          <w:rtl/>
        </w:rPr>
        <w:t xml:space="preserve">و من عبّر بأنّ الخیار إلی اللیل </w:t>
      </w:r>
      <w:r>
        <w:rPr>
          <w:rStyle w:val="FootnoteReference"/>
        </w:rPr>
        <w:footnoteReference w:id="3382"/>
      </w:r>
      <w:r>
        <w:rPr>
          <w:rFonts w:ascii="IRNazanin" w:hAnsi="IRNazanin" w:eastAsia="IRNazanin" w:cs="IRNazanin"/>
          <w:lang w:bidi="fa-IR"/>
          <w:color w:val="111111"/>
          <w:sz w:val="28"/>
          <w:szCs w:val="28"/>
          <w:rtl/>
        </w:rPr>
        <w:t xml:space="preserve">.و لم یُعلم وجهٌ صحیحٌ لهذه التعبیرات مع وضوح المقصد إلّا متابعة عبارة الشیخ فی النهایة،لکنّک عرفت أنّ المراد بالخیار فیه اختیار المشتری،و أنّ له تأخیر القبض و الإقباض.و هذا الاستعمال فی کلام المتأخّرین خلاف ما اصطلحوا علیه لفظ«الخیار»فلا یحسن المتابعة هنا فی التعبیر،و الأولی تعبیر الدروس کما عرفت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الظاهر أنّ شروط هذا الخیار شروط خیار التأخیر؛لأنّه فردٌ من أفراده،کما هو صریح عنوان الغنیة </w:t>
      </w:r>
      <w:r>
        <w:rPr>
          <w:rStyle w:val="FootnoteReference"/>
        </w:rPr>
        <w:footnoteReference w:id="3384"/>
      </w:r>
      <w:r>
        <w:rPr>
          <w:rFonts w:ascii="IRNazanin" w:hAnsi="IRNazanin" w:eastAsia="IRNazanin" w:cs="IRNazanin"/>
          <w:lang w:bidi="fa-IR"/>
          <w:color w:val="111111"/>
          <w:sz w:val="28"/>
          <w:szCs w:val="28"/>
          <w:rtl/>
        </w:rPr>
        <w:t xml:space="preserve">و غیرها </w:t>
      </w:r>
      <w:r>
        <w:rPr>
          <w:rStyle w:val="FootnoteReference"/>
        </w:rPr>
        <w:footnoteReference w:id="3385"/>
      </w:r>
      <w:r>
        <w:rPr>
          <w:rFonts w:ascii="IRNazanin" w:hAnsi="IRNazanin" w:eastAsia="IRNazanin" w:cs="IRNazanin"/>
          <w:lang w:bidi="fa-IR"/>
          <w:color w:val="111111"/>
          <w:sz w:val="28"/>
          <w:szCs w:val="28"/>
          <w:rtl/>
        </w:rPr>
        <w:t xml:space="preserve">،فیشترط فیه جمیع</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سبق من الشروط.نعم،لا ینبغی التأمّل هنا فی اختصاص الحکم بالمبیع </w:t>
      </w:r>
      <w:r>
        <w:rPr>
          <w:rStyle w:val="FootnoteReference"/>
        </w:rPr>
        <w:footnoteReference w:id="3386"/>
      </w:r>
      <w:r>
        <w:rPr>
          <w:rFonts w:ascii="IRNazanin" w:hAnsi="IRNazanin" w:eastAsia="IRNazanin" w:cs="IRNazanin"/>
          <w:lang w:bidi="fa-IR"/>
          <w:color w:val="111111"/>
          <w:sz w:val="28"/>
          <w:szCs w:val="28"/>
          <w:rtl/>
        </w:rPr>
        <w:t xml:space="preserve">الشخصی أو ما فی حکمه کالصاع من الصبرة،و قد عرفت هناک </w:t>
      </w:r>
      <w:r>
        <w:rPr>
          <w:rStyle w:val="FootnoteReference"/>
        </w:rPr>
        <w:footnoteReference w:id="3387"/>
      </w:r>
      <w:r>
        <w:rPr>
          <w:rFonts w:ascii="IRNazanin" w:hAnsi="IRNazanin" w:eastAsia="IRNazanin" w:cs="IRNazanin"/>
          <w:lang w:bidi="fa-IR"/>
          <w:color w:val="111111"/>
          <w:sz w:val="28"/>
          <w:szCs w:val="28"/>
          <w:rtl/>
        </w:rPr>
        <w:t xml:space="preserve">أنّ التأمّل فی الأدلّة و الفتاوی یشرف </w:t>
      </w:r>
      <w:r>
        <w:rPr>
          <w:rStyle w:val="FootnoteReference"/>
        </w:rPr>
        <w:footnoteReference w:id="3388"/>
      </w:r>
      <w:r>
        <w:rPr>
          <w:rFonts w:ascii="IRNazanin" w:hAnsi="IRNazanin" w:eastAsia="IRNazanin" w:cs="IRNazanin"/>
          <w:lang w:bidi="fa-IR"/>
          <w:color w:val="111111"/>
          <w:sz w:val="28"/>
          <w:szCs w:val="28"/>
          <w:rtl/>
        </w:rPr>
        <w:t xml:space="preserve">علی القطع بالاختصاص أیضاً.</w:t>
      </w:r>
    </w:p>
    <w:p>
      <w:pPr>
        <w:pStyle w:val="BookText"/>
      </w:pPr>
      <w:r>
        <w:rPr>
          <w:rFonts w:ascii="IRNazanin" w:hAnsi="IRNazanin" w:eastAsia="IRNazanin" w:cs="IRNazanin"/>
          <w:lang w:bidi="fa-IR"/>
          <w:color w:val="111111"/>
          <w:sz w:val="28"/>
          <w:szCs w:val="28"/>
          <w:rtl/>
        </w:rPr>
        <w:t xml:space="preserve">و حکم الهلاک فی الیوم هنا و فیما بعده حکم المبیع هناک فی کونه من البائع فی الحالین.و لازم القول الآخر هناک جریانه هنا،کما صرّح به فی الغنیة حیث جعله قبل اللیل من المشتری </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المراد بالفساد فی النصّ و الفتوی لیس الفساد الحقیقی؛لأنّ موردهما هو الخُضَر و الفواکه و البقول،و هذه لا تضیع بالمبیت و لا تهلک، بل المراد ما یشمل تغیّر العین نظیر التغیّر الحادث فی هذه الأُمور بسبب المبیت.</w:t>
      </w:r>
    </w:p>
    <w:p>
      <w:pPr>
        <w:pStyle w:val="BookText"/>
      </w:pPr>
      <w:r>
        <w:rPr>
          <w:rFonts w:ascii="IRNazanin" w:hAnsi="IRNazanin" w:eastAsia="IRNazanin" w:cs="IRNazanin"/>
          <w:lang w:bidi="fa-IR"/>
          <w:color w:val="111111"/>
          <w:sz w:val="28"/>
          <w:szCs w:val="28"/>
          <w:rtl/>
        </w:rPr>
        <w:t xml:space="preserve">و لو لم یحدث فی البیع إلّا فوات السوق،ففی إلحاقه بتغیّر العین وجهان:من کونه ضرراً،و من إمکان منع ذلک لکونه فوت نفعٍ لا ضرراً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86" w:name="pg14419_167526"/>
    <w:bookmarkEnd w:id="386"/>
    <w:p>
      <w:pPr>
        <w:pStyle w:val="Heading6"/>
      </w:pPr>
      <w:bookmarkStart w:id="1296" w:name="_Toc736"/>
      <w:r>
        <w:t>السادس : خیار الرؤیة</w:t>
      </w:r>
      <w:bookmarkEnd w:id="1296"/>
    </w:p>
    <w:p>
      <w:pPr>
        <w:pStyle w:val="Heading6"/>
      </w:pPr>
      <w:bookmarkStart w:id="1297" w:name="_Toc737"/>
      <w:r>
        <w:t>اشارة</w:t>
      </w:r>
      <w:bookmarkEnd w:id="12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المراد به الخیار المسبَّب عن رؤیة المبیع علی خلاف ما اشترطه فیه المتبایعان.</w:t>
      </w:r>
    </w:p>
    <w:p>
      <w:pPr>
        <w:pStyle w:val="BookText"/>
      </w:pPr>
      <w:r>
        <w:rPr>
          <w:rFonts w:ascii="Amiri" w:hAnsi="Amiri" w:eastAsia="Amiri" w:cs="Amiri"/>
          <w:lang w:bidi="ar-SA"/>
          <w:color w:val="111111"/>
          <w:sz w:val="28"/>
          <w:szCs w:val="28"/>
          <w:rtl/>
        </w:rPr>
        <w:t xml:space="preserve">و یدلّ علیه قبل الإجماع المحقَّق و المستفیض-:حدیثُ نفی الضرر.و استُدلّ علیه أیضاً بأخبارٍ:</w:t>
      </w:r>
    </w:p>
    <w:p>
      <w:pPr>
        <w:pStyle w:val="BookText"/>
      </w:pPr>
      <w:r>
        <w:rPr>
          <w:rFonts w:ascii="IRNazanin" w:hAnsi="IRNazanin" w:eastAsia="IRNazanin" w:cs="IRNazanin"/>
          <w:lang w:bidi="fa-IR"/>
          <w:color w:val="111111"/>
          <w:sz w:val="28"/>
          <w:szCs w:val="28"/>
          <w:rtl/>
        </w:rPr>
        <w:t xml:space="preserve">منها:صحیحة جمیل بن درّاج قال:«سألت أبا عبد اللّٰه علیه السلام عن رجلٍ اشتری ضیعةً و قد کان یدخلها و یخرج منها،فلمّا أن نقد المال صار إلی الضیعة فقلّبها ثمّ رجع فاستقال صاحبه،فلم یُقِله،فقال أبو عبد اللّٰه علیه السلام:إنّه لو قلّب منها و نظر إلی تسعٍ و تسعین قطعةً ثمّ بقی منها قطعةٌ لم یرها لکان له فیها خیار الرؤیة» </w:t>
      </w:r>
      <w:r>
        <w:rPr>
          <w:rStyle w:val="FootnoteReference"/>
        </w:rPr>
        <w:footnoteReference w:id="3391"/>
      </w:r>
      <w:r>
        <w:rPr>
          <w:rFonts w:ascii="IRNazanin" w:hAnsi="IRNazanin" w:eastAsia="IRNazanin" w:cs="IRNazanin"/>
          <w:lang w:bidi="fa-IR"/>
          <w:color w:val="111111"/>
          <w:sz w:val="28"/>
          <w:szCs w:val="28"/>
          <w:rtl/>
        </w:rPr>
        <w:t xml:space="preserve">.و لا بدّ من حملها علی صورةٍ یصحّ معها بیع الضیعة،إمّا بوصف القطعة الغیر المرئیّة،أو بدلالة ما رآه منها علی ما لم یره.</w:t>
      </w:r>
    </w:p>
    <w:p>
      <w:pPr>
        <w:pStyle w:val="BookText"/>
      </w:pPr>
      <w:r>
        <w:rPr>
          <w:rFonts w:ascii="IRNazanin" w:hAnsi="IRNazanin" w:eastAsia="IRNazanin" w:cs="IRNazanin"/>
          <w:lang w:bidi="fa-IR"/>
          <w:color w:val="111111"/>
          <w:sz w:val="28"/>
          <w:szCs w:val="28"/>
          <w:rtl/>
        </w:rPr>
        <w:t xml:space="preserve">و قد یستدلّ أیضاً بصحیحة زید الشحّام قال:«سألت أبا عبد اللّٰه علیه السلام عن رجلٍ اشتری سهام القصّابین من قبل أن یخرج السهم،فقال علیه السلام</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یشتر شیئاً حتّی یعلم أین یخرج السهم،فإن اشتری شیئاً فهو بالخیار إذا خرج»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الحدائق </w:t>
      </w:r>
      <w:r>
        <w:rPr>
          <w:rStyle w:val="FootnoteReference"/>
        </w:rPr>
        <w:footnoteReference w:id="3393"/>
      </w:r>
      <w:r>
        <w:rPr>
          <w:rFonts w:ascii="IRNazanin" w:hAnsi="IRNazanin" w:eastAsia="IRNazanin" w:cs="IRNazanin"/>
          <w:lang w:bidi="fa-IR"/>
          <w:color w:val="111111"/>
          <w:sz w:val="28"/>
          <w:szCs w:val="28"/>
          <w:rtl/>
        </w:rPr>
        <w:t xml:space="preserve">:و توضیح معنی هذا الخبر ما رواه فی الکافی و التهذیب فی الصحیح عن عبد الرحمن بن الحجّاج عن منهال القصّاب -و هو مجهولٌ قال:«قلت لأبی عبد اللّٰه علیه السلام:أشتری الغنم أو یشتری الغنم جماعةٌ،ثمّ تُدخَل داراً،ثمّ یقوم رجلٌ علی الباب فیعُدّ واحداً و اثنین و ثلاثة و أربعة و خمسة ثمّ یخرج السهم؟قال:لا یصلح هذا،إنّما تصلح السهام إذا عدلت القسمة..الخبر» </w:t>
      </w:r>
      <w:r>
        <w:rPr>
          <w:rStyle w:val="FootnoteReference"/>
        </w:rPr>
        <w:footnoteReference w:id="3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أقول:لم یُعلم وجه الاستشهاد به لما نحن فیه؛لأنّ المشتری لسهم القصّاب إن اشتراه مشاعاً فلا مورد لخیار الرؤیة،و إن اشتری سهمه المعیّن الذی یخرج فهو شراء فردٍ غیر معیّنٍ،و هو باطلٌ،و علی الصحّة فلا خیار فیه للرؤیة کالمشاع.</w:t>
      </w:r>
    </w:p>
    <w:p>
      <w:pPr>
        <w:pStyle w:val="BookText"/>
      </w:pPr>
      <w:r>
        <w:rPr>
          <w:rFonts w:ascii="IRNazanin" w:hAnsi="IRNazanin" w:eastAsia="IRNazanin" w:cs="IRNazanin"/>
          <w:lang w:bidi="fa-IR"/>
          <w:color w:val="111111"/>
          <w:sz w:val="28"/>
          <w:szCs w:val="28"/>
          <w:rtl/>
        </w:rPr>
        <w:t xml:space="preserve">و یمکن حمله علی شراء عددٍ معیّنٍ نظیر الصاع من الصبرة، و یکون له خیار الحیوان إذا خرج السهم.</w:t>
      </w:r>
    </w:p>
    <w:p>
      <w:pPr>
        <w:pStyle w:val="BookText"/>
      </w:pPr>
      <w:r>
        <w:rPr>
          <w:rFonts w:ascii="IRNazanin" w:hAnsi="IRNazanin" w:eastAsia="IRNazanin" w:cs="IRNazanin"/>
          <w:lang w:bidi="fa-IR"/>
          <w:color w:val="111111"/>
          <w:sz w:val="28"/>
          <w:szCs w:val="28"/>
          <w:rtl/>
        </w:rPr>
        <w:t xml:space="preserve">ثمّ إنّ صحیحة جمیل مختصّةٌ بالمشتری،و الظاهر الاتّفاق علی أنّ هذا الخیار یثبت للبائع أیضاً إذا لم یرَ المبیع و باعه بوصف غیره فتبیّن کونه زائداً علی ما وصف.</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حکی عن بعضٍ </w:t>
      </w:r>
      <w:r>
        <w:rPr>
          <w:rStyle w:val="FootnoteReference"/>
        </w:rPr>
        <w:footnoteReference w:id="3395"/>
      </w:r>
      <w:r>
        <w:rPr>
          <w:rFonts w:ascii="IRNazanin" w:hAnsi="IRNazanin" w:eastAsia="IRNazanin" w:cs="IRNazanin"/>
          <w:lang w:bidi="fa-IR"/>
          <w:color w:val="111111"/>
          <w:sz w:val="28"/>
          <w:szCs w:val="28"/>
          <w:rtl/>
        </w:rPr>
        <w:t xml:space="preserve">:أنّه یحتمل فی صحیحة جمیل أن یکون التفتیش من البائع بأن یکون البائع باعه بوصف المشتری،و حینئذٍ فیکون الجواب عامّاً بالنسبة إلیهما علی تقدیر هذا الاحتمال.و لا یخفی بعده،و أبعد منه دعوی عموم الجواب حینئذٍ </w:t>
      </w:r>
      <w:r>
        <w:rPr>
          <w:rStyle w:val="FootnoteReference"/>
        </w:rPr>
        <w:footnoteReference w:id="3396"/>
      </w:r>
      <w:r>
        <w:rPr>
          <w:rFonts w:ascii="Amiri" w:hAnsi="Amiri" w:eastAsia="Amiri" w:cs="Amiri"/>
          <w:lang w:bidi="ar-SA"/>
          <w:color w:val="111111"/>
          <w:sz w:val="28"/>
          <w:szCs w:val="28"/>
          <w:rtl/>
        </w:rPr>
        <w:t xml:space="preserve">،و اللّٰه العالم.</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87" w:name="pg14419_167529"/>
    <w:bookmarkEnd w:id="387"/>
    <w:p>
      <w:pPr>
        <w:pStyle w:val="Heading6"/>
      </w:pPr>
      <w:bookmarkStart w:id="1298" w:name="_Toc738"/>
      <w:r>
        <w:t>مسألة : مورد هذا الخیار بیع العین الشخصیّة الغائبة</w:t>
      </w:r>
      <w:bookmarkEnd w:id="1298"/>
    </w:p>
    <w:p>
      <w:pPr>
        <w:pStyle w:val="BookText"/>
      </w:pPr>
      <w:r>
        <w:rPr>
          <w:rFonts w:ascii="IRNazanin" w:hAnsi="IRNazanin" w:eastAsia="IRNazanin" w:cs="IRNazanin"/>
          <w:lang w:bidi="fa-IR"/>
          <w:color w:val="111111"/>
          <w:sz w:val="28"/>
          <w:szCs w:val="28"/>
          <w:rtl/>
        </w:rPr>
        <w:t xml:space="preserve">و المعروف أنّه یشترط فی صحّته ذکر أوصاف المبیع التی یرتفع بها الجهالة الموجبة للغرر؛إذ لولاها لکان غرراً.و عبّر بعضهم عن هذه الأوصاف بما یختلف الثمن باختلافه،کما فی الوسیلة </w:t>
      </w:r>
      <w:r>
        <w:rPr>
          <w:rStyle w:val="FootnoteReference"/>
        </w:rPr>
        <w:footnoteReference w:id="3397"/>
      </w:r>
      <w:r>
        <w:rPr>
          <w:rFonts w:ascii="IRNazanin" w:hAnsi="IRNazanin" w:eastAsia="IRNazanin" w:cs="IRNazanin"/>
          <w:lang w:bidi="fa-IR"/>
          <w:color w:val="111111"/>
          <w:sz w:val="28"/>
          <w:szCs w:val="28"/>
          <w:rtl/>
        </w:rPr>
        <w:t xml:space="preserve">و جامع المقاصد </w:t>
      </w:r>
      <w:r>
        <w:rPr>
          <w:rStyle w:val="FootnoteReference"/>
        </w:rPr>
        <w:footnoteReference w:id="3398"/>
      </w:r>
      <w:r>
        <w:rPr>
          <w:rFonts w:ascii="IRNazanin" w:hAnsi="IRNazanin" w:eastAsia="IRNazanin" w:cs="IRNazanin"/>
          <w:lang w:bidi="fa-IR"/>
          <w:color w:val="111111"/>
          <w:sz w:val="28"/>
          <w:szCs w:val="28"/>
          <w:rtl/>
        </w:rPr>
        <w:t xml:space="preserve">و غیرهما </w:t>
      </w:r>
      <w:r>
        <w:rPr>
          <w:rStyle w:val="FootnoteReference"/>
        </w:rPr>
        <w:footnoteReference w:id="3399"/>
      </w:r>
      <w:r>
        <w:rPr>
          <w:rFonts w:ascii="IRNazanin" w:hAnsi="IRNazanin" w:eastAsia="IRNazanin" w:cs="IRNazanin"/>
          <w:lang w:bidi="fa-IR"/>
          <w:color w:val="111111"/>
          <w:sz w:val="28"/>
          <w:szCs w:val="28"/>
          <w:rtl/>
        </w:rPr>
        <w:t xml:space="preserve">.و آخر بما یعتبر فی صحّة السلم </w:t>
      </w:r>
      <w:r>
        <w:rPr>
          <w:rStyle w:val="FootnoteReference"/>
        </w:rPr>
        <w:footnoteReference w:id="3400"/>
      </w:r>
      <w:r>
        <w:rPr>
          <w:rFonts w:ascii="IRNazanin" w:hAnsi="IRNazanin" w:eastAsia="IRNazanin" w:cs="IRNazanin"/>
          <w:lang w:bidi="fa-IR"/>
          <w:color w:val="111111"/>
          <w:sz w:val="28"/>
          <w:szCs w:val="28"/>
          <w:rtl/>
        </w:rPr>
        <w:t xml:space="preserve">.و آخرون کالشیخین </w:t>
      </w:r>
      <w:r>
        <w:rPr>
          <w:rStyle w:val="FootnoteReference"/>
        </w:rPr>
        <w:footnoteReference w:id="3401"/>
      </w:r>
      <w:r>
        <w:rPr>
          <w:rFonts w:ascii="Amiri" w:hAnsi="Amiri" w:eastAsia="Amiri" w:cs="Amiri"/>
          <w:lang w:bidi="ar-SA"/>
          <w:color w:val="111111"/>
          <w:sz w:val="28"/>
          <w:szCs w:val="28"/>
          <w:rtl/>
        </w:rPr>
        <w:t xml:space="preserve">و الحلّی </w:t>
      </w:r>
      <w:r>
        <w:rPr>
          <w:rStyle w:val="FootnoteReference"/>
        </w:rPr>
        <w:footnoteReference w:id="3402"/>
      </w:r>
      <w:r>
        <w:rPr>
          <w:rFonts w:ascii="IRNazanin" w:hAnsi="IRNazanin" w:eastAsia="IRNazanin" w:cs="IRNazanin"/>
          <w:lang w:bidi="fa-IR"/>
          <w:color w:val="111111"/>
          <w:sz w:val="28"/>
          <w:szCs w:val="28"/>
          <w:rtl/>
        </w:rPr>
        <w:t xml:space="preserve">-اقتصروا علی اعتبار ذکر الصفة.</w:t>
      </w:r>
    </w:p>
    <w:p>
      <w:pPr>
        <w:pStyle w:val="BookText"/>
      </w:pPr>
      <w:r>
        <w:rPr>
          <w:rFonts w:ascii="IRNazanin" w:hAnsi="IRNazanin" w:eastAsia="IRNazanin" w:cs="IRNazanin"/>
          <w:lang w:bidi="fa-IR"/>
          <w:color w:val="111111"/>
          <w:sz w:val="28"/>
          <w:szCs w:val="28"/>
          <w:rtl/>
        </w:rPr>
        <w:t xml:space="preserve">و الظاهر أنّ مرجع الجمیع واحدٌ،و لذا ادّعی الإجماع علی کلّ</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منها.</w:t>
      </w:r>
    </w:p>
    <w:p>
      <w:pPr>
        <w:pStyle w:val="BookText"/>
      </w:pPr>
      <w:r>
        <w:rPr>
          <w:rFonts w:ascii="IRNazanin" w:hAnsi="IRNazanin" w:eastAsia="IRNazanin" w:cs="IRNazanin"/>
          <w:lang w:bidi="fa-IR"/>
          <w:color w:val="111111"/>
          <w:sz w:val="28"/>
          <w:szCs w:val="28"/>
          <w:rtl/>
        </w:rPr>
        <w:t xml:space="preserve">ففی موضعٍ من التذکرة:یشترط فی بیع خیار الرؤیة وصف المبیع وصفاً یکفی فی السلم عندنا.و عنه فی موضعٍ آخر من التذکرة:أنّ شرط صحّة بیع الغائبة وصفها بما یرفع الجهالة عند علمائنا أجمع،و یجب ذکر اللفظ الدالّ علی الجنس.ثمّ ذکر أنّه یجب ذکر اللفظ الدالّ علی التمیّز،و ذلک بذکر جمیع الصفات التی یختلف الأثمان باختلافها و یتطرّق الجهالة بترک بعضها </w:t>
      </w:r>
      <w:r>
        <w:rPr>
          <w:rStyle w:val="FootnoteReference"/>
        </w:rPr>
        <w:footnoteReference w:id="340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جامع المقاصد:ضابط ذلک أنّ کلّ وصفٍ تتفاوت الرغبات بثبوته و انتفائه و تتفاوت به القیمة تفاوتاً ظاهراً لا یتسامح به یجب ذکره،فلا بدّ من استقصاء أوصاف السلَم،انتهی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یتراءی التنافی بین اعتبار ما یختلف الثمن باختلافه و کفایة ذکر أوصاف السلم من جهة أنّه قد یتسامح فی السلم[فی </w:t>
      </w:r>
      <w:r>
        <w:rPr>
          <w:rStyle w:val="FootnoteReference"/>
        </w:rPr>
        <w:footnoteReference w:id="3405"/>
      </w:r>
      <w:r>
        <w:rPr>
          <w:rFonts w:ascii="IRNazanin" w:hAnsi="IRNazanin" w:eastAsia="IRNazanin" w:cs="IRNazanin"/>
          <w:lang w:bidi="fa-IR"/>
          <w:color w:val="111111"/>
          <w:sz w:val="28"/>
          <w:szCs w:val="28"/>
          <w:rtl/>
        </w:rPr>
        <w:t xml:space="preserve">]ذکر بعض الأوصاف،لإفضائه إلی عزّة الوجود أو لتعذّر الاستقصاء علی التحقیق.</w:t>
      </w:r>
    </w:p>
    <w:p>
      <w:pPr>
        <w:pStyle w:val="BookText"/>
      </w:pPr>
      <w:r>
        <w:rPr>
          <w:rFonts w:ascii="IRNazanin" w:hAnsi="IRNazanin" w:eastAsia="IRNazanin" w:cs="IRNazanin"/>
          <w:lang w:bidi="fa-IR"/>
          <w:color w:val="111111"/>
          <w:sz w:val="28"/>
          <w:szCs w:val="28"/>
          <w:rtl/>
        </w:rPr>
        <w:t xml:space="preserve">و هذا المانع مفقودٌ فیما نحن فیه.</w:t>
      </w:r>
    </w:p>
    <w:p>
      <w:pPr>
        <w:pStyle w:val="BookText"/>
      </w:pPr>
      <w:r>
        <w:rPr>
          <w:rFonts w:ascii="IRNazanin" w:hAnsi="IRNazanin" w:eastAsia="IRNazanin" w:cs="IRNazanin"/>
          <w:lang w:bidi="fa-IR"/>
          <w:color w:val="111111"/>
          <w:sz w:val="28"/>
          <w:szCs w:val="28"/>
          <w:rtl/>
        </w:rPr>
        <w:t xml:space="preserve">قال فی التذکرة فی باب السلَم:لا یشترط وصف کلّ عضوٍ من الحیوان بأوصافه المقصودة و إن تفاوت به الغرض و القیمة؛لإفضائه إلی عزّة الوجود </w:t>
      </w:r>
      <w:r>
        <w:rPr>
          <w:rStyle w:val="FootnoteReference"/>
        </w:rPr>
        <w:footnoteReference w:id="340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السلم فی الأحجار المتّخذة للبناء:إنّه یذکر نوعها و لونها و یصف عِظَمها،فیقول:ما یحمل البعیر منها اثنتین أو ثلاثاً أو أربعاً علی سبیل التقریب دون التحقیق،لتعذّر التحقیق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یقال:إنّ المراد ما یعتبر فی السلَم فی حدّ ذاته مع قطع النظر عن العذر الموجب للمسامحة فی بعض أفراد السلَم،و إن کان یمکن أن یورد علی مسامحتهم هناک:أنّ الاستقصاء فی الأوصاف شرطٌ فی السلم غیر مقیّدٍ بحال التمکّن،فتعذّره یوجب فساد السلَم لا الحکم بعدم اشتراطه،کما حکموا بعدم جواز السلم فیما لا یمکن ضبط أوصافه، و تمام الکلام فی محلّه.</w:t>
      </w:r>
    </w:p>
    <w:p>
      <w:pPr>
        <w:pStyle w:val="BookText"/>
      </w:pPr>
      <w:r>
        <w:rPr>
          <w:rFonts w:ascii="IRNazanin" w:hAnsi="IRNazanin" w:eastAsia="IRNazanin" w:cs="IRNazanin"/>
          <w:lang w:bidi="fa-IR"/>
          <w:color w:val="111111"/>
          <w:sz w:val="28"/>
          <w:szCs w:val="28"/>
          <w:rtl/>
        </w:rPr>
        <w:t xml:space="preserve">ثمّ إنّ الأوصاف التی یختلف الثمن من أجلها غیر محصورةٍ، خصوصاً فی العبید و الإماء؛فإنّ مراتبهم الکمالیّة التی تختلف بها أثمانهم غیر محصورة جدّاً،و الاقتصار علی ما یرفع به معظم الغرر إحالةٌ علی مجهول،بل یوجب الاکتفاء علی ما دون صفات السلم؛ لانتفاء الغرر عرفاً بذلک،مع أنّا علمنا أنّ الغرر العرفی أخصّ من الشرعی.</w:t>
      </w:r>
    </w:p>
    <w:p>
      <w:pPr>
        <w:pStyle w:val="BookText"/>
      </w:pPr>
      <w:r>
        <w:rPr>
          <w:rFonts w:ascii="IRNazanin" w:hAnsi="IRNazanin" w:eastAsia="IRNazanin" w:cs="IRNazanin"/>
          <w:lang w:bidi="fa-IR"/>
          <w:color w:val="111111"/>
          <w:sz w:val="28"/>
          <w:szCs w:val="28"/>
          <w:rtl/>
        </w:rPr>
        <w:t xml:space="preserve">و کیف کان،فالمسألة لا تخلو عن إشکالٍ.و أشکل من ذلک أنّ الظاهر أنّ الوصف یقوم مقام الرؤیة المتحقّقة فی بیع العین الحاضرة، و علی هذا فیجب أن یعتبر فی الرؤیة أن یحصل بها الاطّلاع علی جمیع الصفات المعتبرة فی العین الغائبة ممّا یختلف الثمن باختلافه.</w:t>
      </w:r>
    </w:p>
    <w:p>
      <w:pPr>
        <w:pStyle w:val="BookText"/>
      </w:pPr>
      <w:r>
        <w:rPr>
          <w:rFonts w:ascii="IRNazanin" w:hAnsi="IRNazanin" w:eastAsia="IRNazanin" w:cs="IRNazanin"/>
          <w:lang w:bidi="fa-IR"/>
          <w:color w:val="111111"/>
          <w:sz w:val="28"/>
          <w:szCs w:val="28"/>
          <w:rtl/>
        </w:rPr>
        <w:t xml:space="preserve">قال فی التذکرة:یشترط رؤیة ما هو مقصودٌ بالبیع کداخل</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الثوب،فلو باع ثوباً مطویّاً أو عیناً حاضرةً لا یشاهد منها ما یختلف الثمن لأجله کان کبیع الغائب،یبطل إن لم یوصف وصفاً یرفع الجهالة </w:t>
      </w:r>
      <w:r>
        <w:rPr>
          <w:rStyle w:val="FootnoteReference"/>
        </w:rPr>
        <w:footnoteReference w:id="340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حاصل هذا الکلام اعتبار وقوع المشاهدة علی ما یعتبر فی صحّة السلم و بیع الغائب.و من المعلوم من السیرة عدم اعتبار الاطّلاع بالرؤیة علی جمیع الصفات المعتبرة فی السلَم و بیع العین الغائبة،فإنّه قد لا یحصل الاطّلاع بالمشاهدة علی سنّ الجاریة،بل و لا علی نوعها و لا غیرها من الأُمور التی لا یعرفها إلّا أهل المعرفة بها،فضلاً عن مرتبة کمالها الإنسانی المطلوبة فی الجواری المبذول بإزائها الأموال، و یبعد کلّ البعد التزام ذلک أو ما دون ذلک فی المشاهدة،بل یلزم من ذلک عدم صحّة شراء غیر العارف بأوصاف المبیع الراجعة إلی نوعه أو صنفه أو شخصه،بل هو بالنسبة إلی الأوصاف التی اعتبروها کالأعمی، لا بدّ من مراجعته لبصیرٍ عارفٍ بها.</w:t>
      </w:r>
    </w:p>
    <w:p>
      <w:pPr>
        <w:pStyle w:val="BookText"/>
      </w:pPr>
      <w:r>
        <w:rPr>
          <w:rFonts w:ascii="IRNazanin" w:hAnsi="IRNazanin" w:eastAsia="IRNazanin" w:cs="IRNazanin"/>
          <w:lang w:bidi="fa-IR"/>
          <w:color w:val="111111"/>
          <w:sz w:val="28"/>
          <w:szCs w:val="28"/>
          <w:rtl/>
        </w:rPr>
        <w:t xml:space="preserve">و لا أجد فی المسألة أوثق من أن یقال:إنّ المعتبر هو الغرر العرفی فی العین الحاضرة و الغائبة الموصوفة،</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فإن دلّ علی اعتبار أزید من ذلک حجّةٌ معتبرةٌ أُخذ به.</w:t>
      </w:r>
    </w:p>
    <w:p>
      <w:pPr>
        <w:pStyle w:val="BookText"/>
      </w:pPr>
      <w:r>
        <w:rPr>
          <w:rFonts w:ascii="IRNazanin" w:hAnsi="IRNazanin" w:eastAsia="IRNazanin" w:cs="IRNazanin"/>
          <w:lang w:bidi="fa-IR"/>
          <w:color w:val="111111"/>
          <w:sz w:val="28"/>
          <w:szCs w:val="28"/>
          <w:rtl/>
        </w:rPr>
        <w:t xml:space="preserve">و لیس فیما ادّعاه العلّامة فی التذکرة من الإجماع حجّةٌ،مع استناده فی ذلک إلی کونه غرراً عرفاً،حیث قال فی أوّل مسألة اشتراط العلم بالعوضین:أنّه أجمع علماؤنا علی اشتراط العلم بالعوضین لیعرف ما الذی مَلِکَ بإزاء ما بذل فینتفی الغرر،فلا یصحّ بیع العین الغائبة ما لم یتقدّم</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رؤیةٌ أو یوصف وصفاً یرفع الجهالة </w:t>
      </w:r>
      <w:r>
        <w:rPr>
          <w:rStyle w:val="FootnoteReference"/>
        </w:rPr>
        <w:footnoteReference w:id="340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ریب أنّ المراد بمعرفة ما مَلِک معرفته علی وجهٍ وسطٍ بین طرفی الإجمال و التفصیل.</w:t>
      </w:r>
    </w:p>
    <w:p>
      <w:pPr>
        <w:pStyle w:val="BookText"/>
      </w:pPr>
      <w:r>
        <w:rPr>
          <w:rFonts w:ascii="IRNazanin" w:hAnsi="IRNazanin" w:eastAsia="IRNazanin" w:cs="IRNazanin"/>
          <w:lang w:bidi="fa-IR"/>
          <w:color w:val="111111"/>
          <w:sz w:val="28"/>
          <w:szCs w:val="28"/>
          <w:rtl/>
        </w:rPr>
        <w:t xml:space="preserve">ثمّ إنّه یمکن الاستشکال فی صحّة هذا العقد بأنّ ذکر الأوصاف لا یخرج البیع عن کونه غرراً؛لأنّ الغرر بدون أخذ الصفات من حیث الجهل بصفات المبیع،فإذا أُخذت فیه مقیّداً بها صار مشکوک الوجود؛ لأنّ العبد المتّصف بتلک الصفات مثلاً لا یعلم وجوده فی الخارج و الغرر فیه أعظم.</w:t>
      </w:r>
    </w:p>
    <w:p>
      <w:pPr>
        <w:pStyle w:val="BookText"/>
      </w:pPr>
      <w:r>
        <w:rPr>
          <w:rFonts w:ascii="IRNazanin" w:hAnsi="IRNazanin" w:eastAsia="IRNazanin" w:cs="IRNazanin"/>
          <w:lang w:bidi="fa-IR"/>
          <w:color w:val="111111"/>
          <w:sz w:val="28"/>
          <w:szCs w:val="28"/>
          <w:rtl/>
        </w:rPr>
        <w:t xml:space="preserve">و یمکن أن یقال:إنّ أخذ الأوصاف فی معنی الاشتراط لا التقیید، فیبیع العبد مثلاً ملتزماً بکونه کذا و کذا،و لا غرر فیه حینئذٍ عرفاً.و قد صرّح فی النهایة و المسالک فی مسألة ما لو رأی المبیع ثمّ تغیّر عمّا رآه-:أنّ الرؤیة بمنزلة الاشتراط </w:t>
      </w:r>
      <w:r>
        <w:rPr>
          <w:rStyle w:val="FootnoteReference"/>
        </w:rPr>
        <w:footnoteReference w:id="3410"/>
      </w:r>
      <w:r>
        <w:rPr>
          <w:rFonts w:ascii="IRNazanin" w:hAnsi="IRNazanin" w:eastAsia="IRNazanin" w:cs="IRNazanin"/>
          <w:lang w:bidi="fa-IR"/>
          <w:color w:val="111111"/>
          <w:sz w:val="28"/>
          <w:szCs w:val="28"/>
          <w:rtl/>
        </w:rPr>
        <w:t xml:space="preserve">.و لازمه کون الوصف القائم مقام الرؤیة اشتراطاً </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ببناء هذا البیع علی تصدیق البائع أو غیره فی إخباره باتّصاف المبیع بالصفات المذکورة،کما یجوز الاعتماد علیه فی الکیل و الوزن؛و لذا ذکروا أنّه یجوز مع جهل المتبایعین بصفة العین الغائبة المبایعة بوصفٍ ثالثٍ لهما </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کان،فلا غرر عرفاً فی بیع العین الغائبة مع اعتبار الصفات الرافعة للجهالة،و لا دلیل شرعاً أیضاً علی المنع من حیث عدم العلم بوجود تلک الصفات،فیتعیّن الحکم بجوازه؛مضافاً إلی الإجماع علیه ممّن عدا بعض العامّة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الخیار بین الردّ و الإمساک مجّاناً هو المشهور بین الأصحاب.</w:t>
      </w:r>
    </w:p>
    <w:p>
      <w:pPr>
        <w:pStyle w:val="BookText"/>
      </w:pPr>
      <w:r>
        <w:rPr>
          <w:rFonts w:ascii="IRNazanin" w:hAnsi="IRNazanin" w:eastAsia="IRNazanin" w:cs="IRNazanin"/>
          <w:lang w:bidi="fa-IR"/>
          <w:color w:val="111111"/>
          <w:sz w:val="28"/>
          <w:szCs w:val="28"/>
          <w:rtl/>
        </w:rPr>
        <w:t xml:space="preserve">و صریح السرائر:تخییره بین الردّ و الإمساک بالأرش و أنّه لا یجبر علی أحدهما </w:t>
      </w:r>
      <w:r>
        <w:rPr>
          <w:rStyle w:val="FootnoteReference"/>
        </w:rPr>
        <w:footnoteReference w:id="3414"/>
      </w:r>
      <w:r>
        <w:rPr>
          <w:rFonts w:ascii="IRNazanin" w:hAnsi="IRNazanin" w:eastAsia="IRNazanin" w:cs="IRNazanin"/>
          <w:lang w:bidi="fa-IR"/>
          <w:color w:val="111111"/>
          <w:sz w:val="28"/>
          <w:szCs w:val="28"/>
          <w:rtl/>
        </w:rPr>
        <w:t xml:space="preserve">.و یضعّف بأنّه لا دلیل علی الأرش.</w:t>
      </w:r>
    </w:p>
    <w:p>
      <w:pPr>
        <w:pStyle w:val="BookText"/>
      </w:pPr>
      <w:r>
        <w:rPr>
          <w:rFonts w:ascii="IRNazanin" w:hAnsi="IRNazanin" w:eastAsia="IRNazanin" w:cs="IRNazanin"/>
          <w:lang w:bidi="fa-IR"/>
          <w:color w:val="111111"/>
          <w:sz w:val="28"/>
          <w:szCs w:val="28"/>
          <w:rtl/>
        </w:rPr>
        <w:t xml:space="preserve">نعم لو کان للوصف المفقود دخلٌ فی الصحّة توجّه أخذ الأرش، لکن بخیار العیب،لا خیار رؤیة المبیع علی خلاف ما وصفه؛إذ لو لا الوصف ثبت خیار العیب أیضاً.و سیجیء عدم اشتراط ذکر الأوصاف الراجعة إلی وصف الصحّة.</w:t>
      </w:r>
    </w:p>
    <w:p>
      <w:pPr>
        <w:pStyle w:val="BookText"/>
      </w:pPr>
      <w:r>
        <w:rPr>
          <w:rFonts w:ascii="IRNazanin" w:hAnsi="IRNazanin" w:eastAsia="IRNazanin" w:cs="IRNazanin"/>
          <w:lang w:bidi="fa-IR"/>
          <w:color w:val="111111"/>
          <w:sz w:val="28"/>
          <w:szCs w:val="28"/>
          <w:rtl/>
        </w:rPr>
        <w:t xml:space="preserve">و أضعف من هذا ما ینسب إلی ظاهر المقنعة و النهایة و المراسم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بطلان البیع إذا وجد علی خلاف ما وصف.لکن الموجود فی المقنعة و النهایة أنّه:«إن لم یکن علی الوصف کان البیع مردوداً»و لا یبعد کون المراد بالمردود القابل للردّ،لا الباطل فعلاً.و قد عبّر فی النهایة عن خیار الغبن بذلک فقال:و لا بأس بأن یبیع الإنسان متاعاً بأکثر</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یسوی إذا کان المبتاع من أهل المعرفة،فإن لم یکن کذلک کان البیع مردوداً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تقدیر وجود القول بالبطلان،فلا یخفی ضعفه؛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لعدم الدلیل علی البطلان بعد انعقاده صحیحاً،عدا ما فی مجمع البرهان،و حاصله:</w:t>
      </w:r>
    </w:p>
    <w:p>
      <w:pPr>
        <w:pStyle w:val="BookText"/>
      </w:pPr>
      <w:r>
        <w:rPr>
          <w:rFonts w:ascii="IRNazanin" w:hAnsi="IRNazanin" w:eastAsia="IRNazanin" w:cs="IRNazanin"/>
          <w:lang w:bidi="fa-IR"/>
          <w:color w:val="111111"/>
          <w:sz w:val="28"/>
          <w:szCs w:val="28"/>
          <w:rtl/>
        </w:rPr>
        <w:t xml:space="preserve">وقوع العقد علی شیءٍ مغایرٍ للموجود،فالمعقود علیه غیر موجودٍ و الموجود غیر معقودٍ علیه </w:t>
      </w:r>
      <w:r>
        <w:rPr>
          <w:rStyle w:val="FootnoteReference"/>
        </w:rPr>
        <w:footnoteReference w:id="3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یضعّف:بأنّ محلّ الکلام فی تخلّف الأوصاف التی لا توجب مغایرة الموصوف للموجود عرفاً،بأن یقال:إنّ المبیع فاقدٌ للأوصاف المأخوذة فیه،لا أنّه مغایرٌ للموجود.نعم،لو کان ظهور الخلاف فیما له دخلٌ فی حقیقة المبیع عرفاً،فالظاهر عدم الخلاف فی البطلان و لو أُخذ فی عبارة العقد علی وجه الاشتراط کأن یقول:بعتک ما فی البیت علی أنّه عبدٌ حبشیٌّ فبان حماراً وحشیّاً.</w:t>
      </w:r>
    </w:p>
    <w:p>
      <w:pPr>
        <w:pStyle w:val="BookText"/>
      </w:pPr>
      <w:r>
        <w:rPr>
          <w:rFonts w:ascii="IRNazanin" w:hAnsi="IRNazanin" w:eastAsia="IRNazanin" w:cs="IRNazanin"/>
          <w:lang w:bidi="fa-IR"/>
          <w:color w:val="111111"/>
          <w:sz w:val="28"/>
          <w:szCs w:val="28"/>
          <w:rtl/>
        </w:rPr>
        <w:t xml:space="preserve">إلّا أن یقال:إنّ الموجود و إن لم یُعدّ مغایراً للمعقود علیه عرفاً، إلّا أنّ اشتراط اتّصافه بالأوصاف فی معنی کون القصد إلی بیعه بانیاً علی تلک الأوصاف،فإذا فُقد ما بُنی علیه العقد،فالمقصود غیر حاصلٍ،فینبغی بطلان البیع؛و لذا التزم أکثر المتأخّرین بفساد العقد بفساد شرطه </w:t>
      </w:r>
      <w:r>
        <w:rPr>
          <w:rStyle w:val="FootnoteReference"/>
        </w:rPr>
        <w:footnoteReference w:id="3418"/>
      </w:r>
      <w:r>
        <w:rPr>
          <w:rFonts w:ascii="IRNazanin" w:hAnsi="IRNazanin" w:eastAsia="IRNazanin" w:cs="IRNazanin"/>
          <w:lang w:bidi="fa-IR"/>
          <w:color w:val="111111"/>
          <w:sz w:val="28"/>
          <w:szCs w:val="28"/>
          <w:rtl/>
        </w:rPr>
        <w:t xml:space="preserve">،فإنّ قصد الشرط إن کان مؤثّراً فی المعقود علیه</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فالواجب کون تخلّفه موجباً لبطلان العقد،و إلّا لم یوجب فساده فساد العقد،بل غایة الأمر ثبوت الخیار.</w:t>
      </w:r>
    </w:p>
    <w:p>
      <w:pPr>
        <w:pStyle w:val="BookText"/>
      </w:pPr>
      <w:r>
        <w:rPr>
          <w:rFonts w:ascii="IRNazanin" w:hAnsi="IRNazanin" w:eastAsia="IRNazanin" w:cs="IRNazanin"/>
          <w:lang w:bidi="fa-IR"/>
          <w:color w:val="111111"/>
          <w:sz w:val="28"/>
          <w:szCs w:val="28"/>
          <w:rtl/>
        </w:rPr>
        <w:t xml:space="preserve">و من هنا یظهر:أنّ دفع ما ذکر </w:t>
      </w:r>
      <w:r>
        <w:rPr>
          <w:rStyle w:val="FootnoteReference"/>
        </w:rPr>
        <w:footnoteReference w:id="3419"/>
      </w:r>
      <w:r>
        <w:rPr>
          <w:rFonts w:ascii="IRNazanin" w:hAnsi="IRNazanin" w:eastAsia="IRNazanin" w:cs="IRNazanin"/>
          <w:lang w:bidi="fa-IR"/>
          <w:color w:val="111111"/>
          <w:sz w:val="28"/>
          <w:szCs w:val="28"/>
          <w:rtl/>
        </w:rPr>
        <w:t xml:space="preserve">فی وجه البطلان-الذی جعله المحقّق الأردبیلی موافقاً للقاعدة </w:t>
      </w:r>
      <w:r>
        <w:rPr>
          <w:rStyle w:val="FootnoteReference"/>
        </w:rPr>
        <w:footnoteReference w:id="3420"/>
      </w:r>
      <w:r>
        <w:rPr>
          <w:rFonts w:ascii="IRNazanin" w:hAnsi="IRNazanin" w:eastAsia="IRNazanin" w:cs="IRNazanin"/>
          <w:lang w:bidi="fa-IR"/>
          <w:color w:val="111111"/>
          <w:sz w:val="28"/>
          <w:szCs w:val="28"/>
          <w:rtl/>
        </w:rPr>
        <w:t xml:space="preserve">،و احتمله العلّامة رحمه اللّٰه فی النهایة </w:t>
      </w:r>
      <w:r>
        <w:rPr>
          <w:rStyle w:val="FootnoteReference"/>
        </w:rPr>
        <w:footnoteReference w:id="3421"/>
      </w:r>
      <w:r>
        <w:rPr>
          <w:rFonts w:ascii="IRNazanin" w:hAnsi="IRNazanin" w:eastAsia="IRNazanin" w:cs="IRNazanin"/>
          <w:lang w:bidi="fa-IR"/>
          <w:color w:val="111111"/>
          <w:sz w:val="28"/>
          <w:szCs w:val="28"/>
          <w:rtl/>
        </w:rPr>
        <w:t xml:space="preserve">فیما إذا ظهر ما رآه سابقاً علی خلاف ما رآه،بأنّه اشتباه ناشئٌ عن عدم الفرق بین الوصف المعیِّن للکلّیات و الوصف المعیِّن فی </w:t>
      </w:r>
      <w:r>
        <w:rPr>
          <w:rStyle w:val="FootnoteReference"/>
        </w:rPr>
        <w:footnoteReference w:id="3422"/>
      </w:r>
      <w:r>
        <w:rPr>
          <w:rFonts w:ascii="IRNazanin" w:hAnsi="IRNazanin" w:eastAsia="IRNazanin" w:cs="IRNazanin"/>
          <w:lang w:bidi="fa-IR"/>
          <w:color w:val="111111"/>
          <w:sz w:val="28"/>
          <w:szCs w:val="28"/>
          <w:rtl/>
        </w:rPr>
        <w:t xml:space="preserve">الشخصیات و بین الوصف الذاتی و العرضی،و أنّ أقصی ما هناک کونه من باب تعارض الإشارة و الوصف و الإشارة أقوی مجازفةٌ لا محصّل لها.</w:t>
      </w:r>
    </w:p>
    <w:p>
      <w:pPr>
        <w:pStyle w:val="BookText"/>
      </w:pPr>
      <w:r>
        <w:rPr>
          <w:rFonts w:ascii="IRNazanin" w:hAnsi="IRNazanin" w:eastAsia="IRNazanin" w:cs="IRNazanin"/>
          <w:lang w:bidi="fa-IR"/>
          <w:color w:val="111111"/>
          <w:sz w:val="28"/>
          <w:szCs w:val="28"/>
          <w:rtl/>
        </w:rPr>
        <w:t xml:space="preserve">و أمّا کون الإشارة أقوی من الوصف عند التعارض،فلو جری فیما نحن فیه لم یکن اعتبارٌ بالوصف،فینبغی لزوم العقد و إثبات الخیار من جهة کونه وصفاً لشخصٍ لا مشخّصاً لکلّیٍّ حتّی یتقوّم به،و کونه عرضیّاً لا ذاتیّاً إعادةٌ للکلام السابق.</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أن یقال:إنّ المستفاد من النصوص و الإجماعات فی الموارد</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المتفرّقة عدم بطلان البیع بمخالفة الصفة المقصودة الغیر المقوّمة للمبیع، سواءً علم القصد إلیها من الخارج أم اشترطت فی العقد،کالحکم بمضیّ العقد علی المعیب مع عدم القصد إلّا إلی الصحیح،و منه المصرّاة.</w:t>
      </w:r>
    </w:p>
    <w:p>
      <w:pPr>
        <w:pStyle w:val="BookText"/>
      </w:pPr>
      <w:r>
        <w:rPr>
          <w:rFonts w:ascii="IRNazanin" w:hAnsi="IRNazanin" w:eastAsia="IRNazanin" w:cs="IRNazanin"/>
          <w:lang w:bidi="fa-IR"/>
          <w:color w:val="111111"/>
          <w:sz w:val="28"/>
          <w:szCs w:val="28"/>
          <w:rtl/>
        </w:rPr>
        <w:t xml:space="preserve">و کالحکم فی النصّ و الفتوی بتبعّض </w:t>
      </w:r>
      <w:r>
        <w:rPr>
          <w:rStyle w:val="FootnoteReference"/>
        </w:rPr>
        <w:footnoteReference w:id="3423"/>
      </w:r>
      <w:r>
        <w:rPr>
          <w:rFonts w:ascii="IRNazanin" w:hAnsi="IRNazanin" w:eastAsia="IRNazanin" w:cs="IRNazanin"/>
          <w:lang w:bidi="fa-IR"/>
          <w:color w:val="111111"/>
          <w:sz w:val="28"/>
          <w:szCs w:val="28"/>
          <w:rtl/>
        </w:rPr>
        <w:t xml:space="preserve">الصفقة إذا باع ما یملک و ما لم یملک و غیر ذلک،فتأمّل </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 إشکالٌ آخر من جهة تشخیص الوصف الداخل فی الحقیقة عرفاً الموجب ظهور خلافه لبطلان البیع،و الخارج عنها الموجب ظهور خلافه للخیار،فإنّ الظاهر دخول الذکورة و الأُنوثة فی الممالیک فی حقیقة المبیع لا فی مثل الغنم،و کذا الرومی و الزنجی حقیقتان عرفاً، و ربما یتغایر الحقیقتان مع کونه فیما نحن فیه من قبیل الأوصاف،کما إذا باعه الدهن أو الجبن أو اللبن علی أنّه من الغنم فبان من الجاموس، و کذا لو باعه خلّ الزبیب فبان من التمر.و یمکن إحالة اتّحاد الجنس و مغایرته علی العرف و إن خالف ضابطة التغایر المذکورة فی باب الربا، فتأمّل.</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88" w:name="pg14419_167538"/>
    <w:bookmarkEnd w:id="388"/>
    <w:p>
      <w:pPr>
        <w:pStyle w:val="Heading6"/>
      </w:pPr>
      <w:bookmarkStart w:id="1299" w:name="_Toc739"/>
      <w:r>
        <w:t>مسألة : الأکثر علی أنّ الخیار عند الرؤیة فوریٌّ</w:t>
      </w:r>
      <w:bookmarkEnd w:id="1299"/>
    </w:p>
    <w:p>
      <w:pPr>
        <w:pStyle w:val="BookText"/>
      </w:pPr>
      <w:r>
        <w:rPr>
          <w:rFonts w:ascii="IRNazanin" w:hAnsi="IRNazanin" w:eastAsia="IRNazanin" w:cs="IRNazanin"/>
          <w:lang w:bidi="fa-IR"/>
          <w:color w:val="111111"/>
          <w:sz w:val="28"/>
          <w:szCs w:val="28"/>
          <w:rtl/>
        </w:rPr>
        <w:t xml:space="preserve">بل نسب إلی ظاهر الأصحاب </w:t>
      </w:r>
      <w:r>
        <w:rPr>
          <w:rStyle w:val="FootnoteReference"/>
        </w:rPr>
        <w:footnoteReference w:id="3425"/>
      </w:r>
      <w:r>
        <w:rPr>
          <w:rFonts w:ascii="IRNazanin" w:hAnsi="IRNazanin" w:eastAsia="IRNazanin" w:cs="IRNazanin"/>
          <w:lang w:bidi="fa-IR"/>
          <w:color w:val="111111"/>
          <w:sz w:val="28"/>
          <w:szCs w:val="28"/>
          <w:rtl/>
        </w:rPr>
        <w:t xml:space="preserve">، بل ظاهر التذکرة عدم الخلاف بین المسلمین إلّا من أحمد،حیث جعله ممتدّاً بامتداد المجلس الذی وقعت فیه الرؤیة </w:t>
      </w:r>
      <w:r>
        <w:rPr>
          <w:rStyle w:val="FootnoteReference"/>
        </w:rPr>
        <w:footnoteReference w:id="3426"/>
      </w:r>
      <w:r>
        <w:rPr>
          <w:rFonts w:ascii="IRNazanin" w:hAnsi="IRNazanin" w:eastAsia="IRNazanin" w:cs="IRNazanin"/>
          <w:lang w:bidi="fa-IR"/>
          <w:color w:val="111111"/>
          <w:sz w:val="28"/>
          <w:szCs w:val="28"/>
          <w:rtl/>
        </w:rPr>
        <w:t xml:space="preserve">،و احتمله فی نهایة الإحکام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أجد لهم دلیلاً صالحاً علی ذلک،إلّا وجوب الاقتصار فی مخالفة لزوم العقد علی المتیقّن،و یبقی علی القائلین بالتراخی فی مثل خیار الغبن و العیب سؤال الفرق بین المقامین،مع أنّ صحیحة جمیل المتقدّمة فی صدر المسألة </w:t>
      </w:r>
      <w:r>
        <w:rPr>
          <w:rStyle w:val="FootnoteReference"/>
        </w:rPr>
        <w:footnoteReference w:id="3428"/>
      </w:r>
      <w:r>
        <w:rPr>
          <w:rFonts w:ascii="IRNazanin" w:hAnsi="IRNazanin" w:eastAsia="IRNazanin" w:cs="IRNazanin"/>
          <w:lang w:bidi="fa-IR"/>
          <w:color w:val="111111"/>
          <w:sz w:val="28"/>
          <w:szCs w:val="28"/>
          <w:rtl/>
        </w:rPr>
        <w:t xml:space="preserve">مطلقةٌ یمکن التمسّک بعدم بیان مدّة الخیار فیها علی عدم الفوریّة و إن کان خلاف التحقیق،کما نبّهنا علیه فی بعض الخیارات المستندة إلی النصّ.</w:t>
      </w:r>
    </w:p>
    <w:p>
      <w:pPr>
        <w:pStyle w:val="BookText"/>
      </w:pPr>
      <w:r>
        <w:rPr>
          <w:rFonts w:ascii="Amiri" w:hAnsi="Amiri" w:eastAsia="Amiri" w:cs="Amiri"/>
          <w:lang w:bidi="ar-SA"/>
          <w:color w:val="111111"/>
          <w:sz w:val="28"/>
          <w:szCs w:val="28"/>
          <w:rtl/>
        </w:rPr>
        <w:t xml:space="preserve">و قد بیّنا سابقاً </w:t>
      </w:r>
      <w:r>
        <w:rPr>
          <w:rStyle w:val="FootnoteReference"/>
        </w:rPr>
        <w:footnoteReference w:id="3429"/>
      </w:r>
      <w:r>
        <w:rPr>
          <w:rFonts w:ascii="IRNazanin" w:hAnsi="IRNazanin" w:eastAsia="IRNazanin" w:cs="IRNazanin"/>
          <w:lang w:bidi="fa-IR"/>
          <w:color w:val="111111"/>
          <w:sz w:val="28"/>
          <w:szCs w:val="28"/>
          <w:rtl/>
        </w:rPr>
        <w:t xml:space="preserve">ضعف التمسّک بالاستصحاب فی إثبات التراخی و إن استندوا إلیه فی بعض الخیارات السابقة.</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389" w:name="pg14419_167539"/>
    <w:bookmarkEnd w:id="389"/>
    <w:p>
      <w:pPr>
        <w:pStyle w:val="Heading6"/>
      </w:pPr>
      <w:bookmarkStart w:id="1300" w:name="_Toc740"/>
      <w:r>
        <w:t>مسألة : یسقط هذا الخیار بترک المبادرة عرفاً</w:t>
      </w:r>
      <w:bookmarkEnd w:id="13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علی الوجه المتقدّم فی خیار الغبن </w:t>
      </w:r>
      <w:r>
        <w:rPr>
          <w:rStyle w:val="FootnoteReference"/>
        </w:rPr>
        <w:footnoteReference w:id="3430"/>
      </w:r>
      <w:r>
        <w:rPr>
          <w:rFonts w:ascii="IRNazanin" w:hAnsi="IRNazanin" w:eastAsia="IRNazanin" w:cs="IRNazanin"/>
          <w:lang w:bidi="fa-IR"/>
          <w:color w:val="111111"/>
          <w:sz w:val="28"/>
          <w:szCs w:val="28"/>
          <w:rtl/>
        </w:rPr>
        <w:t xml:space="preserve">،و بإسقاطه بعد الرؤیة،و بالتصرّف بعدها،و لو تصرّف قبلها ففی سقوط الخیار وجوهٌ،ثالثها:ابتناء ذلک علی جواز إسقاط الخیار قولاً قبل الرؤیة،بناءً علی أنّ التصرّف إسقاطٌ فعلی.</w:t>
      </w:r>
    </w:p>
    <w:p>
      <w:pPr>
        <w:pStyle w:val="BookText"/>
      </w:pPr>
      <w:r>
        <w:rPr>
          <w:rFonts w:ascii="IRNazanin" w:hAnsi="IRNazanin" w:eastAsia="IRNazanin" w:cs="IRNazanin"/>
          <w:lang w:bidi="fa-IR"/>
          <w:color w:val="111111"/>
          <w:sz w:val="28"/>
          <w:szCs w:val="28"/>
          <w:rtl/>
        </w:rPr>
        <w:t xml:space="preserve">و فی جواز إسقاطه قبل الرؤیة وجهان مبنیّان علی أنّ الرؤیة سبب أو کاشف.</w:t>
      </w:r>
    </w:p>
    <w:p>
      <w:pPr>
        <w:pStyle w:val="BookText"/>
      </w:pPr>
      <w:r>
        <w:rPr>
          <w:rFonts w:ascii="IRNazanin" w:hAnsi="IRNazanin" w:eastAsia="IRNazanin" w:cs="IRNazanin"/>
          <w:lang w:bidi="fa-IR"/>
          <w:color w:val="111111"/>
          <w:sz w:val="28"/>
          <w:szCs w:val="28"/>
          <w:rtl/>
        </w:rPr>
        <w:t xml:space="preserve">قال فی التذکرة:لو اختار إمضاء العقد قبل الرؤیة لم یلزم؛لتعلّق الخیار بالرؤیة </w:t>
      </w:r>
      <w:r>
        <w:rPr>
          <w:rStyle w:val="FootnoteReference"/>
        </w:rPr>
        <w:footnoteReference w:id="3431"/>
      </w:r>
      <w:r>
        <w:rPr>
          <w:rFonts w:ascii="IRNazanin" w:hAnsi="IRNazanin" w:eastAsia="IRNazanin" w:cs="IRNazanin"/>
          <w:lang w:bidi="fa-IR"/>
          <w:color w:val="111111"/>
          <w:sz w:val="28"/>
          <w:szCs w:val="28"/>
          <w:rtl/>
        </w:rPr>
        <w:t xml:space="preserve">،انتهی.و حکی ذلک عن غیرها أیضاً </w:t>
      </w:r>
      <w:r>
        <w:rPr>
          <w:rStyle w:val="FootnoteReference"/>
        </w:rPr>
        <w:footnoteReference w:id="3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ظاهره:أنّ الخیار یحدث بالرؤیة،لا أنّه یظهر بها،و لو جعلت الرؤیة شرطاً لا سبباً أمکن جواز الإسقاط بمجرّد تحقّق السبب و هو</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العقد.و لا یخلو عن قوّة.</w:t>
      </w:r>
    </w:p>
    <w:p>
      <w:pPr>
        <w:pStyle w:val="BookText"/>
      </w:pPr>
      <w:r>
        <w:rPr>
          <w:rFonts w:ascii="IRNazanin" w:hAnsi="IRNazanin" w:eastAsia="IRNazanin" w:cs="IRNazanin"/>
          <w:lang w:bidi="fa-IR"/>
          <w:color w:val="111111"/>
          <w:sz w:val="28"/>
          <w:szCs w:val="28"/>
          <w:rtl/>
        </w:rPr>
        <w:t xml:space="preserve">و لو شرط سقوط هذا الخیار،ففی فساده و إفساده للعقد،کما عن العلّامة </w:t>
      </w:r>
      <w:r>
        <w:rPr>
          <w:rStyle w:val="FootnoteReference"/>
        </w:rPr>
        <w:footnoteReference w:id="3433"/>
      </w:r>
      <w:r>
        <w:rPr>
          <w:rFonts w:ascii="Amiri" w:hAnsi="Amiri" w:eastAsia="Amiri" w:cs="Amiri"/>
          <w:lang w:bidi="ar-SA"/>
          <w:color w:val="111111"/>
          <w:sz w:val="28"/>
          <w:szCs w:val="28"/>
          <w:rtl/>
        </w:rPr>
        <w:t xml:space="preserve">و جماعةٍ </w:t>
      </w:r>
      <w:r>
        <w:rPr>
          <w:rStyle w:val="FootnoteReference"/>
        </w:rPr>
        <w:footnoteReference w:id="3434"/>
      </w:r>
      <w:r>
        <w:rPr>
          <w:rFonts w:ascii="IRNazanin" w:hAnsi="IRNazanin" w:eastAsia="IRNazanin" w:cs="IRNazanin"/>
          <w:lang w:bidi="fa-IR"/>
          <w:color w:val="111111"/>
          <w:sz w:val="28"/>
          <w:szCs w:val="28"/>
          <w:rtl/>
        </w:rPr>
        <w:t xml:space="preserve">،أو عدمهما،کما عن النهایة </w:t>
      </w:r>
      <w:r>
        <w:rPr>
          <w:rStyle w:val="FootnoteReference"/>
        </w:rPr>
        <w:footnoteReference w:id="3435"/>
      </w:r>
      <w:r>
        <w:rPr>
          <w:rFonts w:ascii="Amiri" w:hAnsi="Amiri" w:eastAsia="Amiri" w:cs="Amiri"/>
          <w:lang w:bidi="ar-SA"/>
          <w:color w:val="111111"/>
          <w:sz w:val="28"/>
          <w:szCs w:val="28"/>
          <w:rtl/>
        </w:rPr>
        <w:t xml:space="preserve">و بعضٍ </w:t>
      </w:r>
      <w:r>
        <w:rPr>
          <w:rStyle w:val="FootnoteReference"/>
        </w:rPr>
        <w:footnoteReference w:id="3436"/>
      </w:r>
      <w:r>
        <w:rPr>
          <w:rFonts w:ascii="IRNazanin" w:hAnsi="IRNazanin" w:eastAsia="IRNazanin" w:cs="IRNazanin"/>
          <w:lang w:bidi="fa-IR"/>
          <w:color w:val="111111"/>
          <w:sz w:val="28"/>
          <w:szCs w:val="28"/>
          <w:rtl/>
        </w:rPr>
        <w:t xml:space="preserve">،أو الفساد دون الإفساد </w:t>
      </w:r>
      <w:r>
        <w:rPr>
          <w:rStyle w:val="FootnoteReference"/>
        </w:rPr>
        <w:footnoteReference w:id="3437"/>
      </w:r>
      <w:r>
        <w:rPr>
          <w:rFonts w:ascii="Amiri" w:hAnsi="Amiri" w:eastAsia="Amiri" w:cs="Amiri"/>
          <w:lang w:bidi="ar-SA"/>
          <w:color w:val="111111"/>
          <w:sz w:val="28"/>
          <w:szCs w:val="28"/>
          <w:rtl/>
        </w:rPr>
        <w:t xml:space="preserve">،وجوهٌ،بل أقوالٌ:</w:t>
      </w:r>
    </w:p>
    <w:p>
      <w:pPr>
        <w:pStyle w:val="BookText"/>
      </w:pPr>
      <w:r>
        <w:rPr>
          <w:rFonts w:ascii="IRNazanin" w:hAnsi="IRNazanin" w:eastAsia="IRNazanin" w:cs="IRNazanin"/>
          <w:lang w:bidi="fa-IR"/>
          <w:color w:val="111111"/>
          <w:sz w:val="28"/>
          <w:szCs w:val="28"/>
          <w:rtl/>
        </w:rPr>
        <w:t xml:space="preserve">من کونه موجباً لکون العقد غرراً،کما فی جامع المقاصد:من أنّ الوصف قام مقام الرؤیة،فإذا شرط عدم الاعتداد به کان المبیع غیر مرئیٍّ و لا موصوف </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دفع الغرر عن هذا البیع لیس بالخیار حتّی یثبت بارتفاعه،فإنّ الخیار حکمٌ شرعیٌّ لو أثّر فی دفع الغرر جاز بیع کلّ مجهولٍ متزلزلاً،و العلم بالمبیع لا یرتفع بالتزام عدم الفسخ عند تبیّن المخالفة،فإنّ الغرر هو الإقدام علی شراء العین الغائبة علی أیّ صفةٍ کانت،و لو کان الالتزام المذکور مؤدّیاً إلی الغرر لکان اشتراط البراءة من العیوب أیضاً مؤدّیاً إلیه؛لأنّه بمنزلة بیع الشیء</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صحیحاً أو معیباً بأیّ عیبٍ کان،و لا شکّ أنّه غررٌ،و إنّما جاز بیع الشیء غیر مشروطٍ بالصحّة اعتماداً علی أصالة الصحّة،لا من جهة عدم اشتراط ملاحظة الصحّة و العیب فی المبیع؛لأنّ تخالف أفراد الصحیح و المعیب أفحش من تخالف أفراد الصحیح،</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اقتصارهم فی بیان الأوصاف المعتبرة فی بیع العین الغائبة علی ما عدا الصفات الراجعة إلی العیب إنّما هو للاستغناء عن تلک الأوصاف بأصالة الصحّة،لا لجواز إهمالها عند البیع.</w:t>
      </w:r>
    </w:p>
    <w:p>
      <w:pPr>
        <w:pStyle w:val="BookText"/>
      </w:pPr>
      <w:r>
        <w:rPr>
          <w:rFonts w:ascii="IRNazanin" w:hAnsi="IRNazanin" w:eastAsia="IRNazanin" w:cs="IRNazanin"/>
          <w:lang w:bidi="fa-IR"/>
          <w:color w:val="111111"/>
          <w:sz w:val="28"/>
          <w:szCs w:val="28"/>
          <w:rtl/>
        </w:rPr>
        <w:t xml:space="preserve">فحینئذٍ،فإذا شرط البراءة من العیوب،کان ذلک راجعاً إلی عدم الاعتداد بوجود تلک الأوصاف و عدمها،فیلزم الغرر،خصوصاً علی ما حکاه فی الدروس عن ظاهر الشیخ و أتباعه </w:t>
      </w:r>
      <w:r>
        <w:rPr>
          <w:rStyle w:val="FootnoteReference"/>
        </w:rPr>
        <w:footnoteReference w:id="3439"/>
      </w:r>
      <w:r>
        <w:rPr>
          <w:rFonts w:ascii="IRNazanin" w:hAnsi="IRNazanin" w:eastAsia="IRNazanin" w:cs="IRNazanin"/>
          <w:lang w:bidi="fa-IR"/>
          <w:color w:val="111111"/>
          <w:sz w:val="28"/>
          <w:szCs w:val="28"/>
          <w:rtl/>
        </w:rPr>
        <w:t xml:space="preserve">:من جواز اشتراط البراءة من العیوب فیما لا قیمة لمکسوره کالبیض و الجوز الفاسدین کذلک،حیث إنّ مرجعه علی ما ذکروه هنا فی اشتراط سقوط خیار الرؤیة-إلی اشتراط عدم الاعتداد بمالیّة المبیع؛و لذا اعترض علیهم الشهید و أتباعه بفساد البیع مع هذا الشرط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مقتضی اعتراضهم فساد اشتراط البراءة من سائر العیوب و لو کان للمعیب قیمة؛لأنّ مرجعه إلی عدم الاعتداد بکون المبیع صحیحاً أو معیباً بأیّ عیبٍ،و الغرر فیه أفحش من البیع مع عدم الاعتداد بکون المبیع الغائب متّصفاً بأیّ وصفٍ کان.</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إنّه قد یثبت فساد هذا الشرط لا من جهة لزوم الغرر فی البیع حتّی یلزم فساد البیع و لو علی القول بعدم استلزام فساد الشرط لفساد العقد،بل من جهة أنّه إسقاطٌ لما لم یتحقّق،بناءً علی ما عرفت:من أنّ الخیار إنّما یتحقّق بالرؤیة،فلا یجوز إسقاطه قبلها، فاشتراط الإسقاط لغوٌ،و فساده من هذه الجهة لا یؤثّر فی فساد العقد، فیتعیّن المصیر إلی ثالث الأقوال المتقدّمة.</w:t>
      </w:r>
    </w:p>
    <w:p>
      <w:pPr>
        <w:pStyle w:val="BookText"/>
      </w:pPr>
      <w:r>
        <w:rPr>
          <w:rFonts w:ascii="IRNazanin" w:hAnsi="IRNazanin" w:eastAsia="IRNazanin" w:cs="IRNazanin"/>
          <w:lang w:bidi="fa-IR"/>
          <w:color w:val="111111"/>
          <w:sz w:val="28"/>
          <w:szCs w:val="28"/>
          <w:rtl/>
        </w:rPr>
        <w:t xml:space="preserve">لکن الإنصاف:ضعف وجه هذا القول.</w:t>
      </w:r>
    </w:p>
    <w:p>
      <w:pPr>
        <w:pStyle w:val="BookText"/>
      </w:pPr>
      <w:r>
        <w:rPr>
          <w:rFonts w:ascii="IRNazanin" w:hAnsi="IRNazanin" w:eastAsia="IRNazanin" w:cs="IRNazanin"/>
          <w:lang w:bidi="fa-IR"/>
          <w:color w:val="111111"/>
          <w:sz w:val="28"/>
          <w:szCs w:val="28"/>
          <w:rtl/>
        </w:rPr>
        <w:t xml:space="preserve">و أقوی الأقوال أوّلها؛لأنّ دفع الغرر عن هذه المعاملة و إن لم یکن لثبوت </w:t>
      </w:r>
      <w:r>
        <w:rPr>
          <w:rStyle w:val="FootnoteReference"/>
        </w:rPr>
        <w:footnoteReference w:id="3441"/>
      </w:r>
      <w:r>
        <w:rPr>
          <w:rFonts w:ascii="IRNazanin" w:hAnsi="IRNazanin" w:eastAsia="IRNazanin" w:cs="IRNazanin"/>
          <w:lang w:bidi="fa-IR"/>
          <w:color w:val="111111"/>
          <w:sz w:val="28"/>
          <w:szCs w:val="28"/>
          <w:rtl/>
        </w:rPr>
        <w:t xml:space="preserve">الخیار،لأنّ الخیار حکمٌ شرعیٌّ لا دخل له فی الغرر العرفی المتحقّق فی البیع،إلّا أنّه لأجل سبب الخیار،و هو اشتراط تلک الأوصاف المنحلّ إلی ارتباط الالتزام العقدی بوجود هذه الصفات، لأنّها إمّا شروطٌ للبیع و إمّا قیودٌ للمبیع کما تقدّم سابقاً و اشتراط سقوط الخیار راجعٌ إلی الالتزام بالعقد علی تقدیری وجود تلک الصفات و عدمها،و التنافی بین الأمرین واضحٌ.</w:t>
      </w:r>
    </w:p>
    <w:p>
      <w:pPr>
        <w:pStyle w:val="BookText"/>
      </w:pPr>
      <w:r>
        <w:rPr>
          <w:rFonts w:ascii="IRNazanin" w:hAnsi="IRNazanin" w:eastAsia="IRNazanin" w:cs="IRNazanin"/>
          <w:lang w:bidi="fa-IR"/>
          <w:color w:val="111111"/>
          <w:sz w:val="28"/>
          <w:szCs w:val="28"/>
          <w:rtl/>
        </w:rPr>
        <w:t xml:space="preserve">و أمّا قیاس هذا الاشتراط باشتراط البراءة،فیدفعه الفرق بینهما:</w:t>
      </w:r>
    </w:p>
    <w:p>
      <w:pPr>
        <w:pStyle w:val="BookText"/>
      </w:pPr>
      <w:r>
        <w:rPr>
          <w:rFonts w:ascii="IRNazanin" w:hAnsi="IRNazanin" w:eastAsia="IRNazanin" w:cs="IRNazanin"/>
          <w:lang w:bidi="fa-IR"/>
          <w:color w:val="111111"/>
          <w:sz w:val="28"/>
          <w:szCs w:val="28"/>
          <w:rtl/>
        </w:rPr>
        <w:t xml:space="preserve">بأنّ نفی العیوب لیس مأخوذاً فی البیع علی وجه الاشتراط أو التقیید، و إنّما اعتمد المشتری فیهما علی أصالة الصحّة،لا علی تعهّد البائع لانتفائها حتّی ینافی ذلک اشتراط براءة البائع عن عهدة انتفائها،بخلاف الصفات فیما نحن فیه،فإنّ البائع یتعهّد لوجودها فی المبیع و المشتری یعتمد علی هذا التعهّد،فاشتراط البائع علی المشتری عدم تعهّده لها</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التزام العقد علیه بدونها ظاهر المنافاة لذلک.</w:t>
      </w:r>
    </w:p>
    <w:p>
      <w:pPr>
        <w:pStyle w:val="BookText"/>
      </w:pPr>
      <w:r>
        <w:rPr>
          <w:rFonts w:ascii="IRNazanin" w:hAnsi="IRNazanin" w:eastAsia="IRNazanin" w:cs="IRNazanin"/>
          <w:lang w:bidi="fa-IR"/>
          <w:color w:val="111111"/>
          <w:sz w:val="28"/>
          <w:szCs w:val="28"/>
          <w:rtl/>
        </w:rPr>
        <w:t xml:space="preserve">نعم،لو شاهده المشتری و اشتراه معتمِداً علی أصالة بقاء تلک الصفات فاشترط البائع لزوم العقد علیه و عدم الفسخ لو ظهرت المخالفة، کان نظیر اشتراط البراءة من العیوب.کما انّه لو أخبر بکیله أو وزنه فصدّقه المشتری فاشترط عدم الخیار لو ظهر النقص،کان مثل ما نحن فیه،کما یظهر من التحریر فی بعض فروع الإخبار بالکیل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الضابط فی ذلک:أنّ کلّ وصفٍ تعهّده البائع و کان رفع الغرر بذلک لم یجز اشتراط سقوط خیار فقده،و کلّ وصفٍ اعتمد المشتری فی رفع الغرر علی أمارةٍ أُخری جاز اشتراط سقوط خیار فقده،کالأصل أو غلبة مساواة باطن الصبرة لظاهرها أو نحو ذلک.</w:t>
      </w:r>
    </w:p>
    <w:p>
      <w:pPr>
        <w:pStyle w:val="BookText"/>
      </w:pPr>
      <w:r>
        <w:rPr>
          <w:rFonts w:ascii="IRNazanin" w:hAnsi="IRNazanin" w:eastAsia="IRNazanin" w:cs="IRNazanin"/>
          <w:lang w:bidi="fa-IR"/>
          <w:color w:val="111111"/>
          <w:sz w:val="28"/>
          <w:szCs w:val="28"/>
          <w:rtl/>
        </w:rPr>
        <w:t xml:space="preserve">و ممّا ذکرنا ظهر وجه فرق الشهید </w:t>
      </w:r>
      <w:r>
        <w:rPr>
          <w:rStyle w:val="FootnoteReference"/>
        </w:rPr>
        <w:footnoteReference w:id="3443"/>
      </w:r>
      <w:r>
        <w:rPr>
          <w:rFonts w:ascii="IRNazanin" w:hAnsi="IRNazanin" w:eastAsia="IRNazanin" w:cs="IRNazanin"/>
          <w:lang w:bidi="fa-IR"/>
          <w:color w:val="111111"/>
          <w:sz w:val="28"/>
          <w:szCs w:val="28"/>
          <w:rtl/>
        </w:rPr>
        <w:t xml:space="preserve">و غیره </w:t>
      </w:r>
      <w:r>
        <w:rPr>
          <w:rStyle w:val="FootnoteReference"/>
        </w:rPr>
        <w:footnoteReference w:id="3444"/>
      </w:r>
      <w:r>
        <w:rPr>
          <w:rFonts w:ascii="IRNazanin" w:hAnsi="IRNazanin" w:eastAsia="IRNazanin" w:cs="IRNazanin"/>
          <w:lang w:bidi="fa-IR"/>
          <w:color w:val="111111"/>
          <w:sz w:val="28"/>
          <w:szCs w:val="28"/>
          <w:rtl/>
        </w:rPr>
        <w:t xml:space="preserve">فی المنع و الجواز بین اشتراط البراءة من الصفات المأخوذة فی بیع العین الغائبة و بین اشتراط البراءة من العیوب فی العین المشکوک فی صحّته و فساده </w:t>
      </w:r>
      <w:r>
        <w:rPr>
          <w:rStyle w:val="FootnoteReference"/>
        </w:rPr>
        <w:footnoteReference w:id="3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ظهر أیضاً أنّه لو تیقّن المشتری بوجود الصفات المذکورة فی العقد فی المبیع،فالظاهر جواز اشتراط عدم الخیار علی تقدیر فقدها؛</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دفع </w:t>
      </w:r>
      <w:r>
        <w:rPr>
          <w:rStyle w:val="FootnoteReference"/>
        </w:rPr>
        <w:footnoteReference w:id="3446"/>
      </w:r>
      <w:r>
        <w:rPr>
          <w:rFonts w:ascii="IRNazanin" w:hAnsi="IRNazanin" w:eastAsia="IRNazanin" w:cs="IRNazanin"/>
          <w:lang w:bidi="fa-IR"/>
          <w:color w:val="111111"/>
          <w:sz w:val="28"/>
          <w:szCs w:val="28"/>
          <w:rtl/>
        </w:rPr>
        <w:t xml:space="preserve">الغرر لیس بالتزام تلک الصفات،بل لعلمه بها،و کذا لو اطمأنّ بوجودها و لم یتیقّن.و الضابط کون اندفاع الغرر باشتراط الصفات و تعهّدها من البائع و عدمه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ظهر أیضاً ضعف ما یقال:من أنّ الأقوی فی محلّ الکلام الصحّة،لصدق تعلّق البیع بمعلومٍ غیر مجهولٍ،و لو أنّ الغرر ثابتٌ فی البیع نفسه لم یُجدِ فی الصحّة ثبوت الخیار،و إلّا لصحّ ما فیه الغرر من البیع مع اشتراط الخیار،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هو معلوم العدم.و إقدامه </w:t>
      </w:r>
      <w:r>
        <w:rPr>
          <w:rStyle w:val="FootnoteReference"/>
        </w:rPr>
        <w:footnoteReference w:id="3448"/>
      </w:r>
      <w:r>
        <w:rPr>
          <w:rFonts w:ascii="IRNazanin" w:hAnsi="IRNazanin" w:eastAsia="IRNazanin" w:cs="IRNazanin"/>
          <w:lang w:bidi="fa-IR"/>
          <w:color w:val="111111"/>
          <w:sz w:val="28"/>
          <w:szCs w:val="28"/>
          <w:rtl/>
        </w:rPr>
        <w:t xml:space="preserve">بالبیع المشترط فیه السقوط مع عدم الاطمئنان بالوصف إدخال الغرر علیه من قبل نفسه </w:t>
      </w:r>
      <w:r>
        <w:rPr>
          <w:rStyle w:val="FootnoteReference"/>
        </w:rPr>
        <w:footnoteReference w:id="344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توضیح الضعف:أنّ المجدی فی الصحّة ما هو سبب الخیار،و هو التزام البائع وجود الوصف لا نفس الخیار.و أمّا کون الإقدام من قبل نفسه فلا یوجب الرخصة فی البیع الغرری.و المسألة موضع إشکال.</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390" w:name="pg14419_167545"/>
    <w:bookmarkEnd w:id="390"/>
    <w:p>
      <w:pPr>
        <w:pStyle w:val="Heading6"/>
      </w:pPr>
      <w:bookmarkStart w:id="1301" w:name="_Toc741"/>
      <w:r>
        <w:t>مسألة : لا یسقط هذا الخیار ببذل التفاوت و لا بإبدال العین</w:t>
      </w:r>
      <w:bookmarkEnd w:id="1301"/>
    </w:p>
    <w:p>
      <w:pPr>
        <w:pStyle w:val="BookText"/>
      </w:pPr>
      <w:r>
        <w:rPr>
          <w:rFonts w:ascii="IRNazanin" w:hAnsi="IRNazanin" w:eastAsia="IRNazanin" w:cs="IRNazanin"/>
          <w:lang w:bidi="fa-IR"/>
          <w:color w:val="111111"/>
          <w:sz w:val="28"/>
          <w:szCs w:val="28"/>
          <w:rtl/>
        </w:rPr>
        <w:t xml:space="preserve">لأنّ العقد إنّما وقع علی الشخصی،فتملّک غیره یحتاج إلی معاوضةٍ جدیدة.</w:t>
      </w:r>
    </w:p>
    <w:p>
      <w:pPr>
        <w:pStyle w:val="BookText"/>
      </w:pPr>
      <w:r>
        <w:rPr>
          <w:rFonts w:ascii="IRNazanin" w:hAnsi="IRNazanin" w:eastAsia="IRNazanin" w:cs="IRNazanin"/>
          <w:lang w:bidi="fa-IR"/>
          <w:color w:val="111111"/>
          <w:sz w:val="28"/>
          <w:szCs w:val="28"/>
          <w:rtl/>
        </w:rPr>
        <w:t xml:space="preserve">و لو شرط فی متن العقد الإبدال لو ظهر علی خلاف الوصف،ففی الدروس:أنّ الأقرب الفساد </w:t>
      </w:r>
      <w:r>
        <w:rPr>
          <w:rStyle w:val="FootnoteReference"/>
        </w:rPr>
        <w:footnoteReference w:id="3450"/>
      </w:r>
      <w:r>
        <w:rPr>
          <w:rFonts w:ascii="IRNazanin" w:hAnsi="IRNazanin" w:eastAsia="IRNazanin" w:cs="IRNazanin"/>
          <w:lang w:bidi="fa-IR"/>
          <w:color w:val="111111"/>
          <w:sz w:val="28"/>
          <w:szCs w:val="28"/>
          <w:rtl/>
        </w:rPr>
        <w:t xml:space="preserve">.و لعلّه لأنّ البدل المستحقّ علیه بمقتضی الشرط:</w:t>
      </w:r>
    </w:p>
    <w:p>
      <w:pPr>
        <w:pStyle w:val="BookText"/>
      </w:pPr>
      <w:r>
        <w:rPr>
          <w:rFonts w:ascii="IRNazanin" w:hAnsi="IRNazanin" w:eastAsia="IRNazanin" w:cs="IRNazanin"/>
          <w:lang w:bidi="fa-IR"/>
          <w:color w:val="111111"/>
          <w:sz w:val="28"/>
          <w:szCs w:val="28"/>
          <w:rtl/>
        </w:rPr>
        <w:t xml:space="preserve">إن کان بإزاء الثمن فمرجعه إلی معاوضةٍ جدیدةٍ علی تقدیر ظهور المخالفة،بأن ینفسخ البیع بنفسه عند المخالفة،و ینعقد بیعٌ آخر،فیحصل بالشرط انفساخ عقدٍ و انعقاد عقدٍ آخر،کلٌّ منهما معلَّقٌ علی ظهور المخالفة،و من المعلوم عدم نهوض الشرط لإثبات ذلک.</w:t>
      </w:r>
    </w:p>
    <w:p>
      <w:pPr>
        <w:pStyle w:val="BookText"/>
      </w:pPr>
      <w:r>
        <w:rPr>
          <w:rFonts w:ascii="IRNazanin" w:hAnsi="IRNazanin" w:eastAsia="IRNazanin" w:cs="IRNazanin"/>
          <w:lang w:bidi="fa-IR"/>
          <w:color w:val="111111"/>
          <w:sz w:val="28"/>
          <w:szCs w:val="28"/>
          <w:rtl/>
        </w:rPr>
        <w:t xml:space="preserve">و إن کان بإزاء المبیع الذی ظهر علی خلاف الوصف،فمرجعه أیضاً إلی انعقاد معاوضةٍ تعلیقیّةٍ غرریّة؛لأنّ المفروض جهالة المبدل.</w:t>
      </w:r>
    </w:p>
    <w:p>
      <w:pPr>
        <w:pStyle w:val="BookText"/>
      </w:pPr>
      <w:r>
        <w:rPr>
          <w:rFonts w:ascii="IRNazanin" w:hAnsi="IRNazanin" w:eastAsia="IRNazanin" w:cs="IRNazanin"/>
          <w:lang w:bidi="fa-IR"/>
          <w:color w:val="111111"/>
          <w:sz w:val="28"/>
          <w:szCs w:val="28"/>
          <w:rtl/>
        </w:rPr>
        <w:t xml:space="preserve">و علی أیّ تقدیرٍ،فالظاهر عدم مشروعیّة الشرط المذکور،فیَفسد و یُفسد العقد.</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ظهر ضعف ما فی الحدائق:من الاعتراض علی الشهید قدّس سرّه، حیث قال بعد نقل عبارة الدروس و حکمه بالفساد ما لفظه:</w:t>
      </w:r>
    </w:p>
    <w:p>
      <w:pPr>
        <w:pStyle w:val="BookText"/>
      </w:pPr>
      <w:r>
        <w:rPr>
          <w:rFonts w:ascii="IRNazanin" w:hAnsi="IRNazanin" w:eastAsia="IRNazanin" w:cs="IRNazanin"/>
          <w:lang w:bidi="fa-IR"/>
          <w:color w:val="111111"/>
          <w:sz w:val="28"/>
          <w:szCs w:val="28"/>
          <w:rtl/>
        </w:rPr>
        <w:t xml:space="preserve">إنّ ظاهر کلامه أنّ الحکم بالفساد أعمّ من أن یظهر علی الوصف أو لا.</w:t>
      </w:r>
    </w:p>
    <w:p>
      <w:pPr>
        <w:pStyle w:val="BookText"/>
      </w:pPr>
      <w:r>
        <w:rPr>
          <w:rFonts w:ascii="IRNazanin" w:hAnsi="IRNazanin" w:eastAsia="IRNazanin" w:cs="IRNazanin"/>
          <w:lang w:bidi="fa-IR"/>
          <w:color w:val="111111"/>
          <w:sz w:val="28"/>
          <w:szCs w:val="28"/>
          <w:rtl/>
        </w:rPr>
        <w:t xml:space="preserve">و فیه:أنّه لا موجب للفساد مع ظهوره علی الوصف المشروط، و مجرّد شرط البائع الإبدال مع عدم ظهور </w:t>
      </w:r>
      <w:r>
        <w:rPr>
          <w:rStyle w:val="FootnoteReference"/>
        </w:rPr>
        <w:footnoteReference w:id="3451"/>
      </w:r>
      <w:r>
        <w:rPr>
          <w:rFonts w:ascii="IRNazanin" w:hAnsi="IRNazanin" w:eastAsia="IRNazanin" w:cs="IRNazanin"/>
          <w:lang w:bidi="fa-IR"/>
          <w:color w:val="111111"/>
          <w:sz w:val="28"/>
          <w:szCs w:val="28"/>
          <w:rtl/>
        </w:rPr>
        <w:t xml:space="preserve">الوصف لا یصلح سبباً للفساد؛لعموم الأخبار المتقدّمة.نعم،لو ظهر مخالفاً فإنّه یکون فاسداً من حیث المخالفة،و لا یجبره هذا الشرط،لإطلاق الأخبار فی الخیار.</w:t>
      </w:r>
    </w:p>
    <w:p>
      <w:pPr>
        <w:pStyle w:val="BookText"/>
      </w:pPr>
      <w:r>
        <w:rPr>
          <w:rFonts w:ascii="IRNazanin" w:hAnsi="IRNazanin" w:eastAsia="IRNazanin" w:cs="IRNazanin"/>
          <w:lang w:bidi="fa-IR"/>
          <w:color w:val="111111"/>
          <w:sz w:val="28"/>
          <w:szCs w:val="28"/>
          <w:rtl/>
        </w:rPr>
        <w:t xml:space="preserve">و الأظهر رجوع الحکم بالفساد فی العبارة إلی الشرط المذکور حیث لا تأثیر له مع الظهور و عدمه.و بالجملة،فإنّی لا أعرف للحکم بفساد العقد فی الصورة المذکورة علی الإطلاق وجهاً یحمل علیه </w:t>
      </w:r>
      <w:r>
        <w:rPr>
          <w:rStyle w:val="FootnoteReference"/>
        </w:rPr>
        <w:footnoteReference w:id="3452"/>
      </w:r>
      <w:r>
        <w:rPr>
          <w:rFonts w:ascii="IRNazanin" w:hAnsi="IRNazanin" w:eastAsia="IRNazanin" w:cs="IRNazanin"/>
          <w:lang w:bidi="fa-IR"/>
          <w:color w:val="111111"/>
          <w:sz w:val="28"/>
          <w:szCs w:val="28"/>
          <w:rtl/>
        </w:rPr>
        <w:t xml:space="preserve">،انتهی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391" w:name="pg14419_167547"/>
    <w:bookmarkEnd w:id="391"/>
    <w:p>
      <w:pPr>
        <w:pStyle w:val="Heading6"/>
      </w:pPr>
      <w:bookmarkStart w:id="1302" w:name="_Toc742"/>
      <w:r>
        <w:t>مسألة : الظاهر ثبوت خیار الرؤیة فی کلّ عقدٍ واقعٍ علی عینٍ شخصیّةٍ موصوفةٍ کالصلح و الإجارة</w:t>
      </w:r>
      <w:bookmarkEnd w:id="1302"/>
    </w:p>
    <w:p>
      <w:pPr>
        <w:pStyle w:val="BookText"/>
      </w:pPr>
      <w:r>
        <w:rPr>
          <w:rFonts w:ascii="IRNazanin" w:hAnsi="IRNazanin" w:eastAsia="IRNazanin" w:cs="IRNazanin"/>
          <w:lang w:bidi="fa-IR"/>
          <w:color w:val="111111"/>
          <w:sz w:val="28"/>
          <w:szCs w:val="28"/>
          <w:rtl/>
        </w:rPr>
        <w:t xml:space="preserve">لأنّه لو لم یحکم بالخیار مع تبیّن المخالفة، فإمّا أن یحکم ببطلان العقد؛لما تقدّم </w:t>
      </w:r>
      <w:r>
        <w:rPr>
          <w:rStyle w:val="FootnoteReference"/>
        </w:rPr>
        <w:footnoteReference w:id="3454"/>
      </w:r>
      <w:r>
        <w:rPr>
          <w:rFonts w:ascii="IRNazanin" w:hAnsi="IRNazanin" w:eastAsia="IRNazanin" w:cs="IRNazanin"/>
          <w:lang w:bidi="fa-IR"/>
          <w:color w:val="111111"/>
          <w:sz w:val="28"/>
          <w:szCs w:val="28"/>
          <w:rtl/>
        </w:rPr>
        <w:t xml:space="preserve">عن الأردبیلی فی بطلان بیع العین الغائبة.و إمّا أن یحکم بلزومه من دون خیار.</w:t>
      </w:r>
    </w:p>
    <w:p>
      <w:pPr>
        <w:pStyle w:val="BookText"/>
      </w:pPr>
      <w:r>
        <w:rPr>
          <w:rFonts w:ascii="IRNazanin" w:hAnsi="IRNazanin" w:eastAsia="IRNazanin" w:cs="IRNazanin"/>
          <w:lang w:bidi="fa-IR"/>
          <w:color w:val="111111"/>
          <w:sz w:val="28"/>
          <w:szCs w:val="28"/>
          <w:rtl/>
        </w:rPr>
        <w:t xml:space="preserve">و الأوّل مخالفٌ لطریقة الفقهاء فی تخلّف الأوصاف المشروطة فی المعقود علیه.</w:t>
      </w:r>
    </w:p>
    <w:p>
      <w:pPr>
        <w:pStyle w:val="BookText"/>
      </w:pPr>
      <w:r>
        <w:rPr>
          <w:rFonts w:ascii="IRNazanin" w:hAnsi="IRNazanin" w:eastAsia="IRNazanin" w:cs="IRNazanin"/>
          <w:lang w:bidi="fa-IR"/>
          <w:color w:val="111111"/>
          <w:sz w:val="28"/>
          <w:szCs w:val="28"/>
          <w:rtl/>
        </w:rPr>
        <w:t xml:space="preserve">و الثانی فاسدٌ من جهة أنّ دلیل اللزوم هو وجوب الوفاء بالعقد و حرمة النقض،و معلومٌ أنّ عدم الالتزام بترتّب آثار العقد علی العین الفاقدة للصفات المشترطة فیها لیس نقضاً للعقد،بل قد تقدّم عن بعضٍ أنّ ترتیب آثار العقد علیها لیس وفاءً و عملاً بالعقد حتّی یجوز،بل هو تصرّفٌ لم یدلّ علیه العقد،فیبطل.</w:t>
      </w:r>
    </w:p>
    <w:p>
      <w:pPr>
        <w:pStyle w:val="BookText"/>
      </w:pPr>
      <w:r>
        <w:rPr>
          <w:rFonts w:ascii="IRNazanin" w:hAnsi="IRNazanin" w:eastAsia="IRNazanin" w:cs="IRNazanin"/>
          <w:lang w:bidi="fa-IR"/>
          <w:color w:val="111111"/>
          <w:sz w:val="28"/>
          <w:szCs w:val="28"/>
          <w:rtl/>
        </w:rPr>
        <w:t xml:space="preserve">و الحاصل:أنّ الأمر فی ذلک دائرٌ بین فساد العقد و ثبوته مع الخیار،و الأوّل منافٍ لطریقة الأصحاب فی غیر باب،فتعیّن الثانی.</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392" w:name="pg14419_167548"/>
    <w:bookmarkEnd w:id="392"/>
    <w:p>
      <w:pPr>
        <w:pStyle w:val="Heading6"/>
      </w:pPr>
      <w:bookmarkStart w:id="1303" w:name="_Toc743"/>
      <w:r>
        <w:t>مسألة : لو اختلفا،فقال البائع:لم یختلف صفته</w:t>
      </w:r>
      <w:bookmarkEnd w:id="1303"/>
    </w:p>
    <w:p>
      <w:pPr>
        <w:pStyle w:val="BookText"/>
      </w:pPr>
      <w:r>
        <w:rPr>
          <w:rFonts w:ascii="IRNazanin" w:hAnsi="IRNazanin" w:eastAsia="IRNazanin" w:cs="IRNazanin"/>
          <w:lang w:bidi="fa-IR"/>
          <w:color w:val="111111"/>
          <w:sz w:val="28"/>
          <w:szCs w:val="28"/>
          <w:rtl/>
        </w:rPr>
        <w:t xml:space="preserve">مسألة لو اختلفا،فقال البائع:لم یختلف صفته </w:t>
      </w:r>
      <w:r>
        <w:rPr>
          <w:rStyle w:val="FootnoteReference"/>
        </w:rPr>
        <w:footnoteReference w:id="3455"/>
      </w:r>
      <w:r>
        <w:rPr>
          <w:rFonts w:ascii="IRNazanin" w:hAnsi="IRNazanin" w:eastAsia="IRNazanin" w:cs="IRNazanin"/>
          <w:lang w:bidi="fa-IR"/>
          <w:color w:val="111111"/>
          <w:sz w:val="28"/>
          <w:szCs w:val="28"/>
          <w:rtl/>
        </w:rPr>
        <w:t xml:space="preserve">،و قال المشتری:قد اختلفت،</w:t>
      </w:r>
    </w:p>
    <w:p>
      <w:pPr>
        <w:pStyle w:val="BookText"/>
      </w:pPr>
      <w:r>
        <w:rPr>
          <w:rFonts w:ascii="IRNazanin" w:hAnsi="IRNazanin" w:eastAsia="IRNazanin" w:cs="IRNazanin"/>
          <w:lang w:bidi="fa-IR"/>
          <w:color w:val="111111"/>
          <w:sz w:val="28"/>
          <w:szCs w:val="28"/>
          <w:rtl/>
        </w:rPr>
        <w:t xml:space="preserve">ففی التذکرة:قُدّم قول المشتری؛لأصالة براءة ذمّته من الثمن، فلا یلزمه ما لم یقرّ به أو یثبت بالبیّنة </w:t>
      </w:r>
      <w:r>
        <w:rPr>
          <w:rStyle w:val="FootnoteReference"/>
        </w:rPr>
        <w:footnoteReference w:id="3456"/>
      </w:r>
      <w:r>
        <w:rPr>
          <w:rFonts w:ascii="IRNazanin" w:hAnsi="IRNazanin" w:eastAsia="IRNazanin" w:cs="IRNazanin"/>
          <w:lang w:bidi="fa-IR"/>
          <w:color w:val="111111"/>
          <w:sz w:val="28"/>
          <w:szCs w:val="28"/>
          <w:rtl/>
        </w:rPr>
        <w:t xml:space="preserve">.و ردّه فی المختلف فی نظیر المسألة بأنّ إقراره بالشراء إقرارٌ بالاشتغال بالثمن </w:t>
      </w:r>
      <w:r>
        <w:rPr>
          <w:rStyle w:val="FootnoteReference"/>
        </w:rPr>
        <w:footnoteReference w:id="3457"/>
      </w:r>
      <w:r>
        <w:rPr>
          <w:rFonts w:ascii="IRNazanin" w:hAnsi="IRNazanin" w:eastAsia="IRNazanin" w:cs="IRNazanin"/>
          <w:lang w:bidi="fa-IR"/>
          <w:color w:val="111111"/>
          <w:sz w:val="28"/>
          <w:szCs w:val="28"/>
          <w:rtl/>
        </w:rPr>
        <w:t xml:space="preserve">.و یمکن أن یکون مراده ببراءة الذمّة عدم وجوب تسلیمه إلی البائع؛بناءً علی ما ذکره فی أحکام الخیار من التذکرة:من عدم وجوب تسلیم الثمن و لا المثمن فی مدّة الخیار و إن تسلّم الآخر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کان،فیمکن أن یخدش بأنّ المشتری قد أقرّ باشتغال ذمّته بالثمن سواءً اختلف صفة المبیع أم لم یختلف،غایة الأمر سلطنته علی الفسخ لو ثبت أنّ البائع التزم علی نفسه اتّصاف البیع </w:t>
      </w:r>
      <w:r>
        <w:rPr>
          <w:rStyle w:val="FootnoteReference"/>
        </w:rPr>
        <w:footnoteReference w:id="3459"/>
      </w:r>
      <w:r>
        <w:rPr>
          <w:rFonts w:ascii="Amiri" w:hAnsi="Amiri" w:eastAsia="Amiri" w:cs="Amiri"/>
          <w:lang w:bidi="ar-SA"/>
          <w:color w:val="111111"/>
          <w:sz w:val="28"/>
          <w:szCs w:val="28"/>
          <w:rtl/>
        </w:rPr>
        <w:t xml:space="preserve">بأوصافٍ</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مفقودة،کما لو اختلفا فی اشتراط کون العبد کاتباً،و حیث لم یثبت ذلک فالأصل عدمه،فیبقی الاشتغال لازماً غیر قابلٍ للإزالة بفسخ العقد.</w:t>
      </w:r>
    </w:p>
    <w:p>
      <w:pPr>
        <w:pStyle w:val="BookText"/>
      </w:pPr>
      <w:r>
        <w:rPr>
          <w:rFonts w:ascii="IRNazanin" w:hAnsi="IRNazanin" w:eastAsia="IRNazanin" w:cs="IRNazanin"/>
          <w:lang w:bidi="fa-IR"/>
          <w:color w:val="111111"/>
          <w:sz w:val="28"/>
          <w:szCs w:val="28"/>
          <w:rtl/>
        </w:rPr>
        <w:t xml:space="preserve">هذا،و یمکن دفع ذلک بأنّ أخذ الصفات فی المبیع و إن کان فی معنی الاشتراط،إلّا أنّه بعنوان التقیید،فمرجع الاختلاف إلی الشکّ فی تعلّق البیع بالعین الملحوظ فیها صفاتٌ مفقودة،أو تعلّقه بعینٍ لوحظ فیها الصفات الموجودة أو ما یعمّها </w:t>
      </w:r>
      <w:r>
        <w:rPr>
          <w:rStyle w:val="FootnoteReference"/>
        </w:rPr>
        <w:footnoteReference w:id="3460"/>
      </w:r>
      <w:r>
        <w:rPr>
          <w:rFonts w:ascii="IRNazanin" w:hAnsi="IRNazanin" w:eastAsia="IRNazanin" w:cs="IRNazanin"/>
          <w:lang w:bidi="fa-IR"/>
          <w:color w:val="111111"/>
          <w:sz w:val="28"/>
          <w:szCs w:val="28"/>
          <w:rtl/>
        </w:rPr>
        <w:t xml:space="preserve">،و اللزوم من أحکام البیع المتعلّق بالعین علی الوجه الثانی،و الأصل عدمه.</w:t>
      </w:r>
    </w:p>
    <w:p>
      <w:pPr>
        <w:pStyle w:val="BookText"/>
      </w:pPr>
      <w:r>
        <w:rPr>
          <w:rFonts w:ascii="IRNazanin" w:hAnsi="IRNazanin" w:eastAsia="IRNazanin" w:cs="IRNazanin"/>
          <w:lang w:bidi="fa-IR"/>
          <w:color w:val="111111"/>
          <w:sz w:val="28"/>
          <w:szCs w:val="28"/>
          <w:rtl/>
        </w:rPr>
        <w:t xml:space="preserve">و منه یظهر الفرق بین ما نحن فیه و بین الاختلاف فی اشتراط کتابة العبد،و قد تقدّم توضیح ذلک و بیان ما قیل أو یمکن أن یقال فی هذا المجال فی مسألة ما إذا اختلفا فی تغیّر </w:t>
      </w:r>
      <w:r>
        <w:rPr>
          <w:rStyle w:val="FootnoteReference"/>
        </w:rPr>
        <w:footnoteReference w:id="3461"/>
      </w:r>
      <w:r>
        <w:rPr>
          <w:rFonts w:ascii="IRNazanin" w:hAnsi="IRNazanin" w:eastAsia="IRNazanin" w:cs="IRNazanin"/>
          <w:lang w:bidi="fa-IR"/>
          <w:color w:val="111111"/>
          <w:sz w:val="28"/>
          <w:szCs w:val="28"/>
          <w:rtl/>
        </w:rPr>
        <w:t xml:space="preserve">ما شاهداه قبل البیع.</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393" w:name="pg14419_167550"/>
    <w:bookmarkEnd w:id="393"/>
    <w:p>
      <w:pPr>
        <w:pStyle w:val="Heading6"/>
      </w:pPr>
      <w:bookmarkStart w:id="1304" w:name="_Toc744"/>
      <w:r>
        <w:t>مسألة : لو نسج بعض الثوب،فاشتراه علی أن ینسج الباقی کالأوّل بطل</w:t>
      </w:r>
      <w:bookmarkEnd w:id="1304"/>
    </w:p>
    <w:p>
      <w:pPr>
        <w:pStyle w:val="BookText"/>
      </w:pPr>
      <w:r>
        <w:rPr>
          <w:rFonts w:ascii="IRNazanin" w:hAnsi="IRNazanin" w:eastAsia="IRNazanin" w:cs="IRNazanin"/>
          <w:lang w:bidi="fa-IR"/>
          <w:color w:val="111111"/>
          <w:sz w:val="28"/>
          <w:szCs w:val="28"/>
          <w:rtl/>
        </w:rPr>
        <w:t xml:space="preserve">کما عن المبسوط </w:t>
      </w:r>
      <w:r>
        <w:rPr>
          <w:rStyle w:val="FootnoteReference"/>
        </w:rPr>
        <w:footnoteReference w:id="3462"/>
      </w:r>
      <w:r>
        <w:rPr>
          <w:rFonts w:ascii="IRNazanin" w:hAnsi="IRNazanin" w:eastAsia="IRNazanin" w:cs="IRNazanin"/>
          <w:lang w:bidi="fa-IR"/>
          <w:color w:val="111111"/>
          <w:sz w:val="28"/>
          <w:szCs w:val="28"/>
          <w:rtl/>
        </w:rPr>
        <w:t xml:space="preserve">و القاضی </w:t>
      </w:r>
      <w:r>
        <w:rPr>
          <w:rStyle w:val="FootnoteReference"/>
        </w:rPr>
        <w:footnoteReference w:id="3463"/>
      </w:r>
      <w:r>
        <w:rPr>
          <w:rFonts w:ascii="IRNazanin" w:hAnsi="IRNazanin" w:eastAsia="IRNazanin" w:cs="IRNazanin"/>
          <w:lang w:bidi="fa-IR"/>
          <w:color w:val="111111"/>
          <w:sz w:val="28"/>
          <w:szCs w:val="28"/>
          <w:rtl/>
        </w:rPr>
        <w:t xml:space="preserve">و ابن سعید </w:t>
      </w:r>
      <w:r>
        <w:rPr>
          <w:rStyle w:val="FootnoteReference"/>
        </w:rPr>
        <w:footnoteReference w:id="3464"/>
      </w:r>
      <w:r>
        <w:rPr>
          <w:rFonts w:ascii="Amiri" w:hAnsi="Amiri" w:eastAsia="Amiri" w:cs="Amiri"/>
          <w:lang w:bidi="ar-SA"/>
          <w:color w:val="111111"/>
          <w:sz w:val="28"/>
          <w:szCs w:val="28"/>
          <w:rtl/>
        </w:rPr>
        <w:t xml:space="preserve">قدّس سرّهما و العلّامة فی کتبه </w:t>
      </w:r>
      <w:r>
        <w:rPr>
          <w:rStyle w:val="FootnoteReference"/>
        </w:rPr>
        <w:footnoteReference w:id="3465"/>
      </w:r>
      <w:r>
        <w:rPr>
          <w:rFonts w:ascii="IRNazanin" w:hAnsi="IRNazanin" w:eastAsia="IRNazanin" w:cs="IRNazanin"/>
          <w:lang w:bidi="fa-IR"/>
          <w:color w:val="111111"/>
          <w:sz w:val="28"/>
          <w:szCs w:val="28"/>
          <w:rtl/>
        </w:rPr>
        <w:t xml:space="preserve">و جامع المقاصد </w:t>
      </w:r>
      <w:r>
        <w:rPr>
          <w:rStyle w:val="FootnoteReference"/>
        </w:rPr>
        <w:footnoteReference w:id="3466"/>
      </w:r>
      <w:r>
        <w:rPr>
          <w:rFonts w:ascii="IRNazanin" w:hAnsi="IRNazanin" w:eastAsia="IRNazanin" w:cs="IRNazanin"/>
          <w:lang w:bidi="fa-IR"/>
          <w:color w:val="111111"/>
          <w:sz w:val="28"/>
          <w:szCs w:val="28"/>
          <w:rtl/>
        </w:rPr>
        <w:t xml:space="preserve">.و استدلّ علیه فی التذکرة و جامع المقاصد:بأنّ بعضه عینٌ حاضرةٌ و بعضه فی الذمّة مجهولٌ.</w:t>
      </w:r>
    </w:p>
    <w:p>
      <w:pPr>
        <w:pStyle w:val="BookText"/>
      </w:pPr>
      <w:r>
        <w:rPr>
          <w:rFonts w:ascii="IRNazanin" w:hAnsi="IRNazanin" w:eastAsia="IRNazanin" w:cs="IRNazanin"/>
          <w:lang w:bidi="fa-IR"/>
          <w:color w:val="111111"/>
          <w:sz w:val="28"/>
          <w:szCs w:val="28"/>
          <w:rtl/>
        </w:rPr>
        <w:t xml:space="preserve">و عن المختلف:صحّته </w:t>
      </w:r>
      <w:r>
        <w:rPr>
          <w:rStyle w:val="FootnoteReference"/>
        </w:rPr>
        <w:footnoteReference w:id="3467"/>
      </w:r>
      <w:r>
        <w:rPr>
          <w:rFonts w:ascii="IRNazanin" w:hAnsi="IRNazanin" w:eastAsia="IRNazanin" w:cs="IRNazanin"/>
          <w:lang w:bidi="fa-IR"/>
          <w:color w:val="111111"/>
          <w:sz w:val="28"/>
          <w:szCs w:val="28"/>
          <w:rtl/>
        </w:rPr>
        <w:t xml:space="preserve">.و لا یحضرنی الآن حتّی أتأمّل فی دلیله، و الذی ذُکر للمنع لا ینهض مانعاً.</w:t>
      </w:r>
    </w:p>
    <w:p>
      <w:pPr>
        <w:pStyle w:val="BookText"/>
      </w:pPr>
      <w:r>
        <w:rPr>
          <w:rFonts w:ascii="IRNazanin" w:hAnsi="IRNazanin" w:eastAsia="IRNazanin" w:cs="IRNazanin"/>
          <w:lang w:bidi="fa-IR"/>
          <w:color w:val="111111"/>
          <w:sz w:val="28"/>
          <w:szCs w:val="28"/>
          <w:rtl/>
        </w:rPr>
        <w:t xml:space="preserve">فالذی یقوی فی النظر:أنّه إذا باع البعض المنسوج المنضمّ إلی غزلٍ معیّن علی أن ینسجه علی ذلک المنوال فلا مانع منه،و کذا إذا ضمّ</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مقداراً معیّناً کلّیاً من الغزل الموصوف علی أن ینسجه کذلک؛إذ لا مانع من ضمّ الکلّی إلی الشخصی،و إلیه ینظر بعض کلمات المختلف فی هذا المقام،حیث جعل اشتراط نسج الباقی کاشتراط الخیاطة و الصبغ.و کذا إذا باعه أذرعاً معلومةً منسوجةً مع هذا المنسوج بهذا المنوال.</w:t>
      </w:r>
    </w:p>
    <w:p>
      <w:pPr>
        <w:pStyle w:val="BookText"/>
      </w:pPr>
      <w:r>
        <w:rPr>
          <w:rFonts w:ascii="IRNazanin" w:hAnsi="IRNazanin" w:eastAsia="IRNazanin" w:cs="IRNazanin"/>
          <w:lang w:bidi="fa-IR"/>
          <w:color w:val="111111"/>
          <w:sz w:val="28"/>
          <w:szCs w:val="28"/>
          <w:rtl/>
        </w:rPr>
        <w:t xml:space="preserve">و لو لم ینسجه فی الصورتین الأُولیین علی ذلک المنوال ثبت الخیار،لتخلّف الشرط.و لو لم ینسجه کذلک فی الصورة الأخیرة لم یلزم القبول،و بقی علی مال البائع،و کان للمشتری الخیار فی المنسوج؛ لتبعّض الصفقة علیه،و اللّٰه العالم.</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394" w:name="pg14419_167552"/>
    <w:bookmarkEnd w:id="394"/>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305" w:name="_Toc745"/>
      <w:r>
        <w:t>السابع : فی خیار العیب</w:t>
      </w:r>
      <w:bookmarkEnd w:id="1305"/>
    </w:p>
    <w:p>
      <w:pPr>
        <w:pStyle w:val="Heading6"/>
      </w:pPr>
      <w:bookmarkStart w:id="1306" w:name="_Toc746"/>
      <w:r>
        <w:t>اشارة</w:t>
      </w:r>
      <w:bookmarkEnd w:id="13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السابع </w:t>
      </w:r>
      <w:r>
        <w:rPr>
          <w:rStyle w:val="FootnoteReference"/>
        </w:rPr>
        <w:footnoteReference w:id="3468"/>
      </w:r>
      <w:r>
        <w:rPr>
          <w:rFonts w:ascii="IRNazanin" w:hAnsi="IRNazanin" w:eastAsia="IRNazanin" w:cs="IRNazanin"/>
          <w:lang w:bidi="fa-IR"/>
          <w:color w:val="111111"/>
          <w:sz w:val="28"/>
          <w:szCs w:val="28"/>
          <w:rtl/>
        </w:rPr>
        <w:t xml:space="preserve">] فی خیار العیب</w:t>
      </w:r>
    </w:p>
    <w:p>
      <w:pPr>
        <w:pStyle w:val="BookText"/>
      </w:pPr>
      <w:r>
        <w:rPr>
          <w:rFonts w:ascii="IRNazanin" w:hAnsi="IRNazanin" w:eastAsia="IRNazanin" w:cs="IRNazanin"/>
          <w:lang w:bidi="fa-IR"/>
          <w:color w:val="111111"/>
          <w:sz w:val="28"/>
          <w:szCs w:val="28"/>
          <w:rtl/>
        </w:rPr>
        <w:t xml:space="preserve">إطلاق العقد یقتضی وقوعه مبنیّاً علی سلامة العین من العیب، و إنّما تُرک اشتراطه صریحاً اعتماداً علی أصالة السلامة،و إلّا لم یصحّ العقد من جهة الجهل بصفة العین الغائبة،و هی صحّتها التی هی من أهمّ ما یتعلّق به الأغراض.</w:t>
      </w:r>
    </w:p>
    <w:p>
      <w:pPr>
        <w:pStyle w:val="BookText"/>
      </w:pPr>
      <w:r>
        <w:rPr>
          <w:rFonts w:ascii="IRNazanin" w:hAnsi="IRNazanin" w:eastAsia="IRNazanin" w:cs="IRNazanin"/>
          <w:lang w:bidi="fa-IR"/>
          <w:color w:val="111111"/>
          <w:sz w:val="28"/>
          <w:szCs w:val="28"/>
          <w:rtl/>
        </w:rPr>
        <w:t xml:space="preserve">و لذا اتّفقوا فی بیع العین الغائبة علی اشتراط ذکر الصفات التی یختلف الثمن باختلافها،و لم یذکروا اشتراط صفة الصحّة،فلیس ذلک إلّا من حیث الاعتماد فی وجودها علی الأصل،فإنّ من یشتری عبداً لا یعلم أنّه صحیحٌ سویّ أم فالجٌ مُقعد،لا یعتمد فی صحّته إلّا علی أصالة السلامة،کما یعتمد من شاهد المبیع سابقاً علی بقائه علی ما شاهده، فلا یحتاج إلی ذکر تلک الصفات فی العقد،و کما یعتمد علی إخبار البائع بالوزن.</w:t>
      </w:r>
    </w:p>
    <w:p>
      <w:pPr>
        <w:pStyle w:val="BookText"/>
      </w:pPr>
      <w:r>
        <w:rPr>
          <w:rFonts w:ascii="IRNazanin" w:hAnsi="IRNazanin" w:eastAsia="IRNazanin" w:cs="IRNazanin"/>
          <w:lang w:bidi="fa-IR"/>
          <w:color w:val="111111"/>
          <w:sz w:val="28"/>
          <w:szCs w:val="28"/>
          <w:rtl/>
        </w:rPr>
        <w:t xml:space="preserve">قال فی التذکرة:الأصل فی المبیع من الأعیان و الأشخاص السلامة من العیوب و الصحّة،فإذا أقدم المشتری علی بذل ماله فی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مقابلة تلک العین،فإنّما بنی إقدامه علی غالب ظنّه المستند إلی أصالة السلامة </w:t>
      </w:r>
      <w:r>
        <w:rPr>
          <w:rStyle w:val="FootnoteReference"/>
        </w:rPr>
        <w:footnoteReference w:id="346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موضعٍ آخر:إطلاق العقد و اشتراط السلامة یقتضیان السلامة علی ما مرّ:من أنّ القضاء العرفی یقتضی </w:t>
      </w:r>
      <w:r>
        <w:rPr>
          <w:rStyle w:val="FootnoteReference"/>
        </w:rPr>
        <w:footnoteReference w:id="3470"/>
      </w:r>
      <w:r>
        <w:rPr>
          <w:rFonts w:ascii="IRNazanin" w:hAnsi="IRNazanin" w:eastAsia="IRNazanin" w:cs="IRNazanin"/>
          <w:lang w:bidi="fa-IR"/>
          <w:color w:val="111111"/>
          <w:sz w:val="28"/>
          <w:szCs w:val="28"/>
          <w:rtl/>
        </w:rPr>
        <w:t xml:space="preserve">أنّ المشتری إنّما بذل ماله بناءً علی أصالة السلامة،فکأنها مشترطةٌ فی نفس العقد </w:t>
      </w:r>
      <w:r>
        <w:rPr>
          <w:rStyle w:val="FootnoteReference"/>
        </w:rPr>
        <w:footnoteReference w:id="347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ممّا ذکرنا یظهر:أنّ الانصراف لیس من باب انصراف المطلق إلی الفرد الصحیح لیرد علیه:</w:t>
      </w:r>
    </w:p>
    <w:p>
      <w:pPr>
        <w:pStyle w:val="BookText"/>
      </w:pPr>
      <w:r>
        <w:rPr>
          <w:rFonts w:ascii="IRNazanin" w:hAnsi="IRNazanin" w:eastAsia="IRNazanin" w:cs="IRNazanin"/>
          <w:lang w:bidi="fa-IR"/>
          <w:color w:val="111111"/>
          <w:sz w:val="28"/>
          <w:szCs w:val="28"/>
          <w:rtl/>
        </w:rPr>
        <w:t xml:space="preserve">أوّلاً:منع الانصراف؛و لذا لا یجری فی الأیمان و النذور.</w:t>
      </w:r>
    </w:p>
    <w:p>
      <w:pPr>
        <w:pStyle w:val="BookText"/>
      </w:pPr>
      <w:r>
        <w:rPr>
          <w:rFonts w:ascii="IRNazanin" w:hAnsi="IRNazanin" w:eastAsia="IRNazanin" w:cs="IRNazanin"/>
          <w:lang w:bidi="fa-IR"/>
          <w:color w:val="111111"/>
          <w:sz w:val="28"/>
          <w:szCs w:val="28"/>
          <w:rtl/>
        </w:rPr>
        <w:t xml:space="preserve">و ثانیاً:عدم جریانه فیما نحن فیه؛لعدم کون المبیع مطلقاً،بل هو جزئیٌّ حقیقیٌّ خارجی.</w:t>
      </w:r>
    </w:p>
    <w:p>
      <w:pPr>
        <w:pStyle w:val="BookText"/>
      </w:pPr>
      <w:r>
        <w:rPr>
          <w:rFonts w:ascii="IRNazanin" w:hAnsi="IRNazanin" w:eastAsia="IRNazanin" w:cs="IRNazanin"/>
          <w:lang w:bidi="fa-IR"/>
          <w:color w:val="111111"/>
          <w:sz w:val="28"/>
          <w:szCs w:val="28"/>
          <w:rtl/>
        </w:rPr>
        <w:t xml:space="preserve">و ثالثاً:بأنّ مقتضاه عدم وقوع العقد رأساً علی المعیب،فلا معنی لإمضاء العقد الواقع علیه أو فسخه حتّی یثبت التخییر بینهما.</w:t>
      </w:r>
    </w:p>
    <w:p>
      <w:pPr>
        <w:pStyle w:val="BookText"/>
      </w:pPr>
      <w:r>
        <w:rPr>
          <w:rFonts w:ascii="IRNazanin" w:hAnsi="IRNazanin" w:eastAsia="IRNazanin" w:cs="IRNazanin"/>
          <w:lang w:bidi="fa-IR"/>
          <w:color w:val="111111"/>
          <w:sz w:val="28"/>
          <w:szCs w:val="28"/>
          <w:rtl/>
        </w:rPr>
        <w:t xml:space="preserve">و دفع جمیع هذا:بأنّ وصف الصحّة قد أُخذ شرطاً فی العین الخارجیّة نظیر معرفة الکتابة أو غیرها من الصفات المشروطة فی العین الخارجیّة،و إنّما استغنی عن ذکر وصف الصحّة لاعتماد المشتری فی وجودها علی الأصل،کالعین المرئیّة سابقاً حیث یعتمد فی وجود أصلها و صفاتها علی الأصل.</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أجاد فی الکفایة حیث قال:إنّ المعروف بین الأصحاب أنّ إطلاق العقد یقتضی لزوم السلامة </w:t>
      </w:r>
      <w:r>
        <w:rPr>
          <w:rStyle w:val="FootnoteReference"/>
        </w:rPr>
        <w:footnoteReference w:id="3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کلّیاً حالاّ أو سَلَماً کان الانصراف[إلی الصحیح </w:t>
      </w:r>
      <w:r>
        <w:rPr>
          <w:rStyle w:val="FootnoteReference"/>
        </w:rPr>
        <w:footnoteReference w:id="3473"/>
      </w:r>
      <w:r>
        <w:rPr>
          <w:rFonts w:ascii="IRNazanin" w:hAnsi="IRNazanin" w:eastAsia="IRNazanin" w:cs="IRNazanin"/>
          <w:lang w:bidi="fa-IR"/>
          <w:color w:val="111111"/>
          <w:sz w:val="28"/>
          <w:szCs w:val="28"/>
          <w:rtl/>
        </w:rPr>
        <w:t xml:space="preserve">]من جهة ظاهر الإقدام أیضاً </w:t>
      </w:r>
      <w:r>
        <w:rPr>
          <w:rStyle w:val="FootnoteReference"/>
        </w:rPr>
        <w:footnoteReference w:id="3474"/>
      </w:r>
      <w:r>
        <w:rPr>
          <w:rFonts w:ascii="IRNazanin" w:hAnsi="IRNazanin" w:eastAsia="IRNazanin" w:cs="IRNazanin"/>
          <w:lang w:bidi="fa-IR"/>
          <w:color w:val="111111"/>
          <w:sz w:val="28"/>
          <w:szCs w:val="28"/>
          <w:rtl/>
        </w:rPr>
        <w:t xml:space="preserve">.و یحتمل[کونه </w:t>
      </w:r>
      <w:r>
        <w:rPr>
          <w:rStyle w:val="FootnoteReference"/>
        </w:rPr>
        <w:footnoteReference w:id="3475"/>
      </w:r>
      <w:r>
        <w:rPr>
          <w:rFonts w:ascii="IRNazanin" w:hAnsi="IRNazanin" w:eastAsia="IRNazanin" w:cs="IRNazanin"/>
          <w:lang w:bidi="fa-IR"/>
          <w:color w:val="111111"/>
          <w:sz w:val="28"/>
          <w:szCs w:val="28"/>
          <w:rtl/>
        </w:rPr>
        <w:t xml:space="preserve">]من جهة الإطلاق المنصرف إلی الصحیح فی مقام الاشتراء،و إن لم ینصرف إلیه فی غیر هذا المقام </w:t>
      </w:r>
      <w:r>
        <w:rPr>
          <w:rStyle w:val="FootnoteReference"/>
        </w:rPr>
        <w:footnoteReference w:id="3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ثمّ إنّ المصرَّح به فی کلمات جماعةٍ </w:t>
      </w:r>
      <w:r>
        <w:rPr>
          <w:rStyle w:val="FootnoteReference"/>
        </w:rPr>
        <w:footnoteReference w:id="3477"/>
      </w:r>
      <w:r>
        <w:rPr>
          <w:rFonts w:ascii="IRNazanin" w:hAnsi="IRNazanin" w:eastAsia="IRNazanin" w:cs="IRNazanin"/>
          <w:lang w:bidi="fa-IR"/>
          <w:color w:val="111111"/>
          <w:sz w:val="28"/>
          <w:szCs w:val="28"/>
          <w:rtl/>
        </w:rPr>
        <w:t xml:space="preserve">:أنّ اشتراط الصحّة فی متن العقد یفید التأکید؛لأنّه تصریحٌ بما یکون الإطلاق منزّلاً علیه،و إنّما ترک لاعتماد المشتری علی أصالة السلامة،فلا یحصل من أجل هذا الاشتراط خیارٌ آخر غیر خیار العیب،کما لو اشترط کون الصبرة کذا و کذا صاعاً،فإنّه لا یزید علی ما إذا ترک الاشتراط و اعتمد علی إخبار البائع بالکیل،أو اشترط بقاء الشیء علی الصفة السابقة المرئیّة فإنّه فی حکم ما لو ترک ذلک اعتماداً علی أصالة بقائها.</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بالجملة،فالخیار خیار العیب اشترط الصحّة أم لم یشترط.</w:t>
      </w:r>
    </w:p>
    <w:p>
      <w:pPr>
        <w:pStyle w:val="BookText"/>
      </w:pPr>
      <w:r>
        <w:rPr>
          <w:rFonts w:ascii="IRNazanin" w:hAnsi="IRNazanin" w:eastAsia="IRNazanin" w:cs="IRNazanin"/>
          <w:lang w:bidi="fa-IR"/>
          <w:color w:val="111111"/>
          <w:sz w:val="28"/>
          <w:szCs w:val="28"/>
          <w:rtl/>
        </w:rPr>
        <w:t xml:space="preserve">و یؤیّده ما ورد من روایة یونس«فی رجل اشتری جاریةً علی أنّها عذراء فلم یجدها عذراء؟قال:یردّ علیه فضل القیمة» </w:t>
      </w:r>
      <w:r>
        <w:rPr>
          <w:rStyle w:val="FootnoteReference"/>
        </w:rPr>
        <w:footnoteReference w:id="3478"/>
      </w:r>
      <w:r>
        <w:rPr>
          <w:rFonts w:ascii="IRNazanin" w:hAnsi="IRNazanin" w:eastAsia="IRNazanin" w:cs="IRNazanin"/>
          <w:lang w:bidi="fa-IR"/>
          <w:color w:val="111111"/>
          <w:sz w:val="28"/>
          <w:szCs w:val="28"/>
          <w:rtl/>
        </w:rPr>
        <w:t xml:space="preserve">فإنّ اقتصاره علیه السلام علی أخذ الأرش الظاهر فی عدم جواز الردّ یدلّ علی أنّ الخیار خیار العیب،و لو کان هنا خیار تخلّف الاشتراط لم یسقط الردّ بالتصرّف فی الجاریة بالوطء أو مقدّماته.و منه یظهر ضعف ما حکاه فی المسالک:</w:t>
      </w:r>
    </w:p>
    <w:p>
      <w:pPr>
        <w:pStyle w:val="BookText"/>
      </w:pPr>
      <w:r>
        <w:rPr>
          <w:rFonts w:ascii="IRNazanin" w:hAnsi="IRNazanin" w:eastAsia="IRNazanin" w:cs="IRNazanin"/>
          <w:lang w:bidi="fa-IR"/>
          <w:color w:val="111111"/>
          <w:sz w:val="28"/>
          <w:szCs w:val="28"/>
          <w:rtl/>
        </w:rPr>
        <w:t xml:space="preserve">من ثبوت خیار الاشتراط هنا،فلا یسقط الردّ بالتصرّف </w:t>
      </w:r>
      <w:r>
        <w:rPr>
          <w:rStyle w:val="FootnoteReference"/>
        </w:rPr>
        <w:footnoteReference w:id="3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دعوی:عدم دلالة الروایة علی التصرّف أو عدم دلالته علی اشتراط البکارة فی متن العقد،ممنوعةٌ </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95" w:name="pg14419_167556"/>
    <w:bookmarkEnd w:id="395"/>
    <w:p>
      <w:pPr>
        <w:pStyle w:val="Heading6"/>
      </w:pPr>
      <w:bookmarkStart w:id="1307" w:name="_Toc747"/>
      <w:r>
        <w:t>مسألة : ظهور العیب فی المبیع یوجب تسلّط المشتری علی الردّ و أخذ الأرش بلا خلافٍ</w:t>
      </w:r>
      <w:bookmarkEnd w:id="1307"/>
    </w:p>
    <w:p>
      <w:pPr>
        <w:pStyle w:val="BookText"/>
      </w:pPr>
      <w:r>
        <w:rPr>
          <w:rFonts w:ascii="IRNazanin" w:hAnsi="IRNazanin" w:eastAsia="IRNazanin" w:cs="IRNazanin"/>
          <w:lang w:bidi="fa-IR"/>
          <w:color w:val="111111"/>
          <w:sz w:val="28"/>
          <w:szCs w:val="28"/>
          <w:rtl/>
        </w:rPr>
        <w:t xml:space="preserve">و یدلّ علی الردّ الأخبار المستفیضة الآتیة </w:t>
      </w:r>
      <w:r>
        <w:rPr>
          <w:rStyle w:val="FootnoteReference"/>
        </w:rPr>
        <w:footnoteReference w:id="3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الأرش فلم یوجد فی الأخبار ما یدلّ علی التخییر بینه و بین الردّ،بل ما دلّ علی الأرش یختصّ بصورة التصرّف المانع من الردّ </w:t>
      </w:r>
      <w:r>
        <w:rPr>
          <w:rStyle w:val="FootnoteReference"/>
        </w:rPr>
        <w:footnoteReference w:id="3482"/>
      </w:r>
      <w:r>
        <w:rPr>
          <w:rFonts w:ascii="IRNazanin" w:hAnsi="IRNazanin" w:eastAsia="IRNazanin" w:cs="IRNazanin"/>
          <w:lang w:bidi="fa-IR"/>
          <w:color w:val="111111"/>
          <w:sz w:val="28"/>
          <w:szCs w:val="28"/>
          <w:rtl/>
        </w:rPr>
        <w:t xml:space="preserve">،فیجوز أن یکون الأرش فی هذه الصورة لتدارک ضرر المشتری، لا لتعیین أحد طرفی التخییر بتعذّر الآخر.</w:t>
      </w:r>
    </w:p>
    <w:p>
      <w:pPr>
        <w:pStyle w:val="BookText"/>
      </w:pPr>
      <w:r>
        <w:rPr>
          <w:rFonts w:ascii="IRNazanin" w:hAnsi="IRNazanin" w:eastAsia="IRNazanin" w:cs="IRNazanin"/>
          <w:lang w:bidi="fa-IR"/>
          <w:color w:val="111111"/>
          <w:sz w:val="28"/>
          <w:szCs w:val="28"/>
          <w:rtl/>
        </w:rPr>
        <w:t xml:space="preserve">نعم،فی الفقه الرضوی:«فإن خرج السلعة معیباً </w:t>
      </w:r>
      <w:r>
        <w:rPr>
          <w:rStyle w:val="FootnoteReference"/>
        </w:rPr>
        <w:footnoteReference w:id="3483"/>
      </w:r>
      <w:r>
        <w:rPr>
          <w:rFonts w:ascii="IRNazanin" w:hAnsi="IRNazanin" w:eastAsia="IRNazanin" w:cs="IRNazanin"/>
          <w:lang w:bidi="fa-IR"/>
          <w:color w:val="111111"/>
          <w:sz w:val="28"/>
          <w:szCs w:val="28"/>
          <w:rtl/>
        </w:rPr>
        <w:t xml:space="preserve">و علم المشتری، فالخیار إلیه إن شاء ردّه و إن شاء أخذه أو ردّ علیه بالقیمة أرش العیب» </w:t>
      </w:r>
      <w:r>
        <w:rPr>
          <w:rStyle w:val="FootnoteReference"/>
        </w:rPr>
        <w:footnoteReference w:id="3484"/>
      </w:r>
      <w:r>
        <w:rPr>
          <w:rFonts w:ascii="IRNazanin" w:hAnsi="IRNazanin" w:eastAsia="IRNazanin" w:cs="IRNazanin"/>
          <w:lang w:bidi="fa-IR"/>
          <w:color w:val="111111"/>
          <w:sz w:val="28"/>
          <w:szCs w:val="28"/>
          <w:rtl/>
        </w:rPr>
        <w:t xml:space="preserve">،و ظاهره کما فی الحدائق </w:t>
      </w:r>
      <w:r>
        <w:rPr>
          <w:rStyle w:val="FootnoteReference"/>
        </w:rPr>
        <w:footnoteReference w:id="3485"/>
      </w:r>
      <w:r>
        <w:rPr>
          <w:rFonts w:ascii="IRNazanin" w:hAnsi="IRNazanin" w:eastAsia="IRNazanin" w:cs="IRNazanin"/>
          <w:lang w:bidi="fa-IR"/>
          <w:color w:val="111111"/>
          <w:sz w:val="28"/>
          <w:szCs w:val="28"/>
          <w:rtl/>
        </w:rPr>
        <w:t xml:space="preserve">التخییر بین الردّ و أخذه بتمام</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الثمن و أخذ الأرش.و یحتمل زیادة الهمزة فی لفظة«أو»و یکون«واو» العطف،فیدلّ علی التخییر بین الردّ و الأرش.</w:t>
      </w:r>
    </w:p>
    <w:p>
      <w:pPr>
        <w:pStyle w:val="BookText"/>
      </w:pPr>
      <w:r>
        <w:rPr>
          <w:rFonts w:ascii="IRNazanin" w:hAnsi="IRNazanin" w:eastAsia="IRNazanin" w:cs="IRNazanin"/>
          <w:lang w:bidi="fa-IR"/>
          <w:color w:val="111111"/>
          <w:sz w:val="28"/>
          <w:szCs w:val="28"/>
          <w:rtl/>
        </w:rPr>
        <w:t xml:space="preserve">و قد یتکلّف لاستنباط هذا الحکم من سائر الأخبار،و هو صعبٌ جدّاً.و أصعب منه جعله مقتضی القاعدة،بناءً علی أنّ الصحّة و إن کانت وصفاً،فهی بمنزلة الجزء،فیتدارک فائته باسترداد ما قابلة من الثمن،و یکون الخیار حینئذٍ لتبعّض الصفقة.</w:t>
      </w:r>
    </w:p>
    <w:p>
      <w:pPr>
        <w:pStyle w:val="BookText"/>
      </w:pPr>
      <w:r>
        <w:rPr>
          <w:rFonts w:ascii="IRNazanin" w:hAnsi="IRNazanin" w:eastAsia="IRNazanin" w:cs="IRNazanin"/>
          <w:lang w:bidi="fa-IR"/>
          <w:color w:val="111111"/>
          <w:sz w:val="28"/>
          <w:szCs w:val="28"/>
          <w:rtl/>
        </w:rPr>
        <w:t xml:space="preserve">و فیه:منع المنزلة عرفاً و لا </w:t>
      </w:r>
      <w:r>
        <w:rPr>
          <w:rStyle w:val="FootnoteReference"/>
        </w:rPr>
        <w:footnoteReference w:id="3486"/>
      </w:r>
      <w:r>
        <w:rPr>
          <w:rFonts w:ascii="IRNazanin" w:hAnsi="IRNazanin" w:eastAsia="IRNazanin" w:cs="IRNazanin"/>
          <w:lang w:bidi="fa-IR"/>
          <w:color w:val="111111"/>
          <w:sz w:val="28"/>
          <w:szCs w:val="28"/>
          <w:rtl/>
        </w:rPr>
        <w:t xml:space="preserve">شرعاً،و لذا لم یبطل البیع فیما قابلة من الثمن،بل کان الثابت بفواته مجرّد استحقاق المطالبة،بل لا یستحقّ المطالبة بعین ما قابلة علی ما صرّح به العلّامة </w:t>
      </w:r>
      <w:r>
        <w:rPr>
          <w:rStyle w:val="FootnoteReference"/>
        </w:rPr>
        <w:footnoteReference w:id="3487"/>
      </w:r>
      <w:r>
        <w:rPr>
          <w:rFonts w:ascii="IRNazanin" w:hAnsi="IRNazanin" w:eastAsia="IRNazanin" w:cs="IRNazanin"/>
          <w:lang w:bidi="fa-IR"/>
          <w:color w:val="111111"/>
          <w:sz w:val="28"/>
          <w:szCs w:val="28"/>
          <w:rtl/>
        </w:rPr>
        <w:t xml:space="preserve">و غیره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منع کون الجزء الفائت یقابل بجزءٍ من الثمن إذا أُخذ وجوده فی المبیع الشخصی علی وجه الشرطیّة،کما فی بیع الأرض علی أنّها جربانٌ معیّنة، و ما نحن فیه من هذا القبیل.</w:t>
      </w:r>
    </w:p>
    <w:p>
      <w:pPr>
        <w:pStyle w:val="BookText"/>
      </w:pPr>
      <w:r>
        <w:rPr>
          <w:rFonts w:ascii="IRNazanin" w:hAnsi="IRNazanin" w:eastAsia="IRNazanin" w:cs="IRNazanin"/>
          <w:lang w:bidi="fa-IR"/>
          <w:color w:val="111111"/>
          <w:sz w:val="28"/>
          <w:szCs w:val="28"/>
          <w:rtl/>
        </w:rPr>
        <w:t xml:space="preserve">و بالجملة،فالظاهر عدم الخلاف فی المسألة بل الإجماع علی التخییر بین الردّ و الأرش.نعم،یظهر من الشیخ فی غیر موضعٍ من المبسوط:أنّ أخذ الأرش مشروطٌ بالیأس عن الردّ </w:t>
      </w:r>
      <w:r>
        <w:rPr>
          <w:rStyle w:val="FootnoteReference"/>
        </w:rPr>
        <w:footnoteReference w:id="3489"/>
      </w:r>
      <w:r>
        <w:rPr>
          <w:rFonts w:ascii="IRNazanin" w:hAnsi="IRNazanin" w:eastAsia="IRNazanin" w:cs="IRNazanin"/>
          <w:lang w:bidi="fa-IR"/>
          <w:color w:val="111111"/>
          <w:sz w:val="28"/>
          <w:szCs w:val="28"/>
          <w:rtl/>
        </w:rPr>
        <w:t xml:space="preserve">،لکنّه-مع مخالفته لظاهر کلامه فی النهایة </w:t>
      </w:r>
      <w:r>
        <w:rPr>
          <w:rStyle w:val="FootnoteReference"/>
        </w:rPr>
        <w:footnoteReference w:id="3490"/>
      </w:r>
      <w:r>
        <w:rPr>
          <w:rFonts w:ascii="IRNazanin" w:hAnsi="IRNazanin" w:eastAsia="IRNazanin" w:cs="IRNazanin"/>
          <w:lang w:bidi="fa-IR"/>
          <w:color w:val="111111"/>
          <w:sz w:val="28"/>
          <w:szCs w:val="28"/>
          <w:rtl/>
        </w:rPr>
        <w:t xml:space="preserve">و بعض مواضع المبسوط </w:t>
      </w:r>
      <w:r>
        <w:rPr>
          <w:rStyle w:val="FootnoteReference"/>
        </w:rPr>
        <w:footnoteReference w:id="3491"/>
      </w:r>
      <w:r>
        <w:rPr>
          <w:rFonts w:ascii="IRNazanin" w:hAnsi="IRNazanin" w:eastAsia="IRNazanin" w:cs="IRNazanin"/>
          <w:lang w:bidi="fa-IR"/>
          <w:color w:val="111111"/>
          <w:sz w:val="28"/>
          <w:szCs w:val="28"/>
          <w:rtl/>
        </w:rPr>
        <w:t xml:space="preserve">-ینافیه</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الأخبار بجواز أخذ الأرش </w:t>
      </w:r>
      <w:r>
        <w:rPr>
          <w:rStyle w:val="FootnoteReference"/>
        </w:rPr>
        <w:footnoteReference w:id="3492"/>
      </w:r>
      <w:r>
        <w:rPr>
          <w:rFonts w:ascii="IRNazanin" w:hAnsi="IRNazanin" w:eastAsia="IRNazanin" w:cs="IRNazanin"/>
          <w:lang w:bidi="fa-IR"/>
          <w:color w:val="111111"/>
          <w:sz w:val="28"/>
          <w:szCs w:val="28"/>
          <w:rtl/>
        </w:rPr>
        <w:t xml:space="preserve">،فافهم.</w:t>
      </w:r>
    </w:p>
    <w:p>
      <w:pPr>
        <w:pStyle w:val="BookText"/>
      </w:pPr>
      <w:r>
        <w:rPr>
          <w:rFonts w:ascii="IRNazanin" w:hAnsi="IRNazanin" w:eastAsia="IRNazanin" w:cs="IRNazanin"/>
          <w:lang w:bidi="fa-IR"/>
          <w:color w:val="111111"/>
          <w:sz w:val="28"/>
          <w:szCs w:val="28"/>
          <w:rtl/>
        </w:rPr>
        <w:t xml:space="preserve">ثمّ إنّ فی کون ظهور العیب مثبِتاً للخیار أو کاشفاً عنه ما تقدّم فی خیار الغبن.و قد عرفت أنّ الأظهر ثبوت الخیار بمجرّد العیب و الغبن واقعاً،و إن کان ظاهر کثیرٍ من کلماتهم یوهم حدوثه بظهور العیب، خصوصاً بعد کون ظهور العیب بمنزلة رؤیة المبیع علی خلاف ما اشترط.</w:t>
      </w:r>
    </w:p>
    <w:p>
      <w:pPr>
        <w:pStyle w:val="BookText"/>
      </w:pPr>
      <w:r>
        <w:rPr>
          <w:rFonts w:ascii="IRNazanin" w:hAnsi="IRNazanin" w:eastAsia="IRNazanin" w:cs="IRNazanin"/>
          <w:lang w:bidi="fa-IR"/>
          <w:color w:val="111111"/>
          <w:sz w:val="28"/>
          <w:szCs w:val="28"/>
          <w:rtl/>
        </w:rPr>
        <w:t xml:space="preserve">و قد صرّح العلّامة بعدم جواز إسقاط خیار الرؤیة قبلها،معلّلاً بأنّ الخیار إنّما یثبت بالرؤیة </w:t>
      </w:r>
      <w:r>
        <w:rPr>
          <w:rStyle w:val="FootnoteReference"/>
        </w:rPr>
        <w:footnoteReference w:id="3493"/>
      </w:r>
      <w:r>
        <w:rPr>
          <w:rFonts w:ascii="IRNazanin" w:hAnsi="IRNazanin" w:eastAsia="IRNazanin" w:cs="IRNazanin"/>
          <w:lang w:bidi="fa-IR"/>
          <w:color w:val="111111"/>
          <w:sz w:val="28"/>
          <w:szCs w:val="28"/>
          <w:rtl/>
        </w:rPr>
        <w:t xml:space="preserve">.لکنّ المتّفق علیه هنا نصّاً و فتوی جواز التبرّی و إسقاط خیار العیب.</w:t>
      </w:r>
    </w:p>
    <w:p>
      <w:pPr>
        <w:pStyle w:val="BookText"/>
      </w:pPr>
      <w:r>
        <w:rPr>
          <w:rFonts w:ascii="IRNazanin" w:hAnsi="IRNazanin" w:eastAsia="IRNazanin" w:cs="IRNazanin"/>
          <w:lang w:bidi="fa-IR"/>
          <w:color w:val="111111"/>
          <w:sz w:val="28"/>
          <w:szCs w:val="28"/>
          <w:rtl/>
        </w:rPr>
        <w:t xml:space="preserve">و یؤیّد ثبوت الخیار هنا بنفس العیب:أنّ استحقاق المطالبة بالأرش الذی هو أحد طرفی الخیار لا معنی لثبوته بظهور العیب،بل هو ثابتٌ بنفس انتفاء وصف الصحّة.</w:t>
      </w:r>
    </w:p>
    <w:p>
      <w:pPr>
        <w:pStyle w:val="BookText"/>
      </w:pPr>
      <w:r>
        <w:rPr>
          <w:rFonts w:ascii="IRNazanin" w:hAnsi="IRNazanin" w:eastAsia="IRNazanin" w:cs="IRNazanin"/>
          <w:lang w:bidi="fa-IR"/>
          <w:color w:val="111111"/>
          <w:sz w:val="28"/>
          <w:szCs w:val="28"/>
          <w:rtl/>
        </w:rPr>
        <w:t xml:space="preserve">هذا،مضافاً إلی أنّ الظاهر من بعض أخبار المسألة أنّ السبب هو نفس العیب.لکنّها لا تدلّ علی العلّیة التامّة،فلعلّ الظهور شرطٌ.</w:t>
      </w:r>
    </w:p>
    <w:p>
      <w:pPr>
        <w:pStyle w:val="BookText"/>
      </w:pPr>
      <w:r>
        <w:rPr>
          <w:rFonts w:ascii="IRNazanin" w:hAnsi="IRNazanin" w:eastAsia="IRNazanin" w:cs="IRNazanin"/>
          <w:lang w:bidi="fa-IR"/>
          <w:color w:val="111111"/>
          <w:sz w:val="28"/>
          <w:szCs w:val="28"/>
          <w:rtl/>
        </w:rPr>
        <w:t xml:space="preserve">و کیف کان،فالتحقیق ما ذکرنا فی خیار الغبن:من وجوب الرجوع فی کلّ حکمٍ من أحکام هذا الخیار إلی دلیله و أنّه یفید ثبوته بمجرّد العیب أو بظهوره،و المرجع فیما لا یستفاد من دلیله أحد الأمرین</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القواعد،فافهم.</w:t>
      </w:r>
    </w:p>
    <w:p>
      <w:pPr>
        <w:pStyle w:val="BookText"/>
      </w:pPr>
      <w:r>
        <w:rPr>
          <w:rFonts w:ascii="IRNazanin" w:hAnsi="IRNazanin" w:eastAsia="IRNazanin" w:cs="IRNazanin"/>
          <w:lang w:bidi="fa-IR"/>
          <w:color w:val="111111"/>
          <w:sz w:val="28"/>
          <w:szCs w:val="28"/>
          <w:rtl/>
        </w:rPr>
        <w:t xml:space="preserve">ثمّ إنّه لا فرق فی هذا الخیار بین الثمن و المثمن،کما صرّح به العلّامة </w:t>
      </w:r>
      <w:r>
        <w:rPr>
          <w:rStyle w:val="FootnoteReference"/>
        </w:rPr>
        <w:footnoteReference w:id="3494"/>
      </w:r>
      <w:r>
        <w:rPr>
          <w:rFonts w:ascii="IRNazanin" w:hAnsi="IRNazanin" w:eastAsia="IRNazanin" w:cs="IRNazanin"/>
          <w:lang w:bidi="fa-IR"/>
          <w:color w:val="111111"/>
          <w:sz w:val="28"/>
          <w:szCs w:val="28"/>
          <w:rtl/>
        </w:rPr>
        <w:t xml:space="preserve">و غیره </w:t>
      </w:r>
      <w:r>
        <w:rPr>
          <w:rStyle w:val="FootnoteReference"/>
        </w:rPr>
        <w:footnoteReference w:id="3495"/>
      </w:r>
      <w:r>
        <w:rPr>
          <w:rFonts w:ascii="IRNazanin" w:hAnsi="IRNazanin" w:eastAsia="IRNazanin" w:cs="IRNazanin"/>
          <w:lang w:bidi="fa-IR"/>
          <w:color w:val="111111"/>
          <w:sz w:val="28"/>
          <w:szCs w:val="28"/>
          <w:rtl/>
        </w:rPr>
        <w:t xml:space="preserve">،هنا و فی باب الصرف فیما إذا ظهر أحد عوضی الصرف معیباً </w:t>
      </w:r>
      <w:r>
        <w:rPr>
          <w:rStyle w:val="FootnoteReference"/>
        </w:rPr>
        <w:footnoteReference w:id="3496"/>
      </w:r>
      <w:r>
        <w:rPr>
          <w:rFonts w:ascii="IRNazanin" w:hAnsi="IRNazanin" w:eastAsia="IRNazanin" w:cs="IRNazanin"/>
          <w:lang w:bidi="fa-IR"/>
          <w:color w:val="111111"/>
          <w:sz w:val="28"/>
          <w:szCs w:val="28"/>
          <w:rtl/>
        </w:rPr>
        <w:t xml:space="preserve">.و الظاهر أنّه ممّا لا خلاف فیه و إن کان مورد الأخبار ظهور العیب فی المبیع،لأنّ الغالب کون الثمن نقداً غالباً و المثمن متاعاً فیکثر فیه العیب،بخلاف النقد.</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396" w:name="pg14419_167560"/>
    <w:bookmarkEnd w:id="396"/>
    <w:p>
      <w:pPr>
        <w:pStyle w:val="Heading6"/>
      </w:pPr>
      <w:bookmarkStart w:id="1308" w:name="_Toc748"/>
      <w:r>
        <w:t>القول فی مسقطات هذا الخیار بطرفیه أو أحدهما</w:t>
      </w:r>
      <w:bookmarkEnd w:id="1308"/>
    </w:p>
    <w:p>
      <w:pPr>
        <w:pStyle w:val="Heading6"/>
      </w:pPr>
      <w:bookmarkStart w:id="1309" w:name="_Toc749"/>
      <w:r>
        <w:t>مسألة : یسقط الردّ خاصّةً بأُمور</w:t>
      </w:r>
      <w:bookmarkEnd w:id="1309"/>
    </w:p>
    <w:p>
      <w:pPr>
        <w:pStyle w:val="Heading6"/>
      </w:pPr>
      <w:bookmarkStart w:id="1310" w:name="_Toc750"/>
      <w:r>
        <w:t>أحدها : التصریح بالتزام العقد و إسقاط الردّ و اختیار الأرش</w:t>
      </w:r>
      <w:bookmarkEnd w:id="13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لو أطلق الالتزام بالعقد فالظاهر عدم سقوط الأرش،و لو أسقط الخیار فلا یبعد سقوطه.</w:t>
      </w:r>
    </w:p>
    <w:p>
      <w:pPr>
        <w:pStyle w:val="Heading6"/>
      </w:pPr>
      <w:bookmarkStart w:id="1311" w:name="_Toc751"/>
      <w:r>
        <w:t>الثانی : التصرّف فی المعیب عند علمائنا</w:t>
      </w:r>
      <w:bookmarkEnd w:id="1311"/>
    </w:p>
    <w:p>
      <w:pPr>
        <w:pStyle w:val="BookText"/>
      </w:pPr>
      <w:r>
        <w:rPr>
          <w:rFonts w:ascii="IRNazanin" w:hAnsi="IRNazanin" w:eastAsia="IRNazanin" w:cs="IRNazanin"/>
          <w:lang w:bidi="fa-IR"/>
          <w:color w:val="111111"/>
          <w:sz w:val="28"/>
          <w:szCs w:val="28"/>
          <w:rtl/>
        </w:rPr>
        <w:t xml:space="preserve">کما فی التذکرة </w:t>
      </w:r>
      <w:r>
        <w:rPr>
          <w:rStyle w:val="FootnoteReference"/>
        </w:rPr>
        <w:footnoteReference w:id="3497"/>
      </w:r>
      <w:r>
        <w:rPr>
          <w:rFonts w:ascii="IRNazanin" w:hAnsi="IRNazanin" w:eastAsia="IRNazanin" w:cs="IRNazanin"/>
          <w:lang w:bidi="fa-IR"/>
          <w:color w:val="111111"/>
          <w:sz w:val="28"/>
          <w:szCs w:val="28"/>
          <w:rtl/>
        </w:rPr>
        <w:t xml:space="preserve">،و فی السرائر:الإجماع علی أنّ التصرّف یُسقط الردّ بغیر خلافٍ منهم </w:t>
      </w:r>
      <w:r>
        <w:rPr>
          <w:rStyle w:val="FootnoteReference"/>
        </w:rPr>
        <w:footnoteReference w:id="3498"/>
      </w:r>
      <w:r>
        <w:rPr>
          <w:rFonts w:ascii="IRNazanin" w:hAnsi="IRNazanin" w:eastAsia="IRNazanin" w:cs="IRNazanin"/>
          <w:lang w:bidi="fa-IR"/>
          <w:color w:val="111111"/>
          <w:sz w:val="28"/>
          <w:szCs w:val="28"/>
          <w:rtl/>
        </w:rPr>
        <w:t xml:space="preserve">، و نحوه المسالک </w:t>
      </w:r>
      <w:r>
        <w:rPr>
          <w:rStyle w:val="FootnoteReference"/>
        </w:rPr>
        <w:footnoteReference w:id="3499"/>
      </w:r>
      <w:r>
        <w:rPr>
          <w:rFonts w:ascii="IRNazanin" w:hAnsi="IRNazanin" w:eastAsia="IRNazanin" w:cs="IRNazanin"/>
          <w:lang w:bidi="fa-IR"/>
          <w:color w:val="111111"/>
          <w:sz w:val="28"/>
          <w:szCs w:val="28"/>
          <w:rtl/>
        </w:rPr>
        <w:t xml:space="preserve">،و سیأتی الخلاف فی الجملة من الإسکافی و الشیخین</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زهرة و ظاهر المحقّق،بل المحقّق الثانی </w:t>
      </w:r>
      <w:r>
        <w:rPr>
          <w:rStyle w:val="FootnoteReference"/>
        </w:rPr>
        <w:footnoteReference w:id="3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استدلّ[علیه </w:t>
      </w:r>
      <w:r>
        <w:rPr>
          <w:rStyle w:val="FootnoteReference"/>
        </w:rPr>
        <w:footnoteReference w:id="3501"/>
      </w:r>
      <w:r>
        <w:rPr>
          <w:rFonts w:ascii="IRNazanin" w:hAnsi="IRNazanin" w:eastAsia="IRNazanin" w:cs="IRNazanin"/>
          <w:lang w:bidi="fa-IR"/>
          <w:color w:val="111111"/>
          <w:sz w:val="28"/>
          <w:szCs w:val="28"/>
          <w:rtl/>
        </w:rPr>
        <w:t xml:space="preserve">]فی التذکرة أیضاً تبعاً للغنیة </w:t>
      </w:r>
      <w:r>
        <w:rPr>
          <w:rStyle w:val="FootnoteReference"/>
        </w:rPr>
        <w:footnoteReference w:id="3502"/>
      </w:r>
      <w:r>
        <w:rPr>
          <w:rFonts w:ascii="IRNazanin" w:hAnsi="IRNazanin" w:eastAsia="IRNazanin" w:cs="IRNazanin"/>
          <w:lang w:bidi="fa-IR"/>
          <w:color w:val="111111"/>
          <w:sz w:val="28"/>
          <w:szCs w:val="28"/>
          <w:rtl/>
        </w:rPr>
        <w:t xml:space="preserve">-:بأنّ تصرّفه فیه رضاً منه به علی الإطلاق،و لو لا ذلک کان ینبغی له الصبر و الثبات حتّی یعلم حال صحّته و عدمها،و بقول أبی جعفر علیه السلام فی الصحیح:</w:t>
      </w:r>
    </w:p>
    <w:p>
      <w:pPr>
        <w:pStyle w:val="BookText"/>
      </w:pPr>
      <w:r>
        <w:rPr>
          <w:rFonts w:ascii="Amiri" w:hAnsi="Amiri" w:eastAsia="Amiri" w:cs="Amiri"/>
          <w:lang w:bidi="ar-SA"/>
          <w:color w:val="111111"/>
          <w:sz w:val="28"/>
          <w:szCs w:val="28"/>
          <w:rtl/>
        </w:rPr>
        <w:t xml:space="preserve">«أیّما رجلٍ اشتری شیئاً و به عیبٌ أو عوارٌ و لم یتبرّأ إلیه و لم یبیّنه </w:t>
      </w:r>
      <w:r>
        <w:rPr>
          <w:rStyle w:val="FootnoteReference"/>
        </w:rPr>
        <w:footnoteReference w:id="3503"/>
      </w:r>
      <w:r>
        <w:rPr>
          <w:rFonts w:ascii="IRNazanin" w:hAnsi="IRNazanin" w:eastAsia="IRNazanin" w:cs="IRNazanin"/>
          <w:lang w:bidi="fa-IR"/>
          <w:color w:val="111111"/>
          <w:sz w:val="28"/>
          <w:szCs w:val="28"/>
          <w:rtl/>
        </w:rPr>
        <w:t xml:space="preserve">فأحدث فیه بعد ما قبضه شیئاً و </w:t>
      </w:r>
      <w:r>
        <w:rPr>
          <w:rStyle w:val="FootnoteReference"/>
        </w:rPr>
        <w:footnoteReference w:id="3504"/>
      </w:r>
      <w:r>
        <w:rPr>
          <w:rFonts w:ascii="IRNazanin" w:hAnsi="IRNazanin" w:eastAsia="IRNazanin" w:cs="IRNazanin"/>
          <w:lang w:bidi="fa-IR"/>
          <w:color w:val="111111"/>
          <w:sz w:val="28"/>
          <w:szCs w:val="28"/>
          <w:rtl/>
        </w:rPr>
        <w:t xml:space="preserve">علم بذلک العوار و بذلک العیب،فإنّه یمضی علیه البیع،و یردّ علیه بقدر ما ینقص من ذلک الداء و العیب من ثمن ذلک لو لم یکن به»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مرسلة جمیل عن أبی عبد اللّٰه علیه السلام:«فی الرجل یشتری الثوب أو المتاع فیجد به عیباً؟قال:إن کان الثوب قائماً بعینه ردّه علی صاحبه و أخذ الثمن،و إن کان الثوب قد قطع أو خیط أو صبغ رجع بنقصان العیب» </w:t>
      </w:r>
      <w:r>
        <w:rPr>
          <w:rStyle w:val="FootnoteReference"/>
        </w:rPr>
        <w:footnoteReference w:id="3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الحکم بسقوط الردّ بمطلق التصرّف،حتّی مثل قول</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للعبد المشتری«ناولنی الثوب»أو«أغلق الباب»علی ما صرّح به العلّامة فی التذکرة </w:t>
      </w:r>
      <w:r>
        <w:rPr>
          <w:rStyle w:val="FootnoteReference"/>
        </w:rPr>
        <w:footnoteReference w:id="3507"/>
      </w:r>
      <w:r>
        <w:rPr>
          <w:rFonts w:ascii="IRNazanin" w:hAnsi="IRNazanin" w:eastAsia="IRNazanin" w:cs="IRNazanin"/>
          <w:lang w:bidi="fa-IR"/>
          <w:color w:val="111111"/>
          <w:sz w:val="28"/>
          <w:szCs w:val="28"/>
          <w:rtl/>
        </w:rPr>
        <w:t xml:space="preserve">فی غایة الإشکال؛لإطلاق قوله علیه السلام:</w:t>
      </w:r>
    </w:p>
    <w:p>
      <w:pPr>
        <w:pStyle w:val="BookText"/>
      </w:pPr>
      <w:r>
        <w:rPr>
          <w:rFonts w:ascii="IRNazanin" w:hAnsi="IRNazanin" w:eastAsia="IRNazanin" w:cs="IRNazanin"/>
          <w:lang w:bidi="fa-IR"/>
          <w:color w:val="111111"/>
          <w:sz w:val="28"/>
          <w:szCs w:val="28"/>
          <w:rtl/>
        </w:rPr>
        <w:t xml:space="preserve">«إن کان الثوب قائماً بعینه ردّه»المعتضد بإطلاق الأخبار فی الردّ خصوصاً ما ورد فی ردّ الجاریة بعد ما لم تحض ستّة أشهرٍ عند المشتری </w:t>
      </w:r>
      <w:r>
        <w:rPr>
          <w:rStyle w:val="FootnoteReference"/>
        </w:rPr>
        <w:footnoteReference w:id="3508"/>
      </w:r>
      <w:r>
        <w:rPr>
          <w:rStyle w:val="FootnoteReference"/>
        </w:rPr>
        <w:footnoteReference w:id="3509"/>
      </w:r>
      <w:r>
        <w:rPr>
          <w:rFonts w:ascii="IRNazanin" w:hAnsi="IRNazanin" w:eastAsia="IRNazanin" w:cs="IRNazanin"/>
          <w:lang w:bidi="fa-IR"/>
          <w:color w:val="111111"/>
          <w:sz w:val="28"/>
          <w:szCs w:val="28"/>
          <w:rtl/>
        </w:rPr>
        <w:t xml:space="preserve">و نحو ذلک ممّا یبعد التزام التقیید فیه بصورة عدم التصرّف فیه بمثل«أغلق الباب»و نحوه و عدم </w:t>
      </w:r>
      <w:r>
        <w:rPr>
          <w:rStyle w:val="FootnoteReference"/>
        </w:rPr>
        <w:footnoteReference w:id="3510"/>
      </w:r>
      <w:r>
        <w:rPr>
          <w:rFonts w:ascii="IRNazanin" w:hAnsi="IRNazanin" w:eastAsia="IRNazanin" w:cs="IRNazanin"/>
          <w:lang w:bidi="fa-IR"/>
          <w:color w:val="111111"/>
          <w:sz w:val="28"/>
          <w:szCs w:val="28"/>
          <w:rtl/>
        </w:rPr>
        <w:t xml:space="preserve">ما یصلح للتقیید ممّا استدلّ به للسقوط،فإنّ مطلق التصرّف لا یدلّ علی الرضا،خصوصاً مع الجهل بالعیب.</w:t>
      </w:r>
    </w:p>
    <w:p>
      <w:pPr>
        <w:pStyle w:val="BookText"/>
      </w:pPr>
      <w:r>
        <w:rPr>
          <w:rFonts w:ascii="Amiri" w:hAnsi="Amiri" w:eastAsia="Amiri" w:cs="Amiri"/>
          <w:lang w:bidi="ar-SA"/>
          <w:color w:val="111111"/>
          <w:sz w:val="28"/>
          <w:szCs w:val="28"/>
          <w:rtl/>
        </w:rPr>
        <w:t xml:space="preserve">و أمّا المرسلة </w:t>
      </w:r>
      <w:r>
        <w:rPr>
          <w:rStyle w:val="FootnoteReference"/>
        </w:rPr>
        <w:footnoteReference w:id="3511"/>
      </w:r>
      <w:r>
        <w:rPr>
          <w:rFonts w:ascii="IRNazanin" w:hAnsi="IRNazanin" w:eastAsia="IRNazanin" w:cs="IRNazanin"/>
          <w:lang w:bidi="fa-IR"/>
          <w:color w:val="111111"/>
          <w:sz w:val="28"/>
          <w:szCs w:val="28"/>
          <w:rtl/>
        </w:rPr>
        <w:t xml:space="preserve">فقد عرفت إطلاقها لما یشمل لبس الثوب و استخدام العبد،بل وطء الجاریة لولا النصّ المسقط للخیار به.</w:t>
      </w:r>
    </w:p>
    <w:p>
      <w:pPr>
        <w:pStyle w:val="BookText"/>
      </w:pPr>
      <w:r>
        <w:rPr>
          <w:rFonts w:ascii="IRNazanin" w:hAnsi="IRNazanin" w:eastAsia="IRNazanin" w:cs="IRNazanin"/>
          <w:lang w:bidi="fa-IR"/>
          <w:color w:val="111111"/>
          <w:sz w:val="28"/>
          <w:szCs w:val="28"/>
          <w:rtl/>
        </w:rPr>
        <w:t xml:space="preserve">و أمّا الصحیحة </w:t>
      </w:r>
      <w:r>
        <w:rPr>
          <w:rStyle w:val="FootnoteReference"/>
        </w:rPr>
        <w:footnoteReference w:id="3512"/>
      </w:r>
      <w:r>
        <w:rPr>
          <w:rFonts w:ascii="IRNazanin" w:hAnsi="IRNazanin" w:eastAsia="IRNazanin" w:cs="IRNazanin"/>
          <w:lang w:bidi="fa-IR"/>
          <w:color w:val="111111"/>
          <w:sz w:val="28"/>
          <w:szCs w:val="28"/>
          <w:rtl/>
        </w:rPr>
        <w:t xml:space="preserve">فلا یُعلم المراد من«إحداث شیءٍ فی المبیع» لکن الظاهر بل المقطوع عدم شموله لغةً و لا عرفاً لمثل استخدام العبد و شبهه ممّا مرّ من الأمثلة،فلا یدلّ علی أزید ممّا دلّ علیه ذیل المرسلة:من أنّ العبرة بتغیّر العین و عدم قیامها بعینها.اللهمّ إلّا أن</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یستظهر بمعونة ما تقدّم فی خیار الحیوان:من النصّ الدالّ علی أنّ المراد بإحداث الحدث فی المبیع هو:أن ینظر إلی ما حرم النظر إلیه قبل الشراء </w:t>
      </w:r>
      <w:r>
        <w:rPr>
          <w:rStyle w:val="FootnoteReference"/>
        </w:rPr>
        <w:footnoteReference w:id="3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فإذا کان مجرّد النظر المختصّ بالمالک حدثاً دلّ علی سقوط الخیار هنا و فی الحیوان </w:t>
      </w:r>
      <w:r>
        <w:rPr>
          <w:rStyle w:val="FootnoteReference"/>
        </w:rPr>
        <w:footnoteReference w:id="3514"/>
      </w:r>
      <w:r>
        <w:rPr>
          <w:rFonts w:ascii="IRNazanin" w:hAnsi="IRNazanin" w:eastAsia="IRNazanin" w:cs="IRNazanin"/>
          <w:lang w:bidi="fa-IR"/>
          <w:color w:val="111111"/>
          <w:sz w:val="28"/>
          <w:szCs w:val="28"/>
          <w:rtl/>
        </w:rPr>
        <w:t xml:space="preserve">بکلّ تصرّفٍ،فیکون ذلک النصّ دلیلاً علی المراد بالحدث هنا.و هذا حسنٌ،لکن إقامة البیّنة علی اتّحاد معنی الحدث فی المقامین مع عدم مساعدة العرف علی ظهور الحدث فی هذا المعنی مشکلةٌ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إذا قلنا بعموم الحدث فی هذا المقام لمطلق التصرّف، فلا دلیل علی کونه من حیث الرضا بالعقد </w:t>
      </w:r>
      <w:r>
        <w:rPr>
          <w:rStyle w:val="FootnoteReference"/>
        </w:rPr>
        <w:footnoteReference w:id="3516"/>
      </w:r>
      <w:r>
        <w:rPr>
          <w:rFonts w:ascii="IRNazanin" w:hAnsi="IRNazanin" w:eastAsia="IRNazanin" w:cs="IRNazanin"/>
          <w:lang w:bidi="fa-IR"/>
          <w:color w:val="111111"/>
          <w:sz w:val="28"/>
          <w:szCs w:val="28"/>
          <w:rtl/>
        </w:rPr>
        <w:t xml:space="preserve">و إن کان النصّ فی خیار الحیوان دالاّ علی ذلک،بقرینة التعلیل المذکور فیه علی الوجوه المتقدّمة </w:t>
      </w:r>
      <w:r>
        <w:rPr>
          <w:rStyle w:val="FootnoteReference"/>
        </w:rPr>
        <w:footnoteReference w:id="3517"/>
      </w:r>
      <w:r>
        <w:rPr>
          <w:rFonts w:ascii="IRNazanin" w:hAnsi="IRNazanin" w:eastAsia="IRNazanin" w:cs="IRNazanin"/>
          <w:lang w:bidi="fa-IR"/>
          <w:color w:val="111111"/>
          <w:sz w:val="28"/>
          <w:szCs w:val="28"/>
          <w:rtl/>
        </w:rPr>
        <w:t xml:space="preserve">فی المراد من التعلیل </w:t>
      </w:r>
      <w:r>
        <w:rPr>
          <w:rStyle w:val="FootnoteReference"/>
        </w:rPr>
        <w:footnoteReference w:id="3518"/>
      </w:r>
      <w:r>
        <w:rPr>
          <w:rFonts w:ascii="IRNazanin" w:hAnsi="IRNazanin" w:eastAsia="IRNazanin" w:cs="IRNazanin"/>
          <w:lang w:bidi="fa-IR"/>
          <w:color w:val="111111"/>
          <w:sz w:val="28"/>
          <w:szCs w:val="28"/>
          <w:rtl/>
        </w:rPr>
        <w:t xml:space="preserve">.لکن کلمات کثیرٍ منهم فی هذا المقام أیضاً تدلّ علی سقوط هذا الخیار بالتصرّف من حیث الرضا،بل عرفت من التذکرة و الغنیة:أنّ علّة السقوط دلالة التصرّف نوعاً علی الرضا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فی الدلالة علی کون السقوط بالتصرّف من حیث دلالته علی الرضا کلماتُ جماعةٍ ممّن تقدّم علیه و من تأخّر عنه.</w:t>
      </w:r>
    </w:p>
    <w:p>
      <w:pPr>
        <w:pStyle w:val="BookText"/>
      </w:pPr>
      <w:r>
        <w:rPr>
          <w:rFonts w:ascii="IRNazanin" w:hAnsi="IRNazanin" w:eastAsia="IRNazanin" w:cs="IRNazanin"/>
          <w:lang w:bidi="fa-IR"/>
          <w:color w:val="111111"/>
          <w:sz w:val="28"/>
          <w:szCs w:val="28"/>
          <w:rtl/>
        </w:rPr>
        <w:t xml:space="preserve">قال فی المقنعة:فإن لم یعلم المبتاع بالعیب حتّی أحدث فیه حدثاً لم یکن له الردّ،و کان له أرش العیب خاصّةً،و کذلک حکمه إذا أحدث فیه حدثاً بعد العلم،و لا یکون إحداثه الحدث بعد المعرفة بالعیب رضاً به منه </w:t>
      </w:r>
      <w:r>
        <w:rPr>
          <w:rStyle w:val="FootnoteReference"/>
        </w:rPr>
        <w:footnoteReference w:id="352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فإنّ تعلیله عدمَ سقوط الأرش بعدم دلالة الإحداث علی الرضا بالعیب ظاهرٌ خصوصاً بملاحظة ما یأتی من کلام غیره فی أنّ سقوط الردّ بالحدث لدلالته علی الرضا بأصل البیع،و مثلها عبارة النهایة من غیر تفاوتٍ </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المبسوط:إذا کان المبیع بهیمةً فأصاب بها عیباً کان له ردّها،فإذا کان فی طریق الردّ جاز له رکوبها و علفها و سقیها و حلبها و أخذ لبنها،و إن نتجت کان له نتاجها؛کلّ هذا لأنّه ملکه و له فائدته و علیه مئونته،و الردّ لا یسقط،لأنّه إنّما یسقط الردّ بالرضا بالمعیب أو ترک الردّ بعد العلم به أو بأن یحدث فیه عیبٌ عنده،و لیس هنا شیءٌ من ذلک </w:t>
      </w:r>
      <w:r>
        <w:rPr>
          <w:rStyle w:val="FootnoteReference"/>
        </w:rPr>
        <w:footnoteReference w:id="35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الغنیة:و لا یسقط بالتصرّف بعد العلم بالعیب حقُّ المطالبة بالأرش؛لأنّ التصرّف دلالة الرضا بالبیع لا بالعیب </w:t>
      </w:r>
      <w:r>
        <w:rPr>
          <w:rStyle w:val="FootnoteReference"/>
        </w:rPr>
        <w:footnoteReference w:id="352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السرائر،قال فی حکم من ظهر علی عیبٍ فیما اشتراه:</w:t>
      </w:r>
    </w:p>
    <w:p>
      <w:pPr>
        <w:pStyle w:val="BookText"/>
      </w:pPr>
      <w:r>
        <w:rPr>
          <w:rFonts w:ascii="IRNazanin" w:hAnsi="IRNazanin" w:eastAsia="IRNazanin" w:cs="IRNazanin"/>
          <w:lang w:bidi="fa-IR"/>
          <w:color w:val="111111"/>
          <w:sz w:val="28"/>
          <w:szCs w:val="28"/>
          <w:rtl/>
        </w:rPr>
        <w:t xml:space="preserve">و لا یجبر علی أحد الأمرین یعنی الردّ و الأرش قال:هذا إذا لم یتصرّف فیه تصرّفاً یؤذن بالرضا فی العادة،أو ینقص قیمته بتصرّفه </w:t>
      </w:r>
      <w:r>
        <w:rPr>
          <w:rStyle w:val="FootnoteReference"/>
        </w:rPr>
        <w:footnoteReference w:id="352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 الوسیلة:و یسقط الردّ بأحد ثلاثة أشیاء:بالرضا،و بترک الردّ بعد العلم به و المعرفة </w:t>
      </w:r>
      <w:r>
        <w:rPr>
          <w:rStyle w:val="FootnoteReference"/>
        </w:rPr>
        <w:footnoteReference w:id="3525"/>
      </w:r>
      <w:r>
        <w:rPr>
          <w:rFonts w:ascii="IRNazanin" w:hAnsi="IRNazanin" w:eastAsia="IRNazanin" w:cs="IRNazanin"/>
          <w:lang w:bidi="fa-IR"/>
          <w:color w:val="111111"/>
          <w:sz w:val="28"/>
          <w:szCs w:val="28"/>
          <w:rtl/>
        </w:rPr>
        <w:t xml:space="preserve">إذا عرف أنّ له الخیار </w:t>
      </w:r>
      <w:r>
        <w:rPr>
          <w:rStyle w:val="FootnoteReference"/>
        </w:rPr>
        <w:footnoteReference w:id="3526"/>
      </w:r>
      <w:r>
        <w:rPr>
          <w:rFonts w:ascii="IRNazanin" w:hAnsi="IRNazanin" w:eastAsia="IRNazanin" w:cs="IRNazanin"/>
          <w:lang w:bidi="fa-IR"/>
          <w:color w:val="111111"/>
          <w:sz w:val="28"/>
          <w:szCs w:val="28"/>
          <w:rtl/>
        </w:rPr>
        <w:t xml:space="preserve">،و بحدوث عیبٍ آخر عنده </w:t>
      </w:r>
      <w:r>
        <w:rPr>
          <w:rStyle w:val="FootnoteReference"/>
        </w:rPr>
        <w:footnoteReference w:id="352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هی بعینه کعبارة المبسوط المتقدّمة ظاهرةٌ فی أنّ التصرّف لیس بنفسه مسقطاً إلّا إذا دلّ علی الرضا.</w:t>
      </w:r>
    </w:p>
    <w:p>
      <w:pPr>
        <w:pStyle w:val="BookText"/>
      </w:pPr>
      <w:r>
        <w:rPr>
          <w:rFonts w:ascii="IRNazanin" w:hAnsi="IRNazanin" w:eastAsia="IRNazanin" w:cs="IRNazanin"/>
          <w:lang w:bidi="fa-IR"/>
          <w:color w:val="111111"/>
          <w:sz w:val="28"/>
          <w:szCs w:val="28"/>
          <w:rtl/>
        </w:rPr>
        <w:t xml:space="preserve">و قال فی التذکرة:لو رکبها لیسقیها ثمّ یردّها لم یکن ذلک رضاً منه بإمساکها،و لو حلبها فی طریق الردّ فالأقوی أنّه تصرّفٌ یؤذن بالرضا بها.و قال بعض الشافعیّة:لا یکون رضاً بإمساکه؛لأنّ اللبن مالُه قد استوفاه فی حال الردّ </w:t>
      </w:r>
      <w:r>
        <w:rPr>
          <w:rStyle w:val="FootnoteReference"/>
        </w:rPr>
        <w:footnoteReference w:id="352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جامع المقاصد و المسالک فی ردّ ابن حمزة القائل بأنّ التصرّف بعد العلم یسقط الأرش أیضاً-:أنّ التصرّف لا یدلّ علی إسقاط الأرش،نعم یدلّ علی الالتزام بالعقد </w:t>
      </w:r>
      <w:r>
        <w:rPr>
          <w:rStyle w:val="FootnoteReference"/>
        </w:rPr>
        <w:footnoteReference w:id="3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التحریر:لو نقل المبیع أو عرضه للبیع أو تصرّف فیه بما یدلّ علی الرضا قبل علمه بالعیب و بعده سقط الردّ </w:t>
      </w:r>
      <w:r>
        <w:rPr>
          <w:rStyle w:val="FootnoteReference"/>
        </w:rPr>
        <w:footnoteReference w:id="353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ظهر من جمیع ذلک:أنّ التصرّف من حیث هو لیس مسقطاً،و إنّما هو التزامٌ و رضاً بالعقد فعلاً،فکلّ تصرّفٍ یدلّ علی ذلک عادةً فهو مسقطٌ،و ما لیس کذلک فلا دلیل علی الإسقاط به،کما لو وقع نسیاناً أو للاختبار،و مقتضی ذلک:أنّه لو وقع التصرّف قبل العلم بالعیب لم یسقط،خصوصاً إذا کان ممّا یتوقّف العلم بالعیب علیه و حصل بقصد الاختبار،إلّا أنّ المعروف خصوصاً بین العلّامة و من تأخّر عنه </w:t>
      </w:r>
      <w:r>
        <w:rPr>
          <w:rStyle w:val="FootnoteReference"/>
        </w:rPr>
        <w:footnoteReference w:id="3531"/>
      </w:r>
      <w:r>
        <w:rPr>
          <w:rFonts w:ascii="IRNazanin" w:hAnsi="IRNazanin" w:eastAsia="IRNazanin" w:cs="IRNazanin"/>
          <w:lang w:bidi="fa-IR"/>
          <w:color w:val="111111"/>
          <w:sz w:val="28"/>
          <w:szCs w:val="28"/>
          <w:rtl/>
        </w:rPr>
        <w:t xml:space="preserve">-:عدم الفرق فی السقوط بالتصرّف بین وقوعه قبل العلم بالعیب أو بعده.</w:t>
      </w:r>
    </w:p>
    <w:p>
      <w:pPr>
        <w:pStyle w:val="BookText"/>
      </w:pPr>
      <w:r>
        <w:rPr>
          <w:rFonts w:ascii="IRNazanin" w:hAnsi="IRNazanin" w:eastAsia="IRNazanin" w:cs="IRNazanin"/>
          <w:lang w:bidi="fa-IR"/>
          <w:color w:val="111111"/>
          <w:sz w:val="28"/>
          <w:szCs w:val="28"/>
          <w:rtl/>
        </w:rPr>
        <w:t xml:space="preserve">و الذی ینبغی أن یقال و إن کان ظاهر المشهور خلافه-:إنّ التصرّف بعد العلم مسقطٌ للردّ إذا کان دالاّ بنوعه علی الرضا کدلالة اللفظ علی معناه،لا مطلق التصرّف،و الدلیل علی إسقاطه مضافاً إلی أنّه التزامٌ فعلیٌّ فیدلّ علیه ما یدلّ علی اعتبار الالتزام إذا دلّ علیه باللفظ-:ما تقدّم فی خیار الحیوان </w:t>
      </w:r>
      <w:r>
        <w:rPr>
          <w:rStyle w:val="FootnoteReference"/>
        </w:rPr>
        <w:footnoteReference w:id="3532"/>
      </w:r>
      <w:r>
        <w:rPr>
          <w:rFonts w:ascii="IRNazanin" w:hAnsi="IRNazanin" w:eastAsia="IRNazanin" w:cs="IRNazanin"/>
          <w:lang w:bidi="fa-IR"/>
          <w:color w:val="111111"/>
          <w:sz w:val="28"/>
          <w:szCs w:val="28"/>
          <w:rtl/>
        </w:rPr>
        <w:t xml:space="preserve">من تعلیل السقوط بالحدث بکونه رضاً بالبیع،و لذا تعدّینا إلی خیار المجلس و الشرط و حکمنا بسقوطهما بالتصرّف،فکذلک خیار العیب.</w:t>
      </w:r>
    </w:p>
    <w:p>
      <w:pPr>
        <w:pStyle w:val="BookText"/>
      </w:pPr>
      <w:r>
        <w:rPr>
          <w:rFonts w:ascii="Amiri" w:hAnsi="Amiri" w:eastAsia="Amiri" w:cs="Amiri"/>
          <w:lang w:bidi="ar-SA"/>
          <w:color w:val="111111"/>
          <w:sz w:val="28"/>
          <w:szCs w:val="28"/>
          <w:rtl/>
        </w:rPr>
        <w:t xml:space="preserve">و أمّا التصرّف قبل العلم بالعیب،فإن کان مغیِّراً للعین بزیادةٍ أو</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نقیصةٍ أو تغیّر هیئةٍ أو ناقلاً لها بنقلٍ لازمٍ أو جائزٍ و بالجملة صار بحیث لا یصدق معه قیام الشیء بعینه فهو مسقطٌ أیضاً؛لمرسلة جمیل المتقدّمة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یلحق بذلک تعذّر الردّ بموتٍ أو عتقٍ أو إجارةٍ أو شبه ذلک.</w:t>
      </w:r>
    </w:p>
    <w:p>
      <w:pPr>
        <w:pStyle w:val="BookText"/>
      </w:pPr>
      <w:r>
        <w:rPr>
          <w:rFonts w:ascii="IRNazanin" w:hAnsi="IRNazanin" w:eastAsia="IRNazanin" w:cs="IRNazanin"/>
          <w:lang w:bidi="fa-IR"/>
          <w:color w:val="111111"/>
          <w:sz w:val="28"/>
          <w:szCs w:val="28"/>
          <w:rtl/>
        </w:rPr>
        <w:t xml:space="preserve">و ظاهر المحقّق فی الشرائع الاقتصار علی ذلک،حیث قال فی أوّل المسألة:و یسقط الردّ بإحداثه فیه حدثاً کالعتق و قطع الثوب سواءً کان قبل العلم بالعیب أو بعده </w:t>
      </w:r>
      <w:r>
        <w:rPr>
          <w:rStyle w:val="FootnoteReference"/>
        </w:rPr>
        <w:footnoteReference w:id="3534"/>
      </w:r>
      <w:r>
        <w:rPr>
          <w:rFonts w:ascii="IRNazanin" w:hAnsi="IRNazanin" w:eastAsia="IRNazanin" w:cs="IRNazanin"/>
          <w:lang w:bidi="fa-IR"/>
          <w:color w:val="111111"/>
          <w:sz w:val="28"/>
          <w:szCs w:val="28"/>
          <w:rtl/>
        </w:rPr>
        <w:t xml:space="preserve">.و فی مسألة ردّ المملوک من أحداث السنة:فلو أحدث ما یغیّر عینه أو صفته ثبت الأرش </w:t>
      </w:r>
      <w:r>
        <w:rPr>
          <w:rStyle w:val="FootnoteReference"/>
        </w:rPr>
        <w:footnoteReference w:id="353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الظاهر من المحکیّ عن الإسکافی،حیث قال:فإن وجد بالسلعة عیباً و قد أحدث فیه ما لا یمکن[معه </w:t>
      </w:r>
      <w:r>
        <w:rPr>
          <w:rStyle w:val="FootnoteReference"/>
        </w:rPr>
        <w:footnoteReference w:id="3536"/>
      </w:r>
      <w:r>
        <w:rPr>
          <w:rFonts w:ascii="IRNazanin" w:hAnsi="IRNazanin" w:eastAsia="IRNazanin" w:cs="IRNazanin"/>
          <w:lang w:bidi="fa-IR"/>
          <w:color w:val="111111"/>
          <w:sz w:val="28"/>
          <w:szCs w:val="28"/>
          <w:rtl/>
        </w:rPr>
        <w:t xml:space="preserve">]ردّها إلی ما کانت علیه قبله،کالوطء للأمة و القطع للثوب أو تعذّر الردّ بموتٍ أو نحوه، کان له فضل ما بین الصحّة و العیب </w:t>
      </w:r>
      <w:r>
        <w:rPr>
          <w:rStyle w:val="FootnoteReference"/>
        </w:rPr>
        <w:footnoteReference w:id="35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هو الذی ینبغی أن یقتصر علیه من التصرّف قبل العلم، و أمّا ما عدا ذلک من التصرّف قبل العلم کحلب الدابّة و رکوبها و شبه ذلک فلا دلیل علی السقوط به بحیث تطمئنّ به النفس،أقصی </w:t>
      </w:r>
      <w:r>
        <w:rPr>
          <w:rStyle w:val="FootnoteReference"/>
        </w:rPr>
        <w:footnoteReference w:id="3538"/>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یوجد لذلک صحیحة زرارة المتقدّمة </w:t>
      </w:r>
      <w:r>
        <w:rPr>
          <w:rStyle w:val="FootnoteReference"/>
        </w:rPr>
        <w:footnoteReference w:id="3539"/>
      </w:r>
      <w:r>
        <w:rPr>
          <w:rFonts w:ascii="IRNazanin" w:hAnsi="IRNazanin" w:eastAsia="IRNazanin" w:cs="IRNazanin"/>
          <w:lang w:bidi="fa-IR"/>
          <w:color w:val="111111"/>
          <w:sz w:val="28"/>
          <w:szCs w:val="28"/>
          <w:rtl/>
        </w:rPr>
        <w:t xml:space="preserve">بضمیمة ما تقدّم </w:t>
      </w:r>
      <w:r>
        <w:rPr>
          <w:rStyle w:val="FootnoteReference"/>
        </w:rPr>
        <w:footnoteReference w:id="3540"/>
      </w:r>
      <w:r>
        <w:rPr>
          <w:rFonts w:ascii="IRNazanin" w:hAnsi="IRNazanin" w:eastAsia="IRNazanin" w:cs="IRNazanin"/>
          <w:lang w:bidi="fa-IR"/>
          <w:color w:val="111111"/>
          <w:sz w:val="28"/>
          <w:szCs w:val="28"/>
          <w:rtl/>
        </w:rPr>
        <w:t xml:space="preserve">فی خیار الحیوان من التمثیل للحدث بالنظر و اللمس،و قیام النصّ </w:t>
      </w:r>
      <w:r>
        <w:rPr>
          <w:rStyle w:val="FootnoteReference"/>
        </w:rPr>
        <w:footnoteReference w:id="3541"/>
      </w:r>
      <w:r>
        <w:rPr>
          <w:rFonts w:ascii="IRNazanin" w:hAnsi="IRNazanin" w:eastAsia="IRNazanin" w:cs="IRNazanin"/>
          <w:lang w:bidi="fa-IR"/>
          <w:color w:val="111111"/>
          <w:sz w:val="28"/>
          <w:szCs w:val="28"/>
          <w:rtl/>
        </w:rPr>
        <w:t xml:space="preserve">و الإجماع علی سقوط ردّ الجاریة بوطئها قبل العلم،مع عدم دلالته علی الالتزام بالبیع و عدم تغییره للعین،و إطلاق معقد الإجماع المدّعی فی کثیرٍ من العبائر، کالتذکرة و السرائر و الغنیة و غیرها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نهوض ذلک کلّه لتقیید إطلاق أخبار الردّ خصوصاً ما کان هذا التقیید فیه فی غایة البعد،کالنصّ بردّ الجاریة بعد ستّة أشهر </w:t>
      </w:r>
      <w:r>
        <w:rPr>
          <w:rStyle w:val="FootnoteReference"/>
        </w:rPr>
        <w:footnoteReference w:id="3543"/>
      </w:r>
      <w:r>
        <w:rPr>
          <w:rFonts w:ascii="IRNazanin" w:hAnsi="IRNazanin" w:eastAsia="IRNazanin" w:cs="IRNazanin"/>
          <w:lang w:bidi="fa-IR"/>
          <w:color w:val="111111"/>
          <w:sz w:val="28"/>
          <w:szCs w:val="28"/>
          <w:rtl/>
        </w:rPr>
        <w:t xml:space="preserve">، و ردّ الجاریة إذا لم یطأها </w:t>
      </w:r>
      <w:r>
        <w:rPr>
          <w:rStyle w:val="FootnoteReference"/>
        </w:rPr>
        <w:footnoteReference w:id="3544"/>
      </w:r>
      <w:r>
        <w:rPr>
          <w:rFonts w:ascii="IRNazanin" w:hAnsi="IRNazanin" w:eastAsia="IRNazanin" w:cs="IRNazanin"/>
          <w:lang w:bidi="fa-IR"/>
          <w:color w:val="111111"/>
          <w:sz w:val="28"/>
          <w:szCs w:val="28"/>
          <w:rtl/>
        </w:rPr>
        <w:t xml:space="preserve">و ردّ المملوک من أحداث السنة </w:t>
      </w:r>
      <w:r>
        <w:rPr>
          <w:rStyle w:val="FootnoteReference"/>
        </w:rPr>
        <w:footnoteReference w:id="3545"/>
      </w:r>
      <w:r>
        <w:rPr>
          <w:rFonts w:ascii="IRNazanin" w:hAnsi="IRNazanin" w:eastAsia="IRNazanin" w:cs="IRNazanin"/>
          <w:lang w:bidi="fa-IR"/>
          <w:color w:val="111111"/>
          <w:sz w:val="28"/>
          <w:szCs w:val="28"/>
          <w:rtl/>
        </w:rPr>
        <w:t xml:space="preserve">نظرٌ،بل منعٌ،خصوصاً معاقد الإجماع؛فإنّ نَقَلَة الإجماع کالعلّامة و الحلّی و ابن زهرة قد صرّحوا فی کلماتهم المتقدّمة بأنّ العبرة بالرضا بالعقد، فکأنّ دعوی الإجماع وقعت من هؤلاء علی السقوط بما یدلّ علی الرضا من التصرّف،خصوصاً ابن زهرة فی الغنیة حیث إنّه اختار</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قوّیناه من التفصیل بین صورتی العلم و الجهل و المغیّر و غیره </w:t>
      </w:r>
      <w:r>
        <w:rPr>
          <w:rStyle w:val="FootnoteReference"/>
        </w:rPr>
        <w:footnoteReference w:id="3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خامسها یعنی مسقطات الردّ التصرّف فی المبیع الذی لا یجوز مثله إلّا بملکه أو الإذن الحاصل له بعد العلم بالعیب، فإنّه یمنع من الردّ لشیءٍ من العیوب،و لا یسقط حقّ المطالبة بالأرش، لأنّ التصرّف دلالة الرضا بالبیع لا بالعیب،و کذا حکمه لو </w:t>
      </w:r>
      <w:r>
        <w:rPr>
          <w:rStyle w:val="FootnoteReference"/>
        </w:rPr>
        <w:footnoteReference w:id="3547"/>
      </w:r>
      <w:r>
        <w:rPr>
          <w:rFonts w:ascii="IRNazanin" w:hAnsi="IRNazanin" w:eastAsia="IRNazanin" w:cs="IRNazanin"/>
          <w:lang w:bidi="fa-IR"/>
          <w:color w:val="111111"/>
          <w:sz w:val="28"/>
          <w:szCs w:val="28"/>
          <w:rtl/>
        </w:rPr>
        <w:t xml:space="preserve">کان قبل العلم بالعیب و کان مغیّراً للعین بزیادةٍ فیه مثل الصبغ للثوب أو نقصانٍ فیه کالقطع </w:t>
      </w:r>
      <w:r>
        <w:rPr>
          <w:rStyle w:val="FootnoteReference"/>
        </w:rPr>
        <w:footnoteReference w:id="3548"/>
      </w:r>
      <w:r>
        <w:rPr>
          <w:rFonts w:ascii="IRNazanin" w:hAnsi="IRNazanin" w:eastAsia="IRNazanin" w:cs="IRNazanin"/>
          <w:lang w:bidi="fa-IR"/>
          <w:color w:val="111111"/>
          <w:sz w:val="28"/>
          <w:szCs w:val="28"/>
          <w:rtl/>
        </w:rPr>
        <w:t xml:space="preserve">.و إن لم یکن کذلک فله الردّ بالعیب إذا علم ما لم یکن أمةً فیطأها </w:t>
      </w:r>
      <w:r>
        <w:rPr>
          <w:rStyle w:val="FootnoteReference"/>
        </w:rPr>
        <w:footnoteReference w:id="3549"/>
      </w:r>
      <w:r>
        <w:rPr>
          <w:rFonts w:ascii="Amiri" w:hAnsi="Amiri" w:eastAsia="Amiri" w:cs="Amiri"/>
          <w:lang w:bidi="ar-SA"/>
          <w:color w:val="111111"/>
          <w:sz w:val="28"/>
          <w:szCs w:val="28"/>
          <w:rtl/>
        </w:rPr>
        <w:t xml:space="preserve">فإنّه یمنع من ردّها لشیءٍ من العیوب إلّا الحَبَل </w:t>
      </w:r>
      <w:r>
        <w:rPr>
          <w:rStyle w:val="FootnoteReference"/>
        </w:rPr>
        <w:footnoteReference w:id="3550"/>
      </w:r>
      <w:r>
        <w:rPr>
          <w:rFonts w:ascii="IRNazanin" w:hAnsi="IRNazanin" w:eastAsia="IRNazanin" w:cs="IRNazanin"/>
          <w:lang w:bidi="fa-IR"/>
          <w:color w:val="111111"/>
          <w:sz w:val="28"/>
          <w:szCs w:val="28"/>
          <w:rtl/>
        </w:rPr>
        <w:t xml:space="preserve">،انتهی کلامه.و قد أجاد قدّس سرّه فیما استفاده من الأدلّة.</w:t>
      </w:r>
    </w:p>
    <w:p>
      <w:pPr>
        <w:pStyle w:val="BookText"/>
      </w:pPr>
      <w:r>
        <w:rPr>
          <w:rFonts w:ascii="IRNazanin" w:hAnsi="IRNazanin" w:eastAsia="IRNazanin" w:cs="IRNazanin"/>
          <w:lang w:bidi="fa-IR"/>
          <w:color w:val="111111"/>
          <w:sz w:val="28"/>
          <w:szCs w:val="28"/>
          <w:rtl/>
        </w:rPr>
        <w:t xml:space="preserve">و حکی من المبسوط أیضاً:أنّ التصرّف قبل العلم لا یسقط به الخیار </w:t>
      </w:r>
      <w:r>
        <w:rPr>
          <w:rStyle w:val="FootnoteReference"/>
        </w:rPr>
        <w:footnoteReference w:id="3551"/>
      </w:r>
      <w:r>
        <w:rPr>
          <w:rFonts w:ascii="IRNazanin" w:hAnsi="IRNazanin" w:eastAsia="IRNazanin" w:cs="IRNazanin"/>
          <w:lang w:bidi="fa-IR"/>
          <w:color w:val="111111"/>
          <w:sz w:val="28"/>
          <w:szCs w:val="28"/>
          <w:rtl/>
        </w:rPr>
        <w:t xml:space="preserve">.لکن صرّح بأنّ الصبغ و قطع الثوب یمنع من الردّ </w:t>
      </w:r>
      <w:r>
        <w:rPr>
          <w:rStyle w:val="FootnoteReference"/>
        </w:rPr>
        <w:footnoteReference w:id="3552"/>
      </w:r>
      <w:r>
        <w:rPr>
          <w:rFonts w:ascii="IRNazanin" w:hAnsi="IRNazanin" w:eastAsia="IRNazanin" w:cs="IRNazanin"/>
          <w:lang w:bidi="fa-IR"/>
          <w:color w:val="111111"/>
          <w:sz w:val="28"/>
          <w:szCs w:val="28"/>
          <w:rtl/>
        </w:rPr>
        <w:t xml:space="preserve">.فإطلاق التصرّف قبل العلم محمولٌ علی غیر المغیّر.</w:t>
      </w:r>
    </w:p>
    <w:p>
      <w:pPr>
        <w:pStyle w:val="BookText"/>
      </w:pPr>
      <w:r>
        <w:rPr>
          <w:rFonts w:ascii="Amiri" w:hAnsi="Amiri" w:eastAsia="Amiri" w:cs="Amiri"/>
          <w:lang w:bidi="ar-SA"/>
          <w:color w:val="111111"/>
          <w:sz w:val="28"/>
          <w:szCs w:val="28"/>
          <w:rtl/>
        </w:rPr>
        <w:t xml:space="preserve">و ظاهر المقنعة و المبسوط </w:t>
      </w:r>
      <w:r>
        <w:rPr>
          <w:rStyle w:val="FootnoteReference"/>
        </w:rPr>
        <w:footnoteReference w:id="3553"/>
      </w:r>
      <w:r>
        <w:rPr>
          <w:rFonts w:ascii="IRNazanin" w:hAnsi="IRNazanin" w:eastAsia="IRNazanin" w:cs="IRNazanin"/>
          <w:lang w:bidi="fa-IR"/>
          <w:color w:val="111111"/>
          <w:sz w:val="28"/>
          <w:szCs w:val="28"/>
          <w:rtl/>
        </w:rPr>
        <w:t xml:space="preserve">:أنّه إذا وجد العیب بعد عتق العبد</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397" w:name="pg14419_167570"/>
    <w:bookmarkEnd w:id="397"/>
    <w:p>
      <w:pPr>
        <w:pStyle w:val="BookText"/>
      </w:pPr>
      <w:r>
        <w:rPr>
          <w:rFonts w:ascii="IRNazanin" w:hAnsi="IRNazanin" w:eastAsia="IRNazanin" w:cs="IRNazanin"/>
          <w:lang w:bidi="fa-IR"/>
          <w:color w:val="111111"/>
          <w:sz w:val="28"/>
          <w:szCs w:val="28"/>
          <w:rtl/>
        </w:rPr>
        <w:t xml:space="preserve">و الأمة لم یکن له ردّهما،و إذا وجده بعد تدبیرهما أو هبتهما کان مخیّراً بین الردّ و </w:t>
      </w:r>
      <w:r>
        <w:rPr>
          <w:rStyle w:val="FootnoteReference"/>
        </w:rPr>
        <w:footnoteReference w:id="3554"/>
      </w:r>
      <w:r>
        <w:rPr>
          <w:rFonts w:ascii="IRNazanin" w:hAnsi="IRNazanin" w:eastAsia="IRNazanin" w:cs="IRNazanin"/>
          <w:lang w:bidi="fa-IR"/>
          <w:color w:val="111111"/>
          <w:sz w:val="28"/>
          <w:szCs w:val="28"/>
          <w:rtl/>
        </w:rPr>
        <w:t xml:space="preserve">أرش العیب،و فرّقا بینهما و بین العتق بجواز الرجوع فیهما دون العتق.</w:t>
      </w:r>
    </w:p>
    <w:p>
      <w:pPr>
        <w:pStyle w:val="BookText"/>
      </w:pPr>
      <w:r>
        <w:rPr>
          <w:rFonts w:ascii="IRNazanin" w:hAnsi="IRNazanin" w:eastAsia="IRNazanin" w:cs="IRNazanin"/>
          <w:lang w:bidi="fa-IR"/>
          <w:color w:val="111111"/>
          <w:sz w:val="28"/>
          <w:szCs w:val="28"/>
          <w:rtl/>
        </w:rPr>
        <w:t xml:space="preserve">و یردّه مع أنّ مثلهما تصرّفٌ یؤذن بالرضا مرسلة جمیل </w:t>
      </w:r>
      <w:r>
        <w:rPr>
          <w:rStyle w:val="FootnoteReference"/>
        </w:rPr>
        <w:footnoteReference w:id="3555"/>
      </w:r>
      <w:r>
        <w:rPr>
          <w:rFonts w:ascii="IRNazanin" w:hAnsi="IRNazanin" w:eastAsia="IRNazanin" w:cs="IRNazanin"/>
          <w:lang w:bidi="fa-IR"/>
          <w:color w:val="111111"/>
          <w:sz w:val="28"/>
          <w:szCs w:val="28"/>
          <w:rtl/>
        </w:rPr>
        <w:t xml:space="preserve">فإنّ العین مع الهبة و التدبیر غیر قائمةٍ،و جواز الرجوع و عدمه لا دخل له فی ذلک؛و لذا اعترض علیهما الحلّی بالنقض بما لو باعه بخیارٍ مع أنّه لم یقل أحدٌ من الأُمّة بجواز الردّ حینئذٍ </w:t>
      </w:r>
      <w:r>
        <w:rPr>
          <w:rStyle w:val="FootnoteReference"/>
        </w:rPr>
        <w:footnoteReference w:id="3556"/>
      </w:r>
      <w:r>
        <w:rPr>
          <w:rFonts w:ascii="IRNazanin" w:hAnsi="IRNazanin" w:eastAsia="IRNazanin" w:cs="IRNazanin"/>
          <w:lang w:bidi="fa-IR"/>
          <w:color w:val="111111"/>
          <w:sz w:val="28"/>
          <w:szCs w:val="28"/>
          <w:rtl/>
        </w:rPr>
        <w:t xml:space="preserve">بعد ما ذکر:أنّ الذی یقتضیه أُصول المذهب أنّ المشتری إذا تصرّف فی المبیع فإنّه لا یجوز له ردّه، و لا خلاف[فی </w:t>
      </w:r>
      <w:r>
        <w:rPr>
          <w:rStyle w:val="FootnoteReference"/>
        </w:rPr>
        <w:footnoteReference w:id="3557"/>
      </w:r>
      <w:r>
        <w:rPr>
          <w:rFonts w:ascii="IRNazanin" w:hAnsi="IRNazanin" w:eastAsia="IRNazanin" w:cs="IRNazanin"/>
          <w:lang w:bidi="fa-IR"/>
          <w:color w:val="111111"/>
          <w:sz w:val="28"/>
          <w:szCs w:val="28"/>
          <w:rtl/>
        </w:rPr>
        <w:t xml:space="preserve">]أنّ الهبة و التدبیر تصرّف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بالجملة،فتعمیم الأکثر لأفراد التصرّف مع التعمیم لما بعد العلم و ما قبله مشکلٌ.و العجب من المحقّق الثانی أنّه تنظّر فی سقوط الخیار بالهبة الجائزة،مع تصریحه فی مقامٍ آخر بما علیه الأکثر </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Heading6"/>
      </w:pPr>
      <w:bookmarkStart w:id="1312" w:name="_Toc752"/>
      <w:r>
        <w:t>الثالث : تلف العین أو صیرورته کالتالف</w:t>
      </w:r>
      <w:bookmarkEnd w:id="1312"/>
    </w:p>
    <w:p>
      <w:pPr>
        <w:pStyle w:val="Heading6"/>
      </w:pPr>
      <w:bookmarkStart w:id="1313" w:name="_Toc753"/>
      <w:r>
        <w:t>اشارة</w:t>
      </w:r>
      <w:bookmarkEnd w:id="1313"/>
    </w:p>
    <w:p>
      <w:pPr>
        <w:pStyle w:val="BookText"/>
      </w:pPr>
      <w:r>
        <w:rPr>
          <w:rFonts w:ascii="IRNazanin" w:hAnsi="IRNazanin" w:eastAsia="IRNazanin" w:cs="IRNazanin"/>
          <w:lang w:bidi="fa-IR"/>
          <w:color w:val="111111"/>
          <w:sz w:val="28"/>
          <w:szCs w:val="28"/>
          <w:rtl/>
        </w:rPr>
        <w:t xml:space="preserve">فإنّه یسقط الخیار هنا، بخلاف الخیارات المتقدّمة الغیر الساقطة بتلف العین.</w:t>
      </w:r>
    </w:p>
    <w:p>
      <w:pPr>
        <w:pStyle w:val="BookText"/>
      </w:pPr>
      <w:r>
        <w:rPr>
          <w:rFonts w:ascii="IRNazanin" w:hAnsi="IRNazanin" w:eastAsia="IRNazanin" w:cs="IRNazanin"/>
          <w:lang w:bidi="fa-IR"/>
          <w:color w:val="111111"/>
          <w:sz w:val="28"/>
          <w:szCs w:val="28"/>
          <w:rtl/>
        </w:rPr>
        <w:t xml:space="preserve">و المستند فیه بعد ظهور الإجماع إناطة الردّ فی المرسلة السابقة </w:t>
      </w:r>
      <w:r>
        <w:rPr>
          <w:rStyle w:val="FootnoteReference"/>
        </w:rPr>
        <w:footnoteReference w:id="3560"/>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398" w:name="pg14419_167571"/>
    <w:bookmarkEnd w:id="398"/>
    <w:p>
      <w:pPr>
        <w:pStyle w:val="BookText"/>
      </w:pPr>
      <w:r>
        <w:rPr>
          <w:rFonts w:ascii="IRNazanin" w:hAnsi="IRNazanin" w:eastAsia="IRNazanin" w:cs="IRNazanin"/>
          <w:lang w:bidi="fa-IR"/>
          <w:color w:val="111111"/>
          <w:sz w:val="28"/>
          <w:szCs w:val="28"/>
          <w:rtl/>
        </w:rPr>
        <w:t xml:space="preserve">بقیام العین،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 الظاهر منه اعتبار بقائها فی ملکه،فلو تلف أو انتقل إلی ملک الغیر أو استُؤجر أو رُهن أو أبق العبد أو انعتق العبد علی المشتری،فلا ردّ.</w:t>
      </w:r>
    </w:p>
    <w:p>
      <w:pPr>
        <w:pStyle w:val="BookText"/>
      </w:pPr>
      <w:r>
        <w:rPr>
          <w:rFonts w:ascii="IRNazanin" w:hAnsi="IRNazanin" w:eastAsia="IRNazanin" w:cs="IRNazanin"/>
          <w:lang w:bidi="fa-IR"/>
          <w:color w:val="111111"/>
          <w:sz w:val="28"/>
          <w:szCs w:val="28"/>
          <w:rtl/>
        </w:rPr>
        <w:t xml:space="preserve">و ممّا ذکرنا ظهر أنّ عدّ انعتاق العبد علی المشتری مسقطاً برأسه کما فی الدروس </w:t>
      </w:r>
      <w:r>
        <w:rPr>
          <w:rStyle w:val="FootnoteReference"/>
        </w:rPr>
        <w:footnoteReference w:id="3561"/>
      </w:r>
      <w:r>
        <w:rPr>
          <w:rFonts w:ascii="IRNazanin" w:hAnsi="IRNazanin" w:eastAsia="IRNazanin" w:cs="IRNazanin"/>
          <w:lang w:bidi="fa-IR"/>
          <w:color w:val="111111"/>
          <w:sz w:val="28"/>
          <w:szCs w:val="28"/>
          <w:rtl/>
        </w:rPr>
        <w:t xml:space="preserve">لا یخلو عن شیءٍ.نعم،ذکر أنّه یمکن إرجاع هذا الوجه إلی التصرّف،و هو أیضاً لا یخلو عن شیءٍ،و الأولی ما ذکرناه.</w:t>
      </w:r>
    </w:p>
    <w:p>
      <w:pPr>
        <w:pStyle w:val="BookText"/>
      </w:pPr>
      <w:r>
        <w:rPr>
          <w:rFonts w:ascii="IRNazanin" w:hAnsi="IRNazanin" w:eastAsia="IRNazanin" w:cs="IRNazanin"/>
          <w:lang w:bidi="fa-IR"/>
          <w:color w:val="111111"/>
          <w:sz w:val="28"/>
          <w:szCs w:val="28"/>
          <w:rtl/>
        </w:rPr>
        <w:t xml:space="preserve">ثمّ إنّه لو عاد الملک إلی المشتری لم یجز ردّه؛للأصل،خلافاً للشیخ </w:t>
      </w:r>
      <w:r>
        <w:rPr>
          <w:rStyle w:val="FootnoteReference"/>
        </w:rPr>
        <w:footnoteReference w:id="3562"/>
      </w:r>
      <w:r>
        <w:rPr>
          <w:rFonts w:ascii="IRNazanin" w:hAnsi="IRNazanin" w:eastAsia="IRNazanin" w:cs="IRNazanin"/>
          <w:lang w:bidi="fa-IR"/>
          <w:color w:val="111111"/>
          <w:sz w:val="28"/>
          <w:szCs w:val="28"/>
          <w:rtl/>
        </w:rPr>
        <w:t xml:space="preserve">،بل المفید </w:t>
      </w:r>
      <w:r>
        <w:rPr>
          <w:rStyle w:val="FootnoteReference"/>
        </w:rPr>
        <w:footnoteReference w:id="3563"/>
      </w:r>
      <w:r>
        <w:rPr>
          <w:rFonts w:ascii="Amiri" w:hAnsi="Amiri" w:eastAsia="Amiri" w:cs="Amiri"/>
          <w:lang w:bidi="ar-SA"/>
          <w:color w:val="111111"/>
          <w:sz w:val="28"/>
          <w:szCs w:val="28"/>
          <w:rtl/>
        </w:rPr>
        <w:t xml:space="preserve">قدّس سرّهما.</w:t>
      </w:r>
    </w:p>
    <w:p>
      <w:pPr>
        <w:pStyle w:val="Heading6"/>
      </w:pPr>
      <w:bookmarkStart w:id="1314" w:name="_Toc754"/>
      <w:r>
        <w:t>«فرع»</w:t>
      </w:r>
      <w:bookmarkEnd w:id="1314"/>
    </w:p>
    <w:p>
      <w:pPr>
        <w:pStyle w:val="BookText"/>
      </w:pPr>
      <w:r>
        <w:rPr>
          <w:rFonts w:ascii="Amiri" w:hAnsi="Amiri" w:eastAsia="Amiri" w:cs="Amiri"/>
          <w:lang w:bidi="ar-SA"/>
          <w:color w:val="111111"/>
          <w:sz w:val="28"/>
          <w:szCs w:val="28"/>
          <w:rtl/>
        </w:rPr>
        <w:t xml:space="preserve">لا خلاف نصّاً </w:t>
      </w:r>
      <w:r>
        <w:rPr>
          <w:rStyle w:val="FootnoteReference"/>
        </w:rPr>
        <w:footnoteReference w:id="3564"/>
      </w:r>
      <w:r>
        <w:rPr>
          <w:rFonts w:ascii="IRNazanin" w:hAnsi="IRNazanin" w:eastAsia="IRNazanin" w:cs="IRNazanin"/>
          <w:lang w:bidi="fa-IR"/>
          <w:color w:val="111111"/>
          <w:sz w:val="28"/>
          <w:szCs w:val="28"/>
          <w:rtl/>
        </w:rPr>
        <w:t xml:space="preserve">و فتوی فی أنّ وطء الجاریة یمنع عن ردّها بالعیب،</w:t>
      </w:r>
    </w:p>
    <w:p>
      <w:pPr>
        <w:pStyle w:val="BookText"/>
      </w:pPr>
      <w:r>
        <w:rPr>
          <w:rFonts w:ascii="IRNazanin" w:hAnsi="IRNazanin" w:eastAsia="IRNazanin" w:cs="IRNazanin"/>
          <w:lang w:bidi="fa-IR"/>
          <w:color w:val="111111"/>
          <w:sz w:val="28"/>
          <w:szCs w:val="28"/>
          <w:rtl/>
        </w:rPr>
        <w:t xml:space="preserve">سواءً قلنا بأنّ مطلق التصرّف مانعٌ أم قلنا باختصاصه بالتصرّف الموجب لعدم کون الشیء قائماً بعینه،غایة الأمر کون الوطء علی هذا القول مستثنی عن التصرّف الغیر المغیّر للعین کما عرفت </w:t>
      </w:r>
      <w:r>
        <w:rPr>
          <w:rStyle w:val="FootnoteReference"/>
        </w:rPr>
        <w:footnoteReference w:id="3565"/>
      </w:r>
      <w:r>
        <w:rPr>
          <w:rFonts w:ascii="IRNazanin" w:hAnsi="IRNazanin" w:eastAsia="IRNazanin" w:cs="IRNazanin"/>
          <w:lang w:bidi="fa-IR"/>
          <w:color w:val="111111"/>
          <w:sz w:val="28"/>
          <w:szCs w:val="28"/>
          <w:rtl/>
        </w:rPr>
        <w:t xml:space="preserve">من عبارة الغنیة مع أنّ العلّامة قدّس سرّه علّل المنع فی موضعٍ من التذکرة بأنّ الوطء جنایةٌ،و لهذا یوجب غرامة جزءٍ من القیمة کسائر جنایات المملوک </w:t>
      </w:r>
      <w:r>
        <w:rPr>
          <w:rStyle w:val="FootnoteReference"/>
        </w:rPr>
        <w:footnoteReference w:id="3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تقدّم </w:t>
      </w:r>
      <w:r>
        <w:rPr>
          <w:rStyle w:val="FootnoteReference"/>
        </w:rPr>
        <w:footnoteReference w:id="3567"/>
      </w:r>
      <w:r>
        <w:rPr>
          <w:rFonts w:ascii="IRNazanin" w:hAnsi="IRNazanin" w:eastAsia="IRNazanin" w:cs="IRNazanin"/>
          <w:lang w:bidi="fa-IR"/>
          <w:color w:val="111111"/>
          <w:sz w:val="28"/>
          <w:szCs w:val="28"/>
          <w:rtl/>
        </w:rPr>
        <w:t xml:space="preserve">فی کلام الإسکافی أیضاً:أنّ الوطء ممّا لا یمکن معه ردّ المبیع إلی ما کان علیه قبله،و یشیر إلیه ما سیجیء فی غیر واحدٍ من الروایات من قوله:«معاذ اللّٰه أن یجعل لها أجراً!» </w:t>
      </w:r>
      <w:r>
        <w:rPr>
          <w:rStyle w:val="FootnoteReference"/>
        </w:rPr>
        <w:footnoteReference w:id="3568"/>
      </w:r>
      <w:r>
        <w:rPr>
          <w:rFonts w:ascii="IRNazanin" w:hAnsi="IRNazanin" w:eastAsia="IRNazanin" w:cs="IRNazanin"/>
          <w:lang w:bidi="fa-IR"/>
          <w:color w:val="111111"/>
          <w:sz w:val="28"/>
          <w:szCs w:val="28"/>
          <w:rtl/>
        </w:rPr>
        <w:t xml:space="preserve">فإنّ فیه إشارةً إلی أنّه لو ردّها لا بدّ أن یردّ معها شیئاً تدارکاً للجنایة؛إذ لو کان الوطء مجرّد استیفاء منفعةٍ لم یتوقّف ردّها علی ردّ عوض المنفعة، فإطلاق الأجر علیه فی الروایة علی طبق ما یتراءی فی نظر العرف [من کون هذه الغرامة کأنّها اجرةٌ للوطء </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معناه:أنّه إذا حکمت بالردّ مع أرش جنایتها کان ذلک فی الأنظار بمنزلة الأُجرة و هی ممنوعةٌ شرعاً؛لأنّ إجارة الفروج غیر جائزة.و هذا إنّما وقع من أمیر المؤمنین علیه السلام مبنیّاً علی تقریر رعیّته علی ما فعله الثانی من تحریم العقد المنقطع،فلا یقال:إنّ المتعة مشروعة،و قد ورد«أنّ المنقطعات مستأجراتٌ» </w:t>
      </w:r>
      <w:r>
        <w:rPr>
          <w:rStyle w:val="FootnoteReference"/>
        </w:rPr>
        <w:footnoteReference w:id="3570"/>
      </w:r>
      <w:r>
        <w:rPr>
          <w:rFonts w:ascii="IRNazanin" w:hAnsi="IRNazanin" w:eastAsia="IRNazanin" w:cs="IRNazanin"/>
          <w:lang w:bidi="fa-IR"/>
          <w:color w:val="111111"/>
          <w:sz w:val="28"/>
          <w:szCs w:val="28"/>
          <w:rtl/>
        </w:rPr>
        <w:t xml:space="preserve">فلا وجه للاستعاذة باللّٰه من جعل الأُجرة للفروج.هذا ما یخطر عاجلاً بالبال فی معنی هذه الفقرة،و اللّٰه العالم.</w:t>
      </w:r>
    </w:p>
    <w:p>
      <w:pPr>
        <w:pStyle w:val="BookText"/>
      </w:pPr>
      <w:r>
        <w:rPr>
          <w:rFonts w:ascii="IRNazanin" w:hAnsi="IRNazanin" w:eastAsia="IRNazanin" w:cs="IRNazanin"/>
          <w:lang w:bidi="fa-IR"/>
          <w:color w:val="111111"/>
          <w:sz w:val="28"/>
          <w:szCs w:val="28"/>
          <w:rtl/>
        </w:rPr>
        <w:t xml:space="preserve">و کیف کان،ففی النصوص المستفیضة الواردة فی المسألة کفایةٌ:</w:t>
      </w:r>
    </w:p>
    <w:p>
      <w:pPr>
        <w:pStyle w:val="BookText"/>
      </w:pPr>
      <w:r>
        <w:rPr>
          <w:rFonts w:ascii="IRNazanin" w:hAnsi="IRNazanin" w:eastAsia="IRNazanin" w:cs="IRNazanin"/>
          <w:lang w:bidi="fa-IR"/>
          <w:color w:val="111111"/>
          <w:sz w:val="28"/>
          <w:szCs w:val="28"/>
          <w:rtl/>
        </w:rPr>
        <w:t xml:space="preserve">ففی صحیحة ابن حازم عن أبی عبد اللّٰه علیه السلام:«فی رجلٍ اشتری جاریةً فوقع علیها؟قال:إن وجد فیها عیباً فلیس له أن</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یردّها،و لکن یردّ علیه بقیمة ما نقَّصها العیب.قلت:هذا قول أمیر المؤمنین علیه السلام؟قال:نعم»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ابن مسلم عن أحدهما علیهما السلام:«أنّه سئل عن الرجل یبتاع الجاریة فیقع علیها،فیجد بها عیباً بعد ذلک؟قال:لا یردّها علی صاحبها،و لکن یقوّم ما بین العیب و الصحّة،و یردّ علی المبتاع، معاذ اللّٰه أن یجعل لها أجراً!» </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میسّر عن أبی عبد اللّٰه علیه السلام قال:«کان علیٌّ لا یردّ الجاریة بعیبٍ إذا وطئت،و لکن یرجع بقیمة العیب،و کان یقول:معاذ اللّٰه!أن أجعل لها أجراً..الخبر»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طلحة بن زید عن أبی عبد اللّٰه علیه السلام قال:«قضی أمیر المؤمنین علیه السلام فی رجلٍ اشتری جاریةً فوطأها،ثمّ رأی فیها عیباً،قال:تُقوَّم و هی صحیحةٌ،و تُقوَّم و بها الداء،ثمّ یردّ البائع علی المبتاع فضل ما بین القیمتین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 </w:t>
      </w:r>
      <w:r>
        <w:rPr>
          <w:rStyle w:val="FootnoteReference"/>
        </w:rPr>
        <w:footnoteReference w:id="3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حمّاد فی الصحیح عن أبی عبد اللّٰه علیه السلام،یقول:«قال علیّ بن الحسین علیه السلام:کان القضاء الأوّل فی الرجل إذا اشتری الأمة فوطأها،ثمّ ظهر علی عیبٍ:أنّ البیع لازمٌ،و له أرش العیب» </w:t>
      </w:r>
      <w:r>
        <w:rPr>
          <w:rStyle w:val="FootnoteReference"/>
        </w:rPr>
        <w:footnoteReference w:id="3576"/>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ذلک ممّا سیجیء.</w:t>
      </w:r>
    </w:p>
    <w:p>
      <w:pPr>
        <w:pStyle w:val="BookText"/>
      </w:pPr>
      <w:r>
        <w:rPr>
          <w:rFonts w:ascii="IRNazanin" w:hAnsi="IRNazanin" w:eastAsia="IRNazanin" w:cs="IRNazanin"/>
          <w:lang w:bidi="fa-IR"/>
          <w:color w:val="111111"/>
          <w:sz w:val="28"/>
          <w:szCs w:val="28"/>
          <w:rtl/>
        </w:rPr>
        <w:t xml:space="preserve">ثمّ إنّ المشهور استثنوا من عموم هذه الأخبار لجمیع أفراد العیب الحمل،فإنّه عیبٌ إجماعاً،کما فی المسالک </w:t>
      </w:r>
      <w:r>
        <w:rPr>
          <w:rStyle w:val="FootnoteReference"/>
        </w:rPr>
        <w:footnoteReference w:id="3577"/>
      </w:r>
      <w:r>
        <w:rPr>
          <w:rFonts w:ascii="IRNazanin" w:hAnsi="IRNazanin" w:eastAsia="IRNazanin" w:cs="IRNazanin"/>
          <w:lang w:bidi="fa-IR"/>
          <w:color w:val="111111"/>
          <w:sz w:val="28"/>
          <w:szCs w:val="28"/>
          <w:rtl/>
        </w:rPr>
        <w:t xml:space="preserve">.إلّا أنّ الوطء لا یمنع من الردّ به،بل یردّها و یردّ معها العُشر أو نصفه علی المشهور بینهم.</w:t>
      </w:r>
    </w:p>
    <w:p>
      <w:pPr>
        <w:pStyle w:val="BookText"/>
      </w:pPr>
      <w:r>
        <w:rPr>
          <w:rFonts w:ascii="IRNazanin" w:hAnsi="IRNazanin" w:eastAsia="IRNazanin" w:cs="IRNazanin"/>
          <w:lang w:bidi="fa-IR"/>
          <w:color w:val="111111"/>
          <w:sz w:val="28"/>
          <w:szCs w:val="28"/>
          <w:rtl/>
        </w:rPr>
        <w:t xml:space="preserve">و استندوا فی ذلک إلی نصوصٍ مستفیضة:</w:t>
      </w:r>
    </w:p>
    <w:p>
      <w:pPr>
        <w:pStyle w:val="BookText"/>
      </w:pPr>
      <w:r>
        <w:rPr>
          <w:rFonts w:ascii="IRNazanin" w:hAnsi="IRNazanin" w:eastAsia="IRNazanin" w:cs="IRNazanin"/>
          <w:lang w:bidi="fa-IR"/>
          <w:color w:val="111111"/>
          <w:sz w:val="28"/>
          <w:szCs w:val="28"/>
          <w:rtl/>
        </w:rPr>
        <w:t xml:space="preserve">منها:صحیحة ابن سنان عن أبی عبد اللّٰه علیه السلام:«عن رجلٍ اشتری جاریةً حُبلی و لم یعلم بحَبَلها،فوطأها؟قال:یردّها علی الذی ابتاعها منه،و یردّ علیها </w:t>
      </w:r>
      <w:r>
        <w:rPr>
          <w:rStyle w:val="FootnoteReference"/>
        </w:rPr>
        <w:footnoteReference w:id="3578"/>
      </w:r>
      <w:r>
        <w:rPr>
          <w:rFonts w:ascii="IRNazanin" w:hAnsi="IRNazanin" w:eastAsia="IRNazanin" w:cs="IRNazanin"/>
          <w:lang w:bidi="fa-IR"/>
          <w:color w:val="111111"/>
          <w:sz w:val="28"/>
          <w:szCs w:val="28"/>
          <w:rtl/>
        </w:rPr>
        <w:t xml:space="preserve">نصف عشر قیمتها لنکاحه إیّاها،و قد قال علیّ علیه السلام:لا تُردّ التی لیست بحُبلی إذا وطأها صاحبها،و یوضع عنه من ثمنها بقدر العیب إن کان فیها» </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الملک بن عمرو عن أبی عبد اللّٰه علیه السلام قال:«لا تردّ التی لیست بحُبلی إذا وطأها صاحبها و له أرش العیب،و تردّ الحُبلی و یردّ معها نصف عشر قیمتها» </w:t>
      </w:r>
      <w:r>
        <w:rPr>
          <w:rStyle w:val="FootnoteReference"/>
        </w:rPr>
        <w:footnoteReference w:id="3580"/>
      </w:r>
      <w:r>
        <w:rPr>
          <w:rFonts w:ascii="IRNazanin" w:hAnsi="IRNazanin" w:eastAsia="IRNazanin" w:cs="IRNazanin"/>
          <w:lang w:bidi="fa-IR"/>
          <w:color w:val="111111"/>
          <w:sz w:val="28"/>
          <w:szCs w:val="28"/>
          <w:rtl/>
        </w:rPr>
        <w:t xml:space="preserve">.و زاد فی الکافی،قال:و فی روایة اخری:</w:t>
      </w:r>
    </w:p>
    <w:p>
      <w:pPr>
        <w:pStyle w:val="BookText"/>
      </w:pPr>
      <w:r>
        <w:rPr>
          <w:rFonts w:ascii="IRNazanin" w:hAnsi="IRNazanin" w:eastAsia="IRNazanin" w:cs="IRNazanin"/>
          <w:lang w:bidi="fa-IR"/>
          <w:color w:val="111111"/>
          <w:sz w:val="28"/>
          <w:szCs w:val="28"/>
          <w:rtl/>
        </w:rPr>
        <w:t xml:space="preserve">«إن کانت بکراً فعشر قیمتها،و إن کانت ثیّباً فنصف عشر قیمتها» </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مرسلة ابن أبی عمیر عن سعید بن یسار،قال:«سألت أبا عبد اللّٰه علیه السلام عن رجلٍ باع جاریةً حُبلی و هو لا یعلم فنکحها الذی اشتری؟قال:یردّها و یردّ نصف عشر قیمتها» </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الرحمن بن أبی عبد اللّٰه،قال:«سألت أبا عبد اللّٰه علیه السلام عن الرجل یشتری الجاریة،فیقع علیها فیجدها حُبلی؟قال:تردّ و یردّ معها شیئاً»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ابن مسلم عن أبی جعفر علیه السلام:«فی الرجل یشتری الجاریة الحُبلی فینکحها؟قال:یردّها و یکسوها» </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الملک بن عمرو عن أبی عبد اللّٰه علیه السلام:«فی الرجل یشتری الجاریة و هی حُبلی فیطأها؟قال:یردّها و یردّ عشر قیمتها»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ما وقفت علیها من الروایات،و قد عمل بها المشهور، بل ادّعی علی ظاهرها الإجماع فی الغنیة </w:t>
      </w:r>
      <w:r>
        <w:rPr>
          <w:rStyle w:val="FootnoteReference"/>
        </w:rPr>
        <w:footnoteReference w:id="3586"/>
      </w:r>
      <w:r>
        <w:rPr>
          <w:rFonts w:ascii="IRNazanin" w:hAnsi="IRNazanin" w:eastAsia="IRNazanin" w:cs="IRNazanin"/>
          <w:lang w:bidi="fa-IR"/>
          <w:color w:val="111111"/>
          <w:sz w:val="28"/>
          <w:szCs w:val="28"/>
          <w:rtl/>
        </w:rPr>
        <w:t xml:space="preserve">کما عن الانتصار </w:t>
      </w:r>
      <w:r>
        <w:rPr>
          <w:rStyle w:val="FootnoteReference"/>
        </w:rPr>
        <w:footnoteReference w:id="3587"/>
      </w:r>
      <w:r>
        <w:rPr>
          <w:rFonts w:ascii="IRNazanin" w:hAnsi="IRNazanin" w:eastAsia="IRNazanin" w:cs="IRNazanin"/>
          <w:lang w:bidi="fa-IR"/>
          <w:color w:val="111111"/>
          <w:sz w:val="28"/>
          <w:szCs w:val="28"/>
          <w:rtl/>
        </w:rPr>
        <w:t xml:space="preserve">،و عدم الخلاف فی السرائر </w:t>
      </w:r>
      <w:r>
        <w:rPr>
          <w:rStyle w:val="FootnoteReference"/>
        </w:rPr>
        <w:footnoteReference w:id="3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للمحکیّ عن الإسکافی فحکم بالردّ مع کون الحمل من المولی؛لبطلان بیع أُمّ الولد،حیث قال:فإن وجد فی السلعة عیباً کان عند البائع و قد أحدث المشتری فی السلعة ما لا یمکن ردّها إلی ما کانت علیه قبله کالوطء للأمة أو القطع للثوب أو تلف السلعة بموتٍ أو غیره کان للمشتری فضل ما بین الصحّة و العیب دون ردّها، فإن کان العیب ظهور حملٍ من البائع و قد وطأها المشتری من غیر علمٍ بذلک،کان علیه ردّها و نصف عشر قیمتها </w:t>
      </w:r>
      <w:r>
        <w:rPr>
          <w:rStyle w:val="FootnoteReference"/>
        </w:rPr>
        <w:footnoteReference w:id="35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اختاره فی المختلف </w:t>
      </w:r>
      <w:r>
        <w:rPr>
          <w:rStyle w:val="FootnoteReference"/>
        </w:rPr>
        <w:footnoteReference w:id="3590"/>
      </w:r>
      <w:r>
        <w:rPr>
          <w:rFonts w:ascii="IRNazanin" w:hAnsi="IRNazanin" w:eastAsia="IRNazanin" w:cs="IRNazanin"/>
          <w:lang w:bidi="fa-IR"/>
          <w:color w:val="111111"/>
          <w:sz w:val="28"/>
          <w:szCs w:val="28"/>
          <w:rtl/>
        </w:rPr>
        <w:t xml:space="preserve">:و هو ظاهر الشیخ فی النهایة حیث قال:</w:t>
      </w:r>
    </w:p>
    <w:p>
      <w:pPr>
        <w:pStyle w:val="BookText"/>
      </w:pPr>
      <w:r>
        <w:rPr>
          <w:rFonts w:ascii="IRNazanin" w:hAnsi="IRNazanin" w:eastAsia="IRNazanin" w:cs="IRNazanin"/>
          <w:lang w:bidi="fa-IR"/>
          <w:color w:val="111111"/>
          <w:sz w:val="28"/>
          <w:szCs w:val="28"/>
          <w:rtl/>
        </w:rPr>
        <w:t xml:space="preserve">فإن وجد بها عیباً بعد أن وطأها لم یکن له ردّها و کان له أرش العیب خاصّةً،[اللهمّ </w:t>
      </w:r>
      <w:r>
        <w:rPr>
          <w:rStyle w:val="FootnoteReference"/>
        </w:rPr>
        <w:footnoteReference w:id="3591"/>
      </w:r>
      <w:r>
        <w:rPr>
          <w:rFonts w:ascii="IRNazanin" w:hAnsi="IRNazanin" w:eastAsia="IRNazanin" w:cs="IRNazanin"/>
          <w:lang w:bidi="fa-IR"/>
          <w:color w:val="111111"/>
          <w:sz w:val="28"/>
          <w:szCs w:val="28"/>
          <w:rtl/>
        </w:rPr>
        <w:t xml:space="preserve">]إلّا أن یکون العیب من حَبَلٍ فیلزمه ردّها علی کلّ حالٍ وطأها أو لم یطأها و یردّ معها إذا وطأها نصف عشر قیمتها </w:t>
      </w:r>
      <w:r>
        <w:rPr>
          <w:rStyle w:val="FootnoteReference"/>
        </w:rPr>
        <w:footnoteReference w:id="359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استفادة هذا من إطلاق المبسوط القولَ بمنع الوطء من الردّ </w:t>
      </w:r>
      <w:r>
        <w:rPr>
          <w:rStyle w:val="FootnoteReference"/>
        </w:rPr>
        <w:footnoteReference w:id="3593"/>
      </w:r>
      <w:r>
        <w:rPr>
          <w:rFonts w:ascii="IRNazanin" w:hAnsi="IRNazanin" w:eastAsia="IRNazanin" w:cs="IRNazanin"/>
          <w:lang w:bidi="fa-IR"/>
          <w:color w:val="111111"/>
          <w:sz w:val="28"/>
          <w:szCs w:val="28"/>
          <w:rtl/>
        </w:rPr>
        <w:t xml:space="preserve">فإنّ من البعید عدم استثناء وطء الحامل و عدم تعرّضه لحکمه مع اشتهار المسألة فی الروایات و ألسنة القدماء.</w:t>
      </w:r>
    </w:p>
    <w:p>
      <w:pPr>
        <w:pStyle w:val="BookText"/>
      </w:pPr>
      <w:r>
        <w:rPr>
          <w:rFonts w:ascii="IRNazanin" w:hAnsi="IRNazanin" w:eastAsia="IRNazanin" w:cs="IRNazanin"/>
          <w:lang w:bidi="fa-IR"/>
          <w:color w:val="111111"/>
          <w:sz w:val="28"/>
          <w:szCs w:val="28"/>
          <w:rtl/>
        </w:rPr>
        <w:t xml:space="preserve">و قال فی الوسیلة:إذا وطأ الأمة ثمّ علم بها عیباً لم یکن له</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ردّها،إلّا إذا کان العیب حملاً و کان حرّا،فإنّه وجب علیه ردّها و یردّ معها نصف عشر قیمتها،و إن کان الحمل مملوکاً لم یجب ذلک </w:t>
      </w:r>
      <w:r>
        <w:rPr>
          <w:rStyle w:val="FootnoteReference"/>
        </w:rPr>
        <w:footnoteReference w:id="359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الریاض </w:t>
      </w:r>
      <w:r>
        <w:rPr>
          <w:rStyle w:val="FootnoteReference"/>
        </w:rPr>
        <w:footnoteReference w:id="3595"/>
      </w:r>
      <w:r>
        <w:rPr>
          <w:rFonts w:ascii="IRNazanin" w:hAnsi="IRNazanin" w:eastAsia="IRNazanin" w:cs="IRNazanin"/>
          <w:lang w:bidi="fa-IR"/>
          <w:color w:val="111111"/>
          <w:sz w:val="28"/>
          <w:szCs w:val="28"/>
          <w:rtl/>
        </w:rPr>
        <w:t xml:space="preserve">اختیار هذا القول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3597"/>
      </w:r>
      <w:r>
        <w:rPr>
          <w:rFonts w:ascii="IRNazanin" w:hAnsi="IRNazanin" w:eastAsia="IRNazanin" w:cs="IRNazanin"/>
          <w:lang w:bidi="fa-IR"/>
          <w:color w:val="111111"/>
          <w:sz w:val="28"/>
          <w:szCs w:val="28"/>
          <w:rtl/>
        </w:rPr>
        <w:t xml:space="preserve">:ظاهر الأخبار المتقدّمة فی بادئ النظر و إن کان ما ذکره المشهور،إلّا أنّ العمل علی هذا الظهور یستلزم مخالفة الظاهر من وجوهٍ </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أحدها:من حیث مخالفة ظهورها فی وجوب ردّ الجاریة أو تقیید الحمل بکونه من غیر المولی،حتّی تکون الجملة الخبریّة واردةً فی مقام دفع توهّم الحظر الناشئ من الأخبار المتقدّمة المانعة من ردّ الجاریة بعد الوطء؛إذ لو بقی الحمل علی إطلاقه لم یستقم دعوی وقوع الجملة الخبریّة فی مقام دفع توهّم الحظر؛إذ لا منشأ لتوهّم حظر ردّ الحامل حتّی أُمّ الولد،فلا بدّ إمّا من التقیید،أو من مخالفة ظاهر الجملة الخبریّة.</w:t>
      </w:r>
    </w:p>
    <w:p>
      <w:pPr>
        <w:pStyle w:val="BookText"/>
      </w:pPr>
      <w:r>
        <w:rPr>
          <w:rFonts w:ascii="IRNazanin" w:hAnsi="IRNazanin" w:eastAsia="IRNazanin" w:cs="IRNazanin"/>
          <w:lang w:bidi="fa-IR"/>
          <w:color w:val="111111"/>
          <w:sz w:val="28"/>
          <w:szCs w:val="28"/>
          <w:rtl/>
        </w:rPr>
        <w:t xml:space="preserve">الثانی:مخالفة لزوم العُقر علی المشتری لقاعدة:«عدم العُقْر فی وطء الملک»،أو قاعدة:«کون الردّ بالعیب فسخاً من حینه»،لا من أصله.</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الثالث:مخالفته لما دلّ علی کون التصرّف عموماً </w:t>
      </w:r>
      <w:r>
        <w:rPr>
          <w:rStyle w:val="FootnoteReference"/>
        </w:rPr>
        <w:footnoteReference w:id="3599"/>
      </w:r>
      <w:r>
        <w:rPr>
          <w:rFonts w:ascii="IRNazanin" w:hAnsi="IRNazanin" w:eastAsia="IRNazanin" w:cs="IRNazanin"/>
          <w:lang w:bidi="fa-IR"/>
          <w:color w:val="111111"/>
          <w:sz w:val="28"/>
          <w:szCs w:val="28"/>
          <w:rtl/>
        </w:rPr>
        <w:t xml:space="preserve">و الوطء بالخصوص </w:t>
      </w:r>
      <w:r>
        <w:rPr>
          <w:rStyle w:val="FootnoteReference"/>
        </w:rPr>
        <w:footnoteReference w:id="3600"/>
      </w:r>
      <w:r>
        <w:rPr>
          <w:rFonts w:ascii="Amiri" w:hAnsi="Amiri" w:eastAsia="Amiri" w:cs="Amiri"/>
          <w:lang w:bidi="ar-SA"/>
          <w:color w:val="111111"/>
          <w:sz w:val="28"/>
          <w:szCs w:val="28"/>
          <w:rtl/>
        </w:rPr>
        <w:t xml:space="preserve">مانعاً من الردّ.</w:t>
      </w:r>
    </w:p>
    <w:p>
      <w:pPr>
        <w:pStyle w:val="BookText"/>
      </w:pPr>
      <w:r>
        <w:rPr>
          <w:rFonts w:ascii="IRNazanin" w:hAnsi="IRNazanin" w:eastAsia="IRNazanin" w:cs="IRNazanin"/>
          <w:lang w:bidi="fa-IR"/>
          <w:color w:val="111111"/>
          <w:sz w:val="28"/>
          <w:szCs w:val="28"/>
          <w:rtl/>
        </w:rPr>
        <w:t xml:space="preserve">الرابع:أنّ الظاهر من قول السائل فی مرسلة ابن أبی عمیر المتقدّمة:«رجلٌ باع جاریةً حُبلی و هو لا یعلم» </w:t>
      </w:r>
      <w:r>
        <w:rPr>
          <w:rStyle w:val="FootnoteReference"/>
        </w:rPr>
        <w:footnoteReference w:id="3601"/>
      </w:r>
      <w:r>
        <w:rPr>
          <w:rFonts w:ascii="IRNazanin" w:hAnsi="IRNazanin" w:eastAsia="IRNazanin" w:cs="IRNazanin"/>
          <w:lang w:bidi="fa-IR"/>
          <w:color w:val="111111"/>
          <w:sz w:val="28"/>
          <w:szCs w:val="28"/>
          <w:rtl/>
        </w:rPr>
        <w:t xml:space="preserve">وقوع السؤال عن بیع أُمّ الولد،و إلّا لم یکن لذکر جهل البائع فی السؤال فائدةٌ.و یشیر إلیه ما فی بعض الروایات المتقدّمة من قوله:«یکسوها» </w:t>
      </w:r>
      <w:r>
        <w:rPr>
          <w:rStyle w:val="FootnoteReference"/>
        </w:rPr>
        <w:footnoteReference w:id="3602"/>
      </w:r>
      <w:r>
        <w:rPr>
          <w:rFonts w:ascii="IRNazanin" w:hAnsi="IRNazanin" w:eastAsia="IRNazanin" w:cs="IRNazanin"/>
          <w:lang w:bidi="fa-IR"/>
          <w:color w:val="111111"/>
          <w:sz w:val="28"/>
          <w:szCs w:val="28"/>
          <w:rtl/>
        </w:rPr>
        <w:t xml:space="preserve">،فإنّ فی ذلک إشارةً إلی تشبّثها بالحرّیة للاستیلاد،فنسب الکسوة إلیها تشبیهاً </w:t>
      </w:r>
      <w:r>
        <w:rPr>
          <w:rStyle w:val="FootnoteReference"/>
        </w:rPr>
        <w:footnoteReference w:id="3603"/>
      </w:r>
      <w:r>
        <w:rPr>
          <w:rFonts w:ascii="IRNazanin" w:hAnsi="IRNazanin" w:eastAsia="IRNazanin" w:cs="IRNazanin"/>
          <w:lang w:bidi="fa-IR"/>
          <w:color w:val="111111"/>
          <w:sz w:val="28"/>
          <w:szCs w:val="28"/>
          <w:rtl/>
        </w:rPr>
        <w:t xml:space="preserve">بالحرائر،و لم یصرّح ب«العُقْر»الذی هو جزءٌ من القیمة.</w:t>
      </w:r>
    </w:p>
    <w:p>
      <w:pPr>
        <w:pStyle w:val="BookText"/>
      </w:pPr>
      <w:r>
        <w:rPr>
          <w:rFonts w:ascii="IRNazanin" w:hAnsi="IRNazanin" w:eastAsia="IRNazanin" w:cs="IRNazanin"/>
          <w:lang w:bidi="fa-IR"/>
          <w:color w:val="111111"/>
          <w:sz w:val="28"/>
          <w:szCs w:val="28"/>
          <w:rtl/>
        </w:rPr>
        <w:t xml:space="preserve">الخامس:ظهور هذه الأخبار فی کون الردّ بعد تصرّف المشتری فی الجاریة بغیر الوطء من نحو«اسقنی ماءً»أو«أغلق الباب» و غیرهما ممّا قلّ أن تنفکّ عنه الجاریة،و تقییدها بصورة عدم هذه التصرّفات تقییدٌ بالفرض النادر،و إنّما دعی إلی هذا التقیید فی غیر هذه الأخبار ممّا دلّ علی ردّ الجاریة بعد مدّةٍ طویلة </w:t>
      </w:r>
      <w:r>
        <w:rPr>
          <w:rStyle w:val="FootnoteReference"/>
        </w:rPr>
        <w:footnoteReference w:id="3604"/>
      </w:r>
      <w:r>
        <w:rPr>
          <w:rFonts w:ascii="IRNazanin" w:hAnsi="IRNazanin" w:eastAsia="IRNazanin" w:cs="IRNazanin"/>
          <w:lang w:bidi="fa-IR"/>
          <w:color w:val="111111"/>
          <w:sz w:val="28"/>
          <w:szCs w:val="28"/>
          <w:rtl/>
        </w:rPr>
        <w:t xml:space="preserve">الدلیل الدالّ علی اللزوم بالتصرّف </w:t>
      </w:r>
      <w:r>
        <w:rPr>
          <w:rStyle w:val="FootnoteReference"/>
        </w:rPr>
        <w:footnoteReference w:id="3605"/>
      </w:r>
      <w:r>
        <w:rPr>
          <w:rFonts w:ascii="IRNazanin" w:hAnsi="IRNazanin" w:eastAsia="IRNazanin" w:cs="IRNazanin"/>
          <w:lang w:bidi="fa-IR"/>
          <w:color w:val="111111"/>
          <w:sz w:val="28"/>
          <w:szCs w:val="28"/>
          <w:rtl/>
        </w:rPr>
        <w:t xml:space="preserve">.لکن لا داعی هنا لهذا التقیید،إذ یمکن تقیید الحمل بکونه من المولی لِتَسلم الأخبار عن جمیع ذلک،و غایة الأمر تعارض</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الأخبار مع ما دلّ علی منع الوطء عن الردّ </w:t>
      </w:r>
      <w:r>
        <w:rPr>
          <w:rStyle w:val="FootnoteReference"/>
        </w:rPr>
        <w:footnoteReference w:id="3606"/>
      </w:r>
      <w:r>
        <w:rPr>
          <w:rFonts w:ascii="IRNazanin" w:hAnsi="IRNazanin" w:eastAsia="IRNazanin" w:cs="IRNazanin"/>
          <w:lang w:bidi="fa-IR"/>
          <w:color w:val="111111"/>
          <w:sz w:val="28"/>
          <w:szCs w:val="28"/>
          <w:rtl/>
        </w:rPr>
        <w:t xml:space="preserve">بالعموم من وجهٍ، فیبقی ما عدا الوجه الثالث مرجِّحاً لتقیید هذه الأخبار.</w:t>
      </w:r>
    </w:p>
    <w:p>
      <w:pPr>
        <w:pStyle w:val="BookText"/>
      </w:pPr>
      <w:r>
        <w:rPr>
          <w:rFonts w:ascii="IRNazanin" w:hAnsi="IRNazanin" w:eastAsia="IRNazanin" w:cs="IRNazanin"/>
          <w:lang w:bidi="fa-IR"/>
          <w:color w:val="111111"/>
          <w:sz w:val="28"/>
          <w:szCs w:val="28"/>
          <w:rtl/>
        </w:rPr>
        <w:t xml:space="preserve">و لو فرض التکافؤ بین جمیع ما تقدّم و بین إطلاق الحمل فی هذه الأخبار أو ظهور اختصاصه بما لم یکن من المولی،وجب الرجوع إلی عموم ما دلّ علی أنّ إحداث الحدث مسقطٌ؛لکونه رضاً بالبیع </w:t>
      </w:r>
      <w:r>
        <w:rPr>
          <w:rStyle w:val="FootnoteReference"/>
        </w:rPr>
        <w:footnoteReference w:id="3607"/>
      </w:r>
      <w:r>
        <w:rPr>
          <w:rFonts w:ascii="IRNazanin" w:hAnsi="IRNazanin" w:eastAsia="IRNazanin" w:cs="IRNazanin"/>
          <w:lang w:bidi="fa-IR"/>
          <w:color w:val="111111"/>
          <w:sz w:val="28"/>
          <w:szCs w:val="28"/>
          <w:rtl/>
        </w:rPr>
        <w:t xml:space="preserve">، و یمکن الرجوع إلی ما دلّ علی جواز الردّ مع قیام العین </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خُدش فی عموم ما دلّ علی المنع عن </w:t>
      </w:r>
      <w:r>
        <w:rPr>
          <w:rStyle w:val="FootnoteReference"/>
        </w:rPr>
        <w:footnoteReference w:id="3609"/>
      </w:r>
      <w:r>
        <w:rPr>
          <w:rFonts w:ascii="IRNazanin" w:hAnsi="IRNazanin" w:eastAsia="IRNazanin" w:cs="IRNazanin"/>
          <w:lang w:bidi="fa-IR"/>
          <w:color w:val="111111"/>
          <w:sz w:val="28"/>
          <w:szCs w:val="28"/>
          <w:rtl/>
        </w:rPr>
        <w:t xml:space="preserve">الردّ بمطلق التصرّف وجب الرجوع إلی أصالة جواز الردّ الثابت قبل الوطء لکن یبقی لزوم العُقْر ممّا لا دلیل علیه إلّا الإجماع المرکّب و عدم الفصل بین الردّ و العُقر،فافهم.</w:t>
      </w:r>
    </w:p>
    <w:p>
      <w:pPr>
        <w:pStyle w:val="BookText"/>
      </w:pPr>
      <w:r>
        <w:rPr>
          <w:rFonts w:ascii="IRNazanin" w:hAnsi="IRNazanin" w:eastAsia="IRNazanin" w:cs="IRNazanin"/>
          <w:lang w:bidi="fa-IR"/>
          <w:color w:val="111111"/>
          <w:sz w:val="28"/>
          <w:szCs w:val="28"/>
          <w:rtl/>
        </w:rPr>
        <w:t xml:space="preserve">ثمّ إنّ المحکیّ عن المشهور إطلاق الحکم بوجوب ردّ نصف العشر </w:t>
      </w:r>
      <w:r>
        <w:rPr>
          <w:rStyle w:val="FootnoteReference"/>
        </w:rPr>
        <w:footnoteReference w:id="3610"/>
      </w:r>
      <w:r>
        <w:rPr>
          <w:rFonts w:ascii="IRNazanin" w:hAnsi="IRNazanin" w:eastAsia="IRNazanin" w:cs="IRNazanin"/>
          <w:lang w:bidi="fa-IR"/>
          <w:color w:val="111111"/>
          <w:sz w:val="28"/>
          <w:szCs w:val="28"/>
          <w:rtl/>
        </w:rPr>
        <w:t xml:space="preserve">،بل عن الانتصار و الغنیة:الإجماع علیه </w:t>
      </w:r>
      <w:r>
        <w:rPr>
          <w:rStyle w:val="FootnoteReference"/>
        </w:rPr>
        <w:footnoteReference w:id="3611"/>
      </w:r>
      <w:r>
        <w:rPr>
          <w:rFonts w:ascii="IRNazanin" w:hAnsi="IRNazanin" w:eastAsia="IRNazanin" w:cs="IRNazanin"/>
          <w:lang w:bidi="fa-IR"/>
          <w:color w:val="111111"/>
          <w:sz w:val="28"/>
          <w:szCs w:val="28"/>
          <w:rtl/>
        </w:rPr>
        <w:t xml:space="preserve">.إلّا أن یدّعی انصراف إطلاق الفتاوی و معقد الإجماع کالنصوص إلی الغالب:من کون الحامل ثیّباً،فلا یشمل فرض حمل البکر بالسَّحق أو بوطء الدُّبُر؛ و لذا ادّعی عدم الخلاف فی السرائر علی اختصاص نصف العشر بالثیّب</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ثبوت العشر فی البکر </w:t>
      </w:r>
      <w:r>
        <w:rPr>
          <w:rStyle w:val="FootnoteReference"/>
        </w:rPr>
        <w:footnoteReference w:id="3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معقد إجماع الغنیة بعد التأمّل موافقٌ للسرائر أیضاً،حیث ذکر فی الحامل:أنّه یردّ معها نصف عشر قیمتها علی ما مضی بدلیل إجماع الطائفة </w:t>
      </w:r>
      <w:r>
        <w:rPr>
          <w:rStyle w:val="FootnoteReference"/>
        </w:rPr>
        <w:footnoteReference w:id="3613"/>
      </w:r>
      <w:r>
        <w:rPr>
          <w:rFonts w:ascii="IRNazanin" w:hAnsi="IRNazanin" w:eastAsia="IRNazanin" w:cs="IRNazanin"/>
          <w:lang w:bidi="fa-IR"/>
          <w:color w:val="111111"/>
          <w:sz w:val="28"/>
          <w:szCs w:val="28"/>
          <w:rtl/>
        </w:rPr>
        <w:t xml:space="preserve">.و مراده بما مضی کما یظهر لمن راجع کلامه ما ذکره سابقاً مدّعیاً علیه الإجماع:من أنّه إذا وطأ المشتری فی مدّة خیار البائع ففسخ یردّ معها العشر إن کانت بکراً و نصف العشر إن کانت ثیّباً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الانتصار فلا یحضرنی حتّی أُراجعه؛و قد عرفت إمکان تنزیل الجمیع علی الغالب.</w:t>
      </w:r>
    </w:p>
    <w:p>
      <w:pPr>
        <w:pStyle w:val="BookText"/>
      </w:pPr>
      <w:r>
        <w:rPr>
          <w:rFonts w:ascii="IRNazanin" w:hAnsi="IRNazanin" w:eastAsia="IRNazanin" w:cs="IRNazanin"/>
          <w:lang w:bidi="fa-IR"/>
          <w:color w:val="111111"/>
          <w:sz w:val="28"/>
          <w:szCs w:val="28"/>
          <w:rtl/>
        </w:rPr>
        <w:t xml:space="preserve">و حینئذٍ فتکون مرسلة الکافی المتقدّمة </w:t>
      </w:r>
      <w:r>
        <w:rPr>
          <w:rStyle w:val="FootnoteReference"/>
        </w:rPr>
        <w:footnoteReference w:id="3615"/>
      </w:r>
      <w:r>
        <w:rPr>
          <w:rFonts w:ascii="IRNazanin" w:hAnsi="IRNazanin" w:eastAsia="IRNazanin" w:cs="IRNazanin"/>
          <w:lang w:bidi="fa-IR"/>
          <w:color w:val="111111"/>
          <w:sz w:val="28"/>
          <w:szCs w:val="28"/>
          <w:rtl/>
        </w:rPr>
        <w:t xml:space="preserve">بعد انجبارها بما عرفت من السرائر و الغنیة دلیلاً علی التفصیل فی المسألة،کما اختاره جماعةٌ من المتأخّرین </w:t>
      </w:r>
      <w:r>
        <w:rPr>
          <w:rStyle w:val="FootnoteReference"/>
        </w:rPr>
        <w:footnoteReference w:id="3616"/>
      </w:r>
      <w:r>
        <w:rPr>
          <w:rFonts w:ascii="IRNazanin" w:hAnsi="IRNazanin" w:eastAsia="IRNazanin" w:cs="IRNazanin"/>
          <w:lang w:bidi="fa-IR"/>
          <w:color w:val="111111"/>
          <w:sz w:val="28"/>
          <w:szCs w:val="28"/>
          <w:rtl/>
        </w:rPr>
        <w:t xml:space="preserve">،مضافاً إلی ورود العشر فی بعض الروایات المتقدّمة المحمولة علی البکر،إلّا أنّه بعیدٌ؛و لذا نسبه الشیخ قدّس سرّه إلی سهو الراوی فی إسقاط لفظ«النصف» </w:t>
      </w:r>
      <w:r>
        <w:rPr>
          <w:rStyle w:val="FootnoteReference"/>
        </w:rPr>
        <w:footnoteReference w:id="3617"/>
      </w:r>
      <w:r>
        <w:rPr>
          <w:rFonts w:ascii="IRNazanin" w:hAnsi="IRNazanin" w:eastAsia="IRNazanin" w:cs="IRNazanin"/>
          <w:lang w:bidi="fa-IR"/>
          <w:color w:val="111111"/>
          <w:sz w:val="28"/>
          <w:szCs w:val="28"/>
          <w:rtl/>
        </w:rPr>
        <w:t xml:space="preserve">،و فی الدروس:أنّ الصدوق ذکرها بلفظ«النصف» </w:t>
      </w:r>
      <w:r>
        <w:rPr>
          <w:rStyle w:val="FootnoteReference"/>
        </w:rPr>
        <w:footnoteReference w:id="3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تقدّم ممّا دلّ علی أنّه یردّ معها شیئاً </w:t>
      </w:r>
      <w:r>
        <w:rPr>
          <w:rStyle w:val="FootnoteReference"/>
        </w:rPr>
        <w:footnoteReference w:id="3619"/>
      </w:r>
      <w:r>
        <w:rPr>
          <w:rFonts w:ascii="IRNazanin" w:hAnsi="IRNazanin" w:eastAsia="IRNazanin" w:cs="IRNazanin"/>
          <w:lang w:bidi="fa-IR"/>
          <w:color w:val="111111"/>
          <w:sz w:val="28"/>
          <w:szCs w:val="28"/>
          <w:rtl/>
        </w:rPr>
        <w:t xml:space="preserve">،فهو بإطلاقه خلاف الإجماع،فلا بدّ من جعله وارداً فی مقام ثبوت أصل العُقر لا مقداره.</w:t>
      </w:r>
    </w:p>
    <w:p>
      <w:pPr>
        <w:pStyle w:val="BookText"/>
      </w:pPr>
      <w:r>
        <w:rPr>
          <w:rFonts w:ascii="Amiri" w:hAnsi="Amiri" w:eastAsia="Amiri" w:cs="Amiri"/>
          <w:lang w:bidi="ar-SA"/>
          <w:color w:val="111111"/>
          <w:sz w:val="28"/>
          <w:szCs w:val="28"/>
          <w:rtl/>
        </w:rPr>
        <w:t xml:space="preserve">و أمّا ما دلّ علی أنّه یکسوها </w:t>
      </w:r>
      <w:r>
        <w:rPr>
          <w:rStyle w:val="FootnoteReference"/>
        </w:rPr>
        <w:footnoteReference w:id="3620"/>
      </w:r>
      <w:r>
        <w:rPr>
          <w:rFonts w:ascii="IRNazanin" w:hAnsi="IRNazanin" w:eastAsia="IRNazanin" w:cs="IRNazanin"/>
          <w:lang w:bidi="fa-IR"/>
          <w:color w:val="111111"/>
          <w:sz w:val="28"/>
          <w:szCs w:val="28"/>
          <w:rtl/>
        </w:rPr>
        <w:t xml:space="preserve">،فقد حمل علی کسوةٍ تساوی العشر أو نصفه،و لا بأس به فی مقام الجمع.</w:t>
      </w:r>
    </w:p>
    <w:p>
      <w:pPr>
        <w:pStyle w:val="BookText"/>
      </w:pPr>
      <w:r>
        <w:rPr>
          <w:rFonts w:ascii="IRNazanin" w:hAnsi="IRNazanin" w:eastAsia="IRNazanin" w:cs="IRNazanin"/>
          <w:lang w:bidi="fa-IR"/>
          <w:color w:val="111111"/>
          <w:sz w:val="28"/>
          <w:szCs w:val="28"/>
          <w:rtl/>
        </w:rPr>
        <w:t xml:space="preserve">ثمّ إنّ مقتضی الإطلاق جواز الردّ و لو مع الوطء فی الدُّبُر،و یمکن دعوی انصرافه إلی غیره،فیقتصر فی مخالفة العمومات علی منصرف اللفظ.</w:t>
      </w:r>
    </w:p>
    <w:p>
      <w:pPr>
        <w:pStyle w:val="BookText"/>
      </w:pPr>
      <w:r>
        <w:rPr>
          <w:rFonts w:ascii="IRNazanin" w:hAnsi="IRNazanin" w:eastAsia="IRNazanin" w:cs="IRNazanin"/>
          <w:lang w:bidi="fa-IR"/>
          <w:color w:val="111111"/>
          <w:sz w:val="28"/>
          <w:szCs w:val="28"/>
          <w:rtl/>
        </w:rPr>
        <w:t xml:space="preserve">و فی لحوق التقبیل و اللمس بالوطء وجهان:من الخروج عن مورد النصّ،و من الأولویّة.</w:t>
      </w:r>
    </w:p>
    <w:p>
      <w:pPr>
        <w:pStyle w:val="BookText"/>
      </w:pPr>
      <w:r>
        <w:rPr>
          <w:rFonts w:ascii="IRNazanin" w:hAnsi="IRNazanin" w:eastAsia="IRNazanin" w:cs="IRNazanin"/>
          <w:lang w:bidi="fa-IR"/>
          <w:color w:val="111111"/>
          <w:sz w:val="28"/>
          <w:szCs w:val="28"/>
          <w:rtl/>
        </w:rPr>
        <w:t xml:space="preserve">و لو انضمّ إلی الحمل عیبٌ آخر،فقد استشکل فی سقوط الردّ بالوطء:من صدق کونها معیبةً بالحمل،و کونها معیبةً بغیره.</w:t>
      </w:r>
    </w:p>
    <w:p>
      <w:pPr>
        <w:pStyle w:val="BookText"/>
      </w:pPr>
      <w:r>
        <w:rPr>
          <w:rFonts w:ascii="IRNazanin" w:hAnsi="IRNazanin" w:eastAsia="IRNazanin" w:cs="IRNazanin"/>
          <w:lang w:bidi="fa-IR"/>
          <w:color w:val="111111"/>
          <w:sz w:val="28"/>
          <w:szCs w:val="28"/>
          <w:rtl/>
        </w:rPr>
        <w:t xml:space="preserve">و فیه:أنّ کونها معیبةً بغیر الحمل لا یقتضی إلّا عدم تأثیر ذلک العیب فی الردّ مع التصرّف،لا نفی تأثیر عیب الحمل.</w:t>
      </w:r>
    </w:p>
    <w:p>
      <w:pPr>
        <w:pStyle w:val="BookText"/>
      </w:pPr>
      <w:r>
        <w:rPr>
          <w:rFonts w:ascii="Amiri" w:hAnsi="Amiri" w:eastAsia="Amiri" w:cs="Amiri"/>
          <w:lang w:bidi="ar-SA"/>
          <w:color w:val="111111"/>
          <w:sz w:val="28"/>
          <w:szCs w:val="28"/>
          <w:rtl/>
        </w:rPr>
        <w:t xml:space="preserve">ثمّ إنّ صریح بعض </w:t>
      </w:r>
      <w:r>
        <w:rPr>
          <w:rStyle w:val="FootnoteReference"/>
        </w:rPr>
        <w:footnoteReference w:id="3621"/>
      </w:r>
      <w:r>
        <w:rPr>
          <w:rFonts w:ascii="IRNazanin" w:hAnsi="IRNazanin" w:eastAsia="IRNazanin" w:cs="IRNazanin"/>
          <w:lang w:bidi="fa-IR"/>
          <w:color w:val="111111"/>
          <w:sz w:val="28"/>
          <w:szCs w:val="28"/>
          <w:rtl/>
        </w:rPr>
        <w:t xml:space="preserve">النصوص و الفتاوی </w:t>
      </w:r>
      <w:r>
        <w:rPr>
          <w:rStyle w:val="FootnoteReference"/>
        </w:rPr>
        <w:footnoteReference w:id="3622"/>
      </w:r>
      <w:r>
        <w:rPr>
          <w:rFonts w:ascii="IRNazanin" w:hAnsi="IRNazanin" w:eastAsia="IRNazanin" w:cs="IRNazanin"/>
          <w:lang w:bidi="fa-IR"/>
          <w:color w:val="111111"/>
          <w:sz w:val="28"/>
          <w:szCs w:val="28"/>
          <w:rtl/>
        </w:rPr>
        <w:t xml:space="preserve">و ظاهر باقیها اختصاص الحکم بالوطء مع الجهل بالعیب،فلو وطأ عالماً به سقط الردّ.لکن إطلاق کثیرٍ من الروایات یشمل العالم.</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99" w:name="pg14419_167582"/>
    <w:bookmarkEnd w:id="399"/>
    <w:p>
      <w:pPr>
        <w:pStyle w:val="Heading6"/>
      </w:pPr>
      <w:bookmarkStart w:id="1315" w:name="_Toc755"/>
      <w:r>
        <w:t>الرابع من المسقطات : حدوث عیبٍ عند المشتری</w:t>
      </w:r>
      <w:bookmarkEnd w:id="1315"/>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3623"/>
      </w:r>
      <w:r>
        <w:rPr>
          <w:rFonts w:ascii="IRNazanin" w:hAnsi="IRNazanin" w:eastAsia="IRNazanin" w:cs="IRNazanin"/>
          <w:lang w:bidi="fa-IR"/>
          <w:color w:val="111111"/>
          <w:sz w:val="28"/>
          <w:szCs w:val="28"/>
          <w:rtl/>
        </w:rPr>
        <w:t xml:space="preserve">من المسقطات: حدوث عیبٍ عند المشتری.</w:t>
      </w:r>
    </w:p>
    <w:p>
      <w:pPr>
        <w:pStyle w:val="BookText"/>
      </w:pPr>
      <w:r>
        <w:rPr>
          <w:rFonts w:ascii="IRNazanin" w:hAnsi="IRNazanin" w:eastAsia="IRNazanin" w:cs="IRNazanin"/>
          <w:lang w:bidi="fa-IR"/>
          <w:color w:val="111111"/>
          <w:sz w:val="28"/>
          <w:szCs w:val="28"/>
          <w:rtl/>
        </w:rPr>
        <w:t xml:space="preserve">و تفصیل ذلک:أنّه إذا حدث العیب بعد العقد علی المعیب،فإمّا أن یحدث قبل القبض،و إمّا أن یحدث بعده فی زمان خیارٍ یضمن فیه البائع المبیع أعنی خیار المجلس و الحیوان و الشرط و إمّا أن یحدث بعد مضیّ الخیار.و المراد بالعیب الحادث هنا هو الأخیر.</w:t>
      </w:r>
    </w:p>
    <w:p>
      <w:pPr>
        <w:pStyle w:val="BookText"/>
      </w:pPr>
      <w:r>
        <w:rPr>
          <w:rFonts w:ascii="Amiri" w:hAnsi="Amiri" w:eastAsia="Amiri" w:cs="Amiri"/>
          <w:lang w:bidi="ar-SA"/>
          <w:color w:val="111111"/>
          <w:sz w:val="28"/>
          <w:szCs w:val="28"/>
          <w:rtl/>
        </w:rPr>
        <w:t xml:space="preserve">و أمّا الأوّل:فلا خلاف ظاهراً فی أنّه لا یمنع الردّ،بل فی أنّه </w:t>
      </w:r>
      <w:r>
        <w:rPr>
          <w:rStyle w:val="FootnoteReference"/>
        </w:rPr>
        <w:footnoteReference w:id="3624"/>
      </w:r>
      <w:r>
        <w:rPr>
          <w:rFonts w:ascii="IRNazanin" w:hAnsi="IRNazanin" w:eastAsia="IRNazanin" w:cs="IRNazanin"/>
          <w:lang w:bidi="fa-IR"/>
          <w:color w:val="111111"/>
          <w:sz w:val="28"/>
          <w:szCs w:val="28"/>
          <w:rtl/>
        </w:rPr>
        <w:t xml:space="preserve">هو کالموجود قبل العقد حتّی فی ثبوت الأرش فیه،علی الخلاف الآتی </w:t>
      </w:r>
      <w:r>
        <w:rPr>
          <w:rStyle w:val="FootnoteReference"/>
        </w:rPr>
        <w:footnoteReference w:id="3625"/>
      </w:r>
      <w:r>
        <w:rPr>
          <w:rFonts w:ascii="IRNazanin" w:hAnsi="IRNazanin" w:eastAsia="IRNazanin" w:cs="IRNazanin"/>
          <w:lang w:bidi="fa-IR"/>
          <w:color w:val="111111"/>
          <w:sz w:val="28"/>
          <w:szCs w:val="28"/>
          <w:rtl/>
        </w:rPr>
        <w:t xml:space="preserve">فی أحکام القبض.</w:t>
      </w:r>
    </w:p>
    <w:p>
      <w:pPr>
        <w:pStyle w:val="BookText"/>
      </w:pPr>
      <w:r>
        <w:rPr>
          <w:rFonts w:ascii="IRNazanin" w:hAnsi="IRNazanin" w:eastAsia="IRNazanin" w:cs="IRNazanin"/>
          <w:lang w:bidi="fa-IR"/>
          <w:color w:val="111111"/>
          <w:sz w:val="28"/>
          <w:szCs w:val="28"/>
          <w:rtl/>
        </w:rPr>
        <w:t xml:space="preserve">و أما الحادث فی زمن الخیار:فکذلک لا خلاف فی أنه غیر مانع عن الرد،بل هو سبب مستقل موجب للرد،بل الأرش علی الخلاف الآتی </w:t>
      </w:r>
      <w:r>
        <w:rPr>
          <w:rStyle w:val="FootnoteReference"/>
        </w:rPr>
        <w:footnoteReference w:id="3626"/>
      </w:r>
      <w:r>
        <w:rPr>
          <w:rFonts w:ascii="IRNazanin" w:hAnsi="IRNazanin" w:eastAsia="IRNazanin" w:cs="IRNazanin"/>
          <w:lang w:bidi="fa-IR"/>
          <w:color w:val="111111"/>
          <w:sz w:val="28"/>
          <w:szCs w:val="28"/>
          <w:rtl/>
        </w:rPr>
        <w:t xml:space="preserve">فیما قبل القبض بناءً علی اتّحاد المسألتین،کما یظهر من بعضٍ.</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 ذلک ما یأتی </w:t>
      </w:r>
      <w:r>
        <w:rPr>
          <w:rStyle w:val="FootnoteReference"/>
        </w:rPr>
        <w:footnoteReference w:id="3627"/>
      </w:r>
      <w:r>
        <w:rPr>
          <w:rFonts w:ascii="IRNazanin" w:hAnsi="IRNazanin" w:eastAsia="IRNazanin" w:cs="IRNazanin"/>
          <w:lang w:bidi="fa-IR"/>
          <w:color w:val="111111"/>
          <w:sz w:val="28"/>
          <w:szCs w:val="28"/>
          <w:rtl/>
        </w:rPr>
        <w:t xml:space="preserve">:من أنّ الحدث فی زمان الخیار مضمونٌ علی البائع و من ماله،و معناه:ضمانه علی الوجه الذی یضمنه قبل القبض بل قبل العقد،إلّا أنّ المحکیّ عن المحقّق فی درسه فیما لو حدث فی المبیع عیبٌ-:أنّ تأثیر العیب الحادث فی زمن الخیار و کذا عدم تأثیره فی الردّ بالعیب القدیم إنّما هو ما دام الخیار،فإذا انقضی الخیار کان حکمه حکم العیب المضمون علی المشتری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قال فی الدروس:لو حدث فی المبیع عیبٌ غیر مضمونٍ علی المشتری لم یمنع من الردّ إن کان قبل القبض أو فی مدّة خیار المشتری المشترط أو بالأصل،فله الردّ ما دام الخیار،فإن خرج الخیار ففی الردّ خلافٌ بین ابن نما و تلمیذه المحقّق قدّس سرّهما،فجوّزه ابن نما لأنّه من ضمان البائع،و منعه المحقّق قدّس سرّه؛لأنّ الردّ لمکان الخیار،و قد زال.و لو کان حدوث العیب فی مبیعٍ صحیحٍ فی مدّة الخیار فالباب واحدٌ </w:t>
      </w:r>
      <w:r>
        <w:rPr>
          <w:rStyle w:val="FootnoteReference"/>
        </w:rPr>
        <w:footnoteReference w:id="36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الذی حکاه فی اللمعة عن المحقّق هو الفرع الثانی،و هو</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حدوث العیب فی مبیعٍ صحیح </w:t>
      </w:r>
      <w:r>
        <w:rPr>
          <w:rStyle w:val="FootnoteReference"/>
        </w:rPr>
        <w:footnoteReference w:id="3630"/>
      </w:r>
      <w:r>
        <w:rPr>
          <w:rFonts w:ascii="IRNazanin" w:hAnsi="IRNazanin" w:eastAsia="IRNazanin" w:cs="IRNazanin"/>
          <w:lang w:bidi="fa-IR"/>
          <w:color w:val="111111"/>
          <w:sz w:val="28"/>
          <w:szCs w:val="28"/>
          <w:rtl/>
        </w:rPr>
        <w:t xml:space="preserve">.و لعلّ الفرع الأوّل مترتّبٌ علیه؛لأنّ العیب الحادث إذا لم یکن مضموناً علی البائع حتّی یکون سبباً للخیار -غایة الأمر کونه غیر مانعٍ عن الردّ کخیار </w:t>
      </w:r>
      <w:r>
        <w:rPr>
          <w:rStyle w:val="FootnoteReference"/>
        </w:rPr>
        <w:footnoteReference w:id="3631"/>
      </w:r>
      <w:r>
        <w:rPr>
          <w:rFonts w:ascii="IRNazanin" w:hAnsi="IRNazanin" w:eastAsia="IRNazanin" w:cs="IRNazanin"/>
          <w:lang w:bidi="fa-IR"/>
          <w:color w:val="111111"/>
          <w:sz w:val="28"/>
          <w:szCs w:val="28"/>
          <w:rtl/>
        </w:rPr>
        <w:t xml:space="preserve">الثلاثة کان مانعاً عن الردّ بالعیب السابق؛إذ لا یجوز الردّ بالعیب مع حدوث عیبٍ مضمونٍ علی المشتری،فیکون الردّ فی زمان الخیار بالخیار،لا بالعیب السابق.</w:t>
      </w:r>
    </w:p>
    <w:p>
      <w:pPr>
        <w:pStyle w:val="BookText"/>
      </w:pPr>
      <w:r>
        <w:rPr>
          <w:rFonts w:ascii="IRNazanin" w:hAnsi="IRNazanin" w:eastAsia="IRNazanin" w:cs="IRNazanin"/>
          <w:lang w:bidi="fa-IR"/>
          <w:color w:val="111111"/>
          <w:sz w:val="28"/>
          <w:szCs w:val="28"/>
          <w:rtl/>
        </w:rPr>
        <w:t xml:space="preserve">فمنشأ هذا القول عدم ضمان البائع للعیب الحادث؛و لذا ذکر فی اللمعة:أنّ هذا من المحقّق منافٍ لما ذکره فی الشرائع:من أنّ العیب الحادث فی الحیوان مضمونٌ علی البائع،مع حکمه بعدم الأرش </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ربما یجعل </w:t>
      </w:r>
      <w:r>
        <w:rPr>
          <w:rStyle w:val="FootnoteReference"/>
        </w:rPr>
        <w:footnoteReference w:id="3633"/>
      </w:r>
      <w:r>
        <w:rPr>
          <w:rFonts w:ascii="IRNazanin" w:hAnsi="IRNazanin" w:eastAsia="IRNazanin" w:cs="IRNazanin"/>
          <w:lang w:bidi="fa-IR"/>
          <w:color w:val="111111"/>
          <w:sz w:val="28"/>
          <w:szCs w:val="28"/>
          <w:rtl/>
        </w:rPr>
        <w:t xml:space="preserve">قول المحقّق عکساً لقول شیخه،و یضعّف کلاهما بأنّ الظاهر تعدّد الخیار،و فیه:أنّ قول ابن نما رحمه اللّٰه لا یأبی عن التعدّد،کما لا یخفی.</w:t>
      </w:r>
    </w:p>
    <w:p>
      <w:pPr>
        <w:pStyle w:val="BookText"/>
      </w:pPr>
      <w:r>
        <w:rPr>
          <w:rFonts w:ascii="IRNazanin" w:hAnsi="IRNazanin" w:eastAsia="IRNazanin" w:cs="IRNazanin"/>
          <w:lang w:bidi="fa-IR"/>
          <w:color w:val="111111"/>
          <w:sz w:val="28"/>
          <w:szCs w:val="28"/>
          <w:rtl/>
        </w:rPr>
        <w:t xml:space="preserve">و أمّا الثالث أعنی العیب الحادث فی ید المشتری بعد القبض و الخیار-فالمشهور أنّه مانعٌ عن الردّ بالعیب السابق،بل عن شرح الإرشاد لفخر الإسلام </w:t>
      </w:r>
      <w:r>
        <w:rPr>
          <w:rStyle w:val="FootnoteReference"/>
        </w:rPr>
        <w:footnoteReference w:id="3634"/>
      </w:r>
      <w:r>
        <w:rPr>
          <w:rFonts w:ascii="IRNazanin" w:hAnsi="IRNazanin" w:eastAsia="IRNazanin" w:cs="IRNazanin"/>
          <w:lang w:bidi="fa-IR"/>
          <w:color w:val="111111"/>
          <w:sz w:val="28"/>
          <w:szCs w:val="28"/>
          <w:rtl/>
        </w:rPr>
        <w:t xml:space="preserve">و فی ظاهر الغنیة </w:t>
      </w:r>
      <w:r>
        <w:rPr>
          <w:rStyle w:val="FootnoteReference"/>
        </w:rPr>
        <w:footnoteReference w:id="3635"/>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بالعیب هنا مجرّد النقص،لا خصوص ما یوجب الأرش، فیعمّ عیب الشرکة و تبعّض الصفقة إذا اشتری اثنان شیئاً فأراد أحدهما ردّه بالعیب،أو اشتری واحدٌ صفقةً و ظهر العیب فی بعضه فأراد ردّ المعیب خاصّةً؛و نحوه نسیان العبد الکتابة کما صرّح به فی القواعد </w:t>
      </w:r>
      <w:r>
        <w:rPr>
          <w:rStyle w:val="FootnoteReference"/>
        </w:rPr>
        <w:footnoteReference w:id="3636"/>
      </w:r>
      <w:r>
        <w:rPr>
          <w:rFonts w:ascii="IRNazanin" w:hAnsi="IRNazanin" w:eastAsia="IRNazanin" w:cs="IRNazanin"/>
          <w:lang w:bidi="fa-IR"/>
          <w:color w:val="111111"/>
          <w:sz w:val="28"/>
          <w:szCs w:val="28"/>
          <w:rtl/>
        </w:rPr>
        <w:t xml:space="preserve">و غیره </w:t>
      </w:r>
      <w:r>
        <w:rPr>
          <w:rStyle w:val="FootnoteReference"/>
        </w:rPr>
        <w:footnoteReference w:id="3637"/>
      </w:r>
      <w:r>
        <w:rPr>
          <w:rFonts w:ascii="IRNazanin" w:hAnsi="IRNazanin" w:eastAsia="IRNazanin" w:cs="IRNazanin"/>
          <w:lang w:bidi="fa-IR"/>
          <w:color w:val="111111"/>
          <w:sz w:val="28"/>
          <w:szCs w:val="28"/>
          <w:rtl/>
        </w:rPr>
        <w:t xml:space="preserve">،و نسیان الدابّة للطحن کما صرّح به فی جامع المقاصد </w:t>
      </w:r>
      <w:r>
        <w:rPr>
          <w:rStyle w:val="FootnoteReference"/>
        </w:rPr>
        <w:footnoteReference w:id="3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الاستدلال علی الحکم فی المسألة بمرسلة جمیل المتقدّمة </w:t>
      </w:r>
      <w:r>
        <w:rPr>
          <w:rStyle w:val="FootnoteReference"/>
        </w:rPr>
        <w:footnoteReference w:id="3639"/>
      </w:r>
      <w:r>
        <w:rPr>
          <w:rFonts w:ascii="IRNazanin" w:hAnsi="IRNazanin" w:eastAsia="IRNazanin" w:cs="IRNazanin"/>
          <w:lang w:bidi="fa-IR"/>
          <w:color w:val="111111"/>
          <w:sz w:val="28"/>
          <w:szCs w:val="28"/>
          <w:rtl/>
        </w:rPr>
        <w:t xml:space="preserve">فإنّ«قیام العین»و إن لم ینافِ بظاهره مجرّد </w:t>
      </w:r>
      <w:r>
        <w:rPr>
          <w:rStyle w:val="FootnoteReference"/>
        </w:rPr>
        <w:footnoteReference w:id="3640"/>
      </w:r>
      <w:r>
        <w:rPr>
          <w:rFonts w:ascii="IRNazanin" w:hAnsi="IRNazanin" w:eastAsia="IRNazanin" w:cs="IRNazanin"/>
          <w:lang w:bidi="fa-IR"/>
          <w:color w:val="111111"/>
          <w:sz w:val="28"/>
          <w:szCs w:val="28"/>
          <w:rtl/>
        </w:rPr>
        <w:t xml:space="preserve">نقص الأوصاف،کما اعترف به بعضهم </w:t>
      </w:r>
      <w:r>
        <w:rPr>
          <w:rStyle w:val="FootnoteReference"/>
        </w:rPr>
        <w:footnoteReference w:id="3641"/>
      </w:r>
      <w:r>
        <w:rPr>
          <w:rFonts w:ascii="IRNazanin" w:hAnsi="IRNazanin" w:eastAsia="IRNazanin" w:cs="IRNazanin"/>
          <w:lang w:bidi="fa-IR"/>
          <w:color w:val="111111"/>
          <w:sz w:val="28"/>
          <w:szCs w:val="28"/>
          <w:rtl/>
        </w:rPr>
        <w:t xml:space="preserve">فی مسألة تقدیم قول البائع فی قدر الثمن مع قیام العین،إلّا أنّ الظاهر منه بقرینة التمثیل لمقابله بمثل قطع الثوب و خیاطته و صبغه ما یقابل تغیّر الأوصاف و النقص الحاصل و لو لم یوجب أرشاً،کصبغ الثوب و خیاطته.</w:t>
      </w:r>
    </w:p>
    <w:p>
      <w:pPr>
        <w:pStyle w:val="BookText"/>
      </w:pPr>
      <w:r>
        <w:rPr>
          <w:rFonts w:ascii="Amiri" w:hAnsi="Amiri" w:eastAsia="Amiri" w:cs="Amiri"/>
          <w:lang w:bidi="ar-SA"/>
          <w:color w:val="111111"/>
          <w:sz w:val="28"/>
          <w:szCs w:val="28"/>
          <w:rtl/>
        </w:rPr>
        <w:t xml:space="preserve">نعم،قد یتوهّم شموله لما یقابل الزیادة،کالسِّمَن و تعلُّم الصنعة.</w:t>
      </w:r>
    </w:p>
    <w:p>
      <w:pPr>
        <w:pStyle w:val="BookText"/>
      </w:pPr>
      <w:r>
        <w:rPr>
          <w:rFonts w:ascii="IRNazanin" w:hAnsi="IRNazanin" w:eastAsia="IRNazanin" w:cs="IRNazanin"/>
          <w:lang w:bidi="fa-IR"/>
          <w:color w:val="111111"/>
          <w:sz w:val="28"/>
          <w:szCs w:val="28"/>
          <w:rtl/>
        </w:rPr>
        <w:t xml:space="preserve">لکنّه یندفع:بأنّ الظاهر من قیام العین بقاؤه بمعنی أن لا ینقص مالیّته، لا بمعنی أن لا یزید و لا ینقص،کما لا یخفی علی المتأمّل.</w:t>
      </w:r>
    </w:p>
    <w:p>
      <w:pPr>
        <w:pStyle w:val="BookText"/>
      </w:pPr>
      <w:r>
        <w:rPr>
          <w:rFonts w:ascii="IRNazanin" w:hAnsi="IRNazanin" w:eastAsia="IRNazanin" w:cs="IRNazanin"/>
          <w:lang w:bidi="fa-IR"/>
          <w:color w:val="111111"/>
          <w:sz w:val="28"/>
          <w:szCs w:val="28"/>
          <w:rtl/>
        </w:rPr>
        <w:t xml:space="preserve">و استدلّ العلّامة فی التذکرة علی أصل الحکم قبل المرسلة </w:t>
      </w:r>
      <w:r>
        <w:rPr>
          <w:rStyle w:val="FootnoteReference"/>
        </w:rPr>
        <w:footnoteReference w:id="3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العیب الحادث یقتضی إتلاف جزءٍ من المبیع،فیکون مضموناً علی المشتری،فیسقط ردّه؛للنقص الحاصل فی یده؛فإنّه لیس تحمّل البائع له بالعیب السابق أولی من تحمّل المشتری به للعیب الحادث </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المرسلة </w:t>
      </w:r>
      <w:r>
        <w:rPr>
          <w:rStyle w:val="FootnoteReference"/>
        </w:rPr>
        <w:footnoteReference w:id="3644"/>
      </w:r>
      <w:r>
        <w:rPr>
          <w:rFonts w:ascii="IRNazanin" w:hAnsi="IRNazanin" w:eastAsia="IRNazanin" w:cs="IRNazanin"/>
          <w:lang w:bidi="fa-IR"/>
          <w:color w:val="111111"/>
          <w:sz w:val="28"/>
          <w:szCs w:val="28"/>
          <w:rtl/>
        </w:rPr>
        <w:t xml:space="preserve">لا تشمل جمیع أفراد النقص،مثل نسیان الدابّة للطحن و شبهه.</w:t>
      </w:r>
    </w:p>
    <w:p>
      <w:pPr>
        <w:pStyle w:val="BookText"/>
      </w:pPr>
      <w:r>
        <w:rPr>
          <w:rFonts w:ascii="IRNazanin" w:hAnsi="IRNazanin" w:eastAsia="IRNazanin" w:cs="IRNazanin"/>
          <w:lang w:bidi="fa-IR"/>
          <w:color w:val="111111"/>
          <w:sz w:val="28"/>
          <w:szCs w:val="28"/>
          <w:rtl/>
        </w:rPr>
        <w:t xml:space="preserve">و الوجه المذکور بعدها </w:t>
      </w:r>
      <w:r>
        <w:rPr>
          <w:rStyle w:val="FootnoteReference"/>
        </w:rPr>
        <w:footnoteReference w:id="3645"/>
      </w:r>
      <w:r>
        <w:rPr>
          <w:rFonts w:ascii="IRNazanin" w:hAnsi="IRNazanin" w:eastAsia="IRNazanin" w:cs="IRNazanin"/>
          <w:lang w:bidi="fa-IR"/>
          <w:color w:val="111111"/>
          <w:sz w:val="28"/>
          <w:szCs w:val="28"/>
          <w:rtl/>
        </w:rPr>
        <w:t xml:space="preserve">قاصرٌ عن إفادة المدّعی؛لأنّ المرجع بعد عدم الأولویّة من أحد الطرفین إلی أصالة ثبوت الخیار و عدم ما یدلّ علی سقوطه،غایة الأمر أنّه لو کان الحادث عیباً کان علیه الأرش للبائع إذا ردّه،کما لو تقایلا أو فسخ أحدهما بخیاره بعد تعیّب العین.</w:t>
      </w:r>
    </w:p>
    <w:p>
      <w:pPr>
        <w:pStyle w:val="BookText"/>
      </w:pPr>
      <w:r>
        <w:rPr>
          <w:rFonts w:ascii="IRNazanin" w:hAnsi="IRNazanin" w:eastAsia="IRNazanin" w:cs="IRNazanin"/>
          <w:lang w:bidi="fa-IR"/>
          <w:color w:val="111111"/>
          <w:sz w:val="28"/>
          <w:szCs w:val="28"/>
          <w:rtl/>
        </w:rPr>
        <w:t xml:space="preserve">أمّا مثل نسیان الصنعة و شبهه فلا یوجب أرشاً بل یردّه؛لأنّ النقص حدث فی ملکه و إنّما یضمن وصف الصحّة لکونه کالجزء التالف، فیرجع </w:t>
      </w:r>
      <w:r>
        <w:rPr>
          <w:rStyle w:val="FootnoteReference"/>
        </w:rPr>
        <w:footnoteReference w:id="3646"/>
      </w:r>
      <w:r>
        <w:rPr>
          <w:rFonts w:ascii="IRNazanin" w:hAnsi="IRNazanin" w:eastAsia="IRNazanin" w:cs="IRNazanin"/>
          <w:lang w:bidi="fa-IR"/>
          <w:color w:val="111111"/>
          <w:sz w:val="28"/>
          <w:szCs w:val="28"/>
          <w:rtl/>
        </w:rPr>
        <w:t xml:space="preserve">بعد الفسخ ببدله.</w:t>
      </w:r>
    </w:p>
    <w:p>
      <w:pPr>
        <w:pStyle w:val="BookText"/>
      </w:pPr>
      <w:r>
        <w:rPr>
          <w:rFonts w:ascii="IRNazanin" w:hAnsi="IRNazanin" w:eastAsia="IRNazanin" w:cs="IRNazanin"/>
          <w:lang w:bidi="fa-IR"/>
          <w:color w:val="111111"/>
          <w:sz w:val="28"/>
          <w:szCs w:val="28"/>
          <w:rtl/>
        </w:rPr>
        <w:t xml:space="preserve">نعم،لو عُلّل الردّ بالعیب القدیم بکون الصبر علی المعیب ضرراً، أمکن أن یقال:إنّ تدارک ضرر المشتری بجواز الردّ مع تضرّر البائع بالصبر علی العیب الحادث ممّا لا یقتضیه قاعدة نفی الضرر.لکنّ العمدة فی دلیل الردّ هو النصّ و الإجماع،فاستصحاب الخیار عند الشکّ فی المسقط لا بأس به.</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إلّا أنّ الإنصاف أنّ المستفاد من التمثیل فی الروایة بالصبغ و الخیاطة هو إناطة الحکم بمطلق النقص.</w:t>
      </w:r>
    </w:p>
    <w:p>
      <w:pPr>
        <w:pStyle w:val="BookText"/>
      </w:pPr>
      <w:r>
        <w:rPr>
          <w:rFonts w:ascii="IRNazanin" w:hAnsi="IRNazanin" w:eastAsia="IRNazanin" w:cs="IRNazanin"/>
          <w:lang w:bidi="fa-IR"/>
          <w:color w:val="111111"/>
          <w:sz w:val="28"/>
          <w:szCs w:val="28"/>
          <w:rtl/>
        </w:rPr>
        <w:t xml:space="preserve">توضیح ذلک:أنّ المراد ب«قیام العین»هو ما یقابل الأعمّ من تلفها و تغیّرها،علی ما عرفت من دلالة ذکر الأمثلة علی ذلک.لکنّ المراد من التغیّر هو الموجب للنقص لا الزیادة،لأنّ مثل السِّمَن لا یمنع الردّ قطعاً،و المراد بالنقص هو الأعمّ من العیب الموجب للأرش،فإنّ النقص الحاصل بالصبغ و الخیاطة إنّما هو لتعلّق حقّ المشتری بالثوب من جهة الصبغ و الخیاطة،و هذا لیس عیباً اصطلاحیّاً.</w:t>
      </w:r>
    </w:p>
    <w:p>
      <w:pPr>
        <w:pStyle w:val="BookText"/>
      </w:pPr>
      <w:r>
        <w:rPr>
          <w:rFonts w:ascii="IRNazanin" w:hAnsi="IRNazanin" w:eastAsia="IRNazanin" w:cs="IRNazanin"/>
          <w:lang w:bidi="fa-IR"/>
          <w:color w:val="111111"/>
          <w:sz w:val="28"/>
          <w:szCs w:val="28"/>
          <w:rtl/>
        </w:rPr>
        <w:t xml:space="preserve">و دعوی:اختصاصه بالتغیّر الخارجی الذی هو مورد الأمثلة فلا یعمّ مثل نسیان الدابّة للطحن.</w:t>
      </w:r>
    </w:p>
    <w:p>
      <w:pPr>
        <w:pStyle w:val="BookText"/>
      </w:pPr>
      <w:r>
        <w:rPr>
          <w:rFonts w:ascii="IRNazanin" w:hAnsi="IRNazanin" w:eastAsia="IRNazanin" w:cs="IRNazanin"/>
          <w:lang w:bidi="fa-IR"/>
          <w:color w:val="111111"/>
          <w:sz w:val="28"/>
          <w:szCs w:val="28"/>
          <w:rtl/>
        </w:rPr>
        <w:t xml:space="preserve">یدفعه:أنّ المقصود مجرّد النقص،مع أنّه إذا ثبت الحکم فی النقص الحادث و إن لم یکن عیباً اصطلاحیّاً،ثبت فی المغیّر و غیره؛ للقطع بعدم الفرق،فإنّ المحتمل هو ثبوت الفرق فی النقص الحادث بین کونه عیباً اصطلاحیّاً لا یجوز ردّ العین إلّا مع أرشه،و کونه مجرّد نقصٍ لا یوجب أرشاً کنسیان الکتابة و الطحن.أمّا الفرق فی </w:t>
      </w:r>
      <w:r>
        <w:rPr>
          <w:rStyle w:val="FootnoteReference"/>
        </w:rPr>
        <w:footnoteReference w:id="3647"/>
      </w:r>
      <w:r>
        <w:rPr>
          <w:rFonts w:ascii="IRNazanin" w:hAnsi="IRNazanin" w:eastAsia="IRNazanin" w:cs="IRNazanin"/>
          <w:lang w:bidi="fa-IR"/>
          <w:color w:val="111111"/>
          <w:sz w:val="28"/>
          <w:szCs w:val="28"/>
          <w:rtl/>
        </w:rPr>
        <w:t xml:space="preserve">أفراد النقص الغیر الموجب للأرش بین مغیّر العین حسّا و غیره فلا مجال لاحتماله.</w:t>
      </w:r>
    </w:p>
    <w:p>
      <w:pPr>
        <w:pStyle w:val="BookText"/>
      </w:pPr>
      <w:r>
        <w:rPr>
          <w:rFonts w:ascii="IRNazanin" w:hAnsi="IRNazanin" w:eastAsia="IRNazanin" w:cs="IRNazanin"/>
          <w:lang w:bidi="fa-IR"/>
          <w:color w:val="111111"/>
          <w:sz w:val="28"/>
          <w:szCs w:val="28"/>
          <w:rtl/>
        </w:rPr>
        <w:t xml:space="preserve">ثمّ إنّ ظاهر المفید فی المقنعة المخالفة فی أصل المسألة،و أنّ حدوث العیب لا یمنع عن الردّ </w:t>
      </w:r>
      <w:r>
        <w:rPr>
          <w:rStyle w:val="FootnoteReference"/>
        </w:rPr>
        <w:footnoteReference w:id="3648"/>
      </w:r>
      <w:r>
        <w:rPr>
          <w:rFonts w:ascii="Amiri" w:hAnsi="Amiri" w:eastAsia="Amiri" w:cs="Amiri"/>
          <w:lang w:bidi="ar-SA"/>
          <w:color w:val="111111"/>
          <w:sz w:val="28"/>
          <w:szCs w:val="28"/>
          <w:rtl/>
        </w:rPr>
        <w:t xml:space="preserve">.لکنّه شاذٌّ علی الظاهر.</w:t>
      </w:r>
    </w:p>
    <w:p>
      <w:pPr>
        <w:pStyle w:val="BookText"/>
      </w:pPr>
      <w:r>
        <w:rPr>
          <w:rFonts w:ascii="IRNazanin" w:hAnsi="IRNazanin" w:eastAsia="IRNazanin" w:cs="IRNazanin"/>
          <w:lang w:bidi="fa-IR"/>
          <w:color w:val="111111"/>
          <w:sz w:val="28"/>
          <w:szCs w:val="28"/>
          <w:rtl/>
        </w:rPr>
        <w:t xml:space="preserve">ثمّ مقتضی الأصل عدم الفرق فی سقوط الخیار بین بقاء العیب</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 و زواله،فلا یثبت بعد زواله؛لعدم الدلیل علی الثبوت بعد السقوط.</w:t>
      </w:r>
    </w:p>
    <w:p>
      <w:pPr>
        <w:pStyle w:val="BookText"/>
      </w:pPr>
      <w:r>
        <w:rPr>
          <w:rFonts w:ascii="IRNazanin" w:hAnsi="IRNazanin" w:eastAsia="IRNazanin" w:cs="IRNazanin"/>
          <w:lang w:bidi="fa-IR"/>
          <w:color w:val="111111"/>
          <w:sz w:val="28"/>
          <w:szCs w:val="28"/>
          <w:rtl/>
        </w:rPr>
        <w:t xml:space="preserve">قال فی التذکرة:عندنا أنّ العیب المتجدّد مانعٌ عن الردّ بالعیب السابق،سواءً زال أم لا </w:t>
      </w:r>
      <w:r>
        <w:rPr>
          <w:rStyle w:val="FootnoteReference"/>
        </w:rPr>
        <w:footnoteReference w:id="3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التحریر:لو زال العیب الحادث عند المشتری و لم یکن بسببه کان له الردّ و لا أرش علیه </w:t>
      </w:r>
      <w:r>
        <w:rPr>
          <w:rStyle w:val="FootnoteReference"/>
        </w:rPr>
        <w:footnoteReference w:id="365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لعلّ وجهه:أنّ الممنوع هو ردّه معیوباً لأجل تضرّر البائع و ضمان المشتری لما یحدث،و قد انتفی الأمران.</w:t>
      </w:r>
    </w:p>
    <w:p>
      <w:pPr>
        <w:pStyle w:val="BookText"/>
      </w:pPr>
      <w:r>
        <w:rPr>
          <w:rFonts w:ascii="IRNazanin" w:hAnsi="IRNazanin" w:eastAsia="IRNazanin" w:cs="IRNazanin"/>
          <w:lang w:bidi="fa-IR"/>
          <w:color w:val="111111"/>
          <w:sz w:val="28"/>
          <w:szCs w:val="28"/>
          <w:rtl/>
        </w:rPr>
        <w:t xml:space="preserve">و لو رضی البائع بردّه مجبوراً بالأرش أو غیر مجبورٍ جاز الردّ، کما فی الدروس </w:t>
      </w:r>
      <w:r>
        <w:rPr>
          <w:rStyle w:val="FootnoteReference"/>
        </w:rPr>
        <w:footnoteReference w:id="3651"/>
      </w:r>
      <w:r>
        <w:rPr>
          <w:rFonts w:ascii="IRNazanin" w:hAnsi="IRNazanin" w:eastAsia="IRNazanin" w:cs="IRNazanin"/>
          <w:lang w:bidi="fa-IR"/>
          <w:color w:val="111111"/>
          <w:sz w:val="28"/>
          <w:szCs w:val="28"/>
          <w:rtl/>
        </w:rPr>
        <w:t xml:space="preserve">و غیره </w:t>
      </w:r>
      <w:r>
        <w:rPr>
          <w:rStyle w:val="FootnoteReference"/>
        </w:rPr>
        <w:footnoteReference w:id="3652"/>
      </w:r>
      <w:r>
        <w:rPr>
          <w:rFonts w:ascii="IRNazanin" w:hAnsi="IRNazanin" w:eastAsia="IRNazanin" w:cs="IRNazanin"/>
          <w:lang w:bidi="fa-IR"/>
          <w:color w:val="111111"/>
          <w:sz w:val="28"/>
          <w:szCs w:val="28"/>
          <w:rtl/>
        </w:rPr>
        <w:t xml:space="preserve">لأنّ عدم الجواز لحقّ البائع،و إلّا فمقتضی قاعدة خیار الفسخ عدم سقوطه بحدوث العیب،غایة الأمر ثبوت قیمة العیب،و إنّما منع من الردّ هنا للنصّ </w:t>
      </w:r>
      <w:r>
        <w:rPr>
          <w:rStyle w:val="FootnoteReference"/>
        </w:rPr>
        <w:footnoteReference w:id="3653"/>
      </w:r>
      <w:r>
        <w:rPr>
          <w:rFonts w:ascii="IRNazanin" w:hAnsi="IRNazanin" w:eastAsia="IRNazanin" w:cs="IRNazanin"/>
          <w:lang w:bidi="fa-IR"/>
          <w:color w:val="111111"/>
          <w:sz w:val="28"/>
          <w:szCs w:val="28"/>
          <w:rtl/>
        </w:rPr>
        <w:t xml:space="preserve">و الإجماع،أو للضرر.</w:t>
      </w:r>
    </w:p>
    <w:p>
      <w:pPr>
        <w:pStyle w:val="BookText"/>
      </w:pPr>
      <w:r>
        <w:rPr>
          <w:rFonts w:ascii="IRNazanin" w:hAnsi="IRNazanin" w:eastAsia="IRNazanin" w:cs="IRNazanin"/>
          <w:lang w:bidi="fa-IR"/>
          <w:color w:val="111111"/>
          <w:sz w:val="28"/>
          <w:szCs w:val="28"/>
          <w:rtl/>
        </w:rPr>
        <w:t xml:space="preserve">و ممّا ذکرنا یعلم:أنّ المراد بالأرش الذی یغرمه المشتری عند الردّ قیمة العیب،لا الأرش الذی یغرمه البائع للمشتری عند عدم الردّ؛لأنّ العیب القدیم مضمونٌ بضمان المعاوضة و الحادث مضمونٌ بضمان الید.</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00" w:name="pg14419_167589"/>
    <w:bookmarkEnd w:id="40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صریح المبسوط:أنّه لو رضی البائع بأخذه معیوباً لم یجز مطالبته بالأرش </w:t>
      </w:r>
      <w:r>
        <w:rPr>
          <w:rStyle w:val="FootnoteReference"/>
        </w:rPr>
        <w:footnoteReference w:id="3654"/>
      </w:r>
      <w:r>
        <w:rPr>
          <w:rFonts w:ascii="IRNazanin" w:hAnsi="IRNazanin" w:eastAsia="IRNazanin" w:cs="IRNazanin"/>
          <w:lang w:bidi="fa-IR"/>
          <w:color w:val="111111"/>
          <w:sz w:val="28"/>
          <w:szCs w:val="28"/>
          <w:rtl/>
        </w:rPr>
        <w:t xml:space="preserve">.و هذا أحد المواضع التی أشرنا </w:t>
      </w:r>
      <w:r>
        <w:rPr>
          <w:rStyle w:val="FootnoteReference"/>
        </w:rPr>
        <w:footnoteReference w:id="3655"/>
      </w:r>
      <w:r>
        <w:rPr>
          <w:rFonts w:ascii="IRNazanin" w:hAnsi="IRNazanin" w:eastAsia="IRNazanin" w:cs="IRNazanin"/>
          <w:lang w:bidi="fa-IR"/>
          <w:color w:val="111111"/>
          <w:sz w:val="28"/>
          <w:szCs w:val="28"/>
          <w:rtl/>
        </w:rPr>
        <w:t xml:space="preserve">فی أوّل المسألة إلی تصریح الشیخ فیها بأنّ الأرش مشروطٌ بالیأس من الردّ،و ینافیه إطلاق الأخبار فی أخذ </w:t>
      </w:r>
      <w:r>
        <w:rPr>
          <w:rStyle w:val="FootnoteReference"/>
        </w:rPr>
        <w:footnoteReference w:id="3656"/>
      </w:r>
      <w:r>
        <w:rPr>
          <w:rFonts w:ascii="IRNazanin" w:hAnsi="IRNazanin" w:eastAsia="IRNazanin" w:cs="IRNazanin"/>
          <w:lang w:bidi="fa-IR"/>
          <w:color w:val="111111"/>
          <w:sz w:val="28"/>
          <w:szCs w:val="28"/>
          <w:rtl/>
        </w:rPr>
        <w:t xml:space="preserve">الأرش </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Heading6"/>
      </w:pPr>
      <w:bookmarkStart w:id="1316" w:name="_Toc756"/>
      <w:r>
        <w:t>تنبیه:</w:t>
      </w:r>
      <w:bookmarkEnd w:id="1316"/>
    </w:p>
    <w:p>
      <w:pPr>
        <w:pStyle w:val="BookText"/>
      </w:pPr>
      <w:r>
        <w:rPr>
          <w:rFonts w:ascii="IRNazanin" w:hAnsi="IRNazanin" w:eastAsia="IRNazanin" w:cs="IRNazanin"/>
          <w:lang w:bidi="fa-IR"/>
          <w:color w:val="111111"/>
          <w:sz w:val="28"/>
          <w:szCs w:val="28"/>
          <w:rtl/>
        </w:rPr>
        <w:t xml:space="preserve">ظاهر التذکرة </w:t>
      </w:r>
      <w:r>
        <w:rPr>
          <w:rStyle w:val="FootnoteReference"/>
        </w:rPr>
        <w:footnoteReference w:id="3658"/>
      </w:r>
      <w:r>
        <w:rPr>
          <w:rFonts w:ascii="IRNazanin" w:hAnsi="IRNazanin" w:eastAsia="IRNazanin" w:cs="IRNazanin"/>
          <w:lang w:bidi="fa-IR"/>
          <w:color w:val="111111"/>
          <w:sz w:val="28"/>
          <w:szCs w:val="28"/>
          <w:rtl/>
        </w:rPr>
        <w:t xml:space="preserve">و الدروس </w:t>
      </w:r>
      <w:r>
        <w:rPr>
          <w:rStyle w:val="FootnoteReference"/>
        </w:rPr>
        <w:footnoteReference w:id="3659"/>
      </w:r>
      <w:r>
        <w:rPr>
          <w:rFonts w:ascii="IRNazanin" w:hAnsi="IRNazanin" w:eastAsia="IRNazanin" w:cs="IRNazanin"/>
          <w:lang w:bidi="fa-IR"/>
          <w:color w:val="111111"/>
          <w:sz w:val="28"/>
          <w:szCs w:val="28"/>
          <w:rtl/>
        </w:rPr>
        <w:t xml:space="preserve">:أنّ من العیب المانع من الردّ بالعیب القدیم تبعّض الصفقة علی البائع.</w:t>
      </w:r>
    </w:p>
    <w:p>
      <w:pPr>
        <w:pStyle w:val="BookText"/>
      </w:pPr>
      <w:r>
        <w:rPr>
          <w:rFonts w:ascii="IRNazanin" w:hAnsi="IRNazanin" w:eastAsia="IRNazanin" w:cs="IRNazanin"/>
          <w:lang w:bidi="fa-IR"/>
          <w:color w:val="111111"/>
          <w:sz w:val="28"/>
          <w:szCs w:val="28"/>
          <w:rtl/>
        </w:rPr>
        <w:t xml:space="preserve">و توضیح الکلام فی فروع هذه المسألة:أنّ التعدّد المتصوَّر فیه التبعّض إمّا فی العوض </w:t>
      </w:r>
      <w:r>
        <w:rPr>
          <w:rStyle w:val="FootnoteReference"/>
        </w:rPr>
        <w:footnoteReference w:id="3660"/>
      </w:r>
      <w:r>
        <w:rPr>
          <w:rFonts w:ascii="IRNazanin" w:hAnsi="IRNazanin" w:eastAsia="IRNazanin" w:cs="IRNazanin"/>
          <w:lang w:bidi="fa-IR"/>
          <w:color w:val="111111"/>
          <w:sz w:val="28"/>
          <w:szCs w:val="28"/>
          <w:rtl/>
        </w:rPr>
        <w:t xml:space="preserve">ثمناً کان أو مثمناً و إمّا فی البائع،و إمّا فی المشتری.</w:t>
      </w:r>
    </w:p>
    <w:p>
      <w:pPr>
        <w:pStyle w:val="BookText"/>
      </w:pPr>
      <w:r>
        <w:rPr>
          <w:rFonts w:ascii="Amiri" w:hAnsi="Amiri" w:eastAsia="Amiri" w:cs="Amiri"/>
          <w:lang w:bidi="ar-SA"/>
          <w:color w:val="111111"/>
          <w:sz w:val="28"/>
          <w:szCs w:val="28"/>
          <w:rtl/>
        </w:rPr>
        <w:t xml:space="preserve">فالأوّل:کما إذا اشتری شیئاً واحداً أو شیئین بثمنٍ واحدٍ من مشترٍ </w:t>
      </w:r>
      <w:r>
        <w:rPr>
          <w:rStyle w:val="FootnoteReference"/>
        </w:rPr>
        <w:footnoteReference w:id="3661"/>
      </w:r>
      <w:r>
        <w:rPr>
          <w:rFonts w:ascii="IRNazanin" w:hAnsi="IRNazanin" w:eastAsia="IRNazanin" w:cs="IRNazanin"/>
          <w:lang w:bidi="fa-IR"/>
          <w:color w:val="111111"/>
          <w:sz w:val="28"/>
          <w:szCs w:val="28"/>
          <w:rtl/>
        </w:rPr>
        <w:t xml:space="preserve">واحدٍ فظهر بعضه معیباً،و کذا[لو </w:t>
      </w:r>
      <w:r>
        <w:rPr>
          <w:rStyle w:val="FootnoteReference"/>
        </w:rPr>
        <w:footnoteReference w:id="3662"/>
      </w:r>
      <w:r>
        <w:rPr>
          <w:rFonts w:ascii="IRNazanin" w:hAnsi="IRNazanin" w:eastAsia="IRNazanin" w:cs="IRNazanin"/>
          <w:lang w:bidi="fa-IR"/>
          <w:color w:val="111111"/>
          <w:sz w:val="28"/>
          <w:szCs w:val="28"/>
          <w:rtl/>
        </w:rPr>
        <w:t xml:space="preserve">]باع شیئاً بثمنٍ،فظهر بعض الثمن معیباً.</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الثانی:کما إذا باع اثنان من واحدٍ شیئاً واحداً فظهر معیباً، و أراد المشتری أن یردّ علی أحدهما نصیبه دون الآخر.</w:t>
      </w:r>
    </w:p>
    <w:p>
      <w:pPr>
        <w:pStyle w:val="BookText"/>
      </w:pPr>
      <w:r>
        <w:rPr>
          <w:rFonts w:ascii="IRNazanin" w:hAnsi="IRNazanin" w:eastAsia="IRNazanin" w:cs="IRNazanin"/>
          <w:lang w:bidi="fa-IR"/>
          <w:color w:val="111111"/>
          <w:sz w:val="28"/>
          <w:szCs w:val="28"/>
          <w:rtl/>
        </w:rPr>
        <w:t xml:space="preserve">و الثالث:کما إذا اشتری اثنان من واحدٍ شیئاً فظهر معیباً، فاختار أحدهما الردّ دون الآخر،و ألحق بذلک الوارثان لمشترٍ واحدٍ للمعیب.</w:t>
      </w:r>
    </w:p>
    <w:p>
      <w:pPr>
        <w:pStyle w:val="BookText"/>
      </w:pPr>
      <w:r>
        <w:rPr>
          <w:rFonts w:ascii="IRNazanin" w:hAnsi="IRNazanin" w:eastAsia="IRNazanin" w:cs="IRNazanin"/>
          <w:lang w:bidi="fa-IR"/>
          <w:color w:val="111111"/>
          <w:sz w:val="28"/>
          <w:szCs w:val="28"/>
          <w:rtl/>
        </w:rPr>
        <w:t xml:space="preserve">و أمّا التعدّد فی الثمن:بأن یشتری شیئاً واحداً بعضَه بثمنٍ و بعضَه الآخر بثمنٍ آخر،فلا إشکال فی کون هذا عقدین،و لا إشکال فی جواز التفریق بینهما.</w:t>
      </w:r>
    </w:p>
    <w:p>
      <w:pPr>
        <w:pStyle w:val="BookText"/>
      </w:pPr>
      <w:r>
        <w:rPr>
          <w:rFonts w:ascii="IRNazanin" w:hAnsi="IRNazanin" w:eastAsia="IRNazanin" w:cs="IRNazanin"/>
          <w:lang w:bidi="fa-IR"/>
          <w:color w:val="111111"/>
          <w:sz w:val="28"/>
          <w:szCs w:val="28"/>
          <w:rtl/>
        </w:rPr>
        <w:t xml:space="preserve">أمّا الأوّل:فالمعروف أنّه لا یجوز التبعیض فیه من حیث الردّ، بل الظاهر المصرَّح به فی کلمات بعضٍ الإجماع علیه </w:t>
      </w:r>
      <w:r>
        <w:rPr>
          <w:rStyle w:val="FootnoteReference"/>
        </w:rPr>
        <w:footnoteReference w:id="3663"/>
      </w:r>
      <w:r>
        <w:rPr>
          <w:rFonts w:ascii="IRNazanin" w:hAnsi="IRNazanin" w:eastAsia="IRNazanin" w:cs="IRNazanin"/>
          <w:lang w:bidi="fa-IR"/>
          <w:color w:val="111111"/>
          <w:sz w:val="28"/>
          <w:szCs w:val="28"/>
          <w:rtl/>
        </w:rPr>
        <w:t xml:space="preserve">لأنّ المردود إن کان جزءاً مشاعاً من المبیع الواحد فهو ناقصٌ من حیث حدوث الشرکة،و إن کان معیّناً فهو ناقص من حیث حدوث التفریق فیه،و کلٌّ منهما نقصٌ یوجب الخیار لو حدث فی المبیع الصحیح،فهو أولی بالمنع عن الردّ من نسیان الدابّة الطحن.</w:t>
      </w:r>
    </w:p>
    <w:p>
      <w:pPr>
        <w:pStyle w:val="BookText"/>
      </w:pPr>
      <w:r>
        <w:rPr>
          <w:rFonts w:ascii="IRNazanin" w:hAnsi="IRNazanin" w:eastAsia="IRNazanin" w:cs="IRNazanin"/>
          <w:lang w:bidi="fa-IR"/>
          <w:color w:val="111111"/>
          <w:sz w:val="28"/>
          <w:szCs w:val="28"/>
          <w:rtl/>
        </w:rPr>
        <w:t xml:space="preserve">و هذا الضرر و إن أمکن جبره بخیار البائع نظیر ما إذا کان بعض الصفقة حیواناً فردّه المشتری بخیار الثلاثة إلّا أنّه یوجب الضرر علی المشتری؛إذ قد یتعلّق غرضه بإمساک الجزء الصحیح.و یدلّ علیه النصّ المانع عن الردّ بخیاطة الثوب و الصبغ </w:t>
      </w:r>
      <w:r>
        <w:rPr>
          <w:rStyle w:val="FootnoteReference"/>
        </w:rPr>
        <w:footnoteReference w:id="3664"/>
      </w:r>
      <w:r>
        <w:rPr>
          <w:rFonts w:ascii="IRNazanin" w:hAnsi="IRNazanin" w:eastAsia="IRNazanin" w:cs="IRNazanin"/>
          <w:lang w:bidi="fa-IR"/>
          <w:color w:val="111111"/>
          <w:sz w:val="28"/>
          <w:szCs w:val="28"/>
          <w:rtl/>
        </w:rPr>
        <w:t xml:space="preserve">،فإنّ المانع فیهما لیس</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حصول الشرکة[فی الثوب </w:t>
      </w:r>
      <w:r>
        <w:rPr>
          <w:rStyle w:val="FootnoteReference"/>
        </w:rPr>
        <w:footnoteReference w:id="3665"/>
      </w:r>
      <w:r>
        <w:rPr>
          <w:rFonts w:ascii="IRNazanin" w:hAnsi="IRNazanin" w:eastAsia="IRNazanin" w:cs="IRNazanin"/>
          <w:lang w:bidi="fa-IR"/>
          <w:color w:val="111111"/>
          <w:sz w:val="28"/>
          <w:szCs w:val="28"/>
          <w:rtl/>
        </w:rPr>
        <w:t xml:space="preserve">]بنسبة الصبغ و الخیاطة لا مجرّد تغیّر الهیئة؛و لذا لو تغیّر بما یوجب الزیادة کالسِّمَن لم یمنع عن الردّ قطعاً.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و قد یستدلّ </w:t>
      </w:r>
      <w:r>
        <w:rPr>
          <w:rStyle w:val="FootnoteReference"/>
        </w:rPr>
        <w:footnoteReference w:id="3666"/>
      </w:r>
      <w:r>
        <w:rPr>
          <w:rFonts w:ascii="IRNazanin" w:hAnsi="IRNazanin" w:eastAsia="IRNazanin" w:cs="IRNazanin"/>
          <w:lang w:bidi="fa-IR"/>
          <w:color w:val="111111"/>
          <w:sz w:val="28"/>
          <w:szCs w:val="28"/>
          <w:rtl/>
        </w:rPr>
        <w:t xml:space="preserve">بعد ردّ الاستدلال بتبعّض الصفقة بما ذکرناه مع دفعه </w:t>
      </w:r>
      <w:r>
        <w:rPr>
          <w:rStyle w:val="FootnoteReference"/>
        </w:rPr>
        <w:footnoteReference w:id="3667"/>
      </w:r>
      <w:r>
        <w:rPr>
          <w:rFonts w:ascii="IRNazanin" w:hAnsi="IRNazanin" w:eastAsia="IRNazanin" w:cs="IRNazanin"/>
          <w:lang w:bidi="fa-IR"/>
          <w:color w:val="111111"/>
          <w:sz w:val="28"/>
          <w:szCs w:val="28"/>
          <w:rtl/>
        </w:rPr>
        <w:t xml:space="preserve">بظهور الأدلّة فی تعلّق حقّ الخیار بمجموع المبیع لا کلّ جزءٍ منه؛لا أقلّ من الشکّ؛لعدم إطلاقٍ موثوقٍ به،و الأصل اللزوم.</w:t>
      </w:r>
    </w:p>
    <w:p>
      <w:pPr>
        <w:pStyle w:val="BookText"/>
      </w:pPr>
      <w:r>
        <w:rPr>
          <w:rFonts w:ascii="IRNazanin" w:hAnsi="IRNazanin" w:eastAsia="IRNazanin" w:cs="IRNazanin"/>
          <w:lang w:bidi="fa-IR"/>
          <w:color w:val="111111"/>
          <w:sz w:val="28"/>
          <w:szCs w:val="28"/>
          <w:rtl/>
        </w:rPr>
        <w:t xml:space="preserve">و فیه مضافاً إلی أنّ اللازم من ذلک عدم جواز ردّ المعیب منفرداً و إن رضی البائع؛لأنّ المنع حینئذٍ لعدم المقتضی للخیار فی الجزء لا لوجود المانع عنه و هو لزوم الضرر علی البائع حتّی ینتفی برضا البائع-:أنّه لا یشکّ أحدٌ فی أنّ دلیل هذا الخیار کغیره من أدلّة جمیع الخیارات صریحٌ </w:t>
      </w:r>
      <w:r>
        <w:rPr>
          <w:rStyle w:val="FootnoteReference"/>
        </w:rPr>
        <w:footnoteReference w:id="3668"/>
      </w:r>
      <w:r>
        <w:rPr>
          <w:rFonts w:ascii="IRNazanin" w:hAnsi="IRNazanin" w:eastAsia="IRNazanin" w:cs="IRNazanin"/>
          <w:lang w:bidi="fa-IR"/>
          <w:color w:val="111111"/>
          <w:sz w:val="28"/>
          <w:szCs w:val="28"/>
          <w:rtl/>
        </w:rPr>
        <w:t xml:space="preserve">فی ثبوت حقّ الخیار لمجموع المبیع لا کلّ جزءٍ؛و لذا لم یجوّز أحدٌ تبعیض ذی خیارٍ بین </w:t>
      </w:r>
      <w:r>
        <w:rPr>
          <w:rStyle w:val="FootnoteReference"/>
        </w:rPr>
        <w:footnoteReference w:id="3669"/>
      </w:r>
      <w:r>
        <w:rPr>
          <w:rFonts w:ascii="IRNazanin" w:hAnsi="IRNazanin" w:eastAsia="IRNazanin" w:cs="IRNazanin"/>
          <w:lang w:bidi="fa-IR"/>
          <w:color w:val="111111"/>
          <w:sz w:val="28"/>
          <w:szCs w:val="28"/>
          <w:rtl/>
        </w:rPr>
        <w:t xml:space="preserve">أجزاءِ ما لَه فیه الخیار،و لم یحتمل هنا أحدٌ ردَّ الصحیح دون المعیب،و إنّما وقع الإشکال فی أنّ محلّ الخیار هو هذا الشیء المعیوب غایة الأمر أنّه یجوز ردّ الجزء الصحیح معه إمّا لئلّا یتبعّض الصفقة علیه،و إمّا لقیام الإجماع علی جواز ردّه،و إمّا لصدق المعیوب علی المجموع کما تقدّم أو أنّ محلّ الخیار هو مجموع ما وقع علیه العقد لکونه معیوباً و لو من حیث بعضه؟</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اخری:الخیار المسبّب عن وجود الشیء المعیوب فی الصفقة نظیر الخیار المسبّب عن وجود الحیوان فی الصفقة فی اختصاصه بالجزء المعنون بما هو سبب الخیار </w:t>
      </w:r>
      <w:r>
        <w:rPr>
          <w:rStyle w:val="FootnoteReference"/>
        </w:rPr>
        <w:footnoteReference w:id="3670"/>
      </w:r>
      <w:r>
        <w:rPr>
          <w:rFonts w:ascii="IRNazanin" w:hAnsi="IRNazanin" w:eastAsia="IRNazanin" w:cs="IRNazanin"/>
          <w:lang w:bidi="fa-IR"/>
          <w:color w:val="111111"/>
          <w:sz w:val="28"/>
          <w:szCs w:val="28"/>
          <w:rtl/>
        </w:rPr>
        <w:t xml:space="preserve">أم لا؟بل غایة الأمر ظهور النصوص الواردة فی الردّ </w:t>
      </w:r>
      <w:r>
        <w:rPr>
          <w:rStyle w:val="FootnoteReference"/>
        </w:rPr>
        <w:footnoteReference w:id="3671"/>
      </w:r>
      <w:r>
        <w:rPr>
          <w:rFonts w:ascii="IRNazanin" w:hAnsi="IRNazanin" w:eastAsia="IRNazanin" w:cs="IRNazanin"/>
          <w:lang w:bidi="fa-IR"/>
          <w:color w:val="111111"/>
          <w:sz w:val="28"/>
          <w:szCs w:val="28"/>
          <w:rtl/>
        </w:rPr>
        <w:t xml:space="preserve">فی ردّ المبیع </w:t>
      </w:r>
      <w:r>
        <w:rPr>
          <w:rStyle w:val="FootnoteReference"/>
        </w:rPr>
        <w:footnoteReference w:id="3672"/>
      </w:r>
      <w:r>
        <w:rPr>
          <w:rFonts w:ascii="IRNazanin" w:hAnsi="IRNazanin" w:eastAsia="IRNazanin" w:cs="IRNazanin"/>
          <w:lang w:bidi="fa-IR"/>
          <w:color w:val="111111"/>
          <w:sz w:val="28"/>
          <w:szCs w:val="28"/>
          <w:rtl/>
        </w:rPr>
        <w:t xml:space="preserve">الظاهر فی تمام ما وقع علیه العقد،لکن موردها المبیع الواحد العرفی المتّصف بالعیب،نظیر أخبار خیار الحیوان،و هذا المقدار لا یدلّ علی حکم ما لو انضمّ المعیب إلی غیره،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بل قد یدلّ کأخبار خیار الحیوان علی اختصاص الخیار بخصوص ما هو متّصفٌ بالعیب عرفاً باعتبار نفسه أو جزئه الحقیقی کبعض الثوب،لا جزئه الاعتباری کأحد الشیئین الذی هو محلّ الکلام.</w:t>
      </w:r>
    </w:p>
    <w:p>
      <w:pPr>
        <w:pStyle w:val="BookText"/>
      </w:pPr>
      <w:r>
        <w:rPr>
          <w:rFonts w:ascii="IRNazanin" w:hAnsi="IRNazanin" w:eastAsia="IRNazanin" w:cs="IRNazanin"/>
          <w:lang w:bidi="fa-IR"/>
          <w:color w:val="111111"/>
          <w:sz w:val="28"/>
          <w:szCs w:val="28"/>
          <w:rtl/>
        </w:rPr>
        <w:t xml:space="preserve">و منه یظهر عدم جواز التشبّث فی المقام بقوله فی مرسلة جمیل:</w:t>
      </w:r>
    </w:p>
    <w:p>
      <w:pPr>
        <w:pStyle w:val="BookText"/>
      </w:pPr>
      <w:r>
        <w:rPr>
          <w:rFonts w:ascii="IRNazanin" w:hAnsi="IRNazanin" w:eastAsia="IRNazanin" w:cs="IRNazanin"/>
          <w:lang w:bidi="fa-IR"/>
          <w:color w:val="111111"/>
          <w:sz w:val="28"/>
          <w:szCs w:val="28"/>
          <w:rtl/>
        </w:rPr>
        <w:t xml:space="preserve">«إذا کان الشیء قائماً بعینه» </w:t>
      </w:r>
      <w:r>
        <w:rPr>
          <w:rStyle w:val="FootnoteReference"/>
        </w:rPr>
        <w:footnoteReference w:id="3673"/>
      </w:r>
      <w:r>
        <w:rPr>
          <w:rFonts w:ascii="IRNazanin" w:hAnsi="IRNazanin" w:eastAsia="IRNazanin" w:cs="IRNazanin"/>
          <w:lang w:bidi="fa-IR"/>
          <w:color w:val="111111"/>
          <w:sz w:val="28"/>
          <w:szCs w:val="28"/>
          <w:rtl/>
        </w:rPr>
        <w:t xml:space="preserve">لأنّ المراد ب«الشیء»هو المعیب، و لا شکّ فی قیامه هنا بعینه.</w:t>
      </w:r>
    </w:p>
    <w:p>
      <w:pPr>
        <w:pStyle w:val="BookText"/>
      </w:pPr>
      <w:r>
        <w:rPr>
          <w:rFonts w:ascii="IRNazanin" w:hAnsi="IRNazanin" w:eastAsia="IRNazanin" w:cs="IRNazanin"/>
          <w:lang w:bidi="fa-IR"/>
          <w:color w:val="111111"/>
          <w:sz w:val="28"/>
          <w:szCs w:val="28"/>
          <w:rtl/>
        </w:rPr>
        <w:t xml:space="preserve">و بالجملة،فالعمدة فی المسألة مضافاً إلی ظهور الإجماع- ما تقدّم </w:t>
      </w:r>
      <w:r>
        <w:rPr>
          <w:rStyle w:val="FootnoteReference"/>
        </w:rPr>
        <w:footnoteReference w:id="3674"/>
      </w:r>
      <w:r>
        <w:rPr>
          <w:rFonts w:ascii="IRNazanin" w:hAnsi="IRNazanin" w:eastAsia="IRNazanin" w:cs="IRNazanin"/>
          <w:lang w:bidi="fa-IR"/>
          <w:color w:val="111111"/>
          <w:sz w:val="28"/>
          <w:szCs w:val="28"/>
          <w:rtl/>
        </w:rPr>
        <w:t xml:space="preserve">:من أنّ مرجع جواز الردّ منفرداً إلی إثبات سلطنةٍ للمشتری</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الجزء الصحیح من حیث إمساکه ثمّ سلب سلطنته عنه بخیار البائع، و منع سلطنته علی الردّ أوّلاً أولی،و لا أقلّ من التساوی،فیرجع إلی أصالة اللزوم.و الفرق بینه و بین خیار الحیوان الإجماع،کما أنّ للشفیع أن یأخذ بالشفعة فی بعض الصفقة.و بالجملة،فالأصل کافٍ فی المسألة.</w:t>
      </w:r>
    </w:p>
    <w:p>
      <w:pPr>
        <w:pStyle w:val="BookText"/>
      </w:pPr>
      <w:r>
        <w:rPr>
          <w:rFonts w:ascii="IRNazanin" w:hAnsi="IRNazanin" w:eastAsia="IRNazanin" w:cs="IRNazanin"/>
          <w:lang w:bidi="fa-IR"/>
          <w:color w:val="111111"/>
          <w:sz w:val="28"/>
          <w:szCs w:val="28"/>
          <w:rtl/>
        </w:rPr>
        <w:t xml:space="preserve">ثمّ إنّ مقتضی ما ذکروه:من إلحاق تبعّض الصفقة بالعیب الحادث:</w:t>
      </w:r>
    </w:p>
    <w:p>
      <w:pPr>
        <w:pStyle w:val="BookText"/>
      </w:pPr>
      <w:r>
        <w:rPr>
          <w:rFonts w:ascii="IRNazanin" w:hAnsi="IRNazanin" w:eastAsia="IRNazanin" w:cs="IRNazanin"/>
          <w:lang w:bidi="fa-IR"/>
          <w:color w:val="111111"/>
          <w:sz w:val="28"/>
          <w:szCs w:val="28"/>
          <w:rtl/>
        </w:rPr>
        <w:t xml:space="preserve">أنّه لو رضی البائع بتبعّض الصفقة جاز الردّ،کما فی التذکرة معلّلاً بأنّ الحقّ لا یعدوهما </w:t>
      </w:r>
      <w:r>
        <w:rPr>
          <w:rStyle w:val="FootnoteReference"/>
        </w:rPr>
        <w:footnoteReference w:id="3675"/>
      </w:r>
      <w:r>
        <w:rPr>
          <w:rFonts w:ascii="IRNazanin" w:hAnsi="IRNazanin" w:eastAsia="IRNazanin" w:cs="IRNazanin"/>
          <w:lang w:bidi="fa-IR"/>
          <w:color w:val="111111"/>
          <w:sz w:val="28"/>
          <w:szCs w:val="28"/>
          <w:rtl/>
        </w:rPr>
        <w:t xml:space="preserve">.و هذا ممّا یدلّ علی أنّ محلّ الخیار هو الجزء المعیب،إلّا أنّه منع من ردّه نقصه بالانفراد عن باقی المبیع،إذ لو کان محلّه المجموع لم یجز ردّ المعیب وحده إلّا بالتفاسخ المجوّز لردّ </w:t>
      </w:r>
      <w:r>
        <w:rPr>
          <w:rStyle w:val="FootnoteReference"/>
        </w:rPr>
        <w:footnoteReference w:id="3676"/>
      </w:r>
      <w:r>
        <w:rPr>
          <w:rFonts w:ascii="Amiri" w:hAnsi="Amiri" w:eastAsia="Amiri" w:cs="Amiri"/>
          <w:lang w:bidi="ar-SA"/>
          <w:color w:val="111111"/>
          <w:sz w:val="28"/>
          <w:szCs w:val="28"/>
          <w:rtl/>
        </w:rPr>
        <w:t xml:space="preserve">الصحیح منفرداً أیضاً.</w:t>
      </w:r>
    </w:p>
    <w:p>
      <w:pPr>
        <w:pStyle w:val="BookText"/>
      </w:pPr>
      <w:r>
        <w:rPr>
          <w:rFonts w:ascii="IRNazanin" w:hAnsi="IRNazanin" w:eastAsia="IRNazanin" w:cs="IRNazanin"/>
          <w:lang w:bidi="fa-IR"/>
          <w:color w:val="111111"/>
          <w:sz w:val="28"/>
          <w:szCs w:val="28"/>
          <w:rtl/>
        </w:rPr>
        <w:t xml:space="preserve">و أمّا الثانی:و هو تعدّد المشتری </w:t>
      </w:r>
      <w:r>
        <w:rPr>
          <w:rStyle w:val="FootnoteReference"/>
        </w:rPr>
        <w:footnoteReference w:id="3677"/>
      </w:r>
      <w:r>
        <w:rPr>
          <w:rFonts w:ascii="IRNazanin" w:hAnsi="IRNazanin" w:eastAsia="IRNazanin" w:cs="IRNazanin"/>
          <w:lang w:bidi="fa-IR"/>
          <w:color w:val="111111"/>
          <w:sz w:val="28"/>
          <w:szCs w:val="28"/>
          <w:rtl/>
        </w:rPr>
        <w:t xml:space="preserve">بأن اشتریا شیئاً واحداً فظهر فیه عیبٌ،فإنّ الأقوی فیه عدم جواز انفراد أحدهما علی المشهور کما عن جماعةٍ </w:t>
      </w:r>
      <w:r>
        <w:rPr>
          <w:rStyle w:val="FootnoteReference"/>
        </w:rPr>
        <w:footnoteReference w:id="3678"/>
      </w:r>
      <w:r>
        <w:rPr>
          <w:rFonts w:ascii="IRNazanin" w:hAnsi="IRNazanin" w:eastAsia="IRNazanin" w:cs="IRNazanin"/>
          <w:lang w:bidi="fa-IR"/>
          <w:color w:val="111111"/>
          <w:sz w:val="28"/>
          <w:szCs w:val="28"/>
          <w:rtl/>
        </w:rPr>
        <w:t xml:space="preserve">.و استدلّ علیه فی التذکرة </w:t>
      </w:r>
      <w:r>
        <w:rPr>
          <w:rStyle w:val="FootnoteReference"/>
        </w:rPr>
        <w:footnoteReference w:id="3679"/>
      </w:r>
      <w:r>
        <w:rPr>
          <w:rFonts w:ascii="IRNazanin" w:hAnsi="IRNazanin" w:eastAsia="IRNazanin" w:cs="IRNazanin"/>
          <w:lang w:bidi="fa-IR"/>
          <w:color w:val="111111"/>
          <w:sz w:val="28"/>
          <w:szCs w:val="28"/>
          <w:rtl/>
        </w:rPr>
        <w:t xml:space="preserve">و غیرها </w:t>
      </w:r>
      <w:r>
        <w:rPr>
          <w:rStyle w:val="FootnoteReference"/>
        </w:rPr>
        <w:footnoteReference w:id="3680"/>
      </w:r>
      <w:r>
        <w:rPr>
          <w:rFonts w:ascii="Amiri" w:hAnsi="Amiri" w:eastAsia="Amiri" w:cs="Amiri"/>
          <w:lang w:bidi="ar-SA"/>
          <w:color w:val="111111"/>
          <w:sz w:val="28"/>
          <w:szCs w:val="28"/>
          <w:rtl/>
        </w:rPr>
        <w:t xml:space="preserve">بأنّ التشقیص عیبٌ</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من الردّ.خلافاً للمحکیّ عن الشیخ فی باب الشرکة </w:t>
      </w:r>
      <w:r>
        <w:rPr>
          <w:rStyle w:val="FootnoteReference"/>
        </w:rPr>
        <w:footnoteReference w:id="3681"/>
      </w:r>
      <w:r>
        <w:rPr>
          <w:rFonts w:ascii="IRNazanin" w:hAnsi="IRNazanin" w:eastAsia="IRNazanin" w:cs="IRNazanin"/>
          <w:lang w:bidi="fa-IR"/>
          <w:color w:val="111111"/>
          <w:sz w:val="28"/>
          <w:szCs w:val="28"/>
          <w:rtl/>
        </w:rPr>
        <w:t xml:space="preserve">و الإسکافی </w:t>
      </w:r>
      <w:r>
        <w:rPr>
          <w:rStyle w:val="FootnoteReference"/>
        </w:rPr>
        <w:footnoteReference w:id="3682"/>
      </w:r>
      <w:r>
        <w:rPr>
          <w:rFonts w:ascii="IRNazanin" w:hAnsi="IRNazanin" w:eastAsia="IRNazanin" w:cs="IRNazanin"/>
          <w:lang w:bidi="fa-IR"/>
          <w:color w:val="111111"/>
          <w:sz w:val="28"/>
          <w:szCs w:val="28"/>
          <w:rtl/>
        </w:rPr>
        <w:t xml:space="preserve">و القاضی </w:t>
      </w:r>
      <w:r>
        <w:rPr>
          <w:rStyle w:val="FootnoteReference"/>
        </w:rPr>
        <w:footnoteReference w:id="3683"/>
      </w:r>
      <w:r>
        <w:rPr>
          <w:rFonts w:ascii="Amiri" w:hAnsi="Amiri" w:eastAsia="Amiri" w:cs="Amiri"/>
          <w:lang w:bidi="ar-SA"/>
          <w:color w:val="111111"/>
          <w:sz w:val="28"/>
          <w:szCs w:val="28"/>
          <w:rtl/>
        </w:rPr>
        <w:t xml:space="preserve">و الحلّی </w:t>
      </w:r>
      <w:r>
        <w:rPr>
          <w:rStyle w:val="FootnoteReference"/>
        </w:rPr>
        <w:footnoteReference w:id="3684"/>
      </w:r>
      <w:r>
        <w:rPr>
          <w:rFonts w:ascii="IRNazanin" w:hAnsi="IRNazanin" w:eastAsia="IRNazanin" w:cs="IRNazanin"/>
          <w:lang w:bidi="fa-IR"/>
          <w:color w:val="111111"/>
          <w:sz w:val="28"/>
          <w:szCs w:val="28"/>
          <w:rtl/>
        </w:rPr>
        <w:t xml:space="preserve">و صاحب البشری </w:t>
      </w:r>
      <w:r>
        <w:rPr>
          <w:rStyle w:val="FootnoteReference"/>
        </w:rPr>
        <w:footnoteReference w:id="3685"/>
      </w:r>
      <w:r>
        <w:rPr>
          <w:rFonts w:ascii="IRNazanin" w:hAnsi="IRNazanin" w:eastAsia="IRNazanin" w:cs="IRNazanin"/>
          <w:lang w:bidi="fa-IR"/>
          <w:color w:val="111111"/>
          <w:sz w:val="28"/>
          <w:szCs w:val="28"/>
          <w:rtl/>
        </w:rPr>
        <w:t xml:space="preserve">،فجوّزوا الافتراق.</w:t>
      </w:r>
    </w:p>
    <w:p>
      <w:pPr>
        <w:pStyle w:val="BookText"/>
      </w:pPr>
      <w:r>
        <w:rPr>
          <w:rFonts w:ascii="IRNazanin" w:hAnsi="IRNazanin" w:eastAsia="IRNazanin" w:cs="IRNazanin"/>
          <w:lang w:bidi="fa-IR"/>
          <w:color w:val="111111"/>
          <w:sz w:val="28"/>
          <w:szCs w:val="28"/>
          <w:rtl/>
        </w:rPr>
        <w:t xml:space="preserve">و فی التذکرة:لیس عندی فیه بُعدٌ؛إذ البائع أخرج العبد إلیهما مشقّصاً،فالشرکة حصلت بإیجابه </w:t>
      </w:r>
      <w:r>
        <w:rPr>
          <w:rStyle w:val="FootnoteReference"/>
        </w:rPr>
        <w:footnoteReference w:id="3686"/>
      </w:r>
      <w:r>
        <w:rPr>
          <w:rFonts w:ascii="IRNazanin" w:hAnsi="IRNazanin" w:eastAsia="IRNazanin" w:cs="IRNazanin"/>
          <w:lang w:bidi="fa-IR"/>
          <w:color w:val="111111"/>
          <w:sz w:val="28"/>
          <w:szCs w:val="28"/>
          <w:rtl/>
        </w:rPr>
        <w:t xml:space="preserve">.و قوّاه فی الإیضاح </w:t>
      </w:r>
      <w:r>
        <w:rPr>
          <w:rStyle w:val="FootnoteReference"/>
        </w:rPr>
        <w:footnoteReference w:id="3687"/>
      </w:r>
      <w:r>
        <w:rPr>
          <w:rFonts w:ascii="IRNazanin" w:hAnsi="IRNazanin" w:eastAsia="IRNazanin" w:cs="IRNazanin"/>
          <w:lang w:bidi="fa-IR"/>
          <w:color w:val="111111"/>
          <w:sz w:val="28"/>
          <w:szCs w:val="28"/>
          <w:rtl/>
        </w:rPr>
        <w:t xml:space="preserve">لما تقدّم من التذکرة.</w:t>
      </w:r>
    </w:p>
    <w:p>
      <w:pPr>
        <w:pStyle w:val="BookText"/>
      </w:pPr>
      <w:r>
        <w:rPr>
          <w:rFonts w:ascii="IRNazanin" w:hAnsi="IRNazanin" w:eastAsia="IRNazanin" w:cs="IRNazanin"/>
          <w:lang w:bidi="fa-IR"/>
          <w:color w:val="111111"/>
          <w:sz w:val="28"/>
          <w:szCs w:val="28"/>
          <w:rtl/>
        </w:rPr>
        <w:t xml:space="preserve">و ظاهر هذا الوجه اختصاص جواز التفریق بصورة علم البائع بتعدّد المشتری.و استجوده فی التحریر </w:t>
      </w:r>
      <w:r>
        <w:rPr>
          <w:rStyle w:val="FootnoteReference"/>
        </w:rPr>
        <w:footnoteReference w:id="3688"/>
      </w:r>
      <w:r>
        <w:rPr>
          <w:rFonts w:ascii="IRNazanin" w:hAnsi="IRNazanin" w:eastAsia="IRNazanin" w:cs="IRNazanin"/>
          <w:lang w:bidi="fa-IR"/>
          <w:color w:val="111111"/>
          <w:sz w:val="28"/>
          <w:szCs w:val="28"/>
          <w:rtl/>
        </w:rPr>
        <w:t xml:space="preserve">و قوّاه جامع المقاصد </w:t>
      </w:r>
      <w:r>
        <w:rPr>
          <w:rStyle w:val="FootnoteReference"/>
        </w:rPr>
        <w:footnoteReference w:id="3689"/>
      </w:r>
      <w:r>
        <w:rPr>
          <w:rFonts w:ascii="IRNazanin" w:hAnsi="IRNazanin" w:eastAsia="IRNazanin" w:cs="IRNazanin"/>
          <w:lang w:bidi="fa-IR"/>
          <w:color w:val="111111"/>
          <w:sz w:val="28"/>
          <w:szCs w:val="28"/>
          <w:rtl/>
        </w:rPr>
        <w:t xml:space="preserve">و صاحب المسالک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قال فی المبسوط:إذا اشتری الشریکان عبداً بمال الشرکة،ثمّ</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أصابا به عیباً کان لهما أن یردّاه و کان لهما أن یمسکاه،فإن أراد أحدهما الردّ و الآخر الإمساک کان لهما ذلک.</w:t>
      </w:r>
    </w:p>
    <w:p>
      <w:pPr>
        <w:pStyle w:val="BookText"/>
      </w:pPr>
      <w:r>
        <w:rPr>
          <w:rFonts w:ascii="IRNazanin" w:hAnsi="IRNazanin" w:eastAsia="IRNazanin" w:cs="IRNazanin"/>
          <w:lang w:bidi="fa-IR"/>
          <w:color w:val="111111"/>
          <w:sz w:val="28"/>
          <w:szCs w:val="28"/>
          <w:rtl/>
        </w:rPr>
        <w:t xml:space="preserve">ثمّ قال:و لو اشتری أحد الشریکین للشرکة ثمّ أصابا به عیباً کان لهما أن یردّا و أن یمسکا،فإن أراد أحدهما الردّ و الآخر الإمساک نُظِرَ:فإن أطلق العقد و لم یخبر البائع أنّه قد اشتری للشرکة لم یکن له الردّ؛لأنّ الظاهر أنّه اشتراه لنفسه،فإذا ادّعی أنّه اشتراه له و لشریکه، فقد ادّعی خلاف الظاهر،فلم یقبل قوله و کان القول قول البائع مع یمینه.</w:t>
      </w:r>
    </w:p>
    <w:p>
      <w:pPr>
        <w:pStyle w:val="BookText"/>
      </w:pPr>
      <w:r>
        <w:rPr>
          <w:rFonts w:ascii="IRNazanin" w:hAnsi="IRNazanin" w:eastAsia="IRNazanin" w:cs="IRNazanin"/>
          <w:lang w:bidi="fa-IR"/>
          <w:color w:val="111111"/>
          <w:sz w:val="28"/>
          <w:szCs w:val="28"/>
          <w:rtl/>
        </w:rPr>
        <w:t xml:space="preserve">إلی أن قال:و إن أخبر البائع بذلک،قیل:فیه وجهان:أحدهما و هو الصحیح أنّ له الردّ؛لأنّ الملک بالعقد وقع لاثنین،فقد علم البائع أنّه یبیعه من اثنین و کان لأحدهما أن ینفرد بالردّ دون الآخر، و قیل:فیه وجهٌ آخر،و هو أنّه لیس له الردّ،لأنّ القبول فی العقد کان واحداً </w:t>
      </w:r>
      <w:r>
        <w:rPr>
          <w:rStyle w:val="FootnoteReference"/>
        </w:rPr>
        <w:footnoteReference w:id="36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ظاهر هذه العبارة اختصاص النزاع بما إذا کان القبول فی العقد واحداً عن اثنین،أمّا إذا تحقّق القبول من الشریکین،فلا کلام فی جواز الافتراق.ثمّ الظاهر منه مع اتّحاد القبول التفصیل بین علم البائع و جهله.</w:t>
      </w:r>
    </w:p>
    <w:p>
      <w:pPr>
        <w:pStyle w:val="BookText"/>
      </w:pPr>
      <w:r>
        <w:rPr>
          <w:rFonts w:ascii="IRNazanin" w:hAnsi="IRNazanin" w:eastAsia="IRNazanin" w:cs="IRNazanin"/>
          <w:lang w:bidi="fa-IR"/>
          <w:color w:val="111111"/>
          <w:sz w:val="28"/>
          <w:szCs w:val="28"/>
          <w:rtl/>
        </w:rPr>
        <w:t xml:space="preserve">لکن التأمّل فی تمام کلامه قد یعطی التفصیل بین کون القبول فی الواقع لاثنین أو لواحدٍ،فإنّه قدّس سرّه علّل عدم جواز الردّ فی صورة عدم إخبار المشتری بالاشتراک:بأنّ الظاهر أنّه اشتراه لنفسه،لا بعدم علم</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البائع بالتعدّد.و کذا حکمه قدّس سرّه بتقدّم قول البائع بیمینه المستلزم لقبول البیّنة من المشتری علی أنّ الشراء بالاشتراک دلیلٌ علی أنّه یجوز التفریق بمجرّد ثبوت التعدّد فی الواقع بالبیّنة و إن لم یعلم به البائع،إلّا أن یحمل«الیمین»علی یمین البائع علی نفی العلم،و یراد من «البیّنة»البیّنة علی إعلام المشتری للبائع بالتعدّد.و کیف کان،فمبنی المسألة علی ما یظهر من کلام الشیخ علی تعدّد العقد بتعدّد المشتری و وحدته.</w:t>
      </w:r>
    </w:p>
    <w:p>
      <w:pPr>
        <w:pStyle w:val="BookText"/>
      </w:pPr>
      <w:r>
        <w:rPr>
          <w:rFonts w:ascii="IRNazanin" w:hAnsi="IRNazanin" w:eastAsia="IRNazanin" w:cs="IRNazanin"/>
          <w:lang w:bidi="fa-IR"/>
          <w:color w:val="111111"/>
          <w:sz w:val="28"/>
          <w:szCs w:val="28"/>
          <w:rtl/>
        </w:rPr>
        <w:t xml:space="preserve">و الأقوی فی المسألة:عدم جواز الافتراق مطلقاً؛لأنّ الثابت من الدلیل هنا خیارٌ واحدٌ متقوّمٌ باثنین،فلیس لکلٍّ منهما الاستقلال، و لا دلیل علی تعدّد الخیار هنا إلّا إطلاق الفتاوی و النصوص:من أنّ «من اشتری معیباً فهو بالخیار» </w:t>
      </w:r>
      <w:r>
        <w:rPr>
          <w:rStyle w:val="FootnoteReference"/>
        </w:rPr>
        <w:footnoteReference w:id="3692"/>
      </w:r>
      <w:r>
        <w:rPr>
          <w:rFonts w:ascii="IRNazanin" w:hAnsi="IRNazanin" w:eastAsia="IRNazanin" w:cs="IRNazanin"/>
          <w:lang w:bidi="fa-IR"/>
          <w:color w:val="111111"/>
          <w:sz w:val="28"/>
          <w:szCs w:val="28"/>
          <w:rtl/>
        </w:rPr>
        <w:t xml:space="preserve">الشامل لمن اشتری جزءاً من المعیب.</w:t>
      </w:r>
    </w:p>
    <w:p>
      <w:pPr>
        <w:pStyle w:val="BookText"/>
      </w:pPr>
      <w:r>
        <w:rPr>
          <w:rFonts w:ascii="IRNazanin" w:hAnsi="IRNazanin" w:eastAsia="IRNazanin" w:cs="IRNazanin"/>
          <w:lang w:bidi="fa-IR"/>
          <w:color w:val="111111"/>
          <w:sz w:val="28"/>
          <w:szCs w:val="28"/>
          <w:rtl/>
        </w:rPr>
        <w:t xml:space="preserve">لکن الظاهر بعد التأمّل انصرافه إلی غیر المقام،و لو سلّمنا الظهور لکن لا ریب فی أنّ ردّ هذا المبیع منفرداً عن المبیع الآخر نقصٌ حدث فیه، بل لیس قائماً بعینه و لو بفعل الممسک لحصّته،و هو مانعٌ من الردّ.</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من ذلک یعلم قوّة المنع و إن قلنا بتعدّد العقد.</w:t>
      </w:r>
    </w:p>
    <w:p>
      <w:pPr>
        <w:pStyle w:val="BookText"/>
      </w:pPr>
      <w:r>
        <w:rPr>
          <w:rFonts w:ascii="IRNazanin" w:hAnsi="IRNazanin" w:eastAsia="IRNazanin" w:cs="IRNazanin"/>
          <w:lang w:bidi="fa-IR"/>
          <w:color w:val="111111"/>
          <w:sz w:val="28"/>
          <w:szCs w:val="28"/>
          <w:rtl/>
        </w:rPr>
        <w:t xml:space="preserve">و ما ذکروه تبعاً للتذکرة </w:t>
      </w:r>
      <w:r>
        <w:rPr>
          <w:rStyle w:val="FootnoteReference"/>
        </w:rPr>
        <w:footnoteReference w:id="3693"/>
      </w:r>
      <w:r>
        <w:rPr>
          <w:rFonts w:ascii="IRNazanin" w:hAnsi="IRNazanin" w:eastAsia="IRNazanin" w:cs="IRNazanin"/>
          <w:lang w:bidi="fa-IR"/>
          <w:color w:val="111111"/>
          <w:sz w:val="28"/>
          <w:szCs w:val="28"/>
          <w:rtl/>
        </w:rPr>
        <w:t xml:space="preserve">-:من أنّ التشقیص حصل بإیجاب البائع </w:t>
      </w:r>
      <w:r>
        <w:rPr>
          <w:rStyle w:val="FootnoteReference"/>
        </w:rPr>
        <w:footnoteReference w:id="3694"/>
      </w:r>
      <w:r>
        <w:rPr>
          <w:rFonts w:ascii="Amiri" w:hAnsi="Amiri" w:eastAsia="Amiri" w:cs="Amiri"/>
          <w:lang w:bidi="ar-SA"/>
          <w:color w:val="111111"/>
          <w:sz w:val="28"/>
          <w:szCs w:val="28"/>
          <w:rtl/>
        </w:rPr>
        <w:t xml:space="preserve">،فیه:أنّه أخرجه غیرَ مبعّضٍ و إنّما تبعّض بالإخراج،و المقصود</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حصوله فی ید البائع کما کان قبل الخروج،و خلاف ذلک ضررٌ علیه، و علمُ البائع بذلک لیس فیه إقدامٌ علی الضرر إلّا علی تقدیر کون حکم المسألة جواز التبعیض،و هو محلّ الکلام.</w:t>
      </w:r>
    </w:p>
    <w:p>
      <w:pPr>
        <w:pStyle w:val="BookText"/>
      </w:pPr>
      <w:r>
        <w:rPr>
          <w:rFonts w:ascii="IRNazanin" w:hAnsi="IRNazanin" w:eastAsia="IRNazanin" w:cs="IRNazanin"/>
          <w:lang w:bidi="fa-IR"/>
          <w:color w:val="111111"/>
          <w:sz w:val="28"/>
          <w:szCs w:val="28"/>
          <w:rtl/>
        </w:rPr>
        <w:t xml:space="preserve">و الحاصل:أنّ الفرق بین هذه المسألة و المسألة الاُولی غیر وجیه.</w:t>
      </w:r>
    </w:p>
    <w:p>
      <w:pPr>
        <w:pStyle w:val="BookText"/>
      </w:pPr>
      <w:r>
        <w:rPr>
          <w:rFonts w:ascii="IRNazanin" w:hAnsi="IRNazanin" w:eastAsia="IRNazanin" w:cs="IRNazanin"/>
          <w:lang w:bidi="fa-IR"/>
          <w:color w:val="111111"/>
          <w:sz w:val="28"/>
          <w:szCs w:val="28"/>
          <w:rtl/>
        </w:rPr>
        <w:t xml:space="preserve">و أمّا الثالث </w:t>
      </w:r>
      <w:r>
        <w:rPr>
          <w:rStyle w:val="FootnoteReference"/>
        </w:rPr>
        <w:footnoteReference w:id="3695"/>
      </w:r>
      <w:r>
        <w:rPr>
          <w:rFonts w:ascii="IRNazanin" w:hAnsi="IRNazanin" w:eastAsia="IRNazanin" w:cs="IRNazanin"/>
          <w:lang w:bidi="fa-IR"/>
          <w:color w:val="111111"/>
          <w:sz w:val="28"/>
          <w:szCs w:val="28"/>
          <w:rtl/>
        </w:rPr>
        <w:t xml:space="preserve">:و هو تعدّد البائع،فالظاهر عدم الخلاف فی جواز التفریق؛إذ لا ضرر علی البائع بالتفریق.</w:t>
      </w:r>
    </w:p>
    <w:p>
      <w:pPr>
        <w:pStyle w:val="BookText"/>
      </w:pPr>
      <w:r>
        <w:rPr>
          <w:rFonts w:ascii="IRNazanin" w:hAnsi="IRNazanin" w:eastAsia="IRNazanin" w:cs="IRNazanin"/>
          <w:lang w:bidi="fa-IR"/>
          <w:color w:val="111111"/>
          <w:sz w:val="28"/>
          <w:szCs w:val="28"/>
          <w:rtl/>
        </w:rPr>
        <w:t xml:space="preserve">و لو اشتری اثنان من اثنین عبداً واحداً فقد اشتری کلٌّ من کلٍّ ربعاً،فإن أراد أحدهما ردَّ ربعٍ إلی أحد البائعین دخل فی المسألة الثانیة </w:t>
      </w:r>
      <w:r>
        <w:rPr>
          <w:rStyle w:val="FootnoteReference"/>
        </w:rPr>
        <w:footnoteReference w:id="3696"/>
      </w:r>
      <w:r>
        <w:rPr>
          <w:rFonts w:ascii="IRNazanin" w:hAnsi="IRNazanin" w:eastAsia="IRNazanin" w:cs="IRNazanin"/>
          <w:lang w:bidi="fa-IR"/>
          <w:color w:val="111111"/>
          <w:sz w:val="28"/>
          <w:szCs w:val="28"/>
          <w:rtl/>
        </w:rPr>
        <w:t xml:space="preserve">و لذا لا یجوز؛لأنّ المعیار تبعّض الصفقة علی بائع الواحد.</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401" w:name="pg14419_167598"/>
    <w:bookmarkEnd w:id="401"/>
    <w:p>
      <w:pPr>
        <w:pStyle w:val="Heading6"/>
      </w:pPr>
      <w:bookmarkStart w:id="1317" w:name="_Toc757"/>
      <w:r>
        <w:t>مسألة : یسقط الأرش دون الردّ فی موضعین</w:t>
      </w:r>
      <w:bookmarkEnd w:id="1317"/>
    </w:p>
    <w:p>
      <w:pPr>
        <w:pStyle w:val="Heading6"/>
      </w:pPr>
      <w:bookmarkStart w:id="1318" w:name="_Toc758"/>
      <w:r>
        <w:t>أحدهما: إذا اشتری ربویّاً بجنسه فظهر عیبٌ فی أحدهما،</w:t>
      </w:r>
      <w:bookmarkEnd w:id="1318"/>
    </w:p>
    <w:p>
      <w:pPr>
        <w:pStyle w:val="BookText"/>
      </w:pPr>
      <w:r>
        <w:rPr>
          <w:rFonts w:ascii="IRNazanin" w:hAnsi="IRNazanin" w:eastAsia="IRNazanin" w:cs="IRNazanin"/>
          <w:lang w:bidi="fa-IR"/>
          <w:color w:val="111111"/>
          <w:sz w:val="28"/>
          <w:szCs w:val="28"/>
          <w:rtl/>
        </w:rPr>
        <w:t xml:space="preserve">فلا أرش حذراً من الربا.</w:t>
      </w:r>
    </w:p>
    <w:p>
      <w:pPr>
        <w:pStyle w:val="BookText"/>
      </w:pPr>
      <w:r>
        <w:rPr>
          <w:rFonts w:ascii="IRNazanin" w:hAnsi="IRNazanin" w:eastAsia="IRNazanin" w:cs="IRNazanin"/>
          <w:lang w:bidi="fa-IR"/>
          <w:color w:val="111111"/>
          <w:sz w:val="28"/>
          <w:szCs w:val="28"/>
          <w:rtl/>
        </w:rPr>
        <w:t xml:space="preserve">و یحتمل جواز أخذ الأرش،نفی </w:t>
      </w:r>
      <w:r>
        <w:rPr>
          <w:rStyle w:val="FootnoteReference"/>
        </w:rPr>
        <w:footnoteReference w:id="3697"/>
      </w:r>
      <w:r>
        <w:rPr>
          <w:rFonts w:ascii="IRNazanin" w:hAnsi="IRNazanin" w:eastAsia="IRNazanin" w:cs="IRNazanin"/>
          <w:lang w:bidi="fa-IR"/>
          <w:color w:val="111111"/>
          <w:sz w:val="28"/>
          <w:szCs w:val="28"/>
          <w:rtl/>
        </w:rPr>
        <w:t xml:space="preserve">عنه البأس فی التذکرة بعد أن حکاه وجهاً ثالثاً لبعض الشافعیّة،موجِّهاً له بأنّ المماثلة فی مال الربا إنّما یشترط فی ابتداء العقد و قد حصلت،و الأرش حقٌّ ثبت بعد ذلک لا یقدح فی العقد السابق </w:t>
      </w:r>
      <w:r>
        <w:rPr>
          <w:rStyle w:val="FootnoteReference"/>
        </w:rPr>
        <w:footnoteReference w:id="369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ذکر أنّ الأقرب أنّه یجوز أخذ الأرش من جنس العوضین؛ لأنّ الجنس لو امتنع أخذه لامتنع أخذ غیر الجنس،لأنّه یکون بیع مال الربا بجنسه مع شیءٍ آخر </w:t>
      </w:r>
      <w:r>
        <w:rPr>
          <w:rStyle w:val="FootnoteReference"/>
        </w:rPr>
        <w:footnoteReference w:id="369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جامع الشرائع حکایة هذا الوجه عن بعض أصحابنا </w:t>
      </w:r>
      <w:r>
        <w:rPr>
          <w:rStyle w:val="FootnoteReference"/>
        </w:rPr>
        <w:footnoteReference w:id="3700"/>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02" w:name="pg14419_167599"/>
    <w:bookmarkEnd w:id="402"/>
    <w:p>
      <w:pPr>
        <w:pStyle w:val="BookText"/>
      </w:pPr>
      <w:r>
        <w:rPr>
          <w:rFonts w:ascii="IRNazanin" w:hAnsi="IRNazanin" w:eastAsia="IRNazanin" w:cs="IRNazanin"/>
          <w:lang w:bidi="fa-IR"/>
          <w:color w:val="111111"/>
          <w:sz w:val="28"/>
          <w:szCs w:val="28"/>
          <w:rtl/>
        </w:rPr>
        <w:t xml:space="preserve">المتقدّم علی العلّامة،و حاصل وجهه:أنّ صفة الصحّة لم تُقابل بشیءٍ من الثمن حتّی یکون المقابل للمعیب الفاقد للصّحة أنقص منه قدراً،بل لم تُقابل بشیءٍ أصلاً و لو من غیر الثمن و إلّا لثبت فی ذمّة البائع و إن لم یختر المشتری الأرش،بل الصحّة وصفٌ التزمه البائع فی المبیع من دون مقابلته بشیءٍ من المال کسائر الصفات المشترطة فی المبیع،إلّا أنّ الشارع جوّز للمشتری مع تبیّن فقده أخذ ما یخصّه بنسبة المعاوضة من الثمن أو غیره.و هذه غرامةٌ شرعیّةٌ حکم بها الشارع عند اختیار المشتری لتغریم البائع.</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هذا،و لکن یمکن أن یدّعی:أنّ المستفاد من أدلّة تحریم الربا و حرمة المعاوضة إلّا مثلاً بمثلٍ بعد ملاحظة أنّ الصحیح و المعیب جنسٌ واحدٌ أنّ وصف الصحّة فی أحد الجنسین کالمعدوم لا یترتّب علی فقده استحقاق عوضٍ،و من المعلوم:أنّ الأرش عوض وصف الصحّة عرفاً و شرعاً،فالعقد علی المتجانسین لا یجوز أن یصیر سبباً لاستحقاق أحدهما علی الآخر زائداً علی ما یساوی الجنس الآخر.و بالجملة، فبناء معاوضة المتجانسین علی عدم وقوع مالٍ فی مقابل الصحّة المفقودة فی أحدهما.</w:t>
      </w:r>
    </w:p>
    <w:p>
      <w:pPr>
        <w:pStyle w:val="BookText"/>
      </w:pPr>
      <w:r>
        <w:rPr>
          <w:rFonts w:ascii="IRNazanin" w:hAnsi="IRNazanin" w:eastAsia="IRNazanin" w:cs="IRNazanin"/>
          <w:lang w:bidi="fa-IR"/>
          <w:color w:val="111111"/>
          <w:sz w:val="28"/>
          <w:szCs w:val="28"/>
          <w:rtl/>
        </w:rPr>
        <w:t xml:space="preserve">و المسألة فی غایة الإشکال،و لا بدّ من مراجعة أدلّة الربا و فهم حقیقة الأرش،و سیجیء بعض الکلام فیه إن شاء اللّٰه.</w:t>
      </w:r>
    </w:p>
    <w:p>
      <w:pPr>
        <w:pStyle w:val="Heading6"/>
      </w:pPr>
      <w:bookmarkStart w:id="1319" w:name="_Toc759"/>
      <w:r>
        <w:t>الثانی: ما لو لم یوجب العیب نقصاً فی القیمة،</w:t>
      </w:r>
      <w:bookmarkEnd w:id="1319"/>
    </w:p>
    <w:p>
      <w:pPr>
        <w:pStyle w:val="BookText"/>
      </w:pPr>
      <w:r>
        <w:rPr>
          <w:rFonts w:ascii="IRNazanin" w:hAnsi="IRNazanin" w:eastAsia="IRNazanin" w:cs="IRNazanin"/>
          <w:lang w:bidi="fa-IR"/>
          <w:color w:val="111111"/>
          <w:sz w:val="28"/>
          <w:szCs w:val="28"/>
          <w:rtl/>
        </w:rPr>
        <w:t xml:space="preserve">فإنّه لا یتصوّر هنا أرشٌ حتّی یحکم بثبوته،و قد مثّلوا لذلک بالخصاء فی العبید </w:t>
      </w:r>
      <w:r>
        <w:rPr>
          <w:rStyle w:val="FootnoteReference"/>
        </w:rPr>
        <w:footnoteReference w:id="3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یناقش فی ذلک:بأنّ الخصاء موجبٌ فی نفسه لنقص القیمة لفوات بعض المنافع عنه کالفحولة،و إنّما یرغب فی الخصیّ قلیلٌ من الناس لبعض الأغراض الفاسدة،أعنی:عدم تستّر النساء منه </w:t>
      </w:r>
      <w:r>
        <w:rPr>
          <w:rStyle w:val="FootnoteReference"/>
        </w:rPr>
        <w:footnoteReference w:id="3702"/>
      </w:r>
      <w:r>
        <w:rPr>
          <w:rFonts w:ascii="IRNazanin" w:hAnsi="IRNazanin" w:eastAsia="IRNazanin" w:cs="IRNazanin"/>
          <w:lang w:bidi="fa-IR"/>
          <w:color w:val="111111"/>
          <w:sz w:val="28"/>
          <w:szCs w:val="28"/>
          <w:rtl/>
        </w:rPr>
        <w:t xml:space="preserve">فیکون واسطةً فی الخدمات بین المرء و زوجته،و هذا المقدار لا یوجب زیادةً فی أصل المالیّة،فهو کعنبٍ معیوب یُرغب فیه لجودة خمره.</w:t>
      </w:r>
    </w:p>
    <w:p>
      <w:pPr>
        <w:pStyle w:val="BookText"/>
      </w:pPr>
      <w:r>
        <w:rPr>
          <w:rFonts w:ascii="IRNazanin" w:hAnsi="IRNazanin" w:eastAsia="IRNazanin" w:cs="IRNazanin"/>
          <w:lang w:bidi="fa-IR"/>
          <w:color w:val="111111"/>
          <w:sz w:val="28"/>
          <w:szCs w:val="28"/>
          <w:rtl/>
        </w:rPr>
        <w:t xml:space="preserve">لکنّ الإنصاف:أنّ الراغب فیه لهذا الغرض حیث یکون کثیراً لا نادراً بحیث لا یقدح فی قیمته المتعارفة لولا هذا الغرض،صحّ أن یجعل الثمن المبذول من الراغبین مقداراً لمالیّة الخصیّ،فکأنّ هذا الغرض صار غرضاً مقصوداً متعارفاً،و صحّة الغرض و فساده شرعاً لا دخل لها فی المالیّة العرفیّة،کما لا یخفی.</w:t>
      </w:r>
    </w:p>
    <w:p>
      <w:pPr>
        <w:pStyle w:val="BookText"/>
      </w:pPr>
      <w:r>
        <w:rPr>
          <w:rFonts w:ascii="IRNazanin" w:hAnsi="IRNazanin" w:eastAsia="IRNazanin" w:cs="IRNazanin"/>
          <w:lang w:bidi="fa-IR"/>
          <w:color w:val="111111"/>
          <w:sz w:val="28"/>
          <w:szCs w:val="28"/>
          <w:rtl/>
        </w:rPr>
        <w:t xml:space="preserve">و بالجملة،فالعبرة فی مقدار المالیّة برغبة الناس فی بذل ذلک المقدار من المال بإزائه،سواءً کان من جهة أغراض أنفسهم أم من جهة بیعه علی من له غرضٌ فیه مع کثرة ذلک المشتری و عدم ندرته بحیث یلحق بالاتّفاقیات.</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403" w:name="pg14419_167601"/>
    <w:bookmarkEnd w:id="403"/>
    <w:p>
      <w:pPr>
        <w:pStyle w:val="Heading6"/>
      </w:pPr>
      <w:bookmarkStart w:id="1320" w:name="_Toc760"/>
      <w:r>
        <w:t>مسألة : یسقط الردّ و الأرش معاً بأُمور</w:t>
      </w:r>
      <w:bookmarkEnd w:id="1320"/>
    </w:p>
    <w:p>
      <w:pPr>
        <w:pStyle w:val="Heading6"/>
      </w:pPr>
      <w:bookmarkStart w:id="1321" w:name="_Toc761"/>
      <w:r>
        <w:t>أحدها: العلم بالعیب قبل العقد بلا خلافٍ و لا إشکال؛</w:t>
      </w:r>
      <w:bookmarkEnd w:id="13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لأنّ الخیار إنّما ثبت مع الجهل.</w:t>
      </w:r>
    </w:p>
    <w:p>
      <w:pPr>
        <w:pStyle w:val="BookText"/>
      </w:pPr>
      <w:r>
        <w:rPr>
          <w:rFonts w:ascii="IRNazanin" w:hAnsi="IRNazanin" w:eastAsia="IRNazanin" w:cs="IRNazanin"/>
          <w:lang w:bidi="fa-IR"/>
          <w:color w:val="111111"/>
          <w:sz w:val="28"/>
          <w:szCs w:val="28"/>
          <w:rtl/>
        </w:rPr>
        <w:t xml:space="preserve">و قد یستدلّ بمفهوم صحیحة زرارة المتقدّمة </w:t>
      </w:r>
      <w:r>
        <w:rPr>
          <w:rStyle w:val="FootnoteReference"/>
        </w:rPr>
        <w:footnoteReference w:id="3703"/>
      </w: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و حیث لا یکون العیب المعلوم سبباً لخیارٍ،فلو اشترط العالم ثبوت خیار العیب مریداً به الخیار الخاصّ الذی له أحکامٌ خاصّةٌ فسد الشرط و أفسد؛لکونه مخالفاً للشرع.و لو أراد به مجرّد الخیار کان من خیار الشرط و لحقه أحکامه،لا أحکام خیار العیب.</w:t>
      </w:r>
    </w:p>
    <w:p>
      <w:pPr>
        <w:pStyle w:val="Heading6"/>
      </w:pPr>
      <w:bookmarkStart w:id="1322" w:name="_Toc762"/>
      <w:r>
        <w:t>الثانی: تبرّی البائع عن العیوب إجماعاً فی الجملة</w:t>
      </w:r>
      <w:bookmarkEnd w:id="1322"/>
    </w:p>
    <w:p>
      <w:pPr>
        <w:pStyle w:val="BookText"/>
      </w:pPr>
      <w:r>
        <w:rPr>
          <w:rFonts w:ascii="IRNazanin" w:hAnsi="IRNazanin" w:eastAsia="IRNazanin" w:cs="IRNazanin"/>
          <w:lang w:bidi="fa-IR"/>
          <w:color w:val="111111"/>
          <w:sz w:val="28"/>
          <w:szCs w:val="28"/>
          <w:rtl/>
        </w:rPr>
        <w:t xml:space="preserve">علی الظاهر المصرّح به فی محکی الخلاف </w:t>
      </w:r>
      <w:r>
        <w:rPr>
          <w:rStyle w:val="FootnoteReference"/>
        </w:rPr>
        <w:footnoteReference w:id="3704"/>
      </w:r>
      <w:r>
        <w:rPr>
          <w:rFonts w:ascii="IRNazanin" w:hAnsi="IRNazanin" w:eastAsia="IRNazanin" w:cs="IRNazanin"/>
          <w:lang w:bidi="fa-IR"/>
          <w:color w:val="111111"/>
          <w:sz w:val="28"/>
          <w:szCs w:val="28"/>
          <w:rtl/>
        </w:rPr>
        <w:t xml:space="preserve">و الغنیة </w:t>
      </w:r>
      <w:r>
        <w:rPr>
          <w:rStyle w:val="FootnoteReference"/>
        </w:rPr>
        <w:footnoteReference w:id="3705"/>
      </w:r>
      <w:r>
        <w:rPr>
          <w:rFonts w:ascii="IRNazanin" w:hAnsi="IRNazanin" w:eastAsia="IRNazanin" w:cs="IRNazanin"/>
          <w:lang w:bidi="fa-IR"/>
          <w:color w:val="111111"/>
          <w:sz w:val="28"/>
          <w:szCs w:val="28"/>
          <w:rtl/>
        </w:rPr>
        <w:t xml:space="preserve">،و نسبه فی التذکرة إلی علمائنا أجمع </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الأصل فی الحکم قبل الإجماع،مضافاً إلی ما فی التذکرة:من أنّ الخیار إنّما یثبت لاقتضاء مطلق العقد السلامة،فإذا صرّح البائع بالبراءة فقد ارتفع الإطلاق صحیحة زرارة المتقدّمة </w:t>
      </w:r>
      <w:r>
        <w:rPr>
          <w:rStyle w:val="FootnoteReference"/>
        </w:rPr>
        <w:footnoteReference w:id="3707"/>
      </w:r>
      <w:r>
        <w:rPr>
          <w:rFonts w:ascii="IRNazanin" w:hAnsi="IRNazanin" w:eastAsia="IRNazanin" w:cs="IRNazanin"/>
          <w:lang w:bidi="fa-IR"/>
          <w:color w:val="111111"/>
          <w:sz w:val="28"/>
          <w:szCs w:val="28"/>
          <w:rtl/>
        </w:rPr>
        <w:t xml:space="preserve">و مکاتبة جعفر ابن عیسی الآتیة </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إطلاقهما کمعقد الإجماع المحکی عدم الفرق بین التبرّی تفصیلاً و إجمالاً،و لا بین العیوب الظاهرة و الباطنة؛لاشتراک الکلّ فی عدم المقتضی للخیار مع البراءة.</w:t>
      </w:r>
    </w:p>
    <w:p>
      <w:pPr>
        <w:pStyle w:val="BookText"/>
      </w:pPr>
      <w:r>
        <w:rPr>
          <w:rFonts w:ascii="IRNazanin" w:hAnsi="IRNazanin" w:eastAsia="IRNazanin" w:cs="IRNazanin"/>
          <w:lang w:bidi="fa-IR"/>
          <w:color w:val="111111"/>
          <w:sz w:val="28"/>
          <w:szCs w:val="28"/>
          <w:rtl/>
        </w:rPr>
        <w:t xml:space="preserve">خلافاً للمحکیّ فی السرائر عن بعض أصحابنا:من عدم کفایة التبرّی إجمالاً </w:t>
      </w:r>
      <w:r>
        <w:rPr>
          <w:rStyle w:val="FootnoteReference"/>
        </w:rPr>
        <w:footnoteReference w:id="3709"/>
      </w:r>
      <w:r>
        <w:rPr>
          <w:rFonts w:ascii="IRNazanin" w:hAnsi="IRNazanin" w:eastAsia="IRNazanin" w:cs="IRNazanin"/>
          <w:lang w:bidi="fa-IR"/>
          <w:color w:val="111111"/>
          <w:sz w:val="28"/>
          <w:szCs w:val="28"/>
          <w:rtl/>
        </w:rPr>
        <w:t xml:space="preserve">.و عن المختلف نسبته إلی الإسکافی </w:t>
      </w:r>
      <w:r>
        <w:rPr>
          <w:rStyle w:val="FootnoteReference"/>
        </w:rPr>
        <w:footnoteReference w:id="3710"/>
      </w:r>
      <w:r>
        <w:rPr>
          <w:rFonts w:ascii="IRNazanin" w:hAnsi="IRNazanin" w:eastAsia="IRNazanin" w:cs="IRNazanin"/>
          <w:lang w:bidi="fa-IR"/>
          <w:color w:val="111111"/>
          <w:sz w:val="28"/>
          <w:szCs w:val="28"/>
          <w:rtl/>
        </w:rPr>
        <w:t xml:space="preserve">،بل </w:t>
      </w:r>
      <w:r>
        <w:rPr>
          <w:rStyle w:val="FootnoteReference"/>
        </w:rPr>
        <w:footnoteReference w:id="3711"/>
      </w:r>
      <w:r>
        <w:rPr>
          <w:rFonts w:ascii="IRNazanin" w:hAnsi="IRNazanin" w:eastAsia="IRNazanin" w:cs="IRNazanin"/>
          <w:lang w:bidi="fa-IR"/>
          <w:color w:val="111111"/>
          <w:sz w:val="28"/>
          <w:szCs w:val="28"/>
          <w:rtl/>
        </w:rPr>
        <w:t xml:space="preserve">إلی صریح آخر کلام القاضی المحکیّ فی المختلف </w:t>
      </w:r>
      <w:r>
        <w:rPr>
          <w:rStyle w:val="FootnoteReference"/>
        </w:rPr>
        <w:footnoteReference w:id="3712"/>
      </w:r>
      <w:r>
        <w:rPr>
          <w:rFonts w:ascii="IRNazanin" w:hAnsi="IRNazanin" w:eastAsia="IRNazanin" w:cs="IRNazanin"/>
          <w:lang w:bidi="fa-IR"/>
          <w:color w:val="111111"/>
          <w:sz w:val="28"/>
          <w:szCs w:val="28"/>
          <w:rtl/>
        </w:rPr>
        <w:t xml:space="preserve">،مع أنّ المحکی عن کامل القاضی موافقة المشهور </w:t>
      </w:r>
      <w:r>
        <w:rPr>
          <w:rStyle w:val="FootnoteReference"/>
        </w:rPr>
        <w:footnoteReference w:id="3713"/>
      </w:r>
      <w:r>
        <w:rPr>
          <w:rFonts w:ascii="IRNazanin" w:hAnsi="IRNazanin" w:eastAsia="IRNazanin" w:cs="IRNazanin"/>
          <w:lang w:bidi="fa-IR"/>
          <w:color w:val="111111"/>
          <w:sz w:val="28"/>
          <w:szCs w:val="28"/>
          <w:rtl/>
        </w:rPr>
        <w:t xml:space="preserve">،و فی الدروس نسب المشهور إلی أشهر القولین </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ظاهر الأدلّة هو التبرّی من العیوب الموجودة حال العقد.</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التبرّی من العیوب المتجدّدة الموجبة للخیار،فیدلّ علی صحّته و سقوط الخیار به عموم«المؤمنون عند شروطهم» </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التذکرة بعد الاستدلال بعموم«المؤمنون»:لا یقال:</w:t>
      </w:r>
    </w:p>
    <w:p>
      <w:pPr>
        <w:pStyle w:val="BookText"/>
      </w:pPr>
      <w:r>
        <w:rPr>
          <w:rFonts w:ascii="IRNazanin" w:hAnsi="IRNazanin" w:eastAsia="IRNazanin" w:cs="IRNazanin"/>
          <w:lang w:bidi="fa-IR"/>
          <w:color w:val="111111"/>
          <w:sz w:val="28"/>
          <w:szCs w:val="28"/>
          <w:rtl/>
        </w:rPr>
        <w:t xml:space="preserve">إنّ التبرّی ممّا لم یوجد یستدعی البراءة ممّا لم یجب؛</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لأنّا نقول:التبرّی إنّما هو من الخیار الثابت بمقتضی العقد،لا من العیب </w:t>
      </w:r>
      <w:r>
        <w:rPr>
          <w:rStyle w:val="FootnoteReference"/>
        </w:rPr>
        <w:footnoteReference w:id="371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أقول:المفروض أنّ الخیار لا یحدث إلّا بسبب حدوث العیب، و العقد لیس سبباً لهذا الخیار،فإسناد البراءة إلی الخیار لا ینفع،و قد اعترف قدّس سرّه فی بعض کلماته بعدم جواز إسقاط خیار الرؤیة بعد العقد و قبل الرؤیة </w:t>
      </w:r>
      <w:r>
        <w:rPr>
          <w:rStyle w:val="FootnoteReference"/>
        </w:rPr>
        <w:footnoteReference w:id="3717"/>
      </w:r>
      <w:r>
        <w:rPr>
          <w:rFonts w:ascii="IRNazanin" w:hAnsi="IRNazanin" w:eastAsia="IRNazanin" w:cs="IRNazanin"/>
          <w:lang w:bidi="fa-IR"/>
          <w:color w:val="111111"/>
          <w:sz w:val="28"/>
          <w:szCs w:val="28"/>
          <w:rtl/>
        </w:rPr>
        <w:t xml:space="preserve">.نعم،ذکر فی التذکرة جواز اشتراط نفی خیار الرؤیة فی العقد </w:t>
      </w:r>
      <w:r>
        <w:rPr>
          <w:rStyle w:val="FootnoteReference"/>
        </w:rPr>
        <w:footnoteReference w:id="3718"/>
      </w:r>
      <w:r>
        <w:rPr>
          <w:rFonts w:ascii="IRNazanin" w:hAnsi="IRNazanin" w:eastAsia="IRNazanin" w:cs="IRNazanin"/>
          <w:lang w:bidi="fa-IR"/>
          <w:color w:val="111111"/>
          <w:sz w:val="28"/>
          <w:szCs w:val="28"/>
          <w:rtl/>
        </w:rPr>
        <w:t xml:space="preserve">،لکنّه مخالفٌ لسائر کلماته و کلمات غیره کالشهید </w:t>
      </w:r>
      <w:r>
        <w:rPr>
          <w:rStyle w:val="FootnoteReference"/>
        </w:rPr>
        <w:footnoteReference w:id="3719"/>
      </w:r>
      <w:r>
        <w:rPr>
          <w:rFonts w:ascii="IRNazanin" w:hAnsi="IRNazanin" w:eastAsia="IRNazanin" w:cs="IRNazanin"/>
          <w:lang w:bidi="fa-IR"/>
          <w:color w:val="111111"/>
          <w:sz w:val="28"/>
          <w:szCs w:val="28"/>
          <w:rtl/>
        </w:rPr>
        <w:t xml:space="preserve">و المحقّق الثانی </w:t>
      </w:r>
      <w:r>
        <w:rPr>
          <w:rStyle w:val="FootnoteReference"/>
        </w:rPr>
        <w:footnoteReference w:id="3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بالجملة،فلا فرق بین البراءة من خیار العیوب و البراءة من خیار الرؤیة،بل الغرر فی الأوّل أعظم،إلّا أنّه لمّا قام النصّ و الإجماع علی صحّة التبرّی من العیوب الموجودة فلا مناص عن التزام صحّته.</w:t>
      </w:r>
    </w:p>
    <w:p>
      <w:pPr>
        <w:pStyle w:val="BookText"/>
      </w:pPr>
      <w:r>
        <w:rPr>
          <w:rFonts w:ascii="IRNazanin" w:hAnsi="IRNazanin" w:eastAsia="IRNazanin" w:cs="IRNazanin"/>
          <w:lang w:bidi="fa-IR"/>
          <w:color w:val="111111"/>
          <w:sz w:val="28"/>
          <w:szCs w:val="28"/>
          <w:rtl/>
        </w:rPr>
        <w:t xml:space="preserve">مع إمکان الفرق بین العیوب و الصفات المشترطة فی العین الغائبة باندفاع الغرر فی الأوّل بالاعتماد علی أصالة السلامة فلا یقدح عدم التزام البائع</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بعدمها،بخلاف الثانی فإنّ الغرر لا یندفع فیه إلّا بالتزام البائع بوجودها فإذا لم یلتزم بها لزم الغرر.</w:t>
      </w:r>
    </w:p>
    <w:p>
      <w:pPr>
        <w:pStyle w:val="BookText"/>
      </w:pPr>
      <w:r>
        <w:rPr>
          <w:rFonts w:ascii="Amiri" w:hAnsi="Amiri" w:eastAsia="Amiri" w:cs="Amiri"/>
          <w:lang w:bidi="ar-SA"/>
          <w:color w:val="111111"/>
          <w:sz w:val="28"/>
          <w:szCs w:val="28"/>
          <w:rtl/>
        </w:rPr>
        <w:t xml:space="preserve">و أمّا البراءة </w:t>
      </w:r>
      <w:r>
        <w:rPr>
          <w:rStyle w:val="FootnoteReference"/>
        </w:rPr>
        <w:footnoteReference w:id="3721"/>
      </w:r>
      <w:r>
        <w:rPr>
          <w:rFonts w:ascii="IRNazanin" w:hAnsi="IRNazanin" w:eastAsia="IRNazanin" w:cs="IRNazanin"/>
          <w:lang w:bidi="fa-IR"/>
          <w:color w:val="111111"/>
          <w:sz w:val="28"/>
          <w:szCs w:val="28"/>
          <w:rtl/>
        </w:rPr>
        <w:t xml:space="preserve">عن العیوب المتجدّدة فلا یلزم من اشتراطها غررٌ فی البیع حتّی یحتاج إلی دفع الغرر بأصالة عدمها؛لأنّها غیر موجودةٍ بالفعل فی المبیع حتّی یوجب جهالةً.</w:t>
      </w:r>
    </w:p>
    <w:p>
      <w:pPr>
        <w:pStyle w:val="BookText"/>
      </w:pPr>
      <w:r>
        <w:rPr>
          <w:rFonts w:ascii="IRNazanin" w:hAnsi="IRNazanin" w:eastAsia="IRNazanin" w:cs="IRNazanin"/>
          <w:lang w:bidi="fa-IR"/>
          <w:color w:val="111111"/>
          <w:sz w:val="28"/>
          <w:szCs w:val="28"/>
          <w:rtl/>
        </w:rPr>
        <w:t xml:space="preserve">ثمّ إنّ البراءة فی هذا المقام یحتمل إضافتها إلی أُمور:</w:t>
      </w:r>
    </w:p>
    <w:p>
      <w:pPr>
        <w:pStyle w:val="BookText"/>
      </w:pPr>
      <w:r>
        <w:rPr>
          <w:rFonts w:ascii="IRNazanin" w:hAnsi="IRNazanin" w:eastAsia="IRNazanin" w:cs="IRNazanin"/>
          <w:lang w:bidi="fa-IR"/>
          <w:color w:val="111111"/>
          <w:sz w:val="28"/>
          <w:szCs w:val="28"/>
          <w:rtl/>
        </w:rPr>
        <w:t xml:space="preserve">الأول:عهدة العیوب،و معناه </w:t>
      </w:r>
      <w:r>
        <w:rPr>
          <w:rStyle w:val="FootnoteReference"/>
        </w:rPr>
        <w:footnoteReference w:id="3722"/>
      </w:r>
      <w:r>
        <w:rPr>
          <w:rFonts w:ascii="IRNazanin" w:hAnsi="IRNazanin" w:eastAsia="IRNazanin" w:cs="IRNazanin"/>
          <w:lang w:bidi="fa-IR"/>
          <w:color w:val="111111"/>
          <w:sz w:val="28"/>
          <w:szCs w:val="28"/>
          <w:rtl/>
        </w:rPr>
        <w:t xml:space="preserve">:عدم </w:t>
      </w:r>
      <w:r>
        <w:rPr>
          <w:rStyle w:val="FootnoteReference"/>
        </w:rPr>
        <w:footnoteReference w:id="3723"/>
      </w:r>
      <w:r>
        <w:rPr>
          <w:rFonts w:ascii="IRNazanin" w:hAnsi="IRNazanin" w:eastAsia="IRNazanin" w:cs="IRNazanin"/>
          <w:lang w:bidi="fa-IR"/>
          <w:color w:val="111111"/>
          <w:sz w:val="28"/>
          <w:szCs w:val="28"/>
          <w:rtl/>
        </w:rPr>
        <w:t xml:space="preserve">تعهّد سلامته من العیوب، فیکون مرجعه إلی عدم التزام سلامته،فلا یترتّب علی ظهور العیب ردٌّ و لا أرشٌ،فکأنه باعه علی کلّ تقدیر.</w:t>
      </w:r>
    </w:p>
    <w:p>
      <w:pPr>
        <w:pStyle w:val="BookText"/>
      </w:pPr>
      <w:r>
        <w:rPr>
          <w:rFonts w:ascii="IRNazanin" w:hAnsi="IRNazanin" w:eastAsia="IRNazanin" w:cs="IRNazanin"/>
          <w:lang w:bidi="fa-IR"/>
          <w:color w:val="111111"/>
          <w:sz w:val="28"/>
          <w:szCs w:val="28"/>
          <w:rtl/>
        </w:rPr>
        <w:t xml:space="preserve">الثانی:ضمان العیب،و هذا أنسب بمعنی البراءة،و مقتضاه عدم ضمانه بمالٍ،فتصیر الصحّة کسائر الأوصاف المشترطة فی عقد البیع- لا توجب إلّا تخییراً بین الردّ و الإمضاء مجّاناً،و مرجع ذلک إلی إسقاط أرش العیوب فی عقد البیع،لا خیارها.</w:t>
      </w:r>
    </w:p>
    <w:p>
      <w:pPr>
        <w:pStyle w:val="BookText"/>
      </w:pPr>
      <w:r>
        <w:rPr>
          <w:rFonts w:ascii="IRNazanin" w:hAnsi="IRNazanin" w:eastAsia="IRNazanin" w:cs="IRNazanin"/>
          <w:lang w:bidi="fa-IR"/>
          <w:color w:val="111111"/>
          <w:sz w:val="28"/>
          <w:szCs w:val="28"/>
          <w:rtl/>
        </w:rPr>
        <w:t xml:space="preserve">الثالث:حکم العیب،و معناه:البراءة من الخیار الثابت بمقتضی العقد بسبب العیب.</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الأظهر فی العرف هو المعنی الأوّل،و الأنسب بمعنی البراءة هو الثانی.</w:t>
      </w:r>
    </w:p>
    <w:p>
      <w:pPr>
        <w:pStyle w:val="BookText"/>
      </w:pPr>
      <w:r>
        <w:rPr>
          <w:rFonts w:ascii="IRNazanin" w:hAnsi="IRNazanin" w:eastAsia="IRNazanin" w:cs="IRNazanin"/>
          <w:lang w:bidi="fa-IR"/>
          <w:color w:val="111111"/>
          <w:sz w:val="28"/>
          <w:szCs w:val="28"/>
          <w:rtl/>
        </w:rPr>
        <w:t xml:space="preserve">و قد تقدّم عن التذکرة المعنی الثالث </w:t>
      </w:r>
      <w:r>
        <w:rPr>
          <w:rStyle w:val="FootnoteReference"/>
        </w:rPr>
        <w:footnoteReference w:id="3724"/>
      </w:r>
      <w:r>
        <w:rPr>
          <w:rFonts w:ascii="IRNazanin" w:hAnsi="IRNazanin" w:eastAsia="IRNazanin" w:cs="IRNazanin"/>
          <w:lang w:bidi="fa-IR"/>
          <w:color w:val="111111"/>
          <w:sz w:val="28"/>
          <w:szCs w:val="28"/>
          <w:rtl/>
        </w:rPr>
        <w:t xml:space="preserve">،و هو بعیدٌ عن اللفظ،إلّا أن یرجع إلی المعنی الأوّل.و الأمر سهلٌ.</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ثمّ إنّ تبرّی البائع عن العیوب مطلقاً أو عن عیبٍ خاصٍّ إنّما یسقط تأثیره من حیث الخیار.أمّا سائر أحکامه فلا،فلو تلف بهذا العیب فی أیّام خیار المشتری لم یزل ضمان البائع لعموم النصّ </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الدروس:أنّه لو تبرّأ من عیبٍ فتلف به فی زمن خیار المشتری فالأقرب عدم ضمان البائع،و کذا لو علم المشتری به قبل العقد أو رضی به بعده و تلف فی زمان خیار المشتری.و یحتمل الضمان؛لبقاء علاقة الخیار المقتضی لضمان العین معه.و أقوی إشکالاً ما لو تلف به و بعیبٍ آخر تجدَّدَ فی الخیار </w:t>
      </w:r>
      <w:r>
        <w:rPr>
          <w:rStyle w:val="FootnoteReference"/>
        </w:rPr>
        <w:footnoteReference w:id="3726"/>
      </w:r>
      <w:r>
        <w:rPr>
          <w:rFonts w:ascii="IRNazanin" w:hAnsi="IRNazanin" w:eastAsia="IRNazanin" w:cs="IRNazanin"/>
          <w:lang w:bidi="fa-IR"/>
          <w:color w:val="111111"/>
          <w:sz w:val="28"/>
          <w:szCs w:val="28"/>
          <w:rtl/>
        </w:rPr>
        <w:t xml:space="preserve">،انتهی کلامه رفع مقامه.</w:t>
      </w:r>
    </w:p>
    <w:p>
      <w:pPr>
        <w:pStyle w:val="BookText"/>
      </w:pPr>
      <w:r>
        <w:rPr>
          <w:rFonts w:ascii="Amiri" w:hAnsi="Amiri" w:eastAsia="Amiri" w:cs="Amiri"/>
          <w:lang w:bidi="ar-SA"/>
          <w:color w:val="111111"/>
          <w:sz w:val="28"/>
          <w:szCs w:val="28"/>
          <w:rtl/>
        </w:rPr>
        <w:t xml:space="preserve">ثمّ إنّ هنا أُموراً یظهر من بعض الأصحاب سقوط الردّ و الأرش بها:</w:t>
      </w:r>
    </w:p>
    <w:p>
      <w:pPr>
        <w:pStyle w:val="BookText"/>
      </w:pPr>
      <w:r>
        <w:rPr>
          <w:rFonts w:ascii="IRNazanin" w:hAnsi="IRNazanin" w:eastAsia="IRNazanin" w:cs="IRNazanin"/>
          <w:lang w:bidi="fa-IR"/>
          <w:color w:val="111111"/>
          <w:sz w:val="28"/>
          <w:szCs w:val="28"/>
          <w:rtl/>
        </w:rPr>
        <w:t xml:space="preserve">منها: زوال العیب قبل العلم به،کما صرّح به فی غیر موضعٍ من التذکرة </w:t>
      </w:r>
      <w:r>
        <w:rPr>
          <w:rStyle w:val="FootnoteReference"/>
        </w:rPr>
        <w:footnoteReference w:id="3727"/>
      </w:r>
      <w:r>
        <w:rPr>
          <w:rFonts w:ascii="IRNazanin" w:hAnsi="IRNazanin" w:eastAsia="IRNazanin" w:cs="IRNazanin"/>
          <w:lang w:bidi="fa-IR"/>
          <w:color w:val="111111"/>
          <w:sz w:val="28"/>
          <w:szCs w:val="28"/>
          <w:rtl/>
        </w:rPr>
        <w:t xml:space="preserve">،و مال إلیه فی جامع المقاصد </w:t>
      </w:r>
      <w:r>
        <w:rPr>
          <w:rStyle w:val="FootnoteReference"/>
        </w:rPr>
        <w:footnoteReference w:id="3728"/>
      </w:r>
      <w:r>
        <w:rPr>
          <w:rFonts w:ascii="IRNazanin" w:hAnsi="IRNazanin" w:eastAsia="IRNazanin" w:cs="IRNazanin"/>
          <w:lang w:bidi="fa-IR"/>
          <w:color w:val="111111"/>
          <w:sz w:val="28"/>
          <w:szCs w:val="28"/>
          <w:rtl/>
        </w:rPr>
        <w:t xml:space="preserve">،و اختاره فی المسالک </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 کذا لو زال بعد العلم به قبل الردّ،و هو ظاهر التذکرة حیث قال فی أواخر فصل العیوب:لو کان المبیع معیباً عند البائع ثمّ أقبضه و قد زال عیبه فلا ردَّ،لعدم موجبه.و سبق العیب لا یوجب خیاراً کما لو سبق علی العقد ثمّ زال قبله،بل مهما زال العیب قبل العلم أو بعده قبل الردّ سقط حقّ الردّ </w:t>
      </w:r>
      <w:r>
        <w:rPr>
          <w:rStyle w:val="FootnoteReference"/>
        </w:rPr>
        <w:footnoteReference w:id="373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صریحٌ فی سقوط الردّ و ظاهرٌ فی سقوط الأرش کما لا یخفی علی المتأمّل،خصوصاً مع تفریعه فی موضعٍ آخر قبل ذلک عدم الردّ و الأرش معاً علی زوال العیب،حیث قال:لو اشتری عبداً و حدث فی ید المشتری نکتةُ بیاضٍ فی عینه و وجد نکتةٌ قدیمةٌ ثمّ زالت إحداهما، فقال البائع:الزائلة هی القدیمة فلا ردَّ و لا أرش،و قال المشتری:بل الحادثة و لی الردّ،قال الشافعی یتحالفان..إلی آخر ما حکاه عن الشافعی </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کان،ففی سقوط الردّ بزوال العیب وجهٌ؛لأنّ ظاهر أدلّة الردّ-خصوصاً بملاحظة أنّ الصبر علی العیب ضررٌ هو ردّ المعیوب و هو المتلبّس بالعیب،لا ما کان معیوباً فی زمانٍ،فلا یتوهّم هنا استصحاب الخیار.</w:t>
      </w:r>
    </w:p>
    <w:p>
      <w:pPr>
        <w:pStyle w:val="BookText"/>
      </w:pPr>
      <w:r>
        <w:rPr>
          <w:rFonts w:ascii="IRNazanin" w:hAnsi="IRNazanin" w:eastAsia="IRNazanin" w:cs="IRNazanin"/>
          <w:lang w:bidi="fa-IR"/>
          <w:color w:val="111111"/>
          <w:sz w:val="28"/>
          <w:szCs w:val="28"/>
          <w:rtl/>
        </w:rPr>
        <w:t xml:space="preserve">و أمّا الأرش،فلمّا ثبت استحقاق المطالبة به لفوات وصف الصّحة عند العقد فقد استقرّ بالعقد،خصوصاً بعد العلم بالعیب،و الصحّة إنّما حدثت فی ملک المشتری،فبراءة ذمّة البائع عن عهدة العیب المضمون علیه یحتاج إلی دلیلٍ،فالقول بثبوت الأرش و سقوط الردّ قویٌّ لو لم یکن تفصیلاً</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404" w:name="pg14419_167607"/>
    <w:bookmarkEnd w:id="404"/>
    <w:p>
      <w:pPr>
        <w:pStyle w:val="BookText"/>
      </w:pPr>
      <w:r>
        <w:rPr>
          <w:rFonts w:ascii="Amiri" w:hAnsi="Amiri" w:eastAsia="Amiri" w:cs="Amiri"/>
          <w:lang w:bidi="ar-SA"/>
          <w:color w:val="111111"/>
          <w:sz w:val="28"/>
          <w:szCs w:val="28"/>
          <w:rtl/>
        </w:rPr>
        <w:t xml:space="preserve">مخالفاً للإجماع.و لم أجد من تعرّض لهذا الفرع قبل العلّامة أو بعده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Heading6"/>
      </w:pPr>
      <w:bookmarkStart w:id="1323" w:name="_Toc763"/>
      <w:r>
        <w:t>و منها: التصرّف بعد العلم بالعیب</w:t>
      </w:r>
      <w:bookmarkEnd w:id="13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فإنّه مسقطٌ للأمرین عند ابن حمزة فی الوسیلة </w:t>
      </w:r>
      <w:r>
        <w:rPr>
          <w:rStyle w:val="FootnoteReference"/>
        </w:rPr>
        <w:footnoteReference w:id="3733"/>
      </w:r>
      <w:r>
        <w:rPr>
          <w:rFonts w:ascii="IRNazanin" w:hAnsi="IRNazanin" w:eastAsia="IRNazanin" w:cs="IRNazanin"/>
          <w:lang w:bidi="fa-IR"/>
          <w:color w:val="111111"/>
          <w:sz w:val="28"/>
          <w:szCs w:val="28"/>
          <w:rtl/>
        </w:rPr>
        <w:t xml:space="preserve">.و لعلّه لکونه علامة الرضا بالمبیع بوصف العیب، و النصّ المثبت للأرش بعد التصرّف ظاهرٌ فیما قبل العلم.و رُدّ بأنّه دلیل الرضا بالمبیع لا بالعیب.</w:t>
      </w:r>
    </w:p>
    <w:p>
      <w:pPr>
        <w:pStyle w:val="BookText"/>
      </w:pPr>
      <w:r>
        <w:rPr>
          <w:rFonts w:ascii="IRNazanin" w:hAnsi="IRNazanin" w:eastAsia="IRNazanin" w:cs="IRNazanin"/>
          <w:lang w:bidi="fa-IR"/>
          <w:color w:val="111111"/>
          <w:sz w:val="28"/>
          <w:szCs w:val="28"/>
          <w:rtl/>
        </w:rPr>
        <w:t xml:space="preserve">و الأولی أن یقال:إنّ الرضا بالعیب لا یوجب إسقاط الأرش، و إنّما المسقط له إبراء البائع عن عهدة العیب،و حیث لم یدلّ التصرّف علیه فالأصل بقاء حقّ الأرش الثابت قبل التصرّف،مع أنّ اختصاص النصّ بصورة التصرّف قبل العلم ممنوعٌ،فلیراجع.</w:t>
      </w:r>
    </w:p>
    <w:p>
      <w:pPr>
        <w:pStyle w:val="BookText"/>
      </w:pPr>
      <w:r>
        <w:rPr>
          <w:rFonts w:ascii="IRNazanin" w:hAnsi="IRNazanin" w:eastAsia="IRNazanin" w:cs="IRNazanin"/>
          <w:lang w:bidi="fa-IR"/>
          <w:color w:val="111111"/>
          <w:sz w:val="28"/>
          <w:szCs w:val="28"/>
          <w:rtl/>
        </w:rPr>
        <w:t xml:space="preserve">و منها: التصرّف فی المعیب الذی لم ینقص قیمته بالعیب،کالبغل الخصیّ بل العبد الخصیّ علی ما عرفت </w:t>
      </w:r>
      <w:r>
        <w:rPr>
          <w:rStyle w:val="FootnoteReference"/>
        </w:rPr>
        <w:footnoteReference w:id="3734"/>
      </w:r>
      <w:r>
        <w:rPr>
          <w:rFonts w:ascii="IRNazanin" w:hAnsi="IRNazanin" w:eastAsia="IRNazanin" w:cs="IRNazanin"/>
          <w:lang w:bidi="fa-IR"/>
          <w:color w:val="111111"/>
          <w:sz w:val="28"/>
          <w:szCs w:val="28"/>
          <w:rtl/>
        </w:rPr>
        <w:t xml:space="preserve">،فإنّ الأرش منتفٍ لعدم تفاوت القیمة،و الردّ لأجل التصرّف.</w:t>
      </w:r>
    </w:p>
    <w:p>
      <w:pPr>
        <w:pStyle w:val="BookText"/>
      </w:pPr>
      <w:r>
        <w:rPr>
          <w:rFonts w:ascii="IRNazanin" w:hAnsi="IRNazanin" w:eastAsia="IRNazanin" w:cs="IRNazanin"/>
          <w:lang w:bidi="fa-IR"/>
          <w:color w:val="111111"/>
          <w:sz w:val="28"/>
          <w:szCs w:val="28"/>
          <w:rtl/>
        </w:rPr>
        <w:t xml:space="preserve">و قد یستشکل فیه من حیث لزوم الضرر علی المشتری بصبره علی المعیب </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405" w:name="pg14419_167608"/>
    <w:bookmarkEnd w:id="405"/>
    <w:p>
      <w:pPr>
        <w:pStyle w:val="BookText"/>
      </w:pPr>
      <w:r>
        <w:rPr>
          <w:rFonts w:ascii="Amiri" w:hAnsi="Amiri" w:eastAsia="Amiri" w:cs="Amiri"/>
          <w:lang w:bidi="ar-SA"/>
          <w:color w:val="111111"/>
          <w:sz w:val="28"/>
          <w:szCs w:val="28"/>
          <w:rtl/>
        </w:rPr>
        <w:t xml:space="preserve">و فیه:أنّ العیب فی مثله لا یُعدّ ضرراً مالیّاً بالفرض،فلا بأس بأن[یکون </w:t>
      </w:r>
      <w:r>
        <w:rPr>
          <w:rStyle w:val="FootnoteReference"/>
        </w:rPr>
        <w:footnoteReference w:id="3736"/>
      </w:r>
      <w:r>
        <w:rPr>
          <w:rFonts w:ascii="IRNazanin" w:hAnsi="IRNazanin" w:eastAsia="IRNazanin" w:cs="IRNazanin"/>
          <w:lang w:bidi="fa-IR"/>
          <w:color w:val="111111"/>
          <w:sz w:val="28"/>
          <w:szCs w:val="28"/>
          <w:rtl/>
        </w:rPr>
        <w:t xml:space="preserve">]الخیار فیه کالثابت بالتدلیس فی سقوطه بالتصرّف مع عدم أرشٍ فیه.</w:t>
      </w:r>
    </w:p>
    <w:p>
      <w:pPr>
        <w:pStyle w:val="BookText"/>
      </w:pPr>
      <w:r>
        <w:rPr>
          <w:rFonts w:ascii="IRNazanin" w:hAnsi="IRNazanin" w:eastAsia="IRNazanin" w:cs="IRNazanin"/>
          <w:lang w:bidi="fa-IR"/>
          <w:color w:val="111111"/>
          <w:sz w:val="28"/>
          <w:szCs w:val="28"/>
          <w:rtl/>
        </w:rPr>
        <w:t xml:space="preserve">و حلّه:أنّ الضرر إمّا أن یکون من حیث القصد إلی ما هو أزید مالیّةً من الموجود،و إمّا أن یکون من حیث القصد إلی خصوصیّةٍ مفقودةٍ فی العین مع قطع النظر عن قیمته.و الأوّل مفروض الانتفاء، و الثانی قد رضی به و أقدم علیه المشتری بتصرّفه فیه،بناءً علی أنّ التصرّف دلیل الرضا بالعین الخارجیة،کما لو رضی بالعبد المشروط کتابته مع تبیّن عدمها فیه.</w:t>
      </w:r>
    </w:p>
    <w:p>
      <w:pPr>
        <w:pStyle w:val="BookText"/>
      </w:pPr>
      <w:r>
        <w:rPr>
          <w:rFonts w:ascii="IRNazanin" w:hAnsi="IRNazanin" w:eastAsia="IRNazanin" w:cs="IRNazanin"/>
          <w:lang w:bidi="fa-IR"/>
          <w:color w:val="111111"/>
          <w:sz w:val="28"/>
          <w:szCs w:val="28"/>
          <w:rtl/>
        </w:rPr>
        <w:t xml:space="preserve">إلّا أن یقال:إنّ المقدار الثابت من سقوط الردّ بالتصرّف هو مورد ثبوت الأرش،و إلّا فمقتضی القاعدة عدم سقوط الردّ بالتصرّف کما فی غیر العیب و التدلیس من أسباب الخیار،خصوصاً بعد تنزیل الصحّة فیما نحن فیه منزلة الأوصاف المشترطة الّتی لا یوجب فواتها أرشاً،فإنّ خیار التخلّف فیها لا یسقط بالتصرّف کما صُرّح به </w:t>
      </w:r>
      <w:r>
        <w:rPr>
          <w:rStyle w:val="FootnoteReference"/>
        </w:rPr>
        <w:footnoteReference w:id="3737"/>
      </w:r>
      <w:r>
        <w:rPr>
          <w:rFonts w:ascii="IRNazanin" w:hAnsi="IRNazanin" w:eastAsia="IRNazanin" w:cs="IRNazanin"/>
          <w:lang w:bidi="fa-IR"/>
          <w:color w:val="111111"/>
          <w:sz w:val="28"/>
          <w:szCs w:val="28"/>
          <w:rtl/>
        </w:rPr>
        <w:t xml:space="preserve">.نعم، لو اقتصر فی التصرّف المسقط علی ما یدلّ علی الرضا کان مقتضی عموم ما تقدّم سقوط الردّ بالتصرّف مطلقاً.</w:t>
      </w:r>
    </w:p>
    <w:p>
      <w:pPr>
        <w:pStyle w:val="Heading6"/>
      </w:pPr>
      <w:bookmarkStart w:id="1324" w:name="_Toc764"/>
      <w:r>
        <w:t>و منها: حدوث العیب فی المعیب المذکور</w:t>
      </w:r>
      <w:bookmarkEnd w:id="13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الاستشکال هنا بلزوم الضرر فی محلّه،فیحتمل ثبوت الردّ مع قیمة النقص الحادث لو کان</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406" w:name="pg14419_167609"/>
    <w:bookmarkEnd w:id="406"/>
    <w:p>
      <w:pPr>
        <w:pStyle w:val="BookText"/>
      </w:pPr>
      <w:r>
        <w:rPr>
          <w:rFonts w:ascii="IRNazanin" w:hAnsi="IRNazanin" w:eastAsia="IRNazanin" w:cs="IRNazanin"/>
          <w:lang w:bidi="fa-IR"/>
          <w:color w:val="111111"/>
          <w:sz w:val="28"/>
          <w:szCs w:val="28"/>
          <w:rtl/>
        </w:rPr>
        <w:t xml:space="preserve">موجباً له؛لأنّ الصحّة فی هذا المبیع کسائر الأوصاف المشترطة فی البیع </w:t>
      </w:r>
      <w:r>
        <w:rPr>
          <w:rStyle w:val="FootnoteReference"/>
        </w:rPr>
        <w:footnoteReference w:id="3738"/>
      </w:r>
      <w:r>
        <w:rPr>
          <w:rFonts w:ascii="IRNazanin" w:hAnsi="IRNazanin" w:eastAsia="IRNazanin" w:cs="IRNazanin"/>
          <w:lang w:bidi="fa-IR"/>
          <w:color w:val="111111"/>
          <w:sz w:val="28"/>
          <w:szCs w:val="28"/>
          <w:rtl/>
        </w:rPr>
        <w:t xml:space="preserve">التی لا یوجب فواتها أرشاً،و النصّ الدالّ علی اشتراط الردّ بقیام العین و هی المرسلة المتقدّمة </w:t>
      </w:r>
      <w:r>
        <w:rPr>
          <w:rStyle w:val="FootnoteReference"/>
        </w:rPr>
        <w:footnoteReference w:id="3739"/>
      </w:r>
      <w:r>
        <w:rPr>
          <w:rFonts w:ascii="IRNazanin" w:hAnsi="IRNazanin" w:eastAsia="IRNazanin" w:cs="IRNazanin"/>
          <w:lang w:bidi="fa-IR"/>
          <w:color w:val="111111"/>
          <w:sz w:val="28"/>
          <w:szCs w:val="28"/>
          <w:rtl/>
        </w:rPr>
        <w:t xml:space="preserve">مختصٌّ بمورد إمکان تدارک ضرر الصبر علی المعیب بالأرش،و الإجماع فیما نحن فیه غیر متحقّق،مع ما عرفت من مخالفة المفید فی أصل المسألة </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کلّه،مضافاً إلی أصالة جواز الردّ الثابت قبل حدوث العیب؛ و بها یدفع </w:t>
      </w:r>
      <w:r>
        <w:rPr>
          <w:rStyle w:val="FootnoteReference"/>
        </w:rPr>
        <w:footnoteReference w:id="3741"/>
      </w:r>
      <w:r>
        <w:rPr>
          <w:rFonts w:ascii="IRNazanin" w:hAnsi="IRNazanin" w:eastAsia="IRNazanin" w:cs="IRNazanin"/>
          <w:lang w:bidi="fa-IR"/>
          <w:color w:val="111111"/>
          <w:sz w:val="28"/>
          <w:szCs w:val="28"/>
          <w:rtl/>
        </w:rPr>
        <w:t xml:space="preserve">.معارضة الضرر المذکور بتضرّر البائع بالفسخ و نقل المعیب إلی ملکه بعد خروجه عن ملکه سلیماً عن هذا العیب.</w:t>
      </w:r>
    </w:p>
    <w:p>
      <w:pPr>
        <w:pStyle w:val="BookText"/>
      </w:pPr>
      <w:r>
        <w:rPr>
          <w:rFonts w:ascii="IRNazanin" w:hAnsi="IRNazanin" w:eastAsia="IRNazanin" w:cs="IRNazanin"/>
          <w:lang w:bidi="fa-IR"/>
          <w:color w:val="111111"/>
          <w:sz w:val="28"/>
          <w:szCs w:val="28"/>
          <w:rtl/>
        </w:rPr>
        <w:t xml:space="preserve">و کیف کان،فلو ثبت الإجماع أو استفیض نقله </w:t>
      </w:r>
      <w:r>
        <w:rPr>
          <w:rStyle w:val="FootnoteReference"/>
        </w:rPr>
        <w:footnoteReference w:id="3742"/>
      </w:r>
      <w:r>
        <w:rPr>
          <w:rFonts w:ascii="IRNazanin" w:hAnsi="IRNazanin" w:eastAsia="IRNazanin" w:cs="IRNazanin"/>
          <w:lang w:bidi="fa-IR"/>
          <w:color w:val="111111"/>
          <w:sz w:val="28"/>
          <w:szCs w:val="28"/>
          <w:rtl/>
        </w:rPr>
        <w:t xml:space="preserve">علی سقوط الردّ بحدوث العیب و التغییر علی وجهٍ یشمل المقام،و إلّا فسقوط الردّ هنا محلّ نظرٍ بل منع.</w:t>
      </w:r>
    </w:p>
    <w:p>
      <w:pPr>
        <w:pStyle w:val="Heading6"/>
      </w:pPr>
      <w:bookmarkStart w:id="1325" w:name="_Toc765"/>
      <w:r>
        <w:t>و منها: ثبوت أحد مانعی الردّ</w:t>
      </w:r>
      <w:bookmarkEnd w:id="1325"/>
    </w:p>
    <w:p>
      <w:pPr>
        <w:pStyle w:val="BookText"/>
      </w:pPr>
      <w:r>
        <w:rPr>
          <w:rFonts w:ascii="IRNazanin" w:hAnsi="IRNazanin" w:eastAsia="IRNazanin" w:cs="IRNazanin"/>
          <w:lang w:bidi="fa-IR"/>
          <w:color w:val="111111"/>
          <w:sz w:val="28"/>
          <w:szCs w:val="28"/>
          <w:rtl/>
        </w:rPr>
        <w:t xml:space="preserve">و منها: ثبوت أحد مانعی الردّ </w:t>
      </w:r>
      <w:r>
        <w:rPr>
          <w:rStyle w:val="FootnoteReference"/>
        </w:rPr>
        <w:footnoteReference w:id="3743"/>
      </w:r>
      <w:r>
        <w:rPr>
          <w:rFonts w:ascii="IRNazanin" w:hAnsi="IRNazanin" w:eastAsia="IRNazanin" w:cs="IRNazanin"/>
          <w:lang w:bidi="fa-IR"/>
          <w:color w:val="111111"/>
          <w:sz w:val="28"/>
          <w:szCs w:val="28"/>
          <w:rtl/>
        </w:rPr>
        <w:t xml:space="preserve">فی المعیب</w:t>
      </w:r>
    </w:p>
    <w:p>
      <w:pPr>
        <w:pStyle w:val="BookText"/>
      </w:pPr>
      <w:r>
        <w:rPr>
          <w:rFonts w:ascii="IRNazanin" w:hAnsi="IRNazanin" w:eastAsia="IRNazanin" w:cs="IRNazanin"/>
          <w:lang w:bidi="fa-IR"/>
          <w:color w:val="111111"/>
          <w:sz w:val="28"/>
          <w:szCs w:val="28"/>
          <w:rtl/>
        </w:rPr>
        <w:t xml:space="preserve">الذی لا یجوز أخذ</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الأرش فیه لأجل الربا.</w:t>
      </w:r>
    </w:p>
    <w:p>
      <w:pPr>
        <w:pStyle w:val="BookText"/>
      </w:pPr>
      <w:r>
        <w:rPr>
          <w:rFonts w:ascii="IRNazanin" w:hAnsi="IRNazanin" w:eastAsia="IRNazanin" w:cs="IRNazanin"/>
          <w:lang w:bidi="fa-IR"/>
          <w:color w:val="111111"/>
          <w:sz w:val="28"/>
          <w:szCs w:val="28"/>
          <w:rtl/>
        </w:rPr>
        <w:t xml:space="preserve">أمّا المانع الأوّل،فالظاهر أنّ حکمه کما تقدّم فی المعیب الذی لا ینقص مالیّته </w:t>
      </w:r>
      <w:r>
        <w:rPr>
          <w:rStyle w:val="FootnoteReference"/>
        </w:rPr>
        <w:footnoteReference w:id="3744"/>
      </w:r>
      <w:r>
        <w:rPr>
          <w:rFonts w:ascii="IRNazanin" w:hAnsi="IRNazanin" w:eastAsia="IRNazanin" w:cs="IRNazanin"/>
          <w:lang w:bidi="fa-IR"/>
          <w:color w:val="111111"/>
          <w:sz w:val="28"/>
          <w:szCs w:val="28"/>
          <w:rtl/>
        </w:rPr>
        <w:t xml:space="preserve">فإنّ المشتری لمّا أقدم علی معاوضة أحد الربویّین بالآخر أقدم علی عدم مطالبة مالٍ زائدٍ علی ما یأخذه بدلاً عن ماله و إن کان المأخوذ معیباً،فیبقی وصف الصحّة کسائر الأوصاف التی لا یوجب اشتراطها إلّا جواز الردّ بلا أرشٍ،فإذا تصرّف فیه خصوصاً بعد العلم تصرّفاً دالاّ علی الرضا بفاقد الوصف المشترط لزم علیه </w:t>
      </w:r>
      <w:r>
        <w:rPr>
          <w:rStyle w:val="FootnoteReference"/>
        </w:rPr>
        <w:footnoteReference w:id="3745"/>
      </w:r>
      <w:r>
        <w:rPr>
          <w:rFonts w:ascii="IRNazanin" w:hAnsi="IRNazanin" w:eastAsia="IRNazanin" w:cs="IRNazanin"/>
          <w:lang w:bidi="fa-IR"/>
          <w:color w:val="111111"/>
          <w:sz w:val="28"/>
          <w:szCs w:val="28"/>
          <w:rtl/>
        </w:rPr>
        <w:t xml:space="preserve">، کما فی خیار التدلیس بعد التصرّف </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المانع الثانی،فظاهر جماعةٍ کونه مانعاً فیما نحن فیه من الردّ أیضاً،و هو مبنیٌّ علی عموم منع العیب الحادث من الردّ حتّی فی صورة عدم جواز أخذ الأرش.و قد عرفت النظر فیه </w:t>
      </w:r>
      <w:r>
        <w:rPr>
          <w:rStyle w:val="FootnoteReference"/>
        </w:rPr>
        <w:footnoteReference w:id="3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فی التذکرة وجهاً آخر لامتناع الردّ،و هو:أنّه لو ردَّ،فإمّا أن یکون مع أرش العیب الحادث،و إمّا أن یردّ بدونه،فإن ردَّه بدونه کان ضرراً علی البائع،و إن ردَّ مع الأرش لزم الربا،قال:لأنّ المردود حینئذٍ یزید علی وزن عوضه </w:t>
      </w:r>
      <w:r>
        <w:rPr>
          <w:rStyle w:val="FootnoteReference"/>
        </w:rPr>
        <w:footnoteReference w:id="3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الظاهر أنّ مراده من ذلک:أنّ ردّ المعیب لمّا کان بفسخ المعاوضة،و مقتضی المعاوضة بین الصحیح و المعیب من جنسٍ واحدٍ أن</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یُضمن وصف الصحّة بشیءٍ؛إذ لو جاز ضمانه لجاز أخذ المشتری الأرش فیما نحن فیه،فیکون وصف الصحّة فی کلٍّ من العوضین نظیر سائر الأوصاف الغیر المضمونة بالمال،فإذا حصل الفسخ وجب ترادّ العوضین من غیر زیادةٍ و لا نقیصة؛و لذا یبطل التقایل مع اشتراط الزیادة أو النقیصة فی أحد العوضین،فإذا استردّ المشتری الثمن لم یکن علیه إلّا ردّ ما قابلة لا غیر،فإن ردّ إلی البائع قیمة العیب الحادث عنده </w:t>
      </w:r>
      <w:r>
        <w:rPr>
          <w:rStyle w:val="FootnoteReference"/>
        </w:rPr>
        <w:footnoteReference w:id="3749"/>
      </w:r>
      <w:r>
        <w:rPr>
          <w:rFonts w:ascii="IRNazanin" w:hAnsi="IRNazanin" w:eastAsia="IRNazanin" w:cs="IRNazanin"/>
          <w:lang w:bidi="fa-IR"/>
          <w:color w:val="111111"/>
          <w:sz w:val="28"/>
          <w:szCs w:val="28"/>
          <w:rtl/>
        </w:rPr>
        <w:t xml:space="preserve">لم یکن ذلک إلّا باعتبار کون ذلک العیب مضموناً علیه بجزءٍ من الثمن،فیلزم وقوع الثمن بإزاء مجموع المثمن و وصف صحّته،فینقص الثمن عن نفس المعیب فیلزم الربا.</w:t>
      </w:r>
    </w:p>
    <w:p>
      <w:pPr>
        <w:pStyle w:val="BookText"/>
      </w:pPr>
      <w:r>
        <w:rPr>
          <w:rFonts w:ascii="IRNazanin" w:hAnsi="IRNazanin" w:eastAsia="IRNazanin" w:cs="IRNazanin"/>
          <w:lang w:bidi="fa-IR"/>
          <w:color w:val="111111"/>
          <w:sz w:val="28"/>
          <w:szCs w:val="28"/>
          <w:rtl/>
        </w:rPr>
        <w:t xml:space="preserve">فمراد العلّامة قدّس سرّه بلزوم الربا:إمّا لزوم الربا فی أصل المعاوضة، إذ لو لا ملاحظة جزءٍ من الثمن فی مقابلة صفة الصحّة لم یکن وجهٌ لغرامة بدل الصفة و قیمتها عند استرداد الثمن،و إمّا لزوم الربا فی الفسخ حیث قوبل فیه الثمن بمقداره من المثمن و زیادة.و الأوّل أولی.</w:t>
      </w:r>
    </w:p>
    <w:p>
      <w:pPr>
        <w:pStyle w:val="BookText"/>
      </w:pPr>
      <w:r>
        <w:rPr>
          <w:rFonts w:ascii="IRNazanin" w:hAnsi="IRNazanin" w:eastAsia="IRNazanin" w:cs="IRNazanin"/>
          <w:lang w:bidi="fa-IR"/>
          <w:color w:val="111111"/>
          <w:sz w:val="28"/>
          <w:szCs w:val="28"/>
          <w:rtl/>
        </w:rPr>
        <w:t xml:space="preserve">و ممّا ذکرنا ظهر ما فی تصحیح هذا:بأنّ قیمة العیب الحادث غرامةٌ لما فات فی یده مضموناً علیه نظیر المقبوض بالسوم إذا حدث فیه العیب،فلا ینضمّ إلی المثمن حتی یصیر أزید من الثمن.</w:t>
      </w:r>
    </w:p>
    <w:p>
      <w:pPr>
        <w:pStyle w:val="BookText"/>
      </w:pPr>
      <w:r>
        <w:rPr>
          <w:rFonts w:ascii="IRNazanin" w:hAnsi="IRNazanin" w:eastAsia="IRNazanin" w:cs="IRNazanin"/>
          <w:lang w:bidi="fa-IR"/>
          <w:color w:val="111111"/>
          <w:sz w:val="28"/>
          <w:szCs w:val="28"/>
          <w:rtl/>
        </w:rPr>
        <w:t xml:space="preserve">إذ فیه:وضوح الفرق؛فإنّ المقبوض بالسوم إنّما یتلف فی ملک مالکه فیضمنه القابض،و العیب الحادث فی </w:t>
      </w:r>
      <w:r>
        <w:rPr>
          <w:rStyle w:val="FootnoteReference"/>
        </w:rPr>
        <w:footnoteReference w:id="3750"/>
      </w:r>
      <w:r>
        <w:rPr>
          <w:rFonts w:ascii="IRNazanin" w:hAnsi="IRNazanin" w:eastAsia="IRNazanin" w:cs="IRNazanin"/>
          <w:lang w:bidi="fa-IR"/>
          <w:color w:val="111111"/>
          <w:sz w:val="28"/>
          <w:szCs w:val="28"/>
          <w:rtl/>
        </w:rPr>
        <w:t xml:space="preserve">المبیع لا یتصوّر ضمان المشتری له إلّا بعد تقدیر رجوع العین فی ملک البائع و تلف وصف</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الصحّة منه فی ید المشتری،فإذا فرض أنّ صفة الصحّة لا تقابل بجزءٍ من المال فی عقد المعاوضة </w:t>
      </w:r>
      <w:r>
        <w:rPr>
          <w:rStyle w:val="FootnoteReference"/>
        </w:rPr>
        <w:footnoteReference w:id="3751"/>
      </w:r>
      <w:r>
        <w:rPr>
          <w:rFonts w:ascii="IRNazanin" w:hAnsi="IRNazanin" w:eastAsia="IRNazanin" w:cs="IRNazanin"/>
          <w:lang w:bidi="fa-IR"/>
          <w:color w:val="111111"/>
          <w:sz w:val="28"/>
          <w:szCs w:val="28"/>
          <w:rtl/>
        </w:rPr>
        <w:t xml:space="preserve">،فیکون تلفها فی ید المشتری کنسیان العبد الکتابة،لا یستحقّ البائع عند الفسخ قیمتها.</w:t>
      </w:r>
    </w:p>
    <w:p>
      <w:pPr>
        <w:pStyle w:val="BookText"/>
      </w:pPr>
      <w:r>
        <w:rPr>
          <w:rFonts w:ascii="IRNazanin" w:hAnsi="IRNazanin" w:eastAsia="IRNazanin" w:cs="IRNazanin"/>
          <w:lang w:bidi="fa-IR"/>
          <w:color w:val="111111"/>
          <w:sz w:val="28"/>
          <w:szCs w:val="28"/>
          <w:rtl/>
        </w:rPr>
        <w:t xml:space="preserve">و الحاصل:أنّ البائع لا یستحقّ من المشتری إلّا ما وقع مقابلاً بالثمن،و هو نفس المثمن،من دون اعتبار صحّته جزءً،فکأنه باع عبداً کاتباً فقبضه المشتری ثمّ فسخ أو تفاسخا بعد نسیان العبد الکتابة </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صریح جماعةٍ من الأصحاب عدم الحکم علی المشتری بالصبر علی المعیب مجّاناً فیما نحن فیه </w:t>
      </w:r>
      <w:r>
        <w:rPr>
          <w:rStyle w:val="FootnoteReference"/>
        </w:rPr>
        <w:footnoteReference w:id="3753"/>
      </w:r>
      <w:r>
        <w:rPr>
          <w:rFonts w:ascii="IRNazanin" w:hAnsi="IRNazanin" w:eastAsia="IRNazanin" w:cs="IRNazanin"/>
          <w:lang w:bidi="fa-IR"/>
          <w:color w:val="111111"/>
          <w:sz w:val="28"/>
          <w:szCs w:val="28"/>
          <w:rtl/>
        </w:rPr>
        <w:t xml:space="preserve">،فذکروا فی تدارک ضرر المشتری وجهین،اقتصر فی المبسوط علی حکایتهما </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أحدهما:جواز ردّ المشتری للمعیب مع غرامة قیمة العیب الحادث؛ لما تقدّم </w:t>
      </w:r>
      <w:r>
        <w:rPr>
          <w:rStyle w:val="FootnoteReference"/>
        </w:rPr>
        <w:footnoteReference w:id="3755"/>
      </w:r>
      <w:r>
        <w:rPr>
          <w:rFonts w:ascii="IRNazanin" w:hAnsi="IRNazanin" w:eastAsia="IRNazanin" w:cs="IRNazanin"/>
          <w:lang w:bidi="fa-IR"/>
          <w:color w:val="111111"/>
          <w:sz w:val="28"/>
          <w:szCs w:val="28"/>
          <w:rtl/>
        </w:rPr>
        <w:t xml:space="preserve">إلیه الإشارة:من أنّ أرش العیب الحادث فی ید المشتری نظیر أرش العیب الحادث فی المقبوض بالسوم،فی کونها غرامة تالفٍ مضمونٍ علی المشتری لا دخل له فی العوضین حتی یلزم الربا.</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الثانی:أن یفسخ البیع لتعذّر إمضائه،و إلزام المشتری ببدله من</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407" w:name="pg14419_167613"/>
    <w:bookmarkEnd w:id="407"/>
    <w:p>
      <w:pPr>
        <w:pStyle w:val="BookText"/>
      </w:pPr>
      <w:r>
        <w:rPr>
          <w:rFonts w:ascii="IRNazanin" w:hAnsi="IRNazanin" w:eastAsia="IRNazanin" w:cs="IRNazanin"/>
          <w:lang w:bidi="fa-IR"/>
          <w:color w:val="111111"/>
          <w:sz w:val="28"/>
          <w:szCs w:val="28"/>
          <w:rtl/>
        </w:rPr>
        <w:t xml:space="preserve">غیر الجنس معیباً بالعیب القدیم و سلیماً عن الجدید،و یُجعل بمثابة التالف؛لامتناع ردّه بلا أرش و مع الأرش.</w:t>
      </w:r>
    </w:p>
    <w:p>
      <w:pPr>
        <w:pStyle w:val="BookText"/>
      </w:pPr>
      <w:r>
        <w:rPr>
          <w:rFonts w:ascii="IRNazanin" w:hAnsi="IRNazanin" w:eastAsia="IRNazanin" w:cs="IRNazanin"/>
          <w:lang w:bidi="fa-IR"/>
          <w:color w:val="111111"/>
          <w:sz w:val="28"/>
          <w:szCs w:val="28"/>
          <w:rtl/>
        </w:rPr>
        <w:t xml:space="preserve">و اختار فی الدروس تبعاً للتحریر </w:t>
      </w:r>
      <w:r>
        <w:rPr>
          <w:rStyle w:val="FootnoteReference"/>
        </w:rPr>
        <w:footnoteReference w:id="3756"/>
      </w:r>
      <w:r>
        <w:rPr>
          <w:rFonts w:ascii="IRNazanin" w:hAnsi="IRNazanin" w:eastAsia="IRNazanin" w:cs="IRNazanin"/>
          <w:lang w:bidi="fa-IR"/>
          <w:color w:val="111111"/>
          <w:sz w:val="28"/>
          <w:szCs w:val="28"/>
          <w:rtl/>
        </w:rPr>
        <w:t xml:space="preserve">الوجه الأوّل مشیراً إلی تضعیف الثانی بقوله:لأنّ تقدیر الموجود معدوماً خلاف الأصل </w:t>
      </w:r>
      <w:r>
        <w:rPr>
          <w:rStyle w:val="FootnoteReference"/>
        </w:rPr>
        <w:footnoteReference w:id="3757"/>
      </w:r>
      <w:r>
        <w:rPr>
          <w:rFonts w:ascii="IRNazanin" w:hAnsi="IRNazanin" w:eastAsia="IRNazanin" w:cs="IRNazanin"/>
          <w:lang w:bidi="fa-IR"/>
          <w:color w:val="111111"/>
          <w:sz w:val="28"/>
          <w:szCs w:val="28"/>
          <w:rtl/>
        </w:rPr>
        <w:t xml:space="preserve">.و تبعه المحقّق الثانی معلّلاً بأنّ الربا ممنوعةٌ فی المعاوضات لا فی الضمانات،و أنّه کأرش عیب العین المقبوضة بالسوم إذا حدث فی ید المستام و إن کانت ربویّةً،فکما لا یعدّ هنا رباً فکذا لا یعدّ فی صورة النزاع </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الفرق بین ما نحن فیه و بین أرش عیب المقبوض بالسوم،فإنّه یحدث فی ملک مالکه بید قابضه،و العیب فیما نحن فیه یحدث فی ملک المشتری و لا یقدّر فی ملک البائع إلّا بعد فرض رجوع مقابله من الثمن إلی المشتری،و المفروض عدم المقابلة بینه و بین جزءٍ من المبیع </w:t>
      </w:r>
      <w:r>
        <w:rPr>
          <w:rStyle w:val="FootnoteReference"/>
        </w:rPr>
        <w:footnoteReference w:id="3759"/>
      </w:r>
      <w:r>
        <w:rPr>
          <w:rFonts w:ascii="Times New Roman" w:hAnsi="Times New Roman" w:eastAsia="Times New Roman" w:cs="Times New Roman"/>
          <w:lang w:val="en-US" w:bidi="en-US"/>
          <w:color w:val="111111"/>
          <w:sz w:val="28"/>
          <w:szCs w:val="28"/>
          <w:rtl/>
        </w:rPr>
        <w:t xml:space="preserve">.</w:t>
      </w:r>
    </w:p>
    <w:p>
      <w:pPr>
        <w:pStyle w:val="Heading6"/>
      </w:pPr>
      <w:bookmarkStart w:id="1326" w:name="_Toc766"/>
      <w:r>
        <w:t>و منها: تأخیر الأخذ بمقتضی الخیار،</w:t>
      </w:r>
      <w:bookmarkEnd w:id="1326"/>
    </w:p>
    <w:p>
      <w:pPr>
        <w:pStyle w:val="BookText"/>
      </w:pPr>
      <w:r>
        <w:rPr>
          <w:rFonts w:ascii="IRNazanin" w:hAnsi="IRNazanin" w:eastAsia="IRNazanin" w:cs="IRNazanin"/>
          <w:lang w:bidi="fa-IR"/>
          <w:color w:val="111111"/>
          <w:sz w:val="28"/>
          <w:szCs w:val="28"/>
          <w:rtl/>
        </w:rPr>
        <w:t xml:space="preserve">فإن ظاهر الغنیة إسقاطه للرد و الأرش کلیهما حیث جعل المسقطات خمسة:التبری،و الرضا بالعیب،و ترک </w:t>
      </w:r>
      <w:r>
        <w:rPr>
          <w:rStyle w:val="FootnoteReference"/>
        </w:rPr>
        <w:footnoteReference w:id="3760"/>
      </w:r>
      <w:r>
        <w:rPr>
          <w:rFonts w:ascii="IRNazanin" w:hAnsi="IRNazanin" w:eastAsia="IRNazanin" w:cs="IRNazanin"/>
          <w:lang w:bidi="fa-IR"/>
          <w:color w:val="111111"/>
          <w:sz w:val="28"/>
          <w:szCs w:val="28"/>
          <w:rtl/>
        </w:rPr>
        <w:t xml:space="preserve">الرد مع العلم؛لأنه علی الفور بلا خلاف.و لم یذکر فی هذه الثلاثة ثبوت الأرش.ثم ذکر حدوث العیب و قال:لیس له ها هنا إلّا الأرش.ثمّ ذکر التصرّف و حکم فیه بالأرش </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فی إلحاق الثالث بالأوّلین فی ترک ذکر الأرش فیه ثمّ ذکره فی الأخیرین و قوله:«لیس </w:t>
      </w:r>
      <w:r>
        <w:rPr>
          <w:rStyle w:val="FootnoteReference"/>
        </w:rPr>
        <w:footnoteReference w:id="3762"/>
      </w:r>
      <w:r>
        <w:rPr>
          <w:rFonts w:ascii="IRNazanin" w:hAnsi="IRNazanin" w:eastAsia="IRNazanin" w:cs="IRNazanin"/>
          <w:lang w:bidi="fa-IR"/>
          <w:color w:val="111111"/>
          <w:sz w:val="28"/>
          <w:szCs w:val="28"/>
          <w:rtl/>
        </w:rPr>
        <w:t xml:space="preserve">هاهنا»،ظهوراً فی عدم ثبوت الأرش بالتأخیر،مع أنّ هذا هو القول الآخر فی المسألة علی ما یظهر؛حیث نسب إلی الشافعی القول بسقوط الردّ و الأرش بالتأخیر </w:t>
      </w:r>
      <w:r>
        <w:rPr>
          <w:rStyle w:val="FootnoteReference"/>
        </w:rPr>
        <w:footnoteReference w:id="3763"/>
      </w:r>
      <w:r>
        <w:rPr>
          <w:rFonts w:ascii="IRNazanin" w:hAnsi="IRNazanin" w:eastAsia="IRNazanin" w:cs="IRNazanin"/>
          <w:lang w:bidi="fa-IR"/>
          <w:color w:val="111111"/>
          <w:sz w:val="28"/>
          <w:szCs w:val="28"/>
          <w:rtl/>
        </w:rPr>
        <w:t xml:space="preserve">و لعلّه لأنّ التأخیر دلیل الرضا.</w:t>
      </w:r>
    </w:p>
    <w:p>
      <w:pPr>
        <w:pStyle w:val="BookText"/>
      </w:pPr>
      <w:r>
        <w:rPr>
          <w:rFonts w:ascii="IRNazanin" w:hAnsi="IRNazanin" w:eastAsia="IRNazanin" w:cs="IRNazanin"/>
          <w:lang w:bidi="fa-IR"/>
          <w:color w:val="111111"/>
          <w:sz w:val="28"/>
          <w:szCs w:val="28"/>
          <w:rtl/>
        </w:rPr>
        <w:t xml:space="preserve">و یردّه بعد تسلیم الدلالة-:أنّ الرضا بمجرّده لا یوجب سقوط الأرش کما عرفت فی التصرّف.نعم،سقوط الردّ وحده له وجهٌ،کما هو صریح المبسوط و الوسیلة علی ما تقدّم </w:t>
      </w:r>
      <w:r>
        <w:rPr>
          <w:rStyle w:val="FootnoteReference"/>
        </w:rPr>
        <w:footnoteReference w:id="3764"/>
      </w:r>
      <w:r>
        <w:rPr>
          <w:rFonts w:ascii="IRNazanin" w:hAnsi="IRNazanin" w:eastAsia="IRNazanin" w:cs="IRNazanin"/>
          <w:lang w:bidi="fa-IR"/>
          <w:color w:val="111111"/>
          <w:sz w:val="28"/>
          <w:szCs w:val="28"/>
          <w:rtl/>
        </w:rPr>
        <w:t xml:space="preserve">من عبارتهما فی التصرّف المسقط،و یحتمله أیضاً عبارة الغنیة المتقدّمة </w:t>
      </w:r>
      <w:r>
        <w:rPr>
          <w:rStyle w:val="FootnoteReference"/>
        </w:rPr>
        <w:footnoteReference w:id="3765"/>
      </w:r>
      <w:r>
        <w:rPr>
          <w:rFonts w:ascii="IRNazanin" w:hAnsi="IRNazanin" w:eastAsia="IRNazanin" w:cs="IRNazanin"/>
          <w:lang w:bidi="fa-IR"/>
          <w:color w:val="111111"/>
          <w:sz w:val="28"/>
          <w:szCs w:val="28"/>
          <w:rtl/>
        </w:rPr>
        <w:t xml:space="preserve">،بناءً علی ما تقدّم فی سائر الخیارات:من لزوم الاقتصار فی الخروج عن أصالة اللزوم علی المتیقّن السالمة عمّا یدلّ علی التراخی،عدا ما فی الکفایة:من إطلاق الأخبار و خصوص بعضها </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فیه:أنّ الإطلاق فی مقام بیان أصل الخیار،و أمّا الخبر الخاصّ فلم أقف علیه،و حینئذٍ فالقول بالفور وفاقاً لمن تقدّم للأصل لا یخلو</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قوّةٍ،مع ما تقدّم من نفی الخلاف فی الغنیة فی کونه علی الفور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یعارضه ما فی المسالک و الحدائق:من أنّه لا نعرف فیه </w:t>
      </w:r>
      <w:r>
        <w:rPr>
          <w:rStyle w:val="FootnoteReference"/>
        </w:rPr>
        <w:footnoteReference w:id="3768"/>
      </w:r>
      <w:r>
        <w:rPr>
          <w:rFonts w:ascii="Amiri" w:hAnsi="Amiri" w:eastAsia="Amiri" w:cs="Amiri"/>
          <w:lang w:bidi="ar-SA"/>
          <w:color w:val="111111"/>
          <w:sz w:val="28"/>
          <w:szCs w:val="28"/>
          <w:rtl/>
        </w:rPr>
        <w:t xml:space="preserve">خلافاً </w:t>
      </w:r>
      <w:r>
        <w:rPr>
          <w:rStyle w:val="FootnoteReference"/>
        </w:rPr>
        <w:footnoteReference w:id="3769"/>
      </w:r>
      <w:r>
        <w:rPr>
          <w:rFonts w:ascii="IRNazanin" w:hAnsi="IRNazanin" w:eastAsia="IRNazanin" w:cs="IRNazanin"/>
          <w:lang w:bidi="fa-IR"/>
          <w:color w:val="111111"/>
          <w:sz w:val="28"/>
          <w:szCs w:val="28"/>
          <w:rtl/>
        </w:rPr>
        <w:t xml:space="preserve">لأنّا عرفناه و لذا جعله فی التذکرة أقرب </w:t>
      </w:r>
      <w:r>
        <w:rPr>
          <w:rStyle w:val="FootnoteReference"/>
        </w:rPr>
        <w:footnoteReference w:id="3770"/>
      </w:r>
      <w:r>
        <w:rPr>
          <w:rFonts w:ascii="IRNazanin" w:hAnsi="IRNazanin" w:eastAsia="IRNazanin" w:cs="IRNazanin"/>
          <w:lang w:bidi="fa-IR"/>
          <w:color w:val="111111"/>
          <w:sz w:val="28"/>
          <w:szCs w:val="28"/>
          <w:rtl/>
        </w:rPr>
        <w:t xml:space="preserve">.و کذا ما فی الکفایة:من عدم الخلاف </w:t>
      </w:r>
      <w:r>
        <w:rPr>
          <w:rStyle w:val="FootnoteReference"/>
        </w:rPr>
        <w:footnoteReference w:id="3771"/>
      </w:r>
      <w:r>
        <w:rPr>
          <w:rFonts w:ascii="IRNazanin" w:hAnsi="IRNazanin" w:eastAsia="IRNazanin" w:cs="IRNazanin"/>
          <w:lang w:bidi="fa-IR"/>
          <w:color w:val="111111"/>
          <w:sz w:val="28"/>
          <w:szCs w:val="28"/>
          <w:rtl/>
        </w:rPr>
        <w:t xml:space="preserve">لوجود الخلاف،بل نفی الخلاف </w:t>
      </w:r>
      <w:r>
        <w:rPr>
          <w:rStyle w:val="FootnoteReference"/>
        </w:rPr>
        <w:footnoteReference w:id="3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w:t>
      </w:r>
      <w:r>
        <w:rPr>
          <w:rStyle w:val="FootnoteReference"/>
        </w:rPr>
        <w:footnoteReference w:id="3773"/>
      </w:r>
      <w:r>
        <w:rPr>
          <w:rFonts w:ascii="IRNazanin" w:hAnsi="IRNazanin" w:eastAsia="IRNazanin" w:cs="IRNazanin"/>
          <w:lang w:bidi="fa-IR"/>
          <w:color w:val="111111"/>
          <w:sz w:val="28"/>
          <w:szCs w:val="28"/>
          <w:rtl/>
        </w:rPr>
        <w:t xml:space="preserve">ما فی الریاض:من </w:t>
      </w:r>
      <w:r>
        <w:rPr>
          <w:rStyle w:val="FootnoteReference"/>
        </w:rPr>
        <w:footnoteReference w:id="3774"/>
      </w:r>
      <w:r>
        <w:rPr>
          <w:rFonts w:ascii="Amiri" w:hAnsi="Amiri" w:eastAsia="Amiri" w:cs="Amiri"/>
          <w:lang w:bidi="ar-SA"/>
          <w:color w:val="111111"/>
          <w:sz w:val="28"/>
          <w:szCs w:val="28"/>
          <w:rtl/>
        </w:rPr>
        <w:t xml:space="preserve">أنّه ظاهر أصحابنا المتأخّرین کافّة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رجوع المسألة إلی اعتبار الاستصحاب فی مثل هذا المقام و عدمه؛و لذا لم یتمسّک فی التذکرة للتراخی إلّا به </w:t>
      </w:r>
      <w:r>
        <w:rPr>
          <w:rStyle w:val="FootnoteReference"/>
        </w:rPr>
        <w:footnoteReference w:id="3776"/>
      </w:r>
      <w:r>
        <w:rPr>
          <w:rFonts w:ascii="IRNazanin" w:hAnsi="IRNazanin" w:eastAsia="IRNazanin" w:cs="IRNazanin"/>
          <w:lang w:bidi="fa-IR"/>
          <w:color w:val="111111"/>
          <w:sz w:val="28"/>
          <w:szCs w:val="28"/>
          <w:rtl/>
        </w:rPr>
        <w:t xml:space="preserve">،و إلّا فلا یحصل من فتوی الأصحاب إلّا الشهرة بین المتأخّرین المستندة إلی الاستصحاب،و لا اعتبار بمثلها و إن قلنا بحجّیة الشهرة أو حکایة نفی الخلاف من باب مطلق الظنّ؛لعدم الظنّ کما لا یخفی،و اللّٰه العالم.</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408" w:name="pg14419_167616"/>
    <w:bookmarkEnd w:id="408"/>
    <w:p>
      <w:pPr>
        <w:pStyle w:val="Heading6"/>
      </w:pPr>
      <w:bookmarkStart w:id="1327" w:name="_Toc767"/>
      <w:r>
        <w:t>مسألة : قال فی المبسوط:من باع شیئاً فیه عیبٌ لم یبیّنه فعل محظوراً</w:t>
      </w:r>
      <w:bookmarkEnd w:id="1327"/>
    </w:p>
    <w:p>
      <w:pPr>
        <w:pStyle w:val="BookText"/>
      </w:pPr>
      <w:r>
        <w:rPr>
          <w:rFonts w:ascii="IRNazanin" w:hAnsi="IRNazanin" w:eastAsia="IRNazanin" w:cs="IRNazanin"/>
          <w:lang w:bidi="fa-IR"/>
          <w:color w:val="111111"/>
          <w:sz w:val="28"/>
          <w:szCs w:val="28"/>
          <w:rtl/>
        </w:rPr>
        <w:t xml:space="preserve">و کان المشتری بالخیار </w:t>
      </w:r>
      <w:r>
        <w:rPr>
          <w:rStyle w:val="FootnoteReference"/>
        </w:rPr>
        <w:footnoteReference w:id="3777"/>
      </w:r>
      <w:r>
        <w:rPr>
          <w:rFonts w:ascii="IRNazanin" w:hAnsi="IRNazanin" w:eastAsia="IRNazanin" w:cs="IRNazanin"/>
          <w:lang w:bidi="fa-IR"/>
          <w:color w:val="111111"/>
          <w:sz w:val="28"/>
          <w:szCs w:val="28"/>
          <w:rtl/>
        </w:rPr>
        <w:t xml:space="preserve">،انتهی.و مثله ما عن الخلاف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من المبسوط:وجب علیه أن یبیّنه و لا یکتمه أو یتبرّأ إلیه من العیوب،و الأوّل أحوط </w:t>
      </w:r>
      <w:r>
        <w:rPr>
          <w:rStyle w:val="FootnoteReference"/>
        </w:rPr>
        <w:footnoteReference w:id="3779"/>
      </w:r>
      <w:r>
        <w:rPr>
          <w:rFonts w:ascii="IRNazanin" w:hAnsi="IRNazanin" w:eastAsia="IRNazanin" w:cs="IRNazanin"/>
          <w:lang w:bidi="fa-IR"/>
          <w:color w:val="111111"/>
          <w:sz w:val="28"/>
          <w:szCs w:val="28"/>
          <w:rtl/>
        </w:rPr>
        <w:t xml:space="preserve">.و نحوه عن فقه الراوندی </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مثلهما فی التحریر،و زاد الاستدلال علیه بقوله:«لئلّا یکون غاشّاً»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ذلک کلِّه عدم الفرق بین العیب الجلیّ و الخفیّ.</w:t>
      </w:r>
    </w:p>
    <w:p>
      <w:pPr>
        <w:pStyle w:val="BookText"/>
      </w:pPr>
      <w:r>
        <w:rPr>
          <w:rFonts w:ascii="IRNazanin" w:hAnsi="IRNazanin" w:eastAsia="IRNazanin" w:cs="IRNazanin"/>
          <w:lang w:bidi="fa-IR"/>
          <w:color w:val="111111"/>
          <w:sz w:val="28"/>
          <w:szCs w:val="28"/>
          <w:rtl/>
        </w:rPr>
        <w:t xml:space="preserve">و صریح التذکرة و السرائر </w:t>
      </w:r>
      <w:r>
        <w:rPr>
          <w:rStyle w:val="FootnoteReference"/>
        </w:rPr>
        <w:footnoteReference w:id="3782"/>
      </w:r>
      <w:r>
        <w:rPr>
          <w:rFonts w:ascii="IRNazanin" w:hAnsi="IRNazanin" w:eastAsia="IRNazanin" w:cs="IRNazanin"/>
          <w:lang w:bidi="fa-IR"/>
          <w:color w:val="111111"/>
          <w:sz w:val="28"/>
          <w:szCs w:val="28"/>
          <w:rtl/>
        </w:rPr>
        <w:t xml:space="preserve">کظاهر الشرائع </w:t>
      </w:r>
      <w:r>
        <w:rPr>
          <w:rStyle w:val="FootnoteReference"/>
        </w:rPr>
        <w:footnoteReference w:id="3783"/>
      </w:r>
      <w:r>
        <w:rPr>
          <w:rFonts w:ascii="IRNazanin" w:hAnsi="IRNazanin" w:eastAsia="IRNazanin" w:cs="IRNazanin"/>
          <w:lang w:bidi="fa-IR"/>
          <w:color w:val="111111"/>
          <w:sz w:val="28"/>
          <w:szCs w:val="28"/>
          <w:rtl/>
        </w:rPr>
        <w:t xml:space="preserve">:الاستحباب مطلقاً،</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جماعةٍ التفصیل بین العیب الخفیّ و الجلیّ،فیجب فی الأوّل مطلقاً کما هو ظاهر جماعةٍ </w:t>
      </w:r>
      <w:r>
        <w:rPr>
          <w:rStyle w:val="FootnoteReference"/>
        </w:rPr>
        <w:footnoteReference w:id="3784"/>
      </w:r>
      <w:r>
        <w:rPr>
          <w:rFonts w:ascii="IRNazanin" w:hAnsi="IRNazanin" w:eastAsia="IRNazanin" w:cs="IRNazanin"/>
          <w:lang w:bidi="fa-IR"/>
          <w:color w:val="111111"/>
          <w:sz w:val="28"/>
          <w:szCs w:val="28"/>
          <w:rtl/>
        </w:rPr>
        <w:t xml:space="preserve">،أو مع عدم التبرّی کما فی الدروس </w:t>
      </w:r>
      <w:r>
        <w:rPr>
          <w:rStyle w:val="FootnoteReference"/>
        </w:rPr>
        <w:footnoteReference w:id="3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فالمحصَّل من ظواهر کلماتهم خمسة أقوال.و الظاهر ابتناء الکلّ علی دعوی صدق الغشّ و عدمه.</w:t>
      </w:r>
    </w:p>
    <w:p>
      <w:pPr>
        <w:pStyle w:val="BookText"/>
      </w:pPr>
      <w:r>
        <w:rPr>
          <w:rFonts w:ascii="IRNazanin" w:hAnsi="IRNazanin" w:eastAsia="IRNazanin" w:cs="IRNazanin"/>
          <w:lang w:bidi="fa-IR"/>
          <w:color w:val="111111"/>
          <w:sz w:val="28"/>
          <w:szCs w:val="28"/>
          <w:rtl/>
        </w:rPr>
        <w:t xml:space="preserve">و الذی یظهر من ملاحظة العرف و اللغة فی معنی الغشّ:أنّ کتمان العیب الخفیّ و هو الذی لا یظهر بمجرّد الاختبار المتعارف قبل البیع- غِشٌّ،فإنّ الغِشّ کما یظهر من اللغة خلاف النصح.</w:t>
      </w:r>
    </w:p>
    <w:p>
      <w:pPr>
        <w:pStyle w:val="BookText"/>
      </w:pPr>
      <w:r>
        <w:rPr>
          <w:rFonts w:ascii="IRNazanin" w:hAnsi="IRNazanin" w:eastAsia="IRNazanin" w:cs="IRNazanin"/>
          <w:lang w:bidi="fa-IR"/>
          <w:color w:val="111111"/>
          <w:sz w:val="28"/>
          <w:szCs w:val="28"/>
          <w:rtl/>
        </w:rPr>
        <w:t xml:space="preserve">و أمّا العیب الظاهر،فالظاهر أنّ ترک إظهاره لیس غِشّاً.نعم،لو أظهر سلامته عنه علی وجهٍ یعتمد علیه کما إذا فتح قرآناً بین یدی العبد الأعمی مُظهراً أنّه بصیرٌ یقرأ،فاعتمد المشتری علی ذلک و أهمل اختباره کان غِشّاً.</w:t>
      </w:r>
    </w:p>
    <w:p>
      <w:pPr>
        <w:pStyle w:val="BookText"/>
      </w:pPr>
      <w:r>
        <w:rPr>
          <w:rFonts w:ascii="IRNazanin" w:hAnsi="IRNazanin" w:eastAsia="IRNazanin" w:cs="IRNazanin"/>
          <w:lang w:bidi="fa-IR"/>
          <w:color w:val="111111"/>
          <w:sz w:val="28"/>
          <w:szCs w:val="28"/>
          <w:rtl/>
        </w:rPr>
        <w:t xml:space="preserve">قال فی التذکرة فی ردّ استدلال الشافعی علی وجوب إظهار العیب مطلقاً بالغِشّ-:إنّ الغِشّ ممنوعٌ،بل یثبت فی کتمان العیب بعد سؤال المشتری و تبیّنه،و التقصیر فی ذلک من المشتری </w:t>
      </w:r>
      <w:r>
        <w:rPr>
          <w:rStyle w:val="FootnoteReference"/>
        </w:rPr>
        <w:footnoteReference w:id="378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یمکن أن یحمل بقرینة ذکر التقصیر علی العیب الظاهر.کما أنّه یمکن حمل عبارة التحریر المتقدّمة </w:t>
      </w:r>
      <w:r>
        <w:rPr>
          <w:rStyle w:val="FootnoteReference"/>
        </w:rPr>
        <w:footnoteReference w:id="3787"/>
      </w:r>
      <w:r>
        <w:rPr>
          <w:rFonts w:ascii="IRNazanin" w:hAnsi="IRNazanin" w:eastAsia="IRNazanin" w:cs="IRNazanin"/>
          <w:lang w:bidi="fa-IR"/>
          <w:color w:val="111111"/>
          <w:sz w:val="28"/>
          <w:szCs w:val="28"/>
          <w:rtl/>
        </w:rPr>
        <w:t xml:space="preserve">المشتملة علی لفظ«الکتمان»،</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الاستدلال بالغشّ علی العیب الخفیّ،بل هذا الجمع ممکنٌ فی کلمات الأصحاب مطلقاً.و من أقوی الشواهد علی ذلک أنّه حکی عن موضعٍ من السرائر:أنّ کتمان العیوب مع العلم بها حرامٌ و محظورٌ بغیر خلافٍ </w:t>
      </w:r>
      <w:r>
        <w:rPr>
          <w:rStyle w:val="FootnoteReference"/>
        </w:rPr>
        <w:footnoteReference w:id="3788"/>
      </w:r>
      <w:r>
        <w:rPr>
          <w:rFonts w:ascii="IRNazanin" w:hAnsi="IRNazanin" w:eastAsia="IRNazanin" w:cs="IRNazanin"/>
          <w:lang w:bidi="fa-IR"/>
          <w:color w:val="111111"/>
          <w:sz w:val="28"/>
          <w:szCs w:val="28"/>
          <w:rtl/>
        </w:rPr>
        <w:t xml:space="preserve">،مع ما تقدّم من نسبة الاستحباب إلیه،فلاحظ.</w:t>
      </w:r>
    </w:p>
    <w:p>
      <w:pPr>
        <w:pStyle w:val="BookText"/>
      </w:pPr>
      <w:r>
        <w:rPr>
          <w:rFonts w:ascii="IRNazanin" w:hAnsi="IRNazanin" w:eastAsia="IRNazanin" w:cs="IRNazanin"/>
          <w:lang w:bidi="fa-IR"/>
          <w:color w:val="111111"/>
          <w:sz w:val="28"/>
          <w:szCs w:val="28"/>
          <w:rtl/>
        </w:rPr>
        <w:t xml:space="preserve">ثمّ التبرّی من العیوب هل یُسقط وجوب الإعلام فی مورده کما عن المشهور </w:t>
      </w:r>
      <w:r>
        <w:rPr>
          <w:rStyle w:val="FootnoteReference"/>
        </w:rPr>
        <w:footnoteReference w:id="3789"/>
      </w:r>
      <w:r>
        <w:rPr>
          <w:rFonts w:ascii="IRNazanin" w:hAnsi="IRNazanin" w:eastAsia="IRNazanin" w:cs="IRNazanin"/>
          <w:lang w:bidi="fa-IR"/>
          <w:color w:val="111111"/>
          <w:sz w:val="28"/>
          <w:szCs w:val="28"/>
          <w:rtl/>
        </w:rPr>
        <w:t xml:space="preserve">،أم لا؟فیه إشکالٌ،منشؤه </w:t>
      </w:r>
      <w:r>
        <w:rPr>
          <w:rStyle w:val="FootnoteReference"/>
        </w:rPr>
        <w:footnoteReference w:id="3790"/>
      </w:r>
      <w:r>
        <w:rPr>
          <w:rFonts w:ascii="IRNazanin" w:hAnsi="IRNazanin" w:eastAsia="IRNazanin" w:cs="IRNazanin"/>
          <w:lang w:bidi="fa-IR"/>
          <w:color w:val="111111"/>
          <w:sz w:val="28"/>
          <w:szCs w:val="28"/>
          <w:rtl/>
        </w:rPr>
        <w:t xml:space="preserve">:أنّ لزوم الغشّ من جهة ظهور إطلاق العقد فی التزام البائع بالصحّة،فإذا تبرّأ من العیوب ارتفع الظهور،أو من جهة إدخال البائع للمشتری فیما یکرهه عامداً و التبرّی لا یرفع اعتماد المشتری علی أصالة الصحّة،فالتغریر إنّما هو لترک ما یصرفه عن الاعتماد علی الأصل.و الأحوط الإعلام مطلقاً کما تقدّم عن المبسوط </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المذکور فی جامع المقاصد </w:t>
      </w:r>
      <w:r>
        <w:rPr>
          <w:rStyle w:val="FootnoteReference"/>
        </w:rPr>
        <w:footnoteReference w:id="3792"/>
      </w:r>
      <w:r>
        <w:rPr>
          <w:rFonts w:ascii="IRNazanin" w:hAnsi="IRNazanin" w:eastAsia="IRNazanin" w:cs="IRNazanin"/>
          <w:lang w:bidi="fa-IR"/>
          <w:color w:val="111111"/>
          <w:sz w:val="28"/>
          <w:szCs w:val="28"/>
          <w:rtl/>
        </w:rPr>
        <w:t xml:space="preserve">و المسالک </w:t>
      </w:r>
      <w:r>
        <w:rPr>
          <w:rStyle w:val="FootnoteReference"/>
        </w:rPr>
        <w:footnoteReference w:id="3793"/>
      </w:r>
      <w:r>
        <w:rPr>
          <w:rFonts w:ascii="IRNazanin" w:hAnsi="IRNazanin" w:eastAsia="IRNazanin" w:cs="IRNazanin"/>
          <w:lang w:bidi="fa-IR"/>
          <w:color w:val="111111"/>
          <w:sz w:val="28"/>
          <w:szCs w:val="28"/>
          <w:rtl/>
        </w:rPr>
        <w:t xml:space="preserve">و عن غیرهما </w:t>
      </w:r>
      <w:r>
        <w:rPr>
          <w:rStyle w:val="FootnoteReference"/>
        </w:rPr>
        <w:footnoteReference w:id="3794"/>
      </w:r>
      <w:r>
        <w:rPr>
          <w:rFonts w:ascii="Amiri" w:hAnsi="Amiri" w:eastAsia="Amiri" w:cs="Amiri"/>
          <w:lang w:bidi="ar-SA"/>
          <w:color w:val="111111"/>
          <w:sz w:val="28"/>
          <w:szCs w:val="28"/>
          <w:rtl/>
        </w:rPr>
        <w:t xml:space="preserve">:أنّه</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بطلان البیع فی مثل شوب اللبن بالماء؛لأنّ ما کان من غیر الجنس لا یصحّ العقد فیه،و الآخر مجهول.إلّا أن یقال:إنّ جهالة الجزء غیر مانعةٍ إن کانت الجملة معلومةً،کما لو ضمّ ماله و مال غیره و باعهما ثمّ ظهر البعض مستحقّاً،فإنّ البیع لا یبطل فی ملکه و إن کان مجهولاً قدره وقت العقد </w:t>
      </w:r>
      <w:r>
        <w:rPr>
          <w:rStyle w:val="FootnoteReference"/>
        </w:rPr>
        <w:footnoteReference w:id="379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أقول:الکلام فی مزج اللبن بمقدارٍ من الماء یستهلک فی اللبن و لا یُخرجه عن حقیقته کالملح الزائد فی الخبز،فلا وجه للإشکال المذکور.نعم،لو فرض المزج علی وجهٍ یوجب تعیّب الشیء من دون أن یستهلک فیه بحیث یخرج عن حقیقته إلی حقیقة ذلک الشیء- توجّه ما ذکروه فی بعض الموارد.</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409" w:name="pg14419_167620"/>
    <w:bookmarkEnd w:id="409"/>
    <w:p>
      <w:pPr>
        <w:pStyle w:val="Heading5"/>
      </w:pPr>
      <w:bookmarkStart w:id="1328" w:name="_Toc768"/>
      <w:r>
        <w:t>مسائل فی اختلاف المتبایعین</w:t>
      </w:r>
      <w:bookmarkEnd w:id="1328"/>
    </w:p>
    <w:p>
      <w:pPr>
        <w:pStyle w:val="Heading6"/>
      </w:pPr>
      <w:bookmarkStart w:id="1329" w:name="_Toc769"/>
      <w:r>
        <w:t>اشارة</w:t>
      </w:r>
      <w:bookmarkEnd w:id="1329"/>
    </w:p>
    <w:p>
      <w:pPr>
        <w:pStyle w:val="BookText"/>
      </w:pPr>
      <w:r>
        <w:rPr>
          <w:rFonts w:ascii="IRNazanin" w:hAnsi="IRNazanin" w:eastAsia="IRNazanin" w:cs="IRNazanin"/>
          <w:lang w:bidi="fa-IR"/>
          <w:color w:val="111111"/>
          <w:sz w:val="28"/>
          <w:szCs w:val="28"/>
          <w:rtl/>
        </w:rPr>
        <w:t xml:space="preserve">و هو تارةً فی موجب الخیار،و أُخری فی مسقطة،و ثالثةً فی الفسخ.</w:t>
      </w:r>
    </w:p>
    <w:p>
      <w:pPr>
        <w:pStyle w:val="Heading6"/>
      </w:pPr>
      <w:bookmarkStart w:id="1330" w:name="_Toc770"/>
      <w:r>
        <w:t>أمّا الأوّل : [و هو الاختلاف فی موجب الخیار] ففیه مسائل</w:t>
      </w:r>
      <w:bookmarkEnd w:id="1330"/>
    </w:p>
    <w:p>
      <w:pPr>
        <w:pStyle w:val="Heading6"/>
      </w:pPr>
      <w:bookmarkStart w:id="1331" w:name="_Toc771"/>
      <w:r>
        <w:t>الاُولی : لو اختلفا فی تعیّب المبیع و عدمه مع تعذّر ملاحظته لتلفٍ أو نحوه</w:t>
      </w:r>
      <w:bookmarkEnd w:id="1331"/>
    </w:p>
    <w:p>
      <w:pPr>
        <w:pStyle w:val="BookText"/>
      </w:pPr>
      <w:r>
        <w:rPr>
          <w:rFonts w:ascii="IRNazanin" w:hAnsi="IRNazanin" w:eastAsia="IRNazanin" w:cs="IRNazanin"/>
          <w:lang w:bidi="fa-IR"/>
          <w:color w:val="111111"/>
          <w:sz w:val="28"/>
          <w:szCs w:val="28"/>
          <w:rtl/>
        </w:rPr>
        <w:t xml:space="preserve">فالقول قول المنکر بیمینه.</w:t>
      </w:r>
    </w:p>
    <w:p>
      <w:pPr>
        <w:pStyle w:val="Heading6"/>
      </w:pPr>
      <w:bookmarkStart w:id="1332" w:name="_Toc772"/>
      <w:r>
        <w:t>الثانیة : لو اختلفا فی کون الشیء عیباً و تعذّر تبیُّن الحال لفقد أهل الخبرة</w:t>
      </w:r>
      <w:bookmarkEnd w:id="1332"/>
    </w:p>
    <w:p>
      <w:pPr>
        <w:pStyle w:val="BookText"/>
      </w:pPr>
      <w:r>
        <w:rPr>
          <w:rFonts w:ascii="IRNazanin" w:hAnsi="IRNazanin" w:eastAsia="IRNazanin" w:cs="IRNazanin"/>
          <w:lang w:bidi="fa-IR"/>
          <w:color w:val="111111"/>
          <w:sz w:val="28"/>
          <w:szCs w:val="28"/>
          <w:rtl/>
        </w:rPr>
        <w:t xml:space="preserve">کان الحکم کسابقه.</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نعم،لو علم کونه نقصاً کان للمشتری الخیار فی الردّ دون الأرش،لأصالة البراءة.</w:t>
      </w:r>
    </w:p>
    <w:p>
      <w:pPr>
        <w:pStyle w:val="Heading6"/>
      </w:pPr>
      <w:bookmarkStart w:id="1333" w:name="_Toc773"/>
      <w:r>
        <w:t>الثالثة : لو اختلفا فی حدوث العیب فی ضمان البائع أو تأخّره عن ذلک</w:t>
      </w:r>
      <w:bookmarkEnd w:id="1333"/>
    </w:p>
    <w:p>
      <w:pPr>
        <w:pStyle w:val="BookText"/>
      </w:pPr>
      <w:r>
        <w:rPr>
          <w:rFonts w:ascii="IRNazanin" w:hAnsi="IRNazanin" w:eastAsia="IRNazanin" w:cs="IRNazanin"/>
          <w:lang w:bidi="fa-IR"/>
          <w:color w:val="111111"/>
          <w:sz w:val="28"/>
          <w:szCs w:val="28"/>
          <w:rtl/>
        </w:rPr>
        <w:t xml:space="preserve">ص :339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حدث بعد القبض و انقضاء الخیار،کان القول قول منکر تقدّمه؛ للأصل حتّی لو علم تاریخ الحدوث و جهل تاریخ العقد؛لأنّ أصالة عدم العقد حین حدوث العیب لا یثبت وقوع العقد علی المعیب.</w:t>
      </w:r>
    </w:p>
    <w:p>
      <w:pPr>
        <w:pStyle w:val="BookText"/>
      </w:pPr>
      <w:r>
        <w:rPr>
          <w:rFonts w:ascii="IRNazanin" w:hAnsi="IRNazanin" w:eastAsia="IRNazanin" w:cs="IRNazanin"/>
          <w:lang w:bidi="fa-IR"/>
          <w:color w:val="111111"/>
          <w:sz w:val="28"/>
          <w:szCs w:val="28"/>
          <w:rtl/>
        </w:rPr>
        <w:t xml:space="preserve">و عن المختلف:أنّه حکی عن ابن الجنید:أنّه إن ادّعی البائع أنّ العیب حدث عند المشتری حلف المشتری إن کان منکراً </w:t>
      </w:r>
      <w:r>
        <w:rPr>
          <w:rStyle w:val="FootnoteReference"/>
        </w:rPr>
        <w:footnoteReference w:id="3796"/>
      </w:r>
      <w:r>
        <w:rPr>
          <w:rFonts w:ascii="IRNazanin" w:hAnsi="IRNazanin" w:eastAsia="IRNazanin" w:cs="IRNazanin"/>
          <w:lang w:bidi="fa-IR"/>
          <w:color w:val="111111"/>
          <w:sz w:val="28"/>
          <w:szCs w:val="28"/>
          <w:rtl/>
        </w:rPr>
        <w:t xml:space="preserve">، انتهی </w:t>
      </w:r>
      <w:r>
        <w:rPr>
          <w:rStyle w:val="FootnoteReference"/>
        </w:rPr>
        <w:footnoteReference w:id="3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تشهد القرینة القطعیّة ممّا </w:t>
      </w:r>
      <w:r>
        <w:rPr>
          <w:rStyle w:val="FootnoteReference"/>
        </w:rPr>
        <w:footnoteReference w:id="3798"/>
      </w:r>
      <w:r>
        <w:rPr>
          <w:rFonts w:ascii="IRNazanin" w:hAnsi="IRNazanin" w:eastAsia="IRNazanin" w:cs="IRNazanin"/>
          <w:lang w:bidi="fa-IR"/>
          <w:color w:val="111111"/>
          <w:sz w:val="28"/>
          <w:szCs w:val="28"/>
          <w:rtl/>
        </w:rPr>
        <w:t xml:space="preserve">لا یمکن عادةً حصوله بعد وقت ضمان المشتری أو تقدّمه علیه،و إلّا عمل علیها من غیر یمین.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قال فی التذکرة:و لو أقام أحدهما بیّنةً </w:t>
      </w:r>
      <w:r>
        <w:rPr>
          <w:rStyle w:val="FootnoteReference"/>
        </w:rPr>
        <w:footnoteReference w:id="3799"/>
      </w:r>
      <w:r>
        <w:rPr>
          <w:rFonts w:ascii="IRNazanin" w:hAnsi="IRNazanin" w:eastAsia="IRNazanin" w:cs="IRNazanin"/>
          <w:lang w:bidi="fa-IR"/>
          <w:color w:val="111111"/>
          <w:sz w:val="28"/>
          <w:szCs w:val="28"/>
          <w:rtl/>
        </w:rPr>
        <w:t xml:space="preserve">عمل بها.ثمّ قال:و لو أقاما بیّنةً عمل ببیّنة المشتری،لأنّ القول قول البائع لأنّه منکرٌ،فالبیّنة علی المشتری </w:t>
      </w:r>
      <w:r>
        <w:rPr>
          <w:rStyle w:val="FootnoteReference"/>
        </w:rPr>
        <w:footnoteReference w:id="3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منه مبنیٌّ علی سقوط الیمین عن المنکر بإقامة البیّنة،و فیه کلامٌ فی محلّه و إن کان لا یخلو عن قوّةٍ.</w:t>
      </w:r>
    </w:p>
    <w:p>
      <w:pPr>
        <w:pStyle w:val="BookText"/>
      </w:pPr>
      <w:r>
        <w:rPr>
          <w:rFonts w:ascii="IRNazanin" w:hAnsi="IRNazanin" w:eastAsia="IRNazanin" w:cs="IRNazanin"/>
          <w:lang w:bidi="fa-IR"/>
          <w:color w:val="111111"/>
          <w:sz w:val="28"/>
          <w:szCs w:val="28"/>
          <w:rtl/>
        </w:rPr>
        <w:t xml:space="preserve">ص :340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حلف البائع فلا بدّ من حلفه علی عدم تقدّم العیب أو نفی استحقاق الردّ أو الأرش إن کان قد اختبر المبیع و اطّلع علی خفایا أمره،کما یشهد بالإعسار و العدالة و غیرهما ممّا یکتفی فیه بالاختبار الظاهر.</w:t>
      </w:r>
    </w:p>
    <w:p>
      <w:pPr>
        <w:pStyle w:val="BookText"/>
      </w:pPr>
      <w:r>
        <w:rPr>
          <w:rFonts w:ascii="IRNazanin" w:hAnsi="IRNazanin" w:eastAsia="IRNazanin" w:cs="IRNazanin"/>
          <w:lang w:bidi="fa-IR"/>
          <w:color w:val="111111"/>
          <w:sz w:val="28"/>
          <w:szCs w:val="28"/>
          <w:rtl/>
        </w:rPr>
        <w:t xml:space="preserve">و لو لم یختبر،ففی جواز الاستناد فی ذلک إلی أصالة عدمه إذا شکّ فی ذلک وجهٌ،احتمله فی جامع المقاصد </w:t>
      </w:r>
      <w:r>
        <w:rPr>
          <w:rStyle w:val="FootnoteReference"/>
        </w:rPr>
        <w:footnoteReference w:id="3801"/>
      </w:r>
      <w:r>
        <w:rPr>
          <w:rFonts w:ascii="IRNazanin" w:hAnsi="IRNazanin" w:eastAsia="IRNazanin" w:cs="IRNazanin"/>
          <w:lang w:bidi="fa-IR"/>
          <w:color w:val="111111"/>
          <w:sz w:val="28"/>
          <w:szCs w:val="28"/>
          <w:rtl/>
        </w:rPr>
        <w:t xml:space="preserve">و حکی عن جماعةٍ </w:t>
      </w:r>
      <w:r>
        <w:rPr>
          <w:rStyle w:val="FootnoteReference"/>
        </w:rPr>
        <w:footnoteReference w:id="3802"/>
      </w:r>
      <w:r>
        <w:rPr>
          <w:rFonts w:ascii="IRNazanin" w:hAnsi="IRNazanin" w:eastAsia="IRNazanin" w:cs="IRNazanin"/>
          <w:lang w:bidi="fa-IR"/>
          <w:color w:val="111111"/>
          <w:sz w:val="28"/>
          <w:szCs w:val="28"/>
          <w:rtl/>
        </w:rPr>
        <w:t xml:space="preserve">، کما یُحلَف علی طهارة المبیع استناداً إلی الأصل.و یمکن الفرق بین الطهارة و بین ما نحن فیه:بأنّ المراد بالطهارة فی استعمال المتشرّعة ما یعمّ غیر معلوم النجاسة لا الطاهر الواقعی،کما أنّ المراد بالملکیّة و الزوجیّة ما استند إلی سببٍ شرعیٍّ ظاهریٍّ،کما تدلّ علیه روایة حفص الواردة فی جواز الحلف علی ملکیّة ما أُخذ من ید المسلمین </w:t>
      </w:r>
      <w:r>
        <w:rPr>
          <w:rStyle w:val="FootnoteReference"/>
        </w:rPr>
        <w:footnoteReference w:id="3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 بعد ما حکی عن بعض الشافعیة جواز الاعتماد علی أصالة السلامة فی هذه الصورة قال:و عندی فیه نظر،أقربه الاکتفاء بالحلف علی نفی العلم </w:t>
      </w:r>
      <w:r>
        <w:rPr>
          <w:rStyle w:val="FootnoteReference"/>
        </w:rPr>
        <w:footnoteReference w:id="3804"/>
      </w:r>
      <w:r>
        <w:rPr>
          <w:rFonts w:ascii="IRNazanin" w:hAnsi="IRNazanin" w:eastAsia="IRNazanin" w:cs="IRNazanin"/>
          <w:lang w:bidi="fa-IR"/>
          <w:color w:val="111111"/>
          <w:sz w:val="28"/>
          <w:szCs w:val="28"/>
          <w:rtl/>
        </w:rPr>
        <w:t xml:space="preserve">.و استحسنه فی المسالک،قال:لاعتضاده بأصالة عدم التقدّم،فیحتاج المشتری إلی إثباته </w:t>
      </w:r>
      <w:r>
        <w:rPr>
          <w:rStyle w:val="FootnoteReference"/>
        </w:rPr>
        <w:footnoteReference w:id="3805"/>
      </w:r>
      <w:r>
        <w:rPr>
          <w:rFonts w:ascii="IRNazanin" w:hAnsi="IRNazanin" w:eastAsia="IRNazanin" w:cs="IRNazanin"/>
          <w:lang w:bidi="fa-IR"/>
          <w:color w:val="111111"/>
          <w:sz w:val="28"/>
          <w:szCs w:val="28"/>
          <w:rtl/>
        </w:rPr>
        <w:t xml:space="preserve">.و قد سبقه إلی ذلک فی</w:t>
      </w:r>
    </w:p>
    <w:p>
      <w:pPr>
        <w:pStyle w:val="BookText"/>
      </w:pPr>
      <w:r>
        <w:rPr>
          <w:rFonts w:ascii="IRNazanin" w:hAnsi="IRNazanin" w:eastAsia="IRNazanin" w:cs="IRNazanin"/>
          <w:lang w:bidi="fa-IR"/>
          <w:color w:val="111111"/>
          <w:sz w:val="28"/>
          <w:szCs w:val="28"/>
          <w:rtl/>
        </w:rPr>
        <w:t xml:space="preserve">ص :341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10" w:name="pg14419_167623"/>
    <w:bookmarkEnd w:id="410"/>
    <w:p>
      <w:pPr>
        <w:pStyle w:val="BookText"/>
      </w:pPr>
      <w:r>
        <w:rPr>
          <w:rFonts w:ascii="Amiri" w:hAnsi="Amiri" w:eastAsia="Amiri" w:cs="Amiri"/>
          <w:lang w:bidi="ar-SA"/>
          <w:color w:val="111111"/>
          <w:sz w:val="28"/>
          <w:szCs w:val="28"/>
          <w:rtl/>
        </w:rPr>
        <w:t xml:space="preserve">المیسیّة </w:t>
      </w:r>
      <w:r>
        <w:rPr>
          <w:rStyle w:val="FootnoteReference"/>
        </w:rPr>
        <w:footnoteReference w:id="3806"/>
      </w:r>
      <w:r>
        <w:rPr>
          <w:rFonts w:ascii="IRNazanin" w:hAnsi="IRNazanin" w:eastAsia="IRNazanin" w:cs="IRNazanin"/>
          <w:lang w:bidi="fa-IR"/>
          <w:color w:val="111111"/>
          <w:sz w:val="28"/>
          <w:szCs w:val="28"/>
          <w:rtl/>
        </w:rPr>
        <w:t xml:space="preserve">،و تبعه فی الریاض </w:t>
      </w:r>
      <w:r>
        <w:rPr>
          <w:rStyle w:val="FootnoteReference"/>
        </w:rPr>
        <w:footnoteReference w:id="3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أقول:إن کان مراده الاکتفاء بالحلف علی نفی العلم فی إسقاط أصل الدعوی بحیث لا تسمع البیّنة بعد ذلک،ففیه إشکالٌ.نعم،لو أُرید سقوط الدعوی إلی أن تقوم البیّنة،فله وجهٌ و إن استقرب فی مفتاح الکرامة أن لا یکتفی بذلک منه،فیردّ الحاکم الیمین علی المشتری، فیحلف </w:t>
      </w:r>
      <w:r>
        <w:rPr>
          <w:rStyle w:val="FootnoteReference"/>
        </w:rPr>
        <w:footnoteReference w:id="3808"/>
      </w:r>
      <w:r>
        <w:rPr>
          <w:rFonts w:ascii="IRNazanin" w:hAnsi="IRNazanin" w:eastAsia="IRNazanin" w:cs="IRNazanin"/>
          <w:lang w:bidi="fa-IR"/>
          <w:color w:val="111111"/>
          <w:sz w:val="28"/>
          <w:szCs w:val="28"/>
          <w:rtl/>
        </w:rPr>
        <w:t xml:space="preserve">.و هذا أوفق بالقواعد.</w:t>
      </w:r>
    </w:p>
    <w:p>
      <w:pPr>
        <w:pStyle w:val="BookText"/>
      </w:pPr>
      <w:r>
        <w:rPr>
          <w:rFonts w:ascii="IRNazanin" w:hAnsi="IRNazanin" w:eastAsia="IRNazanin" w:cs="IRNazanin"/>
          <w:lang w:bidi="fa-IR"/>
          <w:color w:val="111111"/>
          <w:sz w:val="28"/>
          <w:szCs w:val="28"/>
          <w:rtl/>
        </w:rPr>
        <w:t xml:space="preserve">ثمّ الظاهر من عبارة التذکرة اختصاص یمین نفی العلم-علی القول به-بما إذا لم یختبر البائع المبیع،بل عن الریاض:لزوم الحلف مع الاختبار علی البتّ قولاً واحداً </w:t>
      </w:r>
      <w:r>
        <w:rPr>
          <w:rStyle w:val="FootnoteReference"/>
        </w:rPr>
        <w:footnoteReference w:id="3809"/>
      </w:r>
      <w:r>
        <w:rPr>
          <w:rFonts w:ascii="IRNazanin" w:hAnsi="IRNazanin" w:eastAsia="IRNazanin" w:cs="IRNazanin"/>
          <w:lang w:bidi="fa-IR"/>
          <w:color w:val="111111"/>
          <w:sz w:val="28"/>
          <w:szCs w:val="28"/>
          <w:rtl/>
        </w:rPr>
        <w:t xml:space="preserve">.لکن الظاهر أنّ المفروض فی التذکرة صورة الحاجة إلی یمین نفی العلم؛إذ مع الاختبار یتمکّن من الحلف علی البتّ،فلا حاجة إلی عنوان مسألة الیمین علی نفی العلم، لا أنّ الیمین علی نفی العلم لا یکفی من البائع مع الاختبار،فافهم.</w:t>
      </w:r>
    </w:p>
    <w:p>
      <w:pPr>
        <w:pStyle w:val="Heading6"/>
      </w:pPr>
      <w:bookmarkStart w:id="1334" w:name="_Toc774"/>
      <w:r>
        <w:t>فرعٌ</w:t>
      </w:r>
      <w:bookmarkEnd w:id="13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Amiri" w:hAnsi="Amiri" w:eastAsia="Amiri" w:cs="Amiri"/>
          <w:lang w:bidi="ar-SA"/>
          <w:color w:val="111111"/>
          <w:sz w:val="28"/>
          <w:szCs w:val="28"/>
          <w:rtl/>
        </w:rPr>
        <w:t xml:space="preserve">لو باع الوکیل،فوجد به المشتری عیباً یوجب الردّ ردَّه علی الموکِّل؛</w:t>
      </w:r>
    </w:p>
    <w:p>
      <w:pPr>
        <w:pStyle w:val="BookText"/>
      </w:pPr>
      <w:r>
        <w:rPr>
          <w:rFonts w:ascii="IRNazanin" w:hAnsi="IRNazanin" w:eastAsia="IRNazanin" w:cs="IRNazanin"/>
          <w:lang w:bidi="fa-IR"/>
          <w:color w:val="111111"/>
          <w:sz w:val="28"/>
          <w:szCs w:val="28"/>
          <w:rtl/>
        </w:rPr>
        <w:t xml:space="preserve">لأنّه المالک و الوکیل نائبٌ عنه بطلت وکالته بفعل ما أُمر به، فلا عهدة علیه.</w:t>
      </w:r>
    </w:p>
    <w:p>
      <w:pPr>
        <w:pStyle w:val="BookText"/>
      </w:pPr>
      <w:r>
        <w:rPr>
          <w:rFonts w:ascii="IRNazanin" w:hAnsi="IRNazanin" w:eastAsia="IRNazanin" w:cs="IRNazanin"/>
          <w:lang w:bidi="fa-IR"/>
          <w:color w:val="111111"/>
          <w:sz w:val="28"/>
          <w:szCs w:val="28"/>
          <w:rtl/>
        </w:rPr>
        <w:t xml:space="preserve">ص :342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اختلف الموکِّل و المشتری فی قِدَم العیب و حدوثه،فیحلف الموکِّل علی عدم التقدّم کما مرّ،و لا یُقبل إقرار الوکیل بقِدَمه؛لأنّه أجنبیٌّ.</w:t>
      </w:r>
    </w:p>
    <w:p>
      <w:pPr>
        <w:pStyle w:val="BookText"/>
      </w:pPr>
      <w:r>
        <w:rPr>
          <w:rFonts w:ascii="IRNazanin" w:hAnsi="IRNazanin" w:eastAsia="IRNazanin" w:cs="IRNazanin"/>
          <w:lang w:bidi="fa-IR"/>
          <w:color w:val="111111"/>
          <w:sz w:val="28"/>
          <w:szCs w:val="28"/>
          <w:rtl/>
        </w:rPr>
        <w:t xml:space="preserve">و إذا کان المشتری جاهلاً بالوکالة و لم یتمکّن الوکیل من إقامة البیّنة فادّعی علی الوکیل بقِدَم العیب،فإن اعترف الوکیل بالتقدّم لم یملک الوکیل ردّه علی الموکِّل؛لأنّ إقرار الوکیل بالسبق دعوی بالنسبة إلی الموکِّل لا تُقبل إلّا بالبیّنة،فله إحلاف الموکِّل علی عدم السبق؛ لأنّه لو اعترف نَفَعَ الوکیلَ بدفع الظلامة عنه،فله علیه مع إنکاره الیمین.و لو ردّ الیمین علی الوکیل فحلف علی السبق الزم الموکّل.و لو أنکر الوکیل التقدّم حلف لیدفع عن نفسه الحقّ اللازم علیه لو اعترف و لم یتمکّن من الردّ علی الموکّل؛لأنّه لو أقرّ ردّ علیه.</w:t>
      </w:r>
    </w:p>
    <w:p>
      <w:pPr>
        <w:pStyle w:val="BookText"/>
      </w:pPr>
      <w:r>
        <w:rPr>
          <w:rFonts w:ascii="IRNazanin" w:hAnsi="IRNazanin" w:eastAsia="IRNazanin" w:cs="IRNazanin"/>
          <w:lang w:bidi="fa-IR"/>
          <w:color w:val="111111"/>
          <w:sz w:val="28"/>
          <w:szCs w:val="28"/>
          <w:rtl/>
        </w:rPr>
        <w:t xml:space="preserve">و هل للمشتری تحلیف الموکِّل لأنّه مقرٌّ بالتوکیل؟ الظاهر لا؛لأنّ دعواه علی الوکیل یستلزم إنکار وکالته،و علی الموکِّل یستلزم الاعتراف به.و احتمل فی جامع المقاصد ثبوت ذلک له مؤاخذةً له بإقراره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لم یحلف الوکیل و نکل فحلف المشتری الیمین المردودة و ردّ العین علی الوکیل،فهل للوکیل ردّها علی الموکّل أم لا؟ وجهان،بناهما فی القواعد علی کون الیمین المردودة کالبیّنة فینفذ فی حقّ الموکِّل،أو کإقرار المنکر،فلا ینفذ </w:t>
      </w:r>
      <w:r>
        <w:rPr>
          <w:rStyle w:val="FootnoteReference"/>
        </w:rPr>
        <w:footnoteReference w:id="3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نظر </w:t>
      </w:r>
      <w:r>
        <w:rPr>
          <w:rStyle w:val="FootnoteReference"/>
        </w:rPr>
        <w:footnoteReference w:id="3812"/>
      </w:r>
      <w:r>
        <w:rPr>
          <w:rFonts w:ascii="IRNazanin" w:hAnsi="IRNazanin" w:eastAsia="IRNazanin" w:cs="IRNazanin"/>
          <w:lang w:bidi="fa-IR"/>
          <w:color w:val="111111"/>
          <w:sz w:val="28"/>
          <w:szCs w:val="28"/>
          <w:rtl/>
        </w:rPr>
        <w:t xml:space="preserve">فیه فی</w:t>
      </w:r>
    </w:p>
    <w:p>
      <w:pPr>
        <w:pStyle w:val="BookText"/>
      </w:pPr>
      <w:r>
        <w:rPr>
          <w:rFonts w:ascii="IRNazanin" w:hAnsi="IRNazanin" w:eastAsia="IRNazanin" w:cs="IRNazanin"/>
          <w:lang w:bidi="fa-IR"/>
          <w:color w:val="111111"/>
          <w:sz w:val="28"/>
          <w:szCs w:val="28"/>
          <w:rtl/>
        </w:rPr>
        <w:t xml:space="preserve">ص :343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411" w:name="pg14419_167625"/>
    <w:bookmarkEnd w:id="411"/>
    <w:p>
      <w:pPr>
        <w:pStyle w:val="BookText"/>
      </w:pPr>
      <w:r>
        <w:rPr>
          <w:rFonts w:ascii="IRNazanin" w:hAnsi="IRNazanin" w:eastAsia="IRNazanin" w:cs="IRNazanin"/>
          <w:lang w:bidi="fa-IR"/>
          <w:color w:val="111111"/>
          <w:sz w:val="28"/>
          <w:szCs w:val="28"/>
          <w:rtl/>
        </w:rPr>
        <w:t xml:space="preserve">جامع المقاصد:بأنّ کونها کالبیّنة لا یوجب نفوذها للوکیل علی الموکِّل؛ لأنّ الوکیل معترفٌ بعدم سبق العیب،فلا تنفعه البیّنة القائمة علی السبق الکاذبة باعترافه،قال:اللّهمّ إلّا أن یکون إنکاره لسبق العیب استناداً إلی الأصل،بحیث لا ینافی ثبوته و لا دعوی ثبوته،کأن یقول:</w:t>
      </w:r>
    </w:p>
    <w:p>
      <w:pPr>
        <w:pStyle w:val="BookText"/>
      </w:pPr>
      <w:r>
        <w:rPr>
          <w:rFonts w:ascii="IRNazanin" w:hAnsi="IRNazanin" w:eastAsia="IRNazanin" w:cs="IRNazanin"/>
          <w:lang w:bidi="fa-IR"/>
          <w:color w:val="111111"/>
          <w:sz w:val="28"/>
          <w:szCs w:val="28"/>
          <w:rtl/>
        </w:rPr>
        <w:t xml:space="preserve">«لا حقّ لک علیَّ فی هذه الدعوی»أو«لیس فی المبیع عیبٌ یثبت لک به الردُّ علیَّ»فإنّه لا تمنع حینئذٍ تخریج المسألة علی القولین المذکورین </w:t>
      </w:r>
      <w:r>
        <w:rPr>
          <w:rStyle w:val="FootnoteReference"/>
        </w:rPr>
        <w:footnoteReference w:id="3813"/>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 مفتاح الکرامة:أنّ اعتراضه مبنیٌّ علی کون الیمین المردودة کبیّنة الرادّ،و المعروف بینهم أنّه کبیّنة المدّعی </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أقول:کونه کبیّنة المدّعی لا ینافی عدم نفوذها للوکیل المکذِّب لها علی الموکّل.و تمام الکلام فی محلّه.</w:t>
      </w:r>
    </w:p>
    <w:p>
      <w:pPr>
        <w:pStyle w:val="Heading6"/>
      </w:pPr>
      <w:bookmarkStart w:id="1335" w:name="_Toc775"/>
      <w:r>
        <w:t>الرابعة : لو رَدّ سلعةً بالعیب فأنکر البائع أنّها سلعته</w:t>
      </w:r>
      <w:bookmarkEnd w:id="1335"/>
    </w:p>
    <w:p>
      <w:pPr>
        <w:pStyle w:val="BookText"/>
      </w:pPr>
      <w:r>
        <w:rPr>
          <w:rFonts w:ascii="IRNazanin" w:hAnsi="IRNazanin" w:eastAsia="IRNazanin" w:cs="IRNazanin"/>
          <w:lang w:bidi="fa-IR"/>
          <w:color w:val="111111"/>
          <w:sz w:val="28"/>
          <w:szCs w:val="28"/>
          <w:rtl/>
        </w:rPr>
        <w:t xml:space="preserve">قُدّم قول البائع-کما فی التذکرة </w:t>
      </w:r>
      <w:r>
        <w:rPr>
          <w:rStyle w:val="FootnoteReference"/>
        </w:rPr>
        <w:footnoteReference w:id="3815"/>
      </w:r>
      <w:r>
        <w:rPr>
          <w:rFonts w:ascii="IRNazanin" w:hAnsi="IRNazanin" w:eastAsia="IRNazanin" w:cs="IRNazanin"/>
          <w:lang w:bidi="fa-IR"/>
          <w:color w:val="111111"/>
          <w:sz w:val="28"/>
          <w:szCs w:val="28"/>
          <w:rtl/>
        </w:rPr>
        <w:t xml:space="preserve">و الدروس </w:t>
      </w:r>
      <w:r>
        <w:rPr>
          <w:rStyle w:val="FootnoteReference"/>
        </w:rPr>
        <w:footnoteReference w:id="3816"/>
      </w:r>
      <w:r>
        <w:rPr>
          <w:rFonts w:ascii="IRNazanin" w:hAnsi="IRNazanin" w:eastAsia="IRNazanin" w:cs="IRNazanin"/>
          <w:lang w:bidi="fa-IR"/>
          <w:color w:val="111111"/>
          <w:sz w:val="28"/>
          <w:szCs w:val="28"/>
          <w:rtl/>
        </w:rPr>
        <w:t xml:space="preserve">و جامع المقاصد </w:t>
      </w:r>
      <w:r>
        <w:rPr>
          <w:rStyle w:val="FootnoteReference"/>
        </w:rPr>
        <w:footnoteReference w:id="3817"/>
      </w:r>
      <w:r>
        <w:rPr>
          <w:rFonts w:ascii="IRNazanin" w:hAnsi="IRNazanin" w:eastAsia="IRNazanin" w:cs="IRNazanin"/>
          <w:lang w:bidi="fa-IR"/>
          <w:color w:val="111111"/>
          <w:sz w:val="28"/>
          <w:szCs w:val="28"/>
          <w:rtl/>
        </w:rPr>
        <w:t xml:space="preserve">لأصالة عدم حقٍّ له علیه، و أصالة عدم کونها سلعته.و هذا بخلاف ما لو ردّها بخیارٍ فأنکر کونها</w:t>
      </w:r>
    </w:p>
    <w:p>
      <w:pPr>
        <w:pStyle w:val="BookText"/>
      </w:pPr>
      <w:r>
        <w:rPr>
          <w:rFonts w:ascii="IRNazanin" w:hAnsi="IRNazanin" w:eastAsia="IRNazanin" w:cs="IRNazanin"/>
          <w:lang w:bidi="fa-IR"/>
          <w:color w:val="111111"/>
          <w:sz w:val="28"/>
          <w:szCs w:val="28"/>
          <w:rtl/>
        </w:rPr>
        <w:t xml:space="preserve">ص :344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له،فأحتمل هنا فی التذکرة و القواعد تقدیم قول المشتری </w:t>
      </w:r>
      <w:r>
        <w:rPr>
          <w:rStyle w:val="FootnoteReference"/>
        </w:rPr>
        <w:footnoteReference w:id="3818"/>
      </w:r>
      <w:r>
        <w:rPr>
          <w:rFonts w:ascii="IRNazanin" w:hAnsi="IRNazanin" w:eastAsia="IRNazanin" w:cs="IRNazanin"/>
          <w:lang w:bidi="fa-IR"/>
          <w:color w:val="111111"/>
          <w:sz w:val="28"/>
          <w:szCs w:val="28"/>
          <w:rtl/>
        </w:rPr>
        <w:t xml:space="preserve">،و نسبه فی التحریر إلی القیل </w:t>
      </w:r>
      <w:r>
        <w:rPr>
          <w:rStyle w:val="FootnoteReference"/>
        </w:rPr>
        <w:footnoteReference w:id="3819"/>
      </w:r>
      <w:r>
        <w:rPr>
          <w:rFonts w:ascii="IRNazanin" w:hAnsi="IRNazanin" w:eastAsia="IRNazanin" w:cs="IRNazanin"/>
          <w:lang w:bidi="fa-IR"/>
          <w:color w:val="111111"/>
          <w:sz w:val="28"/>
          <w:szCs w:val="28"/>
          <w:rtl/>
        </w:rPr>
        <w:t xml:space="preserve">لاتّفاقهما علی استحقاق الفسخ بعد أن احتمل مساواتها للمسألة الأُولی.</w:t>
      </w:r>
    </w:p>
    <w:p>
      <w:pPr>
        <w:pStyle w:val="BookText"/>
      </w:pPr>
      <w:r>
        <w:rPr>
          <w:rFonts w:ascii="IRNazanin" w:hAnsi="IRNazanin" w:eastAsia="IRNazanin" w:cs="IRNazanin"/>
          <w:lang w:bidi="fa-IR"/>
          <w:color w:val="111111"/>
          <w:sz w:val="28"/>
          <w:szCs w:val="28"/>
          <w:rtl/>
        </w:rPr>
        <w:t xml:space="preserve">أقول:النزاع فی کون السلعة سلعة البائع یجتمع مع الخلاف فی الخیار و مع الاتّفاق علیه،کما لا یخفی.لکن ظاهر المسألة الأُولی کون الاختلاف فی ثبوت خیار العیب ناشئاً عن کون السلعة هذه المعیوبة أو غیرها،و الحکم بتقدیم </w:t>
      </w:r>
      <w:r>
        <w:rPr>
          <w:rStyle w:val="FootnoteReference"/>
        </w:rPr>
        <w:footnoteReference w:id="3820"/>
      </w:r>
      <w:r>
        <w:rPr>
          <w:rFonts w:ascii="IRNazanin" w:hAnsi="IRNazanin" w:eastAsia="IRNazanin" w:cs="IRNazanin"/>
          <w:lang w:bidi="fa-IR"/>
          <w:color w:val="111111"/>
          <w:sz w:val="28"/>
          <w:szCs w:val="28"/>
          <w:rtl/>
        </w:rPr>
        <w:t xml:space="preserve">قول البائع مع یمینه.و أمّا إذا اتّفقا علی الخیار و اختلفا فی السلعة،فلذی الخیار حینئذٍ الفسخ من دون توقّفٍ علی کون هذه السلعة هی المبیعة أو غیرها،فإذا فسخ و أراد ردّ السلعة فأنکرها البائع،فلا وجه لتقدیم قول المشتری مع أصالة عدم کون السلعة هی التی وقع العقد علیها.</w:t>
      </w:r>
    </w:p>
    <w:p>
      <w:pPr>
        <w:pStyle w:val="BookText"/>
      </w:pPr>
      <w:r>
        <w:rPr>
          <w:rFonts w:ascii="IRNazanin" w:hAnsi="IRNazanin" w:eastAsia="IRNazanin" w:cs="IRNazanin"/>
          <w:lang w:bidi="fa-IR"/>
          <w:color w:val="111111"/>
          <w:sz w:val="28"/>
          <w:szCs w:val="28"/>
          <w:rtl/>
        </w:rPr>
        <w:t xml:space="preserve">نعم،استدلّ علیه فی الإیضاح بعد ما قوّاه-:بأنّ الاتّفاق منهما علی عدم لزوم البیع و استحقاق الفسخ،و الاختلاف فی موضعین:</w:t>
      </w:r>
    </w:p>
    <w:p>
      <w:pPr>
        <w:pStyle w:val="BookText"/>
      </w:pPr>
      <w:r>
        <w:rPr>
          <w:rFonts w:ascii="IRNazanin" w:hAnsi="IRNazanin" w:eastAsia="IRNazanin" w:cs="IRNazanin"/>
          <w:lang w:bidi="fa-IR"/>
          <w:color w:val="111111"/>
          <w:sz w:val="28"/>
          <w:szCs w:val="28"/>
          <w:rtl/>
        </w:rPr>
        <w:t xml:space="preserve">أحدهما:خیانة المشتری فیدّعیها البائع بتغیّر السلعة و المشتری ینکرها، و الأصل عدمها.الثانی:سقوط حقّ الخیار الثابت للمشتری،فالبائع یدّعیه و المشتری ینکره و الأصل بقاؤه </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تبعه فی الدروس،حیث قال:لو أنکر البائع کون المبیع مبیعه</w:t>
      </w:r>
    </w:p>
    <w:p>
      <w:pPr>
        <w:pStyle w:val="BookText"/>
      </w:pPr>
      <w:r>
        <w:rPr>
          <w:rFonts w:ascii="IRNazanin" w:hAnsi="IRNazanin" w:eastAsia="IRNazanin" w:cs="IRNazanin"/>
          <w:lang w:bidi="fa-IR"/>
          <w:color w:val="111111"/>
          <w:sz w:val="28"/>
          <w:szCs w:val="28"/>
          <w:rtl/>
        </w:rPr>
        <w:t xml:space="preserve">ص :345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حلف،و لو صدّقه علی کون المبیع معیوباً و أنکر تعیین المشتری حلف المشتری </w:t>
      </w:r>
      <w:r>
        <w:rPr>
          <w:rStyle w:val="FootnoteReference"/>
        </w:rPr>
        <w:footnoteReference w:id="38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أقول:أمّا دعوی الخیانة،فلو احتاجت إلی الإثبات و لو کان معها أصالة عدم کون المال الخاصّ هو المبیع،لوجب القول بتقدیم [قول </w:t>
      </w:r>
      <w:r>
        <w:rPr>
          <w:rStyle w:val="FootnoteReference"/>
        </w:rPr>
        <w:footnoteReference w:id="3823"/>
      </w:r>
      <w:r>
        <w:rPr>
          <w:rFonts w:ascii="IRNazanin" w:hAnsi="IRNazanin" w:eastAsia="IRNazanin" w:cs="IRNazanin"/>
          <w:lang w:bidi="fa-IR"/>
          <w:color w:val="111111"/>
          <w:sz w:val="28"/>
          <w:szCs w:val="28"/>
          <w:rtl/>
        </w:rPr>
        <w:t xml:space="preserve">]المشتری فی المسألة الأُولی و إن کانت هناک أُصولٌ متعدّدةٌ علی ما ذکرها فی الإیضاح و هی:أصالة عدم الخیار،و عدم حدوث العیب،و صحّة القبض بمعنی خروج البائع من ضمانه لأنّ أصالة عدم الخیانة مستندها ظهور حال المسلم،و هو واردٌ علی جمیع الأُصول العدمیّة </w:t>
      </w:r>
      <w:r>
        <w:rPr>
          <w:rStyle w:val="FootnoteReference"/>
        </w:rPr>
        <w:footnoteReference w:id="3824"/>
      </w:r>
      <w:r>
        <w:rPr>
          <w:rFonts w:ascii="IRNazanin" w:hAnsi="IRNazanin" w:eastAsia="IRNazanin" w:cs="IRNazanin"/>
          <w:lang w:bidi="fa-IR"/>
          <w:color w:val="111111"/>
          <w:sz w:val="28"/>
          <w:szCs w:val="28"/>
          <w:rtl/>
        </w:rPr>
        <w:t xml:space="preserve">،نظیر أصالة الصّحة.</w:t>
      </w:r>
    </w:p>
    <w:p>
      <w:pPr>
        <w:pStyle w:val="BookText"/>
      </w:pPr>
      <w:r>
        <w:rPr>
          <w:rFonts w:ascii="IRNazanin" w:hAnsi="IRNazanin" w:eastAsia="IRNazanin" w:cs="IRNazanin"/>
          <w:lang w:bidi="fa-IR"/>
          <w:color w:val="111111"/>
          <w:sz w:val="28"/>
          <w:szCs w:val="28"/>
          <w:rtl/>
        </w:rPr>
        <w:t xml:space="preserve">و أمّا ما ذکره:من أصالة صحّة القبض،فلم نتحقّق معناها و إن فسّرناها من قِبَله بما ذکرنا،لکن أصالة الصّحة لا تنفع لإثبات لزوم القبض.</w:t>
      </w:r>
    </w:p>
    <w:p>
      <w:pPr>
        <w:pStyle w:val="BookText"/>
      </w:pPr>
      <w:r>
        <w:rPr>
          <w:rFonts w:ascii="IRNazanin" w:hAnsi="IRNazanin" w:eastAsia="IRNazanin" w:cs="IRNazanin"/>
          <w:lang w:bidi="fa-IR"/>
          <w:color w:val="111111"/>
          <w:sz w:val="28"/>
          <w:szCs w:val="28"/>
          <w:rtl/>
        </w:rPr>
        <w:t xml:space="preserve">و أمّا دعوی سقوط حقّ الخیار فهی انّما تجدی إذا کان الخیار المتّفق علیه لأجل العیب کما فرضه فی الدروس و إلّا فأکثر الخیارات ممّا أجمع علی بقائه مع التلف،مع أنّ أصالة عدم سقوط الخیار لا تُثبت إلّا ثبوته،لا وجوب قبول هذه السلعة إلّا من جهة التلازم الواقعی بینهما.و لعلّ نظر الدروس إلی ذلک </w:t>
      </w:r>
      <w:r>
        <w:rPr>
          <w:rStyle w:val="FootnoteReference"/>
        </w:rPr>
        <w:footnoteReference w:id="3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:346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12" w:name="pg14419_167628"/>
    <w:bookmarkEnd w:id="412"/>
    <w:p>
      <w:pPr>
        <w:pStyle w:val="Heading6"/>
      </w:pPr>
      <w:bookmarkStart w:id="1336" w:name="_Toc776"/>
      <w:r>
        <w:t>و أمّا الثانی : و هو الاختلاف فی المسقط ففیه أیضاً مسائل</w:t>
      </w:r>
      <w:bookmarkEnd w:id="1336"/>
    </w:p>
    <w:p>
      <w:pPr>
        <w:pStyle w:val="Heading6"/>
      </w:pPr>
      <w:bookmarkStart w:id="1337" w:name="_Toc777"/>
      <w:r>
        <w:t>اشارة</w:t>
      </w:r>
      <w:bookmarkEnd w:id="1337"/>
    </w:p>
    <w:p>
      <w:pPr>
        <w:pStyle w:val="BookText"/>
      </w:pPr>
      <w:r>
        <w:rPr>
          <w:rStyle w:val="FootnoteReference"/>
        </w:rPr>
        <w:footnoteReference w:id="3826"/>
      </w:r>
    </w:p>
    <w:p>
      <w:pPr>
        <w:pStyle w:val="Heading6"/>
      </w:pPr>
      <w:bookmarkStart w:id="1338" w:name="_Toc778"/>
      <w:r>
        <w:t>الاُولی : لو اختلفا فی علم المشتری بالعیب و عدمه</w:t>
      </w:r>
      <w:bookmarkEnd w:id="1338"/>
    </w:p>
    <w:p>
      <w:pPr>
        <w:pStyle w:val="BookText"/>
      </w:pPr>
      <w:r>
        <w:rPr>
          <w:rFonts w:ascii="IRNazanin" w:hAnsi="IRNazanin" w:eastAsia="IRNazanin" w:cs="IRNazanin"/>
          <w:lang w:bidi="fa-IR"/>
          <w:color w:val="111111"/>
          <w:sz w:val="28"/>
          <w:szCs w:val="28"/>
          <w:rtl/>
        </w:rPr>
        <w:t xml:space="preserve">قدّم منکر العلم،فیثبت الخیار.</w:t>
      </w:r>
    </w:p>
    <w:p>
      <w:pPr>
        <w:pStyle w:val="Heading6"/>
      </w:pPr>
      <w:bookmarkStart w:id="1339" w:name="_Toc779"/>
      <w:r>
        <w:t>الثانیة : لو اختلفا فی زواله قبل علم المشتری أو بعده</w:t>
      </w:r>
      <w:bookmarkEnd w:id="1339"/>
    </w:p>
    <w:p>
      <w:pPr>
        <w:pStyle w:val="BookText"/>
      </w:pPr>
      <w:r>
        <w:rPr>
          <w:rFonts w:ascii="IRNazanin" w:hAnsi="IRNazanin" w:eastAsia="IRNazanin" w:cs="IRNazanin"/>
          <w:lang w:bidi="fa-IR"/>
          <w:color w:val="111111"/>
          <w:sz w:val="28"/>
          <w:szCs w:val="28"/>
          <w:rtl/>
        </w:rPr>
        <w:t xml:space="preserve">علی القول بأنّ زواله بعد العلم لا یُسقط الأرش بل و لا الردّ ففی تقدیم مدّعی البقاء فیثبت الخیار لأصالة بقائه و عدم زواله المسقط للخیار،أو تقدیم مدّعی عدم ثبوت الخیار؛لأنّ سببه أو شرطه العلم به حال وجوده و هو غیر ثابتٍ فالأصل لزوم العقد و عدم الخیار،وجهان،</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أقواهما الأوّل.</w:t>
      </w:r>
    </w:p>
    <w:p>
      <w:pPr>
        <w:pStyle w:val="BookText"/>
      </w:pPr>
      <w:r>
        <w:rPr>
          <w:rFonts w:ascii="IRNazanin" w:hAnsi="IRNazanin" w:eastAsia="IRNazanin" w:cs="IRNazanin"/>
          <w:lang w:bidi="fa-IR"/>
          <w:color w:val="111111"/>
          <w:sz w:val="28"/>
          <w:szCs w:val="28"/>
          <w:rtl/>
        </w:rPr>
        <w:t xml:space="preserve">و العبارة المتقدّمة من التذکرة </w:t>
      </w:r>
      <w:r>
        <w:rPr>
          <w:rStyle w:val="FootnoteReference"/>
        </w:rPr>
        <w:footnoteReference w:id="3827"/>
      </w:r>
      <w:r>
        <w:rPr>
          <w:rFonts w:ascii="IRNazanin" w:hAnsi="IRNazanin" w:eastAsia="IRNazanin" w:cs="IRNazanin"/>
          <w:lang w:bidi="fa-IR"/>
          <w:color w:val="111111"/>
          <w:sz w:val="28"/>
          <w:szCs w:val="28"/>
          <w:rtl/>
        </w:rPr>
        <w:t xml:space="preserve">فی سقوط الردّ بزوال العیب قبل العلم أو بعده قبل الردّ تومئ إلی الثانی،فراجع.</w:t>
      </w:r>
    </w:p>
    <w:p>
      <w:pPr>
        <w:pStyle w:val="BookText"/>
      </w:pPr>
      <w:r>
        <w:rPr>
          <w:rFonts w:ascii="IRNazanin" w:hAnsi="IRNazanin" w:eastAsia="IRNazanin" w:cs="IRNazanin"/>
          <w:lang w:bidi="fa-IR"/>
          <w:color w:val="111111"/>
          <w:sz w:val="28"/>
          <w:szCs w:val="28"/>
          <w:rtl/>
        </w:rPr>
        <w:t xml:space="preserve">و لو اختلفا بعد حدوث عیبٍ جدیدٍ و زوال أحد العیبین فی کون الزائل هو القدیم حتّی لا یکون خیارٌ أو الحادث حتّی یثبت الخیار، فمقتضی القاعدة بقاء القدیم الموجب للخیار.و لا یعارضه أصالة بقاء الجدید؛لأنّ بقاء الجدید لا یوجب بنفسه سقوط الخیار إلّا من حیث</w:t>
      </w:r>
    </w:p>
    <w:p>
      <w:pPr>
        <w:pStyle w:val="BookText"/>
      </w:pPr>
      <w:r>
        <w:rPr>
          <w:rFonts w:ascii="IRNazanin" w:hAnsi="IRNazanin" w:eastAsia="IRNazanin" w:cs="IRNazanin"/>
          <w:lang w:bidi="fa-IR"/>
          <w:color w:val="111111"/>
          <w:sz w:val="28"/>
          <w:szCs w:val="28"/>
          <w:rtl/>
        </w:rPr>
        <w:t xml:space="preserve">ص :347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413" w:name="pg14419_167629"/>
    <w:bookmarkEnd w:id="413"/>
    <w:p>
      <w:pPr>
        <w:pStyle w:val="BookText"/>
      </w:pPr>
      <w:r>
        <w:rPr>
          <w:rFonts w:ascii="IRNazanin" w:hAnsi="IRNazanin" w:eastAsia="IRNazanin" w:cs="IRNazanin"/>
          <w:lang w:bidi="fa-IR"/>
          <w:color w:val="111111"/>
          <w:sz w:val="28"/>
          <w:szCs w:val="28"/>
          <w:rtl/>
        </w:rPr>
        <w:t xml:space="preserve">استلزامه لزوال القدیم،و قد ثبت فی الأُصول:أنّ أصالة عدم أحد الضدّین لا یثبت وجود الضدّ الآخر لیترتّب علیه حکمه </w:t>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المحکیّ فی التذکرة عن الشافعی فی مثله التحالف،قال:</w:t>
      </w:r>
    </w:p>
    <w:p>
      <w:pPr>
        <w:pStyle w:val="BookText"/>
      </w:pPr>
      <w:r>
        <w:rPr>
          <w:rFonts w:ascii="IRNazanin" w:hAnsi="IRNazanin" w:eastAsia="IRNazanin" w:cs="IRNazanin"/>
          <w:lang w:bidi="fa-IR"/>
          <w:color w:val="111111"/>
          <w:sz w:val="28"/>
          <w:szCs w:val="28"/>
          <w:rtl/>
        </w:rPr>
        <w:t xml:space="preserve">لو اشتری عبداً و حدث فی ید المشتری </w:t>
      </w:r>
      <w:r>
        <w:rPr>
          <w:rStyle w:val="FootnoteReference"/>
        </w:rPr>
        <w:footnoteReference w:id="3829"/>
      </w:r>
      <w:r>
        <w:rPr>
          <w:rFonts w:ascii="IRNazanin" w:hAnsi="IRNazanin" w:eastAsia="IRNazanin" w:cs="IRNazanin"/>
          <w:lang w:bidi="fa-IR"/>
          <w:color w:val="111111"/>
          <w:sz w:val="28"/>
          <w:szCs w:val="28"/>
          <w:rtl/>
        </w:rPr>
        <w:t xml:space="preserve">نکتة بیاضٍ بعینه،و وجد نکتة قدیمة،ثمّ زالت إحداهما،فقال البائع:الزائلة القدیمة فلا ردّ و لا أرش،و قال المشتری:بل الحادثة و لِیَ الردّ،قال الشافعی:یحلفان علی ما یقولان،فإذا حلفا استفاد البائع بیمینه دفع الردّ و استفاد المشتری بیمینه أخذ الأرش </w:t>
      </w:r>
      <w:r>
        <w:rPr>
          <w:rStyle w:val="FootnoteReference"/>
        </w:rPr>
        <w:footnoteReference w:id="3830"/>
      </w:r>
      <w:r>
        <w:rPr>
          <w:rFonts w:ascii="IRNazanin" w:hAnsi="IRNazanin" w:eastAsia="IRNazanin" w:cs="IRNazanin"/>
          <w:lang w:bidi="fa-IR"/>
          <w:color w:val="111111"/>
          <w:sz w:val="28"/>
          <w:szCs w:val="28"/>
          <w:rtl/>
        </w:rPr>
        <w:t xml:space="preserve">،انتهی.</w:t>
      </w:r>
    </w:p>
    <w:p>
      <w:pPr>
        <w:pStyle w:val="Heading6"/>
      </w:pPr>
      <w:bookmarkStart w:id="1340" w:name="_Toc780"/>
      <w:r>
        <w:t>الثالثة : لو کان عیبٌ مشاهداً</w:t>
      </w:r>
      <w:bookmarkEnd w:id="1340"/>
    </w:p>
    <w:p>
      <w:pPr>
        <w:pStyle w:val="BookText"/>
      </w:pPr>
      <w:r>
        <w:rPr>
          <w:rFonts w:ascii="IRNazanin" w:hAnsi="IRNazanin" w:eastAsia="IRNazanin" w:cs="IRNazanin"/>
          <w:lang w:bidi="fa-IR"/>
          <w:color w:val="111111"/>
          <w:sz w:val="28"/>
          <w:szCs w:val="28"/>
          <w:rtl/>
        </w:rPr>
        <w:t xml:space="preserve">الثالثة لو کان عیبٌ مشاهداً </w:t>
      </w:r>
      <w:r>
        <w:rPr>
          <w:rStyle w:val="FootnoteReference"/>
        </w:rPr>
        <w:footnoteReference w:id="3831"/>
      </w:r>
      <w:r>
        <w:rPr>
          <w:rFonts w:ascii="IRNazanin" w:hAnsi="IRNazanin" w:eastAsia="IRNazanin" w:cs="IRNazanin"/>
          <w:lang w:bidi="fa-IR"/>
          <w:color w:val="111111"/>
          <w:sz w:val="28"/>
          <w:szCs w:val="28"/>
          <w:rtl/>
        </w:rPr>
        <w:t xml:space="preserve">غیر المتّفق علیه،</w:t>
      </w:r>
    </w:p>
    <w:p>
      <w:pPr>
        <w:pStyle w:val="BookText"/>
      </w:pPr>
      <w:r>
        <w:rPr>
          <w:rFonts w:ascii="IRNazanin" w:hAnsi="IRNazanin" w:eastAsia="IRNazanin" w:cs="IRNazanin"/>
          <w:lang w:bidi="fa-IR"/>
          <w:color w:val="111111"/>
          <w:sz w:val="28"/>
          <w:szCs w:val="28"/>
          <w:rtl/>
        </w:rPr>
        <w:t xml:space="preserve">فادّعی البائع حدوثه عند المشتری و المشتری سبقه،ففی الدروس:أنّه کالعیب المنفرد </w:t>
      </w:r>
      <w:r>
        <w:rPr>
          <w:rStyle w:val="FootnoteReference"/>
        </w:rPr>
        <w:footnoteReference w:id="3832"/>
      </w:r>
      <w:r>
        <w:rPr>
          <w:rFonts w:ascii="IRNazanin" w:hAnsi="IRNazanin" w:eastAsia="IRNazanin" w:cs="IRNazanin"/>
          <w:lang w:bidi="fa-IR"/>
          <w:color w:val="111111"/>
          <w:sz w:val="28"/>
          <w:szCs w:val="28"/>
          <w:rtl/>
        </w:rPr>
        <w:t xml:space="preserve">،یعنی أنّه یحلف البائع کما لو لم یکن سوی هذا العیب و اختلفا فی السبق و التأخّر.</w:t>
      </w:r>
    </w:p>
    <w:p>
      <w:pPr>
        <w:pStyle w:val="BookText"/>
      </w:pPr>
      <w:r>
        <w:rPr>
          <w:rFonts w:ascii="Amiri" w:hAnsi="Amiri" w:eastAsia="Amiri" w:cs="Amiri"/>
          <w:lang w:bidi="ar-SA"/>
          <w:color w:val="111111"/>
          <w:sz w:val="28"/>
          <w:szCs w:val="28"/>
          <w:rtl/>
        </w:rPr>
        <w:t xml:space="preserve">و لعله لأصالة عدم التقدّم.</w:t>
      </w:r>
    </w:p>
    <w:p>
      <w:pPr>
        <w:pStyle w:val="BookText"/>
      </w:pPr>
      <w:r>
        <w:rPr>
          <w:rFonts w:ascii="IRNazanin" w:hAnsi="IRNazanin" w:eastAsia="IRNazanin" w:cs="IRNazanin"/>
          <w:lang w:bidi="fa-IR"/>
          <w:color w:val="111111"/>
          <w:sz w:val="28"/>
          <w:szCs w:val="28"/>
          <w:rtl/>
        </w:rPr>
        <w:t xml:space="preserve">و یمکن أن یقال:إنّ عدم التقدّم هناک راجعٌ إلی عدم سبب</w:t>
      </w:r>
    </w:p>
    <w:p>
      <w:pPr>
        <w:pStyle w:val="BookText"/>
      </w:pPr>
      <w:r>
        <w:rPr>
          <w:rFonts w:ascii="IRNazanin" w:hAnsi="IRNazanin" w:eastAsia="IRNazanin" w:cs="IRNazanin"/>
          <w:lang w:bidi="fa-IR"/>
          <w:color w:val="111111"/>
          <w:sz w:val="28"/>
          <w:szCs w:val="28"/>
          <w:rtl/>
        </w:rPr>
        <w:t xml:space="preserve">ص :348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414" w:name="pg14419_167630"/>
    <w:bookmarkEnd w:id="414"/>
    <w:p>
      <w:pPr>
        <w:pStyle w:val="BookText"/>
      </w:pPr>
      <w:r>
        <w:rPr>
          <w:rFonts w:ascii="IRNazanin" w:hAnsi="IRNazanin" w:eastAsia="IRNazanin" w:cs="IRNazanin"/>
          <w:lang w:bidi="fa-IR"/>
          <w:color w:val="111111"/>
          <w:sz w:val="28"/>
          <w:szCs w:val="28"/>
          <w:rtl/>
        </w:rPr>
        <w:t xml:space="preserve">الخیار،و أمّا هنا فلا یرجع إلی ثبوت المسقط،بل المسقط هو حدوث العیب عند المشتری،و قد مرّ غیر مرّةٍ:أنّ أصالة التأخّر لا یثبت بها حدوث الحادث فی الزمان المتأخّر،و إنّما یثبت </w:t>
      </w:r>
      <w:r>
        <w:rPr>
          <w:rStyle w:val="FootnoteReference"/>
        </w:rPr>
        <w:footnoteReference w:id="3833"/>
      </w:r>
      <w:r>
        <w:rPr>
          <w:rFonts w:ascii="IRNazanin" w:hAnsi="IRNazanin" w:eastAsia="IRNazanin" w:cs="IRNazanin"/>
          <w:lang w:bidi="fa-IR"/>
          <w:color w:val="111111"/>
          <w:sz w:val="28"/>
          <w:szCs w:val="28"/>
          <w:rtl/>
        </w:rPr>
        <w:t xml:space="preserve">عدم التقدّم الذی لا یثبت به التأخّر.</w:t>
      </w:r>
    </w:p>
    <w:p>
      <w:pPr>
        <w:pStyle w:val="BookText"/>
      </w:pPr>
      <w:r>
        <w:rPr>
          <w:rFonts w:ascii="IRNazanin" w:hAnsi="IRNazanin" w:eastAsia="IRNazanin" w:cs="IRNazanin"/>
          <w:lang w:bidi="fa-IR"/>
          <w:color w:val="111111"/>
          <w:sz w:val="28"/>
          <w:szCs w:val="28"/>
          <w:rtl/>
        </w:rPr>
        <w:t xml:space="preserve">ثمّ قال فی الدروس:و لو ادّعی البائع زیادة العیب عند المشتری و أنکر احتمل حلف المشتری لأنّ الخیار متیقّنٌ و الزیادة موهومةٌ، و یحتمل حلف البائع إجراءً للزیادة مجری العیب الجدید </w:t>
      </w:r>
      <w:r>
        <w:rPr>
          <w:rStyle w:val="FootnoteReference"/>
        </w:rPr>
        <w:footnoteReference w:id="3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الحکم فی العیب الجدید و أنّ حلف البائع فیه محلّ نظر.</w:t>
      </w:r>
    </w:p>
    <w:p>
      <w:pPr>
        <w:pStyle w:val="BookText"/>
      </w:pPr>
      <w:r>
        <w:rPr>
          <w:rFonts w:ascii="IRNazanin" w:hAnsi="IRNazanin" w:eastAsia="IRNazanin" w:cs="IRNazanin"/>
          <w:lang w:bidi="fa-IR"/>
          <w:color w:val="111111"/>
          <w:sz w:val="28"/>
          <w:szCs w:val="28"/>
          <w:rtl/>
        </w:rPr>
        <w:t xml:space="preserve">ثمّ لا بدّ من فرض المسألة فیما لو اختلفا فی مقدارٍ من العیب موجودٍ زائدٍ علی المقدار </w:t>
      </w:r>
      <w:r>
        <w:rPr>
          <w:rStyle w:val="FootnoteReference"/>
        </w:rPr>
        <w:footnoteReference w:id="3835"/>
      </w:r>
      <w:r>
        <w:rPr>
          <w:rFonts w:ascii="IRNazanin" w:hAnsi="IRNazanin" w:eastAsia="IRNazanin" w:cs="IRNazanin"/>
          <w:lang w:bidi="fa-IR"/>
          <w:color w:val="111111"/>
          <w:sz w:val="28"/>
          <w:szCs w:val="28"/>
          <w:rtl/>
        </w:rPr>
        <w:t xml:space="preserve">المتّفق علیه أنّه کان متقدّماً أو متأخّراً.و أمّا إذا اختلفا فی أصل الزیادة،فلا إشکال فی تقدیم قول المشتری.</w:t>
      </w:r>
    </w:p>
    <w:p>
      <w:pPr>
        <w:pStyle w:val="Heading6"/>
      </w:pPr>
      <w:bookmarkStart w:id="1341" w:name="_Toc781"/>
      <w:r>
        <w:t>الرابعة : لو اختلفا فی البراءة قدّم منکرها</w:t>
      </w:r>
      <w:bookmarkEnd w:id="1341"/>
    </w:p>
    <w:p>
      <w:pPr>
        <w:pStyle w:val="BookText"/>
      </w:pPr>
      <w:r>
        <w:rPr>
          <w:rFonts w:ascii="IRNazanin" w:hAnsi="IRNazanin" w:eastAsia="IRNazanin" w:cs="IRNazanin"/>
          <w:lang w:bidi="fa-IR"/>
          <w:color w:val="111111"/>
          <w:sz w:val="28"/>
          <w:szCs w:val="28"/>
          <w:rtl/>
        </w:rPr>
        <w:t xml:space="preserve">فیثبت الخیار؛لأصالة عدمها الحاکمة علی أصالة لزوم العقد.</w:t>
      </w:r>
    </w:p>
    <w:p>
      <w:pPr>
        <w:pStyle w:val="BookText"/>
      </w:pPr>
      <w:r>
        <w:rPr>
          <w:rFonts w:ascii="IRNazanin" w:hAnsi="IRNazanin" w:eastAsia="IRNazanin" w:cs="IRNazanin"/>
          <w:lang w:bidi="fa-IR"/>
          <w:color w:val="111111"/>
          <w:sz w:val="28"/>
          <w:szCs w:val="28"/>
          <w:rtl/>
        </w:rPr>
        <w:t xml:space="preserve">و ربمّا یتراءی من مکاتبة جعفر بن عیسی خلاف ذلک،قال:</w:t>
      </w:r>
    </w:p>
    <w:p>
      <w:pPr>
        <w:pStyle w:val="BookText"/>
      </w:pPr>
      <w:r>
        <w:rPr>
          <w:rFonts w:ascii="IRNazanin" w:hAnsi="IRNazanin" w:eastAsia="IRNazanin" w:cs="IRNazanin"/>
          <w:lang w:bidi="fa-IR"/>
          <w:color w:val="111111"/>
          <w:sz w:val="28"/>
          <w:szCs w:val="28"/>
          <w:rtl/>
        </w:rPr>
        <w:t xml:space="preserve">«کتبت إلی أبی الحسن علیه السلام:جُعلت فداک!المتاع یباع فی"من</w:t>
      </w:r>
    </w:p>
    <w:p>
      <w:pPr>
        <w:pStyle w:val="BookText"/>
      </w:pPr>
      <w:r>
        <w:rPr>
          <w:rFonts w:ascii="IRNazanin" w:hAnsi="IRNazanin" w:eastAsia="IRNazanin" w:cs="IRNazanin"/>
          <w:lang w:bidi="fa-IR"/>
          <w:color w:val="111111"/>
          <w:sz w:val="28"/>
          <w:szCs w:val="28"/>
          <w:rtl/>
        </w:rPr>
        <w:t xml:space="preserve">ص :349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یزید"فینادی علیه المنادی،فإذا نادی علیه:بریء من کلّ عیبٍ فیه، فإذا اشتراه المشتری و رضیه و لم یبقَ إلّا نقد الثمن فربّما زهد فیه،فإذا زهد فیه ادّعی عیوباً و أنّه لم یعلم بها،فیقول له المنادی:قد برئت منها،فیقول المشتری:لم أسمع البراءة منها،أ یصدَّق فلا یجب علیه،أم لا یصدَّق؟فکتب علیه السلام أنّ علیه الثمن..الخبر» </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المحقّق الأردبیلی:أنّه لا یلتفت الی هذا الخبر لضعفه مع الکتابة و مخالفة القاعدة </w:t>
      </w:r>
      <w:r>
        <w:rPr>
          <w:rStyle w:val="FootnoteReference"/>
        </w:rPr>
        <w:footnoteReference w:id="38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ما أبعد ما بینه و بین ما فی الکفایة:من جعل الروایة مؤیّدة لقاعدة«البیّنة علی المدّعی و الیمین علی من أنکر» </w:t>
      </w:r>
      <w:r>
        <w:rPr>
          <w:rStyle w:val="FootnoteReference"/>
        </w:rPr>
        <w:footnoteReference w:id="3838"/>
      </w:r>
      <w:r>
        <w:rPr>
          <w:rFonts w:ascii="Amiri" w:hAnsi="Amiri" w:eastAsia="Amiri" w:cs="Amiri"/>
          <w:lang w:bidi="ar-SA"/>
          <w:color w:val="111111"/>
          <w:sz w:val="28"/>
          <w:szCs w:val="28"/>
          <w:rtl/>
        </w:rPr>
        <w:t xml:space="preserve">،و فی کلٍّ منهما نظر.</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و فی الحدائق:أنّ المفهوم من مساق الخبر المذکور:أنّ إنکار المشتری إنّما وقع مدالسةً؛لعدم رغبته فی المبیع،و إلّا فهو عالمٌ بتبرّی البائع،و الإمام علیه السلام إنّما ألزمه بالثمن من هذه الجهة </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مراد السائل لیس حکم العالم بالتبرّی المنکر له فیما بینه و بین اللّٰه،بل الظاهر من سیاق السؤال استعلام من یقدّم قوله فی ظاهر الشرع من البائع و المشتری،مع أنّ حکم العالم بالتبرّی المنکر له مکابرةً معلومٌ لکلّ أحدٍ،خصوصاً للسائل،کما یشهد به قوله:«أ یصدَّق أم لا یصدَّق؟»الدالّ علی وضوح حکم صورتی صدقه و کذبه.</w:t>
      </w:r>
    </w:p>
    <w:p>
      <w:pPr>
        <w:pStyle w:val="BookText"/>
      </w:pPr>
      <w:r>
        <w:rPr>
          <w:rFonts w:ascii="IRNazanin" w:hAnsi="IRNazanin" w:eastAsia="IRNazanin" w:cs="IRNazanin"/>
          <w:lang w:bidi="fa-IR"/>
          <w:color w:val="111111"/>
          <w:sz w:val="28"/>
          <w:szCs w:val="28"/>
          <w:rtl/>
        </w:rPr>
        <w:t xml:space="preserve">ص :350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توجیه الروایة:بأنّ الحکم بتقدیم قول المنادی لجریان العادة بنداء الدلّال عند البیع بالبراءة من العیوب علی وجهٍ یسمعه کلّ من حضر للشراء،فدعوی المشتری مخالفةٌ للظاهر،نظیر دعوی الغبن و الغفلة عن القیمة ممّن لا یخفی علیه قیمة المبیع.</w:t>
      </w:r>
    </w:p>
    <w:p>
      <w:pPr>
        <w:pStyle w:val="BookText"/>
      </w:pPr>
      <w:r>
        <w:rPr>
          <w:rFonts w:ascii="IRNazanin" w:hAnsi="IRNazanin" w:eastAsia="IRNazanin" w:cs="IRNazanin"/>
          <w:lang w:bidi="fa-IR"/>
          <w:color w:val="111111"/>
          <w:sz w:val="28"/>
          <w:szCs w:val="28"/>
          <w:rtl/>
        </w:rPr>
        <w:t xml:space="preserve">بقی فی الروایة إشکالٌ آخر؛من حیث إنّ البراءة من العیوب عند نداء المنادی لا یجدی فی سقوط خیار العیب،بل یعتبر وقوعه فی متن العقد.</w:t>
      </w:r>
    </w:p>
    <w:p>
      <w:pPr>
        <w:pStyle w:val="BookText"/>
      </w:pPr>
      <w:r>
        <w:rPr>
          <w:rFonts w:ascii="IRNazanin" w:hAnsi="IRNazanin" w:eastAsia="IRNazanin" w:cs="IRNazanin"/>
          <w:lang w:bidi="fa-IR"/>
          <w:color w:val="111111"/>
          <w:sz w:val="28"/>
          <w:szCs w:val="28"/>
          <w:rtl/>
        </w:rPr>
        <w:t xml:space="preserve">و یمکن التفصّی عنه:إمّا بالتزام کفایة تقدّم الشرط علی العقد بعد وقوع العقد علیه،کما تقدّم </w:t>
      </w:r>
      <w:r>
        <w:rPr>
          <w:rStyle w:val="FootnoteReference"/>
        </w:rPr>
        <w:footnoteReference w:id="3840"/>
      </w:r>
      <w:r>
        <w:rPr>
          <w:rFonts w:ascii="IRNazanin" w:hAnsi="IRNazanin" w:eastAsia="IRNazanin" w:cs="IRNazanin"/>
          <w:lang w:bidi="fa-IR"/>
          <w:color w:val="111111"/>
          <w:sz w:val="28"/>
          <w:szCs w:val="28"/>
          <w:rtl/>
        </w:rPr>
        <w:t xml:space="preserve">فی باب الشروط.و إمّا بدعوی أنّ نداء الدلّال بمنزلة الإیجاب؛لأنّه لا ینادی إلّا بعد أن یرغب فیه أحد الحضّار بقیمته،فینادی الدلّال و یقول:بعتک هذا الموجود بکلّ عیبٍ، و یکرّر ذلک مراراً من دون أن یتمّ الإیجاب حتّی یتمکّن من إبطاله عند زیادة من زاد،و الحاصل:جَعَل نداءه إیجاباً للبیع.و لو أبیت إلّا عن أنّ المتعارف فی الدلّال کون ندائه قبل إیجاب البیع،أمکن دعوی کون المتعارف فی ذلک الزمان غیر ذلک،مع أنّ الروایة لا تصریح فیها بکون البراءة فی النداء قبل الإیجاب،کما لا یخفی.</w:t>
      </w:r>
    </w:p>
    <w:p>
      <w:pPr>
        <w:pStyle w:val="BookText"/>
      </w:pPr>
      <w:r>
        <w:rPr>
          <w:rFonts w:ascii="IRNazanin" w:hAnsi="IRNazanin" w:eastAsia="IRNazanin" w:cs="IRNazanin"/>
          <w:lang w:bidi="fa-IR"/>
          <w:color w:val="111111"/>
          <w:sz w:val="28"/>
          <w:szCs w:val="28"/>
          <w:rtl/>
        </w:rPr>
        <w:t xml:space="preserve">ص :351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415" w:name="pg14419_167633"/>
    <w:bookmarkEnd w:id="415"/>
    <w:p>
      <w:pPr>
        <w:pStyle w:val="BookText"/>
      </w:pPr>
      <w:r>
        <w:rPr>
          <w:rFonts w:ascii="IRNazanin" w:hAnsi="IRNazanin" w:eastAsia="IRNazanin" w:cs="IRNazanin"/>
          <w:lang w:bidi="fa-IR"/>
          <w:color w:val="111111"/>
          <w:sz w:val="28"/>
          <w:szCs w:val="28"/>
          <w:rtl/>
        </w:rPr>
        <w:t xml:space="preserve">ثمّ الحلف هنا علی نفی العلم بالبراءة؛لأنّه الموجب لسقوط الخیار لا انتفاء البراءة واقعاً.</w:t>
      </w:r>
    </w:p>
    <w:p>
      <w:pPr>
        <w:pStyle w:val="Heading6"/>
      </w:pPr>
      <w:bookmarkStart w:id="1342" w:name="_Toc782"/>
      <w:r>
        <w:t>الخامسة : لو ادّعی البائع رضا المشتری به بعد العلم أو إسقاط الخیار أو تصرّفه فیه أو حدوث عیبٍ عنده</w:t>
      </w:r>
      <w:bookmarkEnd w:id="1342"/>
    </w:p>
    <w:p>
      <w:pPr>
        <w:pStyle w:val="BookText"/>
      </w:pPr>
      <w:r>
        <w:rPr>
          <w:rFonts w:ascii="IRNazanin" w:hAnsi="IRNazanin" w:eastAsia="IRNazanin" w:cs="IRNazanin"/>
          <w:lang w:bidi="fa-IR"/>
          <w:color w:val="111111"/>
          <w:sz w:val="28"/>
          <w:szCs w:val="28"/>
          <w:rtl/>
        </w:rPr>
        <w:t xml:space="preserve">حلف المشتری؛لأصالة عدم هذه الأُمور.</w:t>
      </w:r>
    </w:p>
    <w:p>
      <w:pPr>
        <w:pStyle w:val="BookText"/>
      </w:pPr>
      <w:r>
        <w:rPr>
          <w:rFonts w:ascii="IRNazanin" w:hAnsi="IRNazanin" w:eastAsia="IRNazanin" w:cs="IRNazanin"/>
          <w:lang w:bidi="fa-IR"/>
          <w:color w:val="111111"/>
          <w:sz w:val="28"/>
          <w:szCs w:val="28"/>
          <w:rtl/>
        </w:rPr>
        <w:t xml:space="preserve">و لو وُجد فی المعیب عیبٌ اختلفا فی حدوثه و قِدَمِه،ففی تقدیم مدّعی الحدوث؛لأصالة عدم تقدّمه کما تقدّم سابقاً فی دعوی تقدّم العیب و تأخّره </w:t>
      </w:r>
      <w:r>
        <w:rPr>
          <w:rStyle w:val="FootnoteReference"/>
        </w:rPr>
        <w:footnoteReference w:id="3841"/>
      </w:r>
      <w:r>
        <w:rPr>
          <w:rFonts w:ascii="IRNazanin" w:hAnsi="IRNazanin" w:eastAsia="IRNazanin" w:cs="IRNazanin"/>
          <w:lang w:bidi="fa-IR"/>
          <w:color w:val="111111"/>
          <w:sz w:val="28"/>
          <w:szCs w:val="28"/>
          <w:rtl/>
        </w:rPr>
        <w:t xml:space="preserve">أو مدّعی عدمه؛لأصالة بقاء الخیار الثابت بالعقد علی المعیب و الشک فی سقوطه بحدوث العیب الآخر فی ضمان المشتری، فالأصل عدم وقوع العقد علی السلیم من هذا العیب حتّی یضمنه المشتری </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Heading6"/>
      </w:pPr>
      <w:bookmarkStart w:id="1343" w:name="_Toc783"/>
      <w:r>
        <w:t>و أمّا الثالث : ففیه مسائل</w:t>
      </w:r>
      <w:bookmarkEnd w:id="1343"/>
    </w:p>
    <w:p>
      <w:pPr>
        <w:pStyle w:val="Heading6"/>
      </w:pPr>
      <w:bookmarkStart w:id="1344" w:name="_Toc784"/>
      <w:r>
        <w:t>اشارة</w:t>
      </w:r>
      <w:bookmarkEnd w:id="1344"/>
    </w:p>
    <w:p>
      <w:pPr>
        <w:pStyle w:val="BookText"/>
      </w:pPr>
      <w:r>
        <w:rPr>
          <w:rStyle w:val="FootnoteReference"/>
        </w:rPr>
        <w:footnoteReference w:id="3843"/>
      </w:r>
    </w:p>
    <w:p>
      <w:pPr>
        <w:pStyle w:val="Heading6"/>
      </w:pPr>
      <w:bookmarkStart w:id="1345" w:name="_Toc785"/>
      <w:r>
        <w:t>الاُولی : لو اختلفا فی الفسخ،فإن کان الخیار باقیاً فله إنشاؤه</w:t>
      </w:r>
      <w:bookmarkEnd w:id="1345"/>
    </w:p>
    <w:p>
      <w:pPr>
        <w:pStyle w:val="BookText"/>
      </w:pPr>
      <w:r>
        <w:rPr>
          <w:rFonts w:ascii="IRNazanin" w:hAnsi="IRNazanin" w:eastAsia="IRNazanin" w:cs="IRNazanin"/>
          <w:lang w:bidi="fa-IR"/>
          <w:color w:val="111111"/>
          <w:sz w:val="28"/>
          <w:szCs w:val="28"/>
          <w:rtl/>
        </w:rPr>
        <w:t xml:space="preserve">و فی الدروس:</w:t>
      </w:r>
    </w:p>
    <w:p>
      <w:pPr>
        <w:pStyle w:val="BookText"/>
      </w:pPr>
      <w:r>
        <w:rPr>
          <w:rFonts w:ascii="IRNazanin" w:hAnsi="IRNazanin" w:eastAsia="IRNazanin" w:cs="IRNazanin"/>
          <w:lang w:bidi="fa-IR"/>
          <w:color w:val="111111"/>
          <w:sz w:val="28"/>
          <w:szCs w:val="28"/>
          <w:rtl/>
        </w:rPr>
        <w:t xml:space="preserve">ص :352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یمکن جعل إقراره إنشاءً </w:t>
      </w:r>
      <w:r>
        <w:rPr>
          <w:rStyle w:val="FootnoteReference"/>
        </w:rPr>
        <w:footnoteReference w:id="3844"/>
      </w:r>
      <w:r>
        <w:rPr>
          <w:rFonts w:ascii="Amiri" w:hAnsi="Amiri" w:eastAsia="Amiri" w:cs="Amiri"/>
          <w:lang w:bidi="ar-SA"/>
          <w:color w:val="111111"/>
          <w:sz w:val="28"/>
          <w:szCs w:val="28"/>
          <w:rtl/>
        </w:rPr>
        <w:t xml:space="preserve">.و لعلّه لما اشتهر:من أنّ«مَنْ مَلِکَ شیئاً مَلِکَ الإقرار به»کما لو ادّعی الزوج الطلاق.و یدلّ علیه بعض الأخبار الواردة فیمن أخبر بعتق مملوکه ثمّ جاء العبد یدّعی النفقة علی أیتام الرجل و أنّه رقٌّ لهم </w:t>
      </w:r>
      <w:r>
        <w:rPr>
          <w:rStyle w:val="FootnoteReference"/>
        </w:rPr>
        <w:footnoteReference w:id="3845"/>
      </w:r>
      <w:r>
        <w:rPr>
          <w:rFonts w:ascii="IRNazanin" w:hAnsi="IRNazanin" w:eastAsia="IRNazanin" w:cs="IRNazanin"/>
          <w:lang w:bidi="fa-IR"/>
          <w:color w:val="111111"/>
          <w:sz w:val="28"/>
          <w:szCs w:val="28"/>
          <w:rtl/>
        </w:rPr>
        <w:t xml:space="preserve">.و سیجیء الکلام فی </w:t>
      </w:r>
      <w:r>
        <w:rPr>
          <w:rStyle w:val="FootnoteReference"/>
        </w:rPr>
        <w:footnoteReference w:id="3846"/>
      </w:r>
      <w:r>
        <w:rPr>
          <w:rFonts w:ascii="Amiri" w:hAnsi="Amiri" w:eastAsia="Amiri" w:cs="Amiri"/>
          <w:lang w:bidi="ar-SA"/>
          <w:color w:val="111111"/>
          <w:sz w:val="28"/>
          <w:szCs w:val="28"/>
          <w:rtl/>
        </w:rPr>
        <w:t xml:space="preserve">هذه القاعدة.</w:t>
      </w:r>
    </w:p>
    <w:p>
      <w:pPr>
        <w:pStyle w:val="BookText"/>
      </w:pPr>
      <w:r>
        <w:rPr>
          <w:rFonts w:ascii="IRNazanin" w:hAnsi="IRNazanin" w:eastAsia="IRNazanin" w:cs="IRNazanin"/>
          <w:lang w:bidi="fa-IR"/>
          <w:color w:val="111111"/>
          <w:sz w:val="28"/>
          <w:szCs w:val="28"/>
          <w:rtl/>
        </w:rPr>
        <w:t xml:space="preserve">و إن کان بعد انقضاء زمان الخیار کما لو تلف العین-افتقر مدّعیه إلی البیّنة،و مع عدمها حلف الآخر علی نفی علمه بالفسخ إن ادّعی علیه عِلْمَه بفسخه.</w:t>
      </w:r>
    </w:p>
    <w:p>
      <w:pPr>
        <w:pStyle w:val="BookText"/>
      </w:pPr>
      <w:r>
        <w:rPr>
          <w:rFonts w:ascii="IRNazanin" w:hAnsi="IRNazanin" w:eastAsia="IRNazanin" w:cs="IRNazanin"/>
          <w:lang w:bidi="fa-IR"/>
          <w:color w:val="111111"/>
          <w:sz w:val="28"/>
          <w:szCs w:val="28"/>
          <w:rtl/>
        </w:rPr>
        <w:t xml:space="preserve">ثمّ إذا لم یثبت الفسخ</w:t>
      </w:r>
    </w:p>
    <w:p>
      <w:pPr>
        <w:pStyle w:val="BookText"/>
      </w:pPr>
      <w:r>
        <w:rPr>
          <w:rFonts w:ascii="IRNazanin" w:hAnsi="IRNazanin" w:eastAsia="IRNazanin" w:cs="IRNazanin"/>
          <w:lang w:bidi="fa-IR"/>
          <w:color w:val="111111"/>
          <w:sz w:val="28"/>
          <w:szCs w:val="28"/>
          <w:rtl/>
        </w:rPr>
        <w:t xml:space="preserve">[*ابوالقاسم علیدوست]</w:t>
      </w:r>
    </w:p>
    <w:p>
      <w:pPr>
        <w:pStyle w:val="BookText"/>
      </w:pPr>
      <w:r>
        <w:rPr>
          <w:rFonts w:ascii="IRNazanin" w:hAnsi="IRNazanin" w:eastAsia="IRNazanin" w:cs="IRNazanin"/>
          <w:lang w:bidi="fa-IR"/>
          <w:color w:val="111111"/>
          <w:sz w:val="28"/>
          <w:szCs w:val="28"/>
          <w:rtl/>
        </w:rPr>
        <w:t xml:space="preserve">فهل یثبت للمشتری المدّعی للفسخ الأرش لئلّا یخرج من الحقّین،أم لا؛لإقراره بالفسخ؟و زاد فی الدروس:أنّه یحتمل أن یأخذ أقلّ الأمرین من الأرش و ما زاد علی القیمة من الثمن إن اتّفق؛لأنّه بزعمه یستحقّ استرداد الثمن و ردّ القیمة،فیقع التقاصّ</w:t>
      </w:r>
    </w:p>
    <w:p>
      <w:pPr>
        <w:pStyle w:val="BookText"/>
      </w:pPr>
      <w:r>
        <w:rPr>
          <w:rFonts w:ascii="IRNazanin" w:hAnsi="IRNazanin" w:eastAsia="IRNazanin" w:cs="IRNazanin"/>
          <w:lang w:bidi="fa-IR"/>
          <w:color w:val="111111"/>
          <w:sz w:val="28"/>
          <w:szCs w:val="28"/>
          <w:rtl/>
        </w:rPr>
        <w:t xml:space="preserve">ص :353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416" w:name="pg14419_167635"/>
    <w:bookmarkEnd w:id="416"/>
    <w:p>
      <w:pPr>
        <w:pStyle w:val="BookText"/>
      </w:pPr>
      <w:r>
        <w:rPr>
          <w:rFonts w:ascii="IRNazanin" w:hAnsi="IRNazanin" w:eastAsia="IRNazanin" w:cs="IRNazanin"/>
          <w:lang w:bidi="fa-IR"/>
          <w:color w:val="111111"/>
          <w:sz w:val="28"/>
          <w:szCs w:val="28"/>
          <w:rtl/>
        </w:rPr>
        <w:t xml:space="preserve">فی القیمة </w:t>
      </w:r>
      <w:r>
        <w:rPr>
          <w:rStyle w:val="FootnoteReference"/>
        </w:rPr>
        <w:footnoteReference w:id="3847"/>
      </w:r>
      <w:r>
        <w:rPr>
          <w:rFonts w:ascii="IRNazanin" w:hAnsi="IRNazanin" w:eastAsia="IRNazanin" w:cs="IRNazanin"/>
          <w:lang w:bidi="fa-IR"/>
          <w:color w:val="111111"/>
          <w:sz w:val="28"/>
          <w:szCs w:val="28"/>
          <w:rtl/>
        </w:rPr>
        <w:t xml:space="preserve">و یبقی قدر الأرش مستحقّاً علی التقدیرین </w:t>
      </w:r>
      <w:r>
        <w:rPr>
          <w:rStyle w:val="FootnoteReference"/>
        </w:rPr>
        <w:footnoteReference w:id="3848"/>
      </w:r>
      <w:r>
        <w:rPr>
          <w:rFonts w:ascii="IRNazanin" w:hAnsi="IRNazanin" w:eastAsia="IRNazanin" w:cs="IRNazanin"/>
          <w:lang w:bidi="fa-IR"/>
          <w:color w:val="111111"/>
          <w:sz w:val="28"/>
          <w:szCs w:val="28"/>
          <w:rtl/>
        </w:rPr>
        <w:t xml:space="preserve">،انتهی.</w:t>
      </w:r>
    </w:p>
    <w:p>
      <w:pPr>
        <w:pStyle w:val="Heading6"/>
      </w:pPr>
      <w:bookmarkStart w:id="1346" w:name="_Toc786"/>
      <w:r>
        <w:t>الثانیة : لو اختلفا فی تأخّر الفسخ عن أوّل الوقت</w:t>
      </w:r>
      <w:bookmarkEnd w:id="1346"/>
    </w:p>
    <w:p>
      <w:pPr>
        <w:pStyle w:val="BookText"/>
      </w:pPr>
      <w:r>
        <w:rPr>
          <w:rFonts w:ascii="IRNazanin" w:hAnsi="IRNazanin" w:eastAsia="IRNazanin" w:cs="IRNazanin"/>
          <w:lang w:bidi="fa-IR"/>
          <w:color w:val="111111"/>
          <w:sz w:val="28"/>
          <w:szCs w:val="28"/>
          <w:rtl/>
        </w:rPr>
        <w:t xml:space="preserve">بناءً علی فوریّة الخیار ففی تقدیم مدّعی التأخّر؛لأصالة بقاء العقد و عدم حدوث الفسخ فی أوّل الزمان،أو مدّعی عدمه؛لأصالة صحّة الفسخ،وجهان.</w:t>
      </w:r>
    </w:p>
    <w:p>
      <w:pPr>
        <w:pStyle w:val="BookText"/>
      </w:pPr>
      <w:r>
        <w:rPr>
          <w:rFonts w:ascii="IRNazanin" w:hAnsi="IRNazanin" w:eastAsia="IRNazanin" w:cs="IRNazanin"/>
          <w:lang w:bidi="fa-IR"/>
          <w:color w:val="111111"/>
          <w:sz w:val="28"/>
          <w:szCs w:val="28"/>
          <w:rtl/>
        </w:rPr>
        <w:t xml:space="preserve">و لو کان منشأ النزاع الاختلاف فی زمان وقوع العقد مع الاتّفاق علی زمان الفسخ،ففی الحکم بتأخّر العقد لتصحیح الفسخ وجهٌ،یُضعّف بأنّ أصالة تأخّر العقد الراجعة حقیقةً إلی أصالة عدم تقدّمه علی الزمان المشکوک وقوعه فیه لا یُثبت وقوع الفسخ فی أوّل الزمان.</w:t>
      </w:r>
    </w:p>
    <w:p>
      <w:pPr>
        <w:pStyle w:val="BookText"/>
      </w:pPr>
      <w:r>
        <w:rPr>
          <w:rFonts w:ascii="IRNazanin" w:hAnsi="IRNazanin" w:eastAsia="IRNazanin" w:cs="IRNazanin"/>
          <w:lang w:bidi="fa-IR"/>
          <w:color w:val="111111"/>
          <w:sz w:val="28"/>
          <w:szCs w:val="28"/>
          <w:rtl/>
        </w:rPr>
        <w:t xml:space="preserve">و هذه المسألة نظیر ما لو ادّعی الزوج الرجوع فی عدّة المطلّقة و ادّعت هی تأخّره عنها.</w:t>
      </w:r>
    </w:p>
    <w:p>
      <w:pPr>
        <w:pStyle w:val="Heading6"/>
      </w:pPr>
      <w:bookmarkStart w:id="1347" w:name="_Toc787"/>
      <w:r>
        <w:t>الثالثة : لو ادّعی المشتری الجهل بالخیار أو بفوریّته بناءً علی فوریّته</w:t>
      </w:r>
      <w:bookmarkEnd w:id="13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 قوله إن احتُمل فی حقّه الجهل،للأصل.و قد یفصّل بین الجهل بالخیار فلا یعذر إلّا إذا نشأ فی بلدٍ لا یعرفون الأحکام و الجهل بالفوریّة فیعذر مطلقاً؛لأنّه ممّا یخفی علی العامّة.</w:t>
      </w:r>
    </w:p>
    <w:p>
      <w:pPr>
        <w:pStyle w:val="BookText"/>
      </w:pPr>
      <w:r>
        <w:rPr>
          <w:rFonts w:ascii="IRNazanin" w:hAnsi="IRNazanin" w:eastAsia="IRNazanin" w:cs="IRNazanin"/>
          <w:lang w:bidi="fa-IR"/>
          <w:color w:val="111111"/>
          <w:sz w:val="28"/>
          <w:szCs w:val="28"/>
          <w:rtl/>
        </w:rPr>
        <w:t xml:space="preserve">ص :354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417" w:name="pg14419_167636"/>
    <w:bookmarkEnd w:id="417"/>
    <w:p>
      <w:pPr>
        <w:pStyle w:val="Heading2"/>
      </w:pPr>
      <w:bookmarkStart w:id="1348" w:name="_Toc788"/>
      <w:r>
        <w:t>رجال</w:t>
      </w:r>
      <w:bookmarkEnd w:id="1348"/>
    </w:p>
    <w:p>
      <w:pPr>
        <w:pStyle w:val="Heading3"/>
      </w:pPr>
      <w:bookmarkStart w:id="1349" w:name="_Toc789"/>
      <w:r>
        <w:t>کلیات فی علم الرجال (از بحث «مشایخ الثقات» تا پایان کتاب)</w:t>
      </w:r>
      <w:bookmarkEnd w:id="1349"/>
    </w:p>
    <w:p>
      <w:pPr>
        <w:pStyle w:val="Heading4"/>
      </w:pPr>
      <w:bookmarkStart w:id="1350" w:name="_Toc790"/>
      <w:r>
        <w:t>[الفصل السادس: التوثیقات العامة]</w:t>
      </w:r>
      <w:bookmarkEnd w:id="1350"/>
    </w:p>
    <w:p>
      <w:pPr>
        <w:pStyle w:val="Heading5"/>
      </w:pPr>
      <w:bookmarkStart w:id="1351" w:name="_Toc791"/>
      <w:r>
        <w:t>2 - مشایخ الثقات</w:t>
      </w:r>
      <w:bookmarkEnd w:id="1351"/>
    </w:p>
    <w:p>
      <w:pPr>
        <w:pStyle w:val="Heading6"/>
      </w:pPr>
      <w:bookmarkStart w:id="1352" w:name="_Toc792"/>
      <w:r>
        <w:t>اشارة</w:t>
      </w:r>
      <w:bookmarkEnd w:id="1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أبی عمیر.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بن یحیی.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أبی نصر البزنطی.</w:t>
      </w:r>
    </w:p>
    <w:p>
      <w:pPr>
        <w:pStyle w:val="BookText"/>
      </w:pPr>
      <w:r>
        <w:rPr>
          <w:rFonts w:ascii="IRNazanin" w:hAnsi="IRNazanin" w:eastAsia="IRNazanin" w:cs="IRNazanin"/>
          <w:lang w:bidi="fa-IR"/>
          <w:color w:val="111111"/>
          <w:sz w:val="28"/>
          <w:szCs w:val="28"/>
          <w:rtl/>
        </w:rPr>
        <w:t xml:space="preserve">[شماره صفحه واقعی : 203]</w:t>
      </w:r>
    </w:p>
    <w:p>
      <w:pPr>
        <w:pStyle w:val="BookText"/>
      </w:pPr>
      <w:r>
        <w:rPr>
          <w:rFonts w:ascii="IRNazanin" w:hAnsi="IRNazanin" w:eastAsia="IRNazanin" w:cs="IRNazanin"/>
          <w:lang w:bidi="fa-IR"/>
          <w:color w:val="111111"/>
          <w:sz w:val="28"/>
          <w:szCs w:val="28"/>
          <w:rtl/>
        </w:rPr>
        <w:t xml:space="preserve">ص: 921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204]</w:t>
      </w:r>
    </w:p>
    <w:p>
      <w:pPr>
        <w:pStyle w:val="BookText"/>
      </w:pPr>
      <w:r>
        <w:rPr>
          <w:rFonts w:ascii="IRNazanin" w:hAnsi="IRNazanin" w:eastAsia="IRNazanin" w:cs="IRNazanin"/>
          <w:lang w:bidi="fa-IR"/>
          <w:color w:val="111111"/>
          <w:sz w:val="28"/>
          <w:szCs w:val="28"/>
          <w:rtl/>
        </w:rPr>
        <w:t xml:space="preserve">ص: 922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عرفت أنّ التّوثیق ینقسم إلی توثیق خاصّ، و توثیق عامّ. فلو کان التّوثیق راجعا إلی شخص معیّن، فهو توثیق خاصّ، و لو کان راجعا إلی توثیق عدّة تحت ضابطة فهو توثیق عامّ، و قد عدّ من الثّانی ما ذکره الکشّی حول جماعة اشتهرت بأصحاب الإجماع، و قد عرفت مدی صحّته و أنّ العبارة لا تهدف إلاّ إلی وثاقتهم، لا إلی صحّة أخبارهم، و لا إلی وثاقة مشایخهم.</w:t>
      </w:r>
    </w:p>
    <w:p>
      <w:pPr>
        <w:pStyle w:val="BookText"/>
      </w:pPr>
      <w:r>
        <w:rPr>
          <w:rFonts w:ascii="IRNazanin" w:hAnsi="IRNazanin" w:eastAsia="IRNazanin" w:cs="IRNazanin"/>
          <w:lang w:bidi="fa-IR"/>
          <w:color w:val="111111"/>
          <w:sz w:val="28"/>
          <w:szCs w:val="28"/>
          <w:rtl/>
        </w:rPr>
        <w:t xml:space="preserve">و من هذا القبیل ما اشتهر بین الأصحاب من أنّ محمّد بن أبی عمیر، و صفوان بن یحیی، و أحمد بن محمّد بن أبی نصر البزنطی، لا یروون و لا یرسلون إلاّ عن ثقة، فیترتّب علی ذلک أمران:</w:t>
      </w:r>
    </w:p>
    <w:p>
      <w:pPr>
        <w:pStyle w:val="BookText"/>
      </w:pPr>
      <w:r>
        <w:rPr>
          <w:rFonts w:ascii="IRNazanin" w:hAnsi="IRNazanin" w:eastAsia="IRNazanin" w:cs="IRNazanin"/>
          <w:lang w:bidi="fa-IR"/>
          <w:color w:val="111111"/>
          <w:sz w:val="28"/>
          <w:szCs w:val="28"/>
          <w:rtl/>
        </w:rPr>
        <w:t xml:space="preserve">1 - إنّ کلّ من روی عنه هؤلاء فهو محکوم بالوثاقة، و هذه نتیجة رجالیّة تترتّب علی هذه القاعدة.</w:t>
      </w:r>
    </w:p>
    <w:p>
      <w:pPr>
        <w:pStyle w:val="BookText"/>
      </w:pPr>
      <w:r>
        <w:rPr>
          <w:rFonts w:ascii="IRNazanin" w:hAnsi="IRNazanin" w:eastAsia="IRNazanin" w:cs="IRNazanin"/>
          <w:lang w:bidi="fa-IR"/>
          <w:color w:val="111111"/>
          <w:sz w:val="28"/>
          <w:szCs w:val="28"/>
          <w:rtl/>
        </w:rPr>
        <w:t xml:space="preserve">2 - إنّه یؤخذ بمراسیلهم کما یؤخذ بمسانیدهم و إن کانت الواسطة مجهولة، أو مهملة، أو محذوفة، و هذه نتیجة اصولیّة تترتّب علیها، و هی غیر النّتیجة الاولی.</w:t>
      </w:r>
    </w:p>
    <w:p>
      <w:pPr>
        <w:pStyle w:val="BookText"/>
      </w:pPr>
      <w:r>
        <w:rPr>
          <w:rFonts w:ascii="IRNazanin" w:hAnsi="IRNazanin" w:eastAsia="IRNazanin" w:cs="IRNazanin"/>
          <w:lang w:bidi="fa-IR"/>
          <w:color w:val="111111"/>
          <w:sz w:val="28"/>
          <w:szCs w:val="28"/>
          <w:rtl/>
        </w:rPr>
        <w:t xml:space="preserve">ثمّ إنّ جمعا من المحقّقین القدامی و المعاصرین، قد طرحوا هذه القاعدة علی بساط البحث فکشفوا عن حقائق قیّمة. لاحظ مستدرک الوسائل (ج 3،</w:t>
      </w:r>
    </w:p>
    <w:p>
      <w:pPr>
        <w:pStyle w:val="BookText"/>
      </w:pPr>
      <w:r>
        <w:rPr>
          <w:rFonts w:ascii="IRNazanin" w:hAnsi="IRNazanin" w:eastAsia="IRNazanin" w:cs="IRNazanin"/>
          <w:lang w:bidi="fa-IR"/>
          <w:color w:val="111111"/>
          <w:sz w:val="28"/>
          <w:szCs w:val="28"/>
          <w:rtl/>
        </w:rPr>
        <w:t xml:space="preserve">[شماره صفحه واقعی : 205]</w:t>
      </w:r>
    </w:p>
    <w:p>
      <w:pPr>
        <w:pStyle w:val="BookText"/>
      </w:pPr>
      <w:r>
        <w:rPr>
          <w:rFonts w:ascii="IRNazanin" w:hAnsi="IRNazanin" w:eastAsia="IRNazanin" w:cs="IRNazanin"/>
          <w:lang w:bidi="fa-IR"/>
          <w:color w:val="111111"/>
          <w:sz w:val="28"/>
          <w:szCs w:val="28"/>
          <w:rtl/>
        </w:rPr>
        <w:t xml:space="preserve">ص: 923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418" w:name="pg14419_167639"/>
    <w:bookmarkEnd w:id="418"/>
    <w:p>
      <w:pPr>
        <w:pStyle w:val="BookText"/>
      </w:pPr>
      <w:r>
        <w:rPr>
          <w:rFonts w:ascii="IRNazanin" w:hAnsi="IRNazanin" w:eastAsia="IRNazanin" w:cs="IRNazanin"/>
          <w:lang w:bidi="fa-IR"/>
          <w:color w:val="111111"/>
          <w:sz w:val="28"/>
          <w:szCs w:val="28"/>
          <w:rtl/>
        </w:rPr>
        <w:t xml:space="preserve">ص 648-655) و معجم رجال الحدیث (ج 1، ص 63-69) و مشایخ الثّقات (هو کتاب قیّم الّف حول القاعدة و طبع فی 306 صحیفة و الکتاب کلّه حول القاعدة و فروعها) و معجم الثقات (ص 153-197).</w:t>
      </w:r>
    </w:p>
    <w:p>
      <w:pPr>
        <w:pStyle w:val="BookText"/>
      </w:pPr>
      <w:r>
        <w:rPr>
          <w:rFonts w:ascii="IRNazanin" w:hAnsi="IRNazanin" w:eastAsia="IRNazanin" w:cs="IRNazanin"/>
          <w:lang w:bidi="fa-IR"/>
          <w:color w:val="111111"/>
          <w:sz w:val="28"/>
          <w:szCs w:val="28"/>
          <w:rtl/>
        </w:rPr>
        <w:t xml:space="preserve">و فیما أفاده بعض الأجلّة فی دروسه الشّریفة غنی و کفایة فشکر اللّه مساعیهم الجمیلة. و نحن فی هذا نستضیء من أنوار علومهم. رحم اللّه الماضین من علمائنا و حفظ الباقین منهم.</w:t>
      </w:r>
    </w:p>
    <w:p>
      <w:pPr>
        <w:pStyle w:val="BookText"/>
      </w:pPr>
      <w:r>
        <w:rPr>
          <w:rFonts w:ascii="IRNazanin" w:hAnsi="IRNazanin" w:eastAsia="IRNazanin" w:cs="IRNazanin"/>
          <w:lang w:bidi="fa-IR"/>
          <w:color w:val="111111"/>
          <w:sz w:val="28"/>
          <w:szCs w:val="28"/>
          <w:rtl/>
        </w:rPr>
        <w:t xml:space="preserve">فنقول: الأصل فی ذلک ما ذکره الشّیخ فی «العدّة» حیث قال: «و إذا کان أحد الرّاویین مسندا و الآخر مرسلا، نظر فی حال المرسل، فإن کان ممّن یعلم أنّه لا یرسل إلاّ عن ثقة موثوق به، فلا ترجیح لخبر غیره علی خبره، و لأجل ذلک سوّت الطّائفة بین ما یرویه محمّد بن أبی عمیر، و صفوان بن یحیی، و أحمد بن محمّد بن أبی نصر و غیرهم من الثّقات الّذین عرفوا بأنّهم لا یروون و لا یرسلون إلاّ عمّن یوثق به، و بین ما أسنده غیرهم، و لذلک عملوا بمراسیلهم إذا انفردوا عن روایة غیرهم، فأمّا إذا لم یکن کذلک و یکون ممن یرسل عن ثقة و عن غیر ثقة فإنّه یقدّم خبر غیره علیه، و إذا انفرد وجب التوقّف فی خبره إلی أن یدلّ دلیل علی وجوب العمل به»</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تحقیق الحال یتوقّف علی البحث عن هذه الشخصیّات الثلاث واحدا بعد واحد و إلیک البیان:</w:t>
      </w:r>
    </w:p>
    <w:p>
      <w:pPr>
        <w:pStyle w:val="Heading6"/>
      </w:pPr>
      <w:bookmarkStart w:id="1353" w:name="_Toc793"/>
      <w:r>
        <w:t>1 - ابن أبی عمیر (المتوفی عام 217)</w:t>
      </w:r>
      <w:bookmarkEnd w:id="1353"/>
    </w:p>
    <w:p>
      <w:pPr>
        <w:pStyle w:val="Heading6"/>
      </w:pPr>
      <w:bookmarkStart w:id="1354" w:name="_Toc794"/>
      <w:r>
        <w:t>اشارة</w:t>
      </w:r>
      <w:bookmarkEnd w:id="1354"/>
    </w:p>
    <w:p>
      <w:pPr>
        <w:pStyle w:val="BookText"/>
      </w:pPr>
      <w:r>
        <w:rPr>
          <w:rFonts w:ascii="IRNazanin" w:hAnsi="IRNazanin" w:eastAsia="IRNazanin" w:cs="IRNazanin"/>
          <w:lang w:bidi="fa-IR"/>
          <w:color w:val="111111"/>
          <w:sz w:val="28"/>
          <w:szCs w:val="28"/>
          <w:rtl/>
        </w:rPr>
        <w:t xml:space="preserve">قد یعبّر عنه بابن أبی عمیر تارة، و بمحمّد بن زیاد البّزاز أو الأزدی اخری، و بمحمّد بن أبی عمیر ثالثة.</w:t>
      </w:r>
    </w:p>
    <w:p>
      <w:pPr>
        <w:pStyle w:val="BookText"/>
      </w:pPr>
      <w:r>
        <w:rPr>
          <w:rFonts w:ascii="IRNazanin" w:hAnsi="IRNazanin" w:eastAsia="IRNazanin" w:cs="IRNazanin"/>
          <w:lang w:bidi="fa-IR"/>
          <w:color w:val="111111"/>
          <w:sz w:val="28"/>
          <w:szCs w:val="28"/>
          <w:rtl/>
        </w:rPr>
        <w:t xml:space="preserve">و قد عرفت أنّه یترتّب علی تلک الدّعوی نتیجتان مهمّتان، فلأجل ذلک</w:t>
      </w:r>
    </w:p>
    <w:p>
      <w:pPr>
        <w:pStyle w:val="BookText"/>
      </w:pPr>
      <w:r>
        <w:rPr>
          <w:rFonts w:ascii="IRNazanin" w:hAnsi="IRNazanin" w:eastAsia="IRNazanin" w:cs="IRNazanin"/>
          <w:lang w:bidi="fa-IR"/>
          <w:color w:val="111111"/>
          <w:sz w:val="28"/>
          <w:szCs w:val="28"/>
          <w:rtl/>
        </w:rPr>
        <w:t xml:space="preserve">[شماره صفحه واقعی : 206]</w:t>
      </w:r>
    </w:p>
    <w:p>
      <w:pPr>
        <w:pStyle w:val="BookText"/>
      </w:pPr>
      <w:r>
        <w:rPr>
          <w:rFonts w:ascii="IRNazanin" w:hAnsi="IRNazanin" w:eastAsia="IRNazanin" w:cs="IRNazanin"/>
          <w:lang w:bidi="fa-IR"/>
          <w:color w:val="111111"/>
          <w:sz w:val="28"/>
          <w:szCs w:val="28"/>
          <w:rtl/>
        </w:rPr>
        <w:t xml:space="preserve">ص: 924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نقدّم لتحقیقها امورا:</w:t>
      </w:r>
    </w:p>
    <w:p>
      <w:pPr>
        <w:pStyle w:val="BookText"/>
      </w:pPr>
      <w:r>
        <w:rPr>
          <w:rFonts w:ascii="IRNazanin" w:hAnsi="IRNazanin" w:eastAsia="IRNazanin" w:cs="IRNazanin"/>
          <w:lang w:bidi="fa-IR"/>
          <w:color w:val="111111"/>
          <w:sz w:val="28"/>
          <w:szCs w:val="28"/>
          <w:rtl/>
        </w:rPr>
        <w:t xml:space="preserve">الأوّل: إنّ ابن أبی عمیر کما قال النجاشی: «هو محمّد بن أبی عمیر زیاد بن عیسی، أبو أحمد الأزدی، من موالی المهلّب بن أبی صفرة، بغدادیّ الأصل و المقام، لقی أبا الحسن موسی - علیه السلام - و سمع منه أحادیث، کنّاه فی بعضها فقال: یا أبا أحمد، و روی عن الرضا - علیه السلام - جلیل القدر، عظیم المنزلة فینا و عند المخالفین، الجاحظ یحکی عنه فی کتبه. و قد ذکره فی المفاخرة بین العدنانیّة و القحطانیّة، و قال فی «البیان و التبیین»: حدّثنی إبراهیم بن داحة، عن ابن أبی عمیر، و کان وجها من وجوه الرافضة، و کان حبس فی أیّام الرّشید فقیل لیلی القضاء، و قیل إنّه ولی بعد ذلک، و قیل بل لیدلّ علی مواضع الشّیعة، و أصحاب موسی بن جعفر - علیه السلام -، و روی أنّه ضرب أسواطا بلغت منه الی حدّ کاد أن یقرّ لعظیم الألم.</w:t>
      </w:r>
    </w:p>
    <w:p>
      <w:pPr>
        <w:pStyle w:val="BookText"/>
      </w:pPr>
      <w:r>
        <w:rPr>
          <w:rFonts w:ascii="IRNazanin" w:hAnsi="IRNazanin" w:eastAsia="IRNazanin" w:cs="IRNazanin"/>
          <w:lang w:bidi="fa-IR"/>
          <w:color w:val="111111"/>
          <w:sz w:val="28"/>
          <w:szCs w:val="28"/>
          <w:rtl/>
        </w:rPr>
        <w:t xml:space="preserve">فسمع محمّد بن یونس بن عبد الرّحمن و هو یقول: اتّق اللّه یا محمّد بن أبی عمیر، فصبر، ففرّج اللّه عنه، و روی أنّه حبسه المأمون حتّی ولاّه قضاء بعض البلاد، و قیل: إنّ اخته دفنت کتبه فی حال استتاره و کونه فی الحبس أربع سنین فهلکت الکتب، و قیل: بل ترکتها فی غرفة فسال علیها المطر فهلکت، فحدّث من حفظه، و ممّا کان سلف له فی أیدی النّاس، و لهذا أصحابنا یسکنون إلی مراسیله، و قد صنّف کتبا کثیرة. ثمّ نقل النجاشی عن أحمد بن محمّد بن خالد أنّ ابن أبی عمیر صنّف أربعة و تسعین کتابا منها المغازی - إلی أن قال: مات سنة سبع عشرة و مائتین»</w:t>
      </w:r>
      <w:r>
        <w:rPr>
          <w:rStyle w:val="FootnoteReference"/>
        </w:rPr>
        <w:footnoteReference w:id="3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الفهرس: «کان من أوثق النّاس عند الخاصّة و العامّة، و أنسکهم نسکا، و أورعهم و أعبدهم، و قد ذکره الجاحظ فی کتابه «فخر قحطان علی عدنان»... أنّه کان أوحد أهل زمانه فی الأشیاء کلّها و أدرک من</w:t>
      </w:r>
    </w:p>
    <w:p>
      <w:pPr>
        <w:pStyle w:val="BookText"/>
      </w:pPr>
      <w:r>
        <w:rPr>
          <w:rFonts w:ascii="IRNazanin" w:hAnsi="IRNazanin" w:eastAsia="IRNazanin" w:cs="IRNazanin"/>
          <w:lang w:bidi="fa-IR"/>
          <w:color w:val="111111"/>
          <w:sz w:val="28"/>
          <w:szCs w:val="28"/>
          <w:rtl/>
        </w:rPr>
        <w:t xml:space="preserve">[شماره صفحه واقعی : 207]</w:t>
      </w:r>
    </w:p>
    <w:p>
      <w:pPr>
        <w:pStyle w:val="BookText"/>
      </w:pPr>
      <w:r>
        <w:rPr>
          <w:rFonts w:ascii="IRNazanin" w:hAnsi="IRNazanin" w:eastAsia="IRNazanin" w:cs="IRNazanin"/>
          <w:lang w:bidi="fa-IR"/>
          <w:color w:val="111111"/>
          <w:sz w:val="28"/>
          <w:szCs w:val="28"/>
          <w:rtl/>
        </w:rPr>
        <w:t xml:space="preserve">ص: 925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ثلاثة: أبا ابراهیم موسی - علیه السلام - و لم یرو عنه. و أدرک الرضا - علیه السلام - و روی عنه. و الجواد - علیه السلام -. و روی عنه أحمد بن محمّد بن عیسی کتب مائة رجل من رجال الصّادق - علیه السلام -»</w:t>
      </w:r>
      <w:r>
        <w:rPr>
          <w:rStyle w:val="FootnoteReference"/>
        </w:rPr>
        <w:footnoteReference w:id="3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إنّ شهادة الشّیخ علی التّسویة، لا تقصر عن شهادة الکشّی علی إجماع العصابة علی تصحیح ما یصحّ عن جماعة، فلو کانت الشهادة الثانیة مأخوذا بها، فالاولی مثلها فی الحجیّة.</w:t>
      </w:r>
    </w:p>
    <w:p>
      <w:pPr>
        <w:pStyle w:val="BookText"/>
      </w:pPr>
      <w:r>
        <w:rPr>
          <w:rFonts w:ascii="IRNazanin" w:hAnsi="IRNazanin" w:eastAsia="IRNazanin" w:cs="IRNazanin"/>
          <w:lang w:bidi="fa-IR"/>
          <w:color w:val="111111"/>
          <w:sz w:val="28"/>
          <w:szCs w:val="28"/>
          <w:rtl/>
        </w:rPr>
        <w:t xml:space="preserve">و لیس التزام هؤلاء بالنقل عن الثقات أمرا غریبا، إذ لهم نظراء بین الأصحاب - و سیوافیک بیانهم - أمثال: أحمد بن محمّد بن عیسی القمی، و جعفر بن بشیر البجلی، و محمّد بن إسماعیل بن میمون الزعفرانی، و علیّ بن الحسن الطاطری، و الرجالی المعروف: النجاشی، الذین اشتهروا بعدم النّقل إلاّ عن الثّقة.</w:t>
      </w:r>
    </w:p>
    <w:p>
      <w:pPr>
        <w:pStyle w:val="BookText"/>
      </w:pPr>
      <w:r>
        <w:rPr>
          <w:rFonts w:ascii="IRNazanin" w:hAnsi="IRNazanin" w:eastAsia="IRNazanin" w:cs="IRNazanin"/>
          <w:lang w:bidi="fa-IR"/>
          <w:color w:val="111111"/>
          <w:sz w:val="28"/>
          <w:szCs w:val="28"/>
          <w:rtl/>
        </w:rPr>
        <w:t xml:space="preserve">و أمّا اطّلاع الشیخ علی هذه التسویة، فلأنّه کان رجلا بصیرا بأحوال الرواة و حالات المشایخ. و یعرب عن ذلک ما ذکره فی العدّة عند البحث عن حجیّة خبر الواحد حیث قال:</w:t>
      </w:r>
    </w:p>
    <w:p>
      <w:pPr>
        <w:pStyle w:val="BookText"/>
      </w:pPr>
      <w:r>
        <w:rPr>
          <w:rFonts w:ascii="IRNazanin" w:hAnsi="IRNazanin" w:eastAsia="IRNazanin" w:cs="IRNazanin"/>
          <w:lang w:bidi="fa-IR"/>
          <w:color w:val="111111"/>
          <w:sz w:val="28"/>
          <w:szCs w:val="28"/>
          <w:rtl/>
        </w:rPr>
        <w:t xml:space="preserve">«إنّا وجدنا الطّائفة میّزت الرجال الناقلة لهذه الأخبار، فوثّقت الثقات منهم، و ضعّفت الضعفاء، و فرّقوا بین من یعتمد علی حدیثه و روایته، و من لا یعتمد علی خبره، و مدحوا الممدوح منهم، و ذمّوا المذموم. و قالوا فلان متّهم فی حدیثه، و فلان کذّاب، و فلان مخلّط، و فلان مخالف فی المذهب و الاعتقاد، و فلان واقفیّ، و فلان فطحیّ، و غیر ذلک من الطّعون الّتی ذکروها»</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و نظائرها، تعرب عن تبحّر الشّیخ فی معرفة الرواة وسعة</w:t>
      </w:r>
    </w:p>
    <w:p>
      <w:pPr>
        <w:pStyle w:val="BookText"/>
      </w:pPr>
      <w:r>
        <w:rPr>
          <w:rFonts w:ascii="IRNazanin" w:hAnsi="IRNazanin" w:eastAsia="IRNazanin" w:cs="IRNazanin"/>
          <w:lang w:bidi="fa-IR"/>
          <w:color w:val="111111"/>
          <w:sz w:val="28"/>
          <w:szCs w:val="28"/>
          <w:rtl/>
        </w:rPr>
        <w:t xml:space="preserve">[شماره صفحه واقعی : 208]</w:t>
      </w:r>
    </w:p>
    <w:p>
      <w:pPr>
        <w:pStyle w:val="BookText"/>
      </w:pPr>
      <w:r>
        <w:rPr>
          <w:rFonts w:ascii="IRNazanin" w:hAnsi="IRNazanin" w:eastAsia="IRNazanin" w:cs="IRNazanin"/>
          <w:lang w:bidi="fa-IR"/>
          <w:color w:val="111111"/>
          <w:sz w:val="28"/>
          <w:szCs w:val="28"/>
          <w:rtl/>
        </w:rPr>
        <w:t xml:space="preserve">ص: 926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اطّلاعه فی ذلک المضمار، فلا غرو فی أن یتفرّد بمثل هذه التّسویة، و ان لم ینقلها أحد من معاصریه، و لا المتأخّرون عنه إلی القرن السابع إلاّ النجاشی، فقد صرّح بما ذکره فی خصوص ابن أبی عمیر من الرجال الثّلاثة، کما عرفت.</w:t>
      </w:r>
    </w:p>
    <w:p>
      <w:pPr>
        <w:pStyle w:val="BookText"/>
      </w:pPr>
      <w:r>
        <w:rPr>
          <w:rFonts w:ascii="IRNazanin" w:hAnsi="IRNazanin" w:eastAsia="IRNazanin" w:cs="IRNazanin"/>
          <w:lang w:bidi="fa-IR"/>
          <w:color w:val="111111"/>
          <w:sz w:val="28"/>
          <w:szCs w:val="28"/>
          <w:rtl/>
        </w:rPr>
        <w:t xml:space="preserve">و علی هذا فقد اطّلع الشیخ علی نظریّة مجموعة کبیرة من علماء الطّائفة و فقهائهم فی مورد هؤلاء الثّلاثة و أنّهم کانوا یسوّون بین مسانیدهم و مراسیلهم، و هذا یکفی فی الحجّیة، و مفادها توثیق جمیع مشایخ هؤلاء، و قد عرفت أنّه لا یحتاج فی التزکیة إلی أزید من واحد أو اثنین، فالشیخ یحکی اطّلاعه عن عدد کبیر من العلماء، یزکّون عامّة مشایخ ابن أبی عمیر، و لأجل ذلک یسوّون بین مراسیله و مسانیده.</w:t>
      </w:r>
    </w:p>
    <w:p>
      <w:pPr>
        <w:pStyle w:val="BookText"/>
      </w:pPr>
      <w:r>
        <w:rPr>
          <w:rFonts w:ascii="IRNazanin" w:hAnsi="IRNazanin" w:eastAsia="IRNazanin" w:cs="IRNazanin"/>
          <w:lang w:bidi="fa-IR"/>
          <w:color w:val="111111"/>
          <w:sz w:val="28"/>
          <w:szCs w:val="28"/>
          <w:rtl/>
        </w:rPr>
        <w:t xml:space="preserve">و السابر فی فهرس الشیخ و رجاله یذعن بإحاطته بالفهارس و کتب الرّجال، و أحوال الرواة، و أنّه کانت تحضره مجموعة کبیرة من کتب الرجال و الفهارس و کان فی نقضه و إبرامه و تعدیله و جرحه، یصدر عن الکتب الّتی کانت تحضره، أو الآراء و النّظریات الّتی کان یسمعها من مشایخه و أساتذته.</w:t>
      </w:r>
    </w:p>
    <w:p>
      <w:pPr>
        <w:pStyle w:val="BookText"/>
      </w:pPr>
      <w:r>
        <w:rPr>
          <w:rFonts w:ascii="IRNazanin" w:hAnsi="IRNazanin" w:eastAsia="IRNazanin" w:cs="IRNazanin"/>
          <w:lang w:bidi="fa-IR"/>
          <w:color w:val="111111"/>
          <w:sz w:val="28"/>
          <w:szCs w:val="28"/>
          <w:rtl/>
        </w:rPr>
        <w:t xml:space="preserve">نعم نجد التّصریح بالتسویة من علماء القرن السّابع إلی هذه الأعصار.</w:t>
      </w:r>
    </w:p>
    <w:p>
      <w:pPr>
        <w:pStyle w:val="BookText"/>
      </w:pPr>
      <w:r>
        <w:rPr>
          <w:rFonts w:ascii="IRNazanin" w:hAnsi="IRNazanin" w:eastAsia="IRNazanin" w:cs="IRNazanin"/>
          <w:lang w:bidi="fa-IR"/>
          <w:color w:val="111111"/>
          <w:sz w:val="28"/>
          <w:szCs w:val="28"/>
          <w:rtl/>
        </w:rPr>
        <w:t xml:space="preserve">فقد أتی المحّدث المتتبّع النوری بأسماء و تصریحات عدّة من هذه الثّلّة ممّن صرّحوا بالقاعدة، و نحن نأتی بما نقله ذلک المتتبّع، بتصرّف یسیر، مع تعیین مصادر النقل بقدر الإمکان.</w:t>
      </w:r>
    </w:p>
    <w:p>
      <w:pPr>
        <w:pStyle w:val="BookText"/>
      </w:pPr>
      <w:r>
        <w:rPr>
          <w:rFonts w:ascii="IRNazanin" w:hAnsi="IRNazanin" w:eastAsia="IRNazanin" w:cs="IRNazanin"/>
          <w:lang w:bidi="fa-IR"/>
          <w:color w:val="111111"/>
          <w:sz w:val="28"/>
          <w:szCs w:val="28"/>
          <w:rtl/>
        </w:rPr>
        <w:t xml:space="preserve">1 - قال السّید علیّ بن طاووس (المتوفّی عام 664، فی فلاح السائل بعد نقل حدیث عن أمالی الصّدوق، بسند ینتهی إلی محمّد بن أبی عمیر، عمّن سمع أبا عبد اللّه - علیه السلام - یقول: ما أحبّ اللّه من عصاه...):</w:t>
      </w:r>
    </w:p>
    <w:p>
      <w:pPr>
        <w:pStyle w:val="BookText"/>
      </w:pPr>
      <w:r>
        <w:rPr>
          <w:rFonts w:ascii="IRNazanin" w:hAnsi="IRNazanin" w:eastAsia="IRNazanin" w:cs="IRNazanin"/>
          <w:lang w:bidi="fa-IR"/>
          <w:color w:val="111111"/>
          <w:sz w:val="28"/>
          <w:szCs w:val="28"/>
          <w:rtl/>
        </w:rPr>
        <w:t xml:space="preserve">«رواة الحدیث ثقات بالاتّفاق و مراسیل محمّد بن أبی عمیر کالمسانید عند أهل الوفاق» و یأتی خلاف ذلک من أخیه، جمال الدین السید أحمد بن طاووس</w:t>
      </w:r>
    </w:p>
    <w:p>
      <w:pPr>
        <w:pStyle w:val="BookText"/>
      </w:pPr>
      <w:r>
        <w:rPr>
          <w:rFonts w:ascii="IRNazanin" w:hAnsi="IRNazanin" w:eastAsia="IRNazanin" w:cs="IRNazanin"/>
          <w:lang w:bidi="fa-IR"/>
          <w:color w:val="111111"/>
          <w:sz w:val="28"/>
          <w:szCs w:val="28"/>
          <w:rtl/>
        </w:rPr>
        <w:t xml:space="preserve">[شماره صفحه واقعی : 209]</w:t>
      </w:r>
    </w:p>
    <w:p>
      <w:pPr>
        <w:pStyle w:val="BookText"/>
      </w:pPr>
      <w:r>
        <w:rPr>
          <w:rFonts w:ascii="IRNazanin" w:hAnsi="IRNazanin" w:eastAsia="IRNazanin" w:cs="IRNazanin"/>
          <w:lang w:bidi="fa-IR"/>
          <w:color w:val="111111"/>
          <w:sz w:val="28"/>
          <w:szCs w:val="28"/>
          <w:rtl/>
        </w:rPr>
        <w:t xml:space="preserve">ص: 927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عام 673) فانتظر.</w:t>
      </w:r>
    </w:p>
    <w:p>
      <w:pPr>
        <w:pStyle w:val="BookText"/>
      </w:pPr>
      <w:r>
        <w:rPr>
          <w:rFonts w:ascii="IRNazanin" w:hAnsi="IRNazanin" w:eastAsia="IRNazanin" w:cs="IRNazanin"/>
          <w:lang w:bidi="fa-IR"/>
          <w:color w:val="111111"/>
          <w:sz w:val="28"/>
          <w:szCs w:val="28"/>
          <w:rtl/>
        </w:rPr>
        <w:t xml:space="preserve">2 - قال المحقّق فی المعتبر فی بحث الکرّ: «الثالثة: روایة محمّد بن أبی عمیر عن بعض أصحابنا، عن أبی عبد اللّه - علیه السلام - قال: الکرّ ألف و مائتا رطل، و علی هذه عمل الأصحاب و لا طعن فی هذه بطریق الإرسال، لعمل الأصحاب بمراسیل ابن أبی عمیر»</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 قال الفاضل الآبی فی کشف الرّموز الّذی هو شرح للمختصر النافع فی روایة مرسلة لابن أبی عمیر: «و هذه و إن کانت مرسلة، لکنّ الأصحاب تعمل بمراسیل ابن أبی عمیر، قالوا: لأنّه لا ینقل إلاّ معتمدا»</w:t>
      </w:r>
      <w:r>
        <w:rPr>
          <w:rStyle w:val="FootnoteReference"/>
        </w:rPr>
        <w:footnoteReference w:id="3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صرّح بصحّة القاعدة من علماء القرن الثّامن:</w:t>
      </w:r>
    </w:p>
    <w:p>
      <w:pPr>
        <w:pStyle w:val="BookText"/>
      </w:pPr>
      <w:r>
        <w:rPr>
          <w:rFonts w:ascii="IRNazanin" w:hAnsi="IRNazanin" w:eastAsia="IRNazanin" w:cs="IRNazanin"/>
          <w:lang w:bidi="fa-IR"/>
          <w:color w:val="111111"/>
          <w:sz w:val="28"/>
          <w:szCs w:val="28"/>
          <w:rtl/>
        </w:rPr>
        <w:t xml:space="preserve">4 - العلاّمة فی النهایة قال: «الوجه المنع إلاّ إذا عرف أنّ الراوی فیه لا یرسل إلاّ عن عدل کمراسیل محمّد بن أبی عمیر فی الروایة».</w:t>
      </w:r>
    </w:p>
    <w:p>
      <w:pPr>
        <w:pStyle w:val="BookText"/>
      </w:pPr>
      <w:r>
        <w:rPr>
          <w:rFonts w:ascii="IRNazanin" w:hAnsi="IRNazanin" w:eastAsia="IRNazanin" w:cs="IRNazanin"/>
          <w:lang w:bidi="fa-IR"/>
          <w:color w:val="111111"/>
          <w:sz w:val="28"/>
          <w:szCs w:val="28"/>
          <w:rtl/>
        </w:rPr>
        <w:t xml:space="preserve">5 - و عمید الدین الحلّی ابن اخت العلاّمة الحلّی و تلمیذه (المتوفّی عام 754) فی کتابه «منیة اللّبیب فی شرح التّهذیب» المطبوع فی بلاد الهند.</w:t>
      </w:r>
    </w:p>
    <w:p>
      <w:pPr>
        <w:pStyle w:val="BookText"/>
      </w:pPr>
      <w:r>
        <w:rPr>
          <w:rFonts w:ascii="IRNazanin" w:hAnsi="IRNazanin" w:eastAsia="IRNazanin" w:cs="IRNazanin"/>
          <w:lang w:bidi="fa-IR"/>
          <w:color w:val="111111"/>
          <w:sz w:val="28"/>
          <w:szCs w:val="28"/>
          <w:rtl/>
        </w:rPr>
        <w:t xml:space="preserve">قال فی بحث المرسل: «و اختیار المصنّف المنع من کونه حجّة ما لم یعلم أنّه لا یرسل إلاّ عن عدل کمراسیل محمّد بن أبی عمیر من الامامیّة».</w:t>
      </w:r>
    </w:p>
    <w:p>
      <w:pPr>
        <w:pStyle w:val="BookText"/>
      </w:pPr>
      <w:r>
        <w:rPr>
          <w:rFonts w:ascii="IRNazanin" w:hAnsi="IRNazanin" w:eastAsia="IRNazanin" w:cs="IRNazanin"/>
          <w:lang w:bidi="fa-IR"/>
          <w:color w:val="111111"/>
          <w:sz w:val="28"/>
          <w:szCs w:val="28"/>
          <w:rtl/>
        </w:rPr>
        <w:t xml:space="preserve">6 - و قال الشّهید (المتوفّی 786) فی الذکری فی أحکام أقسام الخبر:</w:t>
      </w:r>
    </w:p>
    <w:p>
      <w:pPr>
        <w:pStyle w:val="BookText"/>
      </w:pPr>
      <w:r>
        <w:rPr>
          <w:rFonts w:ascii="IRNazanin" w:hAnsi="IRNazanin" w:eastAsia="IRNazanin" w:cs="IRNazanin"/>
          <w:lang w:bidi="fa-IR"/>
          <w:color w:val="111111"/>
          <w:sz w:val="28"/>
          <w:szCs w:val="28"/>
          <w:rtl/>
        </w:rPr>
        <w:t xml:space="preserve">«أو کان مرسله معلوم التحرّز عن الروایة عن مجروح، و لهذا قبلت الأصحاب</w:t>
      </w:r>
    </w:p>
    <w:p>
      <w:pPr>
        <w:pStyle w:val="BookText"/>
      </w:pPr>
      <w:r>
        <w:rPr>
          <w:rFonts w:ascii="IRNazanin" w:hAnsi="IRNazanin" w:eastAsia="IRNazanin" w:cs="IRNazanin"/>
          <w:lang w:bidi="fa-IR"/>
          <w:color w:val="111111"/>
          <w:sz w:val="28"/>
          <w:szCs w:val="28"/>
          <w:rtl/>
        </w:rPr>
        <w:t xml:space="preserve">[شماره صفحه واقعی : 210]</w:t>
      </w:r>
    </w:p>
    <w:p>
      <w:pPr>
        <w:pStyle w:val="BookText"/>
      </w:pPr>
      <w:r>
        <w:rPr>
          <w:rFonts w:ascii="IRNazanin" w:hAnsi="IRNazanin" w:eastAsia="IRNazanin" w:cs="IRNazanin"/>
          <w:lang w:bidi="fa-IR"/>
          <w:color w:val="111111"/>
          <w:sz w:val="28"/>
          <w:szCs w:val="28"/>
          <w:rtl/>
        </w:rPr>
        <w:t xml:space="preserve">ص: 928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مراسیل ابن أبی عمیر، و صفوان بن یحیی، و أحمد بن أبی نصر البزنطی لأنّهم لا یرسلون إلاّ عن ثقة»</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صرّح بها من علماء القرن التاسع:</w:t>
      </w:r>
    </w:p>
    <w:p>
      <w:pPr>
        <w:pStyle w:val="BookText"/>
      </w:pPr>
      <w:r>
        <w:rPr>
          <w:rFonts w:ascii="IRNazanin" w:hAnsi="IRNazanin" w:eastAsia="IRNazanin" w:cs="IRNazanin"/>
          <w:lang w:bidi="fa-IR"/>
          <w:color w:val="111111"/>
          <w:sz w:val="28"/>
          <w:szCs w:val="28"/>
          <w:rtl/>
        </w:rPr>
        <w:t xml:space="preserve">7 - ابن فهد الحلّی (المتوفّی عام 841) فی «المهذّب البارع» فی مسألة وزن الکرّ بعد نقل روایة ابن أبی عمیر قال: «و لا یضعّفها الإرسال، لعلمهم بمراسیل ابن أبی عمیر».</w:t>
      </w:r>
    </w:p>
    <w:p>
      <w:pPr>
        <w:pStyle w:val="BookText"/>
      </w:pPr>
      <w:r>
        <w:rPr>
          <w:rFonts w:ascii="IRNazanin" w:hAnsi="IRNazanin" w:eastAsia="IRNazanin" w:cs="IRNazanin"/>
          <w:lang w:bidi="fa-IR"/>
          <w:color w:val="111111"/>
          <w:sz w:val="28"/>
          <w:szCs w:val="28"/>
          <w:rtl/>
        </w:rPr>
        <w:t xml:space="preserve">و ممن صرّح بها من علماء القرن العاشر:</w:t>
      </w:r>
    </w:p>
    <w:p>
      <w:pPr>
        <w:pStyle w:val="BookText"/>
      </w:pPr>
      <w:r>
        <w:rPr>
          <w:rFonts w:ascii="IRNazanin" w:hAnsi="IRNazanin" w:eastAsia="IRNazanin" w:cs="IRNazanin"/>
          <w:lang w:bidi="fa-IR"/>
          <w:color w:val="111111"/>
          <w:sz w:val="28"/>
          <w:szCs w:val="28"/>
          <w:rtl/>
        </w:rPr>
        <w:t xml:space="preserve">8 - المحقّق الثانی، علیّ بن عبد العالی (المتوفّی عام 940) مؤلّف کتاب «جامع المقاصد» قال: «و الروایتان صحیحتان من مراسیل ابن أبی عمیر الملحقة بالمسانید».</w:t>
      </w:r>
    </w:p>
    <w:p>
      <w:pPr>
        <w:pStyle w:val="BookText"/>
      </w:pPr>
      <w:r>
        <w:rPr>
          <w:rFonts w:ascii="IRNazanin" w:hAnsi="IRNazanin" w:eastAsia="IRNazanin" w:cs="IRNazanin"/>
          <w:lang w:bidi="fa-IR"/>
          <w:color w:val="111111"/>
          <w:sz w:val="28"/>
          <w:szCs w:val="28"/>
          <w:rtl/>
        </w:rPr>
        <w:t xml:space="preserve">9 - الشهید الثانی (المتوفّی عام 965) فی الدرایة و شرحها قال:</w:t>
      </w:r>
    </w:p>
    <w:p>
      <w:pPr>
        <w:pStyle w:val="BookText"/>
      </w:pPr>
      <w:r>
        <w:rPr>
          <w:rFonts w:ascii="IRNazanin" w:hAnsi="IRNazanin" w:eastAsia="IRNazanin" w:cs="IRNazanin"/>
          <w:lang w:bidi="fa-IR"/>
          <w:color w:val="111111"/>
          <w:sz w:val="28"/>
          <w:szCs w:val="28"/>
          <w:rtl/>
        </w:rPr>
        <w:t xml:space="preserve">«المرسل، لیس بحجّة مطلقا علی الأصحّ، إلاّ أن یعلم تحرّز مرسله عن الروایة عن غیر الثقة، کابن أبی عمیر من أصحابنا، علی ما ذکره کثیر، و سعید بن المسیّب. عند الشافعی، فیقبل مرسله و یصیر فی قوّة المسند».</w:t>
      </w:r>
    </w:p>
    <w:p>
      <w:pPr>
        <w:pStyle w:val="BookText"/>
      </w:pPr>
      <w:r>
        <w:rPr>
          <w:rFonts w:ascii="IRNazanin" w:hAnsi="IRNazanin" w:eastAsia="IRNazanin" w:cs="IRNazanin"/>
          <w:lang w:bidi="fa-IR"/>
          <w:color w:val="111111"/>
          <w:sz w:val="28"/>
          <w:szCs w:val="28"/>
          <w:rtl/>
        </w:rPr>
        <w:t xml:space="preserve">و ممّن صرّح بها من علماء القرن الحادی عشر:</w:t>
      </w:r>
    </w:p>
    <w:p>
      <w:pPr>
        <w:pStyle w:val="BookText"/>
      </w:pPr>
      <w:r>
        <w:rPr>
          <w:rFonts w:ascii="IRNazanin" w:hAnsi="IRNazanin" w:eastAsia="IRNazanin" w:cs="IRNazanin"/>
          <w:lang w:bidi="fa-IR"/>
          <w:color w:val="111111"/>
          <w:sz w:val="28"/>
          <w:szCs w:val="28"/>
          <w:rtl/>
        </w:rPr>
        <w:t xml:space="preserve">10 - المیرزا الاسترآبادی فی کتابه «منهج المقال» قال ما هذا حاصله</w:t>
      </w:r>
      <w:r>
        <w:rPr>
          <w:rStyle w:val="FootnoteReference"/>
        </w:rPr>
        <w:footnoteReference w:id="3856"/>
      </w:r>
      <w:r>
        <w:rPr>
          <w:rFonts w:ascii="IRNazanin" w:hAnsi="IRNazanin" w:eastAsia="IRNazanin" w:cs="IRNazanin"/>
          <w:lang w:bidi="fa-IR"/>
          <w:color w:val="111111"/>
          <w:sz w:val="28"/>
          <w:szCs w:val="28"/>
          <w:rtl/>
        </w:rPr>
        <w:t xml:space="preserve">: «إبراهیم بن عمر ثقة عند النّجاشی و ضعّفه ابن الغضائری و یرجّح الأوّل بروایة ابن أبی عمیر عنه بواسطة حمّاد»</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211]</w:t>
      </w:r>
    </w:p>
    <w:p>
      <w:pPr>
        <w:pStyle w:val="BookText"/>
      </w:pPr>
      <w:r>
        <w:rPr>
          <w:rFonts w:ascii="IRNazanin" w:hAnsi="IRNazanin" w:eastAsia="IRNazanin" w:cs="IRNazanin"/>
          <w:lang w:bidi="fa-IR"/>
          <w:color w:val="111111"/>
          <w:sz w:val="28"/>
          <w:szCs w:val="28"/>
          <w:rtl/>
        </w:rPr>
        <w:t xml:space="preserve">ص: 929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«ابن أبی الأغرّ النّحاس»: «یعتبر روایته و یعتد بها لأجل روایة ابن أبی عمیر و صفوان، عنه»</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الشیخ البهائی (المتوفّی عام 1030) قال فی شرح الفقیه: «و قد جعل أصحابنا - رضوان اللّه علیهم - مراسیل ابن أبی عمیر کمسانیده فی الاعتماد علیها، لما علموا من عادته أنّه لا یرسل إلاّ عن ثقة».</w:t>
      </w:r>
    </w:p>
    <w:p>
      <w:pPr>
        <w:pStyle w:val="BookText"/>
      </w:pPr>
      <w:r>
        <w:rPr>
          <w:rFonts w:ascii="IRNazanin" w:hAnsi="IRNazanin" w:eastAsia="IRNazanin" w:cs="IRNazanin"/>
          <w:lang w:bidi="fa-IR"/>
          <w:color w:val="111111"/>
          <w:sz w:val="28"/>
          <w:szCs w:val="28"/>
          <w:rtl/>
        </w:rPr>
        <w:t xml:space="preserve">12 - و ممّن نقل کلام الشیخ الطوسی، المحّدث الحرّ العاملی فی خاتمة الوسائل فی الفائدة السابعة (ج 20 ص 88).</w:t>
      </w:r>
    </w:p>
    <w:p>
      <w:pPr>
        <w:pStyle w:val="BookText"/>
      </w:pPr>
      <w:r>
        <w:rPr>
          <w:rFonts w:ascii="IRNazanin" w:hAnsi="IRNazanin" w:eastAsia="IRNazanin" w:cs="IRNazanin"/>
          <w:lang w:bidi="fa-IR"/>
          <w:color w:val="111111"/>
          <w:sz w:val="28"/>
          <w:szCs w:val="28"/>
          <w:rtl/>
        </w:rPr>
        <w:t xml:space="preserve">13 - و قال الوحید البهبهانی فی تعلیقته علی منهج المقال: «و منها روایة صفوان بن یحیی و ابن أبی عمیر عنه. فإنّها أمارة الوثاقة لقول الشیخ فی «العدّة»: إنّهما لا یرویان إلاّ عن ثقة، و الفاضل الخراسانی فی ذخیرته جری علی هذا المسلک»</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 قال الشیخ عبد النّبی بن علیّ بن أحمد بن الجواد فی کتابه «تکملة نقد الرجال» الّذی فرغ منه سنة 1240، فی حقّ «برد الإسکاف»:</w:t>
      </w:r>
    </w:p>
    <w:p>
      <w:pPr>
        <w:pStyle w:val="BookText"/>
      </w:pPr>
      <w:r>
        <w:rPr>
          <w:rFonts w:ascii="IRNazanin" w:hAnsi="IRNazanin" w:eastAsia="IRNazanin" w:cs="IRNazanin"/>
          <w:lang w:bidi="fa-IR"/>
          <w:color w:val="111111"/>
          <w:sz w:val="28"/>
          <w:szCs w:val="28"/>
          <w:rtl/>
        </w:rPr>
        <w:t xml:space="preserve">«قال المحقّق السبزواری فی الذخیرة: لم یوثّقه علماء الرجال إلاّ أنّ له کتابا یرویه ابن أبی عمیر و یستفاد من ذلک توثیقه»</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المتتبّع النّوری نقل عن مفاتیح السیّد المجاهد (المتوفّی عام 1242) دعوی المحقّق الأردبیلی (و هو من علماء القرن العاشر) اتّفاق الأصحاب علی العمل بمراسیله.</w:t>
      </w:r>
    </w:p>
    <w:p>
      <w:pPr>
        <w:pStyle w:val="BookText"/>
      </w:pPr>
      <w:r>
        <w:rPr>
          <w:rFonts w:ascii="IRNazanin" w:hAnsi="IRNazanin" w:eastAsia="IRNazanin" w:cs="IRNazanin"/>
          <w:lang w:bidi="fa-IR"/>
          <w:color w:val="111111"/>
          <w:sz w:val="28"/>
          <w:szCs w:val="28"/>
          <w:rtl/>
        </w:rPr>
        <w:t xml:space="preserve">[شماره صفحه واقعی : 212]</w:t>
      </w:r>
    </w:p>
    <w:p>
      <w:pPr>
        <w:pStyle w:val="BookText"/>
      </w:pPr>
      <w:r>
        <w:rPr>
          <w:rFonts w:ascii="IRNazanin" w:hAnsi="IRNazanin" w:eastAsia="IRNazanin" w:cs="IRNazanin"/>
          <w:lang w:bidi="fa-IR"/>
          <w:color w:val="111111"/>
          <w:sz w:val="28"/>
          <w:szCs w:val="28"/>
          <w:rtl/>
        </w:rPr>
        <w:t xml:space="preserve">ص: 930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اکتفینا بهذا القدر من نصوص القوم و تجد التضافر علیها من المتأخّرین. و لا نری حاجة لذکر نصوصهم.</w:t>
      </w:r>
    </w:p>
    <w:p>
      <w:pPr>
        <w:pStyle w:val="BookText"/>
      </w:pPr>
      <w:r>
        <w:rPr>
          <w:rFonts w:ascii="IRNazanin" w:hAnsi="IRNazanin" w:eastAsia="IRNazanin" w:cs="IRNazanin"/>
          <w:lang w:bidi="fa-IR"/>
          <w:color w:val="111111"/>
          <w:sz w:val="28"/>
          <w:szCs w:val="28"/>
          <w:rtl/>
        </w:rPr>
        <w:t xml:space="preserve">نعم هناک ثلّة من المحقّقین استشکلوا فی هذه التّسویة و سیوافیک بعض کلماتهم.</w:t>
      </w:r>
    </w:p>
    <w:p>
      <w:pPr>
        <w:pStyle w:val="BookText"/>
      </w:pPr>
      <w:r>
        <w:rPr>
          <w:rFonts w:ascii="IRNazanin" w:hAnsi="IRNazanin" w:eastAsia="IRNazanin" w:cs="IRNazanin"/>
          <w:lang w:bidi="fa-IR"/>
          <w:color w:val="111111"/>
          <w:sz w:val="28"/>
          <w:szCs w:val="28"/>
          <w:rtl/>
        </w:rPr>
        <w:t xml:space="preserve">و الظّاهر أنّ دعوی غیر الشّیخ و النّجاشی من باب التبعیّة لهما، و أنّ الاشتهار فی الأعصار المتأخّرة من القرن السابع إلی العصر الحاضر، کان من باب حسن الظّنّ بدعوی شیخ الطّائفة و زمیله النّجاشی، لا من باب التتبّع فی أحوال مشایخه و الوقوف علی أنّه لا یروی إلاّ عن ثقة، و علی ذلک فما ذکره المحدّث النّوری من بلوغ دعوی الإجماع إلی الاستفاضة و إمکان علمهم بذلک بأخباره (ابن أبی عمیر) المحفوفة بالقرائن أو بتتبّعهم فی حال مشایخه المحصورین أو بهما، ممّا لا یمکن الرکون إلیه.</w:t>
      </w:r>
    </w:p>
    <w:p>
      <w:pPr>
        <w:pStyle w:val="BookText"/>
      </w:pPr>
      <w:r>
        <w:rPr>
          <w:rFonts w:ascii="IRNazanin" w:hAnsi="IRNazanin" w:eastAsia="IRNazanin" w:cs="IRNazanin"/>
          <w:lang w:bidi="fa-IR"/>
          <w:color w:val="111111"/>
          <w:sz w:val="28"/>
          <w:szCs w:val="28"/>
          <w:rtl/>
        </w:rPr>
        <w:t xml:space="preserve">و مع ذلک فلا یضرّ ما ذکرناه بحجّیة دعوی الشّیخ، فإنّه و إن کان لا یثبت به اتّفاق علماء الامامیّة علی التسویة، و لکن یثبت به توثیق المشهور لمشایخ ابن أبی عمیر، و أنّه کانت هناک شخصیّات یزکّون جمیع مشایخه، و لأجله یعاملون مع جمیع مراسیله معاملة المسانید.</w:t>
      </w:r>
    </w:p>
    <w:p>
      <w:pPr>
        <w:pStyle w:val="BookText"/>
      </w:pPr>
      <w:r>
        <w:rPr>
          <w:rFonts w:ascii="IRNazanin" w:hAnsi="IRNazanin" w:eastAsia="IRNazanin" w:cs="IRNazanin"/>
          <w:lang w:bidi="fa-IR"/>
          <w:color w:val="111111"/>
          <w:sz w:val="28"/>
          <w:szCs w:val="28"/>
          <w:rtl/>
        </w:rPr>
        <w:t xml:space="preserve">هذا، و هناک ثلّة من العلماء لم یأخذوا بهذه التّسویة، و لم یقولوا بحجّیة مراسیله، منهم:</w:t>
      </w:r>
    </w:p>
    <w:p>
      <w:pPr>
        <w:pStyle w:val="BookText"/>
      </w:pPr>
      <w:r>
        <w:rPr>
          <w:rFonts w:ascii="IRNazanin" w:hAnsi="IRNazanin" w:eastAsia="IRNazanin" w:cs="IRNazanin"/>
          <w:lang w:bidi="fa-IR"/>
          <w:color w:val="111111"/>
          <w:sz w:val="28"/>
          <w:szCs w:val="28"/>
          <w:rtl/>
        </w:rPr>
        <w:t xml:space="preserve">1 - شیخ الطّائفة، فی غیر موضع من تهذیبه و استبصاره قال: «فأمّا ما رواه محمّد بن أبی عمیر (قال: روی لی عن عبد اللّه - یعنی ابن المغیرة - یرفعه إلی أبی عبد اللّه - علیه السلام -: أنّ الکرّ ستّمائة رطل) فأوّل ما فیه أنّه مرسل غیر مسند، و مع ذلک مضادّ للاحادیث الّتی رویناها»</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213]</w:t>
      </w:r>
    </w:p>
    <w:p>
      <w:pPr>
        <w:pStyle w:val="BookText"/>
      </w:pPr>
      <w:r>
        <w:rPr>
          <w:rFonts w:ascii="IRNazanin" w:hAnsi="IRNazanin" w:eastAsia="IRNazanin" w:cs="IRNazanin"/>
          <w:lang w:bidi="fa-IR"/>
          <w:color w:val="111111"/>
          <w:sz w:val="28"/>
          <w:szCs w:val="28"/>
          <w:rtl/>
        </w:rPr>
        <w:t xml:space="preserve">ص: 931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باب بیع المضمون): «إنّ الخبر الأوّل (خبر ابن أبی عمیر عن أبان بن عثمان، عن بعض أصحابنا عن أبی عبد اللّه) مرسل غیر مسند»</w:t>
      </w:r>
      <w:r>
        <w:rPr>
          <w:rStyle w:val="FootnoteReference"/>
        </w:rPr>
        <w:footnoteReference w:id="3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باب میراث من علا من الآباء و هبط من الأولاد): «إنّ الخبر الأوّل مرسل مقطوع الاسناد»</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ما ذکره فی «العدّة» هو الّذی رکن إلیه فی اخریات حیاته، و کأنّه عدل عما ذکره فی التّهذیب و الاستبصار، و کیف لا، و قد قام بتألیف التّهذیب کالشّرح لمقنعة استاذه المفید فی زهرة شبابه و فی أواسط العقد الثّالث من عمره، حیث ولد الشیخ عام 385، و توفّی استاذه المفید عام 413، و هو یدعو له فی کتابی الطّهارة و الصّلاة بعد نقل عبارته بقوله «أیدّه اللّه تعالی»، و هذا یعرب عن أنّه شرع فی تألیف «التّهذیب» و هو فی حوالی خمس و عشرین سنة أو أزید بقلیل، بینما هو فی زمان ألّف فیه «العدّة» قد صار فحلا فی الفقه و الرّجال، و عارفا بکلمات الأصحاب و أنظارهم حول الشخصیّات الحدیثیّة.</w:t>
      </w:r>
    </w:p>
    <w:p>
      <w:pPr>
        <w:pStyle w:val="BookText"/>
      </w:pPr>
      <w:r>
        <w:rPr>
          <w:rFonts w:ascii="IRNazanin" w:hAnsi="IRNazanin" w:eastAsia="IRNazanin" w:cs="IRNazanin"/>
          <w:lang w:bidi="fa-IR"/>
          <w:color w:val="111111"/>
          <w:sz w:val="28"/>
          <w:szCs w:val="28"/>
          <w:rtl/>
        </w:rPr>
        <w:t xml:space="preserve">2 - ما ذکره المحقّق فی «المعتبر» علی ما نقله المحدّث النّوری قال:</w:t>
      </w:r>
    </w:p>
    <w:p>
      <w:pPr>
        <w:pStyle w:val="BookText"/>
      </w:pPr>
      <w:r>
        <w:rPr>
          <w:rFonts w:ascii="IRNazanin" w:hAnsi="IRNazanin" w:eastAsia="IRNazanin" w:cs="IRNazanin"/>
          <w:lang w:bidi="fa-IR"/>
          <w:color w:val="111111"/>
          <w:sz w:val="28"/>
          <w:szCs w:val="28"/>
          <w:rtl/>
        </w:rPr>
        <w:t xml:space="preserve">«و الجواب؛ الطّعن فی السند لمکان الإرسال و لو قال قائل: مراسیل ابن أبی عمیر تعمل بها الأصحاب، منعنا ذلک، لأنّ فی رجاله من طعن الأصحاب فیه، فاذا أرسل احتمل أن یکون الرّاوی أحدهم»</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عنه الشیخ البهائی فی وجیزته بقوله: «و روایته أحیانا عن غیر الثّقة، لا یقدح فی ذلک کما یظنّ، لأنّهم ذکروا أنّه لا یرسل إلاّ عن ثقة، لا أنّه لا یروی إلاّ عن ثقة»</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214]</w:t>
      </w:r>
    </w:p>
    <w:p>
      <w:pPr>
        <w:pStyle w:val="BookText"/>
      </w:pPr>
      <w:r>
        <w:rPr>
          <w:rFonts w:ascii="IRNazanin" w:hAnsi="IRNazanin" w:eastAsia="IRNazanin" w:cs="IRNazanin"/>
          <w:lang w:bidi="fa-IR"/>
          <w:color w:val="111111"/>
          <w:sz w:val="28"/>
          <w:szCs w:val="28"/>
          <w:rtl/>
        </w:rPr>
        <w:t xml:space="preserve">ص: 932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ما ذکره الشّیخ البهائی - قدّس سره - لا ینطبق مع ما ذکره الشّیخ فی «العدّة» حیث قال: «عرفوا بأنّهم لا یروون و لا یرسلون إلاّ ممن یوثق به» و علی ذلک فهؤلاء کما لا یرسلون إلاّ عن ثقة، فهکذا لا یروون إلاّ عن ثقة. و علی ذلک فلو وجد مورد أو موارد أنّهم نقلوا عن المطعونین، لبطلت القاعدة المذکورة. و سیوافیک الکلام فی روایته عن بعض المطعونین فی بحث مستقلّ.</w:t>
      </w:r>
    </w:p>
    <w:p>
      <w:pPr>
        <w:pStyle w:val="BookText"/>
      </w:pPr>
      <w:r>
        <w:rPr>
          <w:rFonts w:ascii="IRNazanin" w:hAnsi="IRNazanin" w:eastAsia="IRNazanin" w:cs="IRNazanin"/>
          <w:lang w:bidi="fa-IR"/>
          <w:color w:val="111111"/>
          <w:sz w:val="28"/>
          <w:szCs w:val="28"/>
          <w:rtl/>
        </w:rPr>
        <w:t xml:space="preserve">3 - السیّد جمال الدین بن طاووس (المتوفّی عام 673) صاحب «البشری»، و نقل خلافه الشهید الثانی فی درایته.</w:t>
      </w:r>
    </w:p>
    <w:p>
      <w:pPr>
        <w:pStyle w:val="BookText"/>
      </w:pPr>
      <w:r>
        <w:rPr>
          <w:rFonts w:ascii="IRNazanin" w:hAnsi="IRNazanin" w:eastAsia="IRNazanin" w:cs="IRNazanin"/>
          <w:lang w:bidi="fa-IR"/>
          <w:color w:val="111111"/>
          <w:sz w:val="28"/>
          <w:szCs w:val="28"/>
          <w:rtl/>
        </w:rPr>
        <w:t xml:space="preserve">4 - الشهید الثانی فی درایته حیث قال: «و فی تحقّق هذا المعنی و هو العلم بکون المرسل لا یروی إلاّ عن الثّقة، نظر» ثمّ ذکر وجهه</w:t>
      </w:r>
      <w:r>
        <w:rPr>
          <w:rStyle w:val="FootnoteReference"/>
        </w:rPr>
        <w:footnoteReference w:id="3866"/>
      </w:r>
      <w:r>
        <w:rPr>
          <w:rFonts w:ascii="IRNazanin" w:hAnsi="IRNazanin" w:eastAsia="IRNazanin" w:cs="IRNazanin"/>
          <w:lang w:bidi="fa-IR"/>
          <w:color w:val="111111"/>
          <w:sz w:val="28"/>
          <w:szCs w:val="28"/>
          <w:rtl/>
        </w:rPr>
        <w:t xml:space="preserve">و سیوافیک لبّ إشکاله عند البحث عن إشکالات «معجم رجال الحدیث».</w:t>
      </w:r>
    </w:p>
    <w:p>
      <w:pPr>
        <w:pStyle w:val="BookText"/>
      </w:pPr>
      <w:r>
        <w:rPr>
          <w:rFonts w:ascii="IRNazanin" w:hAnsi="IRNazanin" w:eastAsia="IRNazanin" w:cs="IRNazanin"/>
          <w:lang w:bidi="fa-IR"/>
          <w:color w:val="111111"/>
          <w:sz w:val="28"/>
          <w:szCs w:val="28"/>
          <w:rtl/>
        </w:rPr>
        <w:t xml:space="preserve">5 - السیّد محمّد صاحب المدارک سبط الشهید الثانی (المتوفّی عام 1009) فی مدارکه.</w:t>
      </w:r>
    </w:p>
    <w:p>
      <w:pPr>
        <w:pStyle w:val="BookText"/>
      </w:pPr>
      <w:r>
        <w:rPr>
          <w:rFonts w:ascii="IRNazanin" w:hAnsi="IRNazanin" w:eastAsia="IRNazanin" w:cs="IRNazanin"/>
          <w:lang w:bidi="fa-IR"/>
          <w:color w:val="111111"/>
          <w:sz w:val="28"/>
          <w:szCs w:val="28"/>
          <w:rtl/>
        </w:rPr>
        <w:t xml:space="preserve">6 - ولد الشهید الثانی، الشیخ حسن صاحب «المعالم» (المتوفّی عام 1011) فقد استشکل فی حجّیة مراسیله</w:t>
      </w:r>
      <w:r>
        <w:rPr>
          <w:rStyle w:val="FootnoteReference"/>
        </w:rPr>
        <w:footnoteReference w:id="3867"/>
      </w:r>
      <w:r>
        <w:rPr>
          <w:rFonts w:ascii="IRNazanin" w:hAnsi="IRNazanin" w:eastAsia="IRNazanin" w:cs="IRNazanin"/>
          <w:lang w:bidi="fa-IR"/>
          <w:color w:val="111111"/>
          <w:sz w:val="28"/>
          <w:szCs w:val="28"/>
          <w:rtl/>
        </w:rPr>
        <w:t xml:space="preserve">. فمن أراد فلیرجع الی معالمه.</w:t>
      </w:r>
    </w:p>
    <w:p>
      <w:pPr>
        <w:pStyle w:val="BookText"/>
      </w:pPr>
      <w:r>
        <w:rPr>
          <w:rFonts w:ascii="IRNazanin" w:hAnsi="IRNazanin" w:eastAsia="IRNazanin" w:cs="IRNazanin"/>
          <w:lang w:bidi="fa-IR"/>
          <w:color w:val="111111"/>
          <w:sz w:val="28"/>
          <w:szCs w:val="28"/>
          <w:rtl/>
        </w:rPr>
        <w:t xml:space="preserve">الثالث: إنّ المتتبّع فی أسانید الکتب الأربعة و غیرها، یقضّی بکثرة مشایخه. فقد أنهاها بعض الأجلّة إلی أربعمائة و عشرة مشایخ. و قد ذکر الشیخ فی الفهرس أنّه روی عنه أحمد بن محمّد بن عیسی القمّی کتب مائة رجل من رجال الصّادق - علیه السلام -. و لعلّ المتتبّع فی الأسانید یقف علی هذه الکتب و مؤلّفیها.</w:t>
      </w:r>
    </w:p>
    <w:p>
      <w:pPr>
        <w:pStyle w:val="BookText"/>
      </w:pPr>
      <w:r>
        <w:rPr>
          <w:rFonts w:ascii="IRNazanin" w:hAnsi="IRNazanin" w:eastAsia="IRNazanin" w:cs="IRNazanin"/>
          <w:lang w:bidi="fa-IR"/>
          <w:color w:val="111111"/>
          <w:sz w:val="28"/>
          <w:szCs w:val="28"/>
          <w:rtl/>
        </w:rPr>
        <w:t xml:space="preserve">و علی کلّ تقدیر؛ فلو ثبت ما ادّعاه الشیخ و النّجاشی، لثبت وثاقة جمع</w:t>
      </w:r>
    </w:p>
    <w:p>
      <w:pPr>
        <w:pStyle w:val="BookText"/>
      </w:pPr>
      <w:r>
        <w:rPr>
          <w:rFonts w:ascii="IRNazanin" w:hAnsi="IRNazanin" w:eastAsia="IRNazanin" w:cs="IRNazanin"/>
          <w:lang w:bidi="fa-IR"/>
          <w:color w:val="111111"/>
          <w:sz w:val="28"/>
          <w:szCs w:val="28"/>
          <w:rtl/>
        </w:rPr>
        <w:t xml:space="preserve">[شماره صفحه واقعی : 215]</w:t>
      </w:r>
    </w:p>
    <w:p>
      <w:pPr>
        <w:pStyle w:val="BookText"/>
      </w:pPr>
      <w:r>
        <w:rPr>
          <w:rFonts w:ascii="IRNazanin" w:hAnsi="IRNazanin" w:eastAsia="IRNazanin" w:cs="IRNazanin"/>
          <w:lang w:bidi="fa-IR"/>
          <w:color w:val="111111"/>
          <w:sz w:val="28"/>
          <w:szCs w:val="28"/>
          <w:rtl/>
        </w:rPr>
        <w:t xml:space="preserve">ص: 933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من مشایخه، و إنّما المهمّ هو الوقوف علی مشایخه بأسمائهم و خصوصیّاتهم.</w:t>
      </w:r>
    </w:p>
    <w:p>
      <w:pPr>
        <w:pStyle w:val="BookText"/>
      </w:pPr>
      <w:r>
        <w:rPr>
          <w:rFonts w:ascii="IRNazanin" w:hAnsi="IRNazanin" w:eastAsia="IRNazanin" w:cs="IRNazanin"/>
          <w:lang w:bidi="fa-IR"/>
          <w:color w:val="111111"/>
          <w:sz w:val="28"/>
          <w:szCs w:val="28"/>
          <w:rtl/>
        </w:rPr>
        <w:t xml:space="preserve">فقد ذکر المتتبّع النّوری منهم مائة و ثلاثة عشر شیخا و قال: «هذا ما حضرنی عاجلا و لعلّ المتتبّع فی الطّرق و الأسانید یقف علی أزید من هذا»</w:t>
      </w:r>
      <w:r>
        <w:rPr>
          <w:rStyle w:val="FootnoteReference"/>
        </w:rPr>
        <w:footnoteReference w:id="3868"/>
      </w:r>
      <w:r>
        <w:rPr>
          <w:rFonts w:ascii="IRNazanin" w:hAnsi="IRNazanin" w:eastAsia="IRNazanin" w:cs="IRNazanin"/>
          <w:lang w:bidi="fa-IR"/>
          <w:color w:val="111111"/>
          <w:sz w:val="28"/>
          <w:szCs w:val="28"/>
          <w:rtl/>
        </w:rPr>
        <w:t xml:space="preserve">و أمّا المائة کتاب الّتی رواها عنه أحمد بن محمّد بن عیسی، فتعلم من المراجعة إلی فهرس الشّیخ.</w:t>
      </w:r>
    </w:p>
    <w:p>
      <w:pPr>
        <w:pStyle w:val="BookText"/>
      </w:pPr>
      <w:r>
        <w:rPr>
          <w:rFonts w:ascii="IRNazanin" w:hAnsi="IRNazanin" w:eastAsia="IRNazanin" w:cs="IRNazanin"/>
          <w:lang w:bidi="fa-IR"/>
          <w:color w:val="111111"/>
          <w:sz w:val="28"/>
          <w:szCs w:val="28"/>
          <w:rtl/>
        </w:rPr>
        <w:t xml:space="preserve">و أنهاهم صاحب «معجم الرجال» فی ترجمة ابن أبی عمیر (ج 22 ص 101-139، رقم الترجمة 14997) إلی ما یقارب المائتین و سبعین شیخا بعد حذف المکرّرات.</w:t>
      </w:r>
    </w:p>
    <w:p>
      <w:pPr>
        <w:pStyle w:val="BookText"/>
      </w:pPr>
      <w:r>
        <w:rPr>
          <w:rFonts w:ascii="IRNazanin" w:hAnsi="IRNazanin" w:eastAsia="IRNazanin" w:cs="IRNazanin"/>
          <w:lang w:bidi="fa-IR"/>
          <w:color w:val="111111"/>
          <w:sz w:val="28"/>
          <w:szCs w:val="28"/>
          <w:rtl/>
        </w:rPr>
        <w:t xml:space="preserve">و قد جمع فی «مجمع الثّقات» (ص 153) أسماء مشایخ الثقات الثلاث (ابن أبی عمیر و صفوان و البزنطی) و حذف من ورد فیه توثیق بالخصوص، فبلغ ثلاثمائة و واحدا و ستّین شیخا.</w:t>
      </w:r>
    </w:p>
    <w:p>
      <w:pPr>
        <w:pStyle w:val="BookText"/>
      </w:pPr>
      <w:r>
        <w:rPr>
          <w:rFonts w:ascii="IRNazanin" w:hAnsi="IRNazanin" w:eastAsia="IRNazanin" w:cs="IRNazanin"/>
          <w:lang w:bidi="fa-IR"/>
          <w:color w:val="111111"/>
          <w:sz w:val="28"/>
          <w:szCs w:val="28"/>
          <w:rtl/>
        </w:rPr>
        <w:t xml:space="preserve">و لقد أحسن مؤلّف «مشایخ الثقات» و أتحف لمن بعده، بوضع فهرس خاصّ لمشیخة کلّ واحد من هؤلاء الثّلاثة، مع تعیین مصادرها فی المجامع الحدیثیّة فبلغ ثلاثمائة و سبعة و تسعین شیخا</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الباحث یقف علی أزید من ذلک. و قد عرفت أنّ بعض الأجلّة أنهی أساتذته إلی أربعمائة و عشرة مشایخ.</w:t>
      </w:r>
    </w:p>
    <w:p>
      <w:pPr>
        <w:pStyle w:val="BookText"/>
      </w:pPr>
      <w:r>
        <w:rPr>
          <w:rFonts w:ascii="IRNazanin" w:hAnsi="IRNazanin" w:eastAsia="IRNazanin" w:cs="IRNazanin"/>
          <w:lang w:bidi="fa-IR"/>
          <w:color w:val="111111"/>
          <w:sz w:val="28"/>
          <w:szCs w:val="28"/>
          <w:rtl/>
        </w:rPr>
        <w:t xml:space="preserve">و هذا یعرب عن تضلّع ابن أبی عمیر فی علم الحدیث و بلوغه القمّة فی ذلک العلم، حتّی توفّق للأخذ عن هذه المجموعة الکبیرة و قد عرفت أنّ أحمد بن محمّد بن عیسی قد نقل بواسطته مائة کتاب لمشایخ الأصحاب.</w:t>
      </w:r>
    </w:p>
    <w:p>
      <w:pPr>
        <w:pStyle w:val="BookText"/>
      </w:pPr>
      <w:r>
        <w:rPr>
          <w:rFonts w:ascii="IRNazanin" w:hAnsi="IRNazanin" w:eastAsia="IRNazanin" w:cs="IRNazanin"/>
          <w:lang w:bidi="fa-IR"/>
          <w:color w:val="111111"/>
          <w:sz w:val="28"/>
          <w:szCs w:val="28"/>
          <w:rtl/>
        </w:rPr>
        <w:t xml:space="preserve">[شماره صفحه واقعی : 216]</w:t>
      </w:r>
    </w:p>
    <w:p>
      <w:pPr>
        <w:pStyle w:val="BookText"/>
      </w:pPr>
      <w:r>
        <w:rPr>
          <w:rFonts w:ascii="IRNazanin" w:hAnsi="IRNazanin" w:eastAsia="IRNazanin" w:cs="IRNazanin"/>
          <w:lang w:bidi="fa-IR"/>
          <w:color w:val="111111"/>
          <w:sz w:val="28"/>
          <w:szCs w:val="28"/>
          <w:rtl/>
        </w:rPr>
        <w:t xml:space="preserve">ص: 934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إنّ مؤلّف «مشایخ الثقات» قد عدّ فی فهرسه الّذی وضعه لبیان مشایخ ابن أبی عمیر، اناسا من مشایخه و لیسوا منهم. و المنشأ له، إمّا سقم النّسخة و عدم صحّتها، أو عدم التدبّر الکافی فی ألفاظ السّند. و ما ذکرناه هنا یعطی استعدادا للقاریء، للإجابة عن بعض النقوض المتوجّهة إلی الضابطة.</w:t>
      </w:r>
    </w:p>
    <w:p>
      <w:pPr>
        <w:pStyle w:val="BookText"/>
      </w:pPr>
      <w:r>
        <w:rPr>
          <w:rFonts w:ascii="IRNazanin" w:hAnsi="IRNazanin" w:eastAsia="IRNazanin" w:cs="IRNazanin"/>
          <w:lang w:bidi="fa-IR"/>
          <w:color w:val="111111"/>
          <w:sz w:val="28"/>
          <w:szCs w:val="28"/>
          <w:rtl/>
        </w:rPr>
        <w:t xml:space="preserve">و إلیک بیانها:</w:t>
      </w:r>
    </w:p>
    <w:p>
      <w:pPr>
        <w:pStyle w:val="BookText"/>
      </w:pPr>
      <w:r>
        <w:rPr>
          <w:rFonts w:ascii="IRNazanin" w:hAnsi="IRNazanin" w:eastAsia="IRNazanin" w:cs="IRNazanin"/>
          <w:lang w:bidi="fa-IR"/>
          <w:color w:val="111111"/>
          <w:sz w:val="28"/>
          <w:szCs w:val="28"/>
          <w:rtl/>
        </w:rPr>
        <w:t xml:space="preserve">1 - محمّد بن سنان: روی الشیخ الحرّ العاملی عن الصّدوق فی «علل الشرایع» عن محمّد بن الحسن، عن الصفّار، عن یعقوب بن یزید، عن محمّد بن أبی عمیر، عن محمّد بن سنان، عمّن ذکره عن أبی عبد اللّه - علیه السلام - فی حدیث: «أنّ نبیّا من الأنبیاء بعثه اللّه إلی قومه فأخذوه فسلخوا فروة رأسه و وجهه، فأتاه ملک فقال له: إنّ اللّه بعثنی إلیک فمرنی بما شئت فقال: لی اسوة بما یصنع بالحسین - علیه السلام -»</w:t>
      </w:r>
      <w:r>
        <w:rPr>
          <w:rStyle w:val="FootnoteReference"/>
        </w:rPr>
        <w:footnoteReference w:id="3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فعدّ محمّد بن سنان من مشایخ ابن أبی عمیر استنادا إلی هذه الرّوایة.</w:t>
      </w:r>
    </w:p>
    <w:p>
      <w:pPr>
        <w:pStyle w:val="BookText"/>
      </w:pPr>
      <w:r>
        <w:rPr>
          <w:rFonts w:ascii="IRNazanin" w:hAnsi="IRNazanin" w:eastAsia="IRNazanin" w:cs="IRNazanin"/>
          <w:lang w:bidi="fa-IR"/>
          <w:color w:val="111111"/>
          <w:sz w:val="28"/>
          <w:szCs w:val="28"/>
          <w:rtl/>
        </w:rPr>
        <w:t xml:space="preserve">و لکنّ الاستظهار غیر تامّ، فإنّ محمّد بن سنان من معاصری ابن أبی عمیر، لا من مشایخه و قد توفّی ابن سنان سنة 220 و توفّی ابن أبی عمیر سنة 217، فطبع الحال یقتضی أن لا یروی عن مثله.</w:t>
      </w:r>
    </w:p>
    <w:p>
      <w:pPr>
        <w:pStyle w:val="BookText"/>
      </w:pPr>
      <w:r>
        <w:rPr>
          <w:rFonts w:ascii="IRNazanin" w:hAnsi="IRNazanin" w:eastAsia="IRNazanin" w:cs="IRNazanin"/>
          <w:lang w:bidi="fa-IR"/>
          <w:color w:val="111111"/>
          <w:sz w:val="28"/>
          <w:szCs w:val="28"/>
          <w:rtl/>
        </w:rPr>
        <w:t xml:space="preserve">أضف إلیه أنّ الموجود فی «علل الشرایع</w:t>
      </w:r>
      <w:r>
        <w:rPr>
          <w:rStyle w:val="FootnoteReference"/>
        </w:rPr>
        <w:footnoteReference w:id="3871"/>
      </w:r>
      <w:r>
        <w:rPr>
          <w:rFonts w:ascii="IRNazanin" w:hAnsi="IRNazanin" w:eastAsia="IRNazanin" w:cs="IRNazanin"/>
          <w:lang w:bidi="fa-IR"/>
          <w:color w:val="111111"/>
          <w:sz w:val="28"/>
          <w:szCs w:val="28"/>
          <w:rtl/>
        </w:rPr>
        <w:t xml:space="preserve">«و محمّد بن سنان» مکان «عن محمّد بن سنان» فاشتبه «الواو» ب «عن».</w:t>
      </w:r>
    </w:p>
    <w:p>
      <w:pPr>
        <w:pStyle w:val="BookText"/>
      </w:pPr>
      <w:r>
        <w:rPr>
          <w:rFonts w:ascii="IRNazanin" w:hAnsi="IRNazanin" w:eastAsia="IRNazanin" w:cs="IRNazanin"/>
          <w:lang w:bidi="fa-IR"/>
          <w:color w:val="111111"/>
          <w:sz w:val="28"/>
          <w:szCs w:val="28"/>
          <w:rtl/>
        </w:rPr>
        <w:t xml:space="preserve">و یؤیّد ذلک أنّ الشیخ ابن قولویه نقله فی «کامل الزّیارات» بسنده عن أحمد بن محمّد بن عیسی، و محمّد بن الحسین بن أبی الخطّاب، و یعقوب بن یزید، جمیعا عن محمّد بن سنان، عمّن ذکره، عن أبی عبد اللّه</w:t>
      </w:r>
    </w:p>
    <w:p>
      <w:pPr>
        <w:pStyle w:val="BookText"/>
      </w:pPr>
      <w:r>
        <w:rPr>
          <w:rFonts w:ascii="IRNazanin" w:hAnsi="IRNazanin" w:eastAsia="IRNazanin" w:cs="IRNazanin"/>
          <w:lang w:bidi="fa-IR"/>
          <w:color w:val="111111"/>
          <w:sz w:val="28"/>
          <w:szCs w:val="28"/>
          <w:rtl/>
        </w:rPr>
        <w:t xml:space="preserve">[شماره صفحه واقعی : 217]</w:t>
      </w:r>
    </w:p>
    <w:p>
      <w:pPr>
        <w:pStyle w:val="BookText"/>
      </w:pPr>
      <w:r>
        <w:rPr>
          <w:rFonts w:ascii="IRNazanin" w:hAnsi="IRNazanin" w:eastAsia="IRNazanin" w:cs="IRNazanin"/>
          <w:lang w:bidi="fa-IR"/>
          <w:color w:val="111111"/>
          <w:sz w:val="28"/>
          <w:szCs w:val="28"/>
          <w:rtl/>
        </w:rPr>
        <w:t xml:space="preserve">ص: 935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 أنّ یعقوب بن یزید فی هذا السّند یروی عن محمّد بن سنان بلا واسطة، و لو صحّ ما فی «الوسائل» لوجب أن یتوسّط بینهما شخص ثالث، کابن أبی عمیر و غیره، مع أنّه لیس کذلک.</w:t>
      </w:r>
    </w:p>
    <w:p>
      <w:pPr>
        <w:pStyle w:val="BookText"/>
      </w:pPr>
      <w:r>
        <w:rPr>
          <w:rFonts w:ascii="IRNazanin" w:hAnsi="IRNazanin" w:eastAsia="IRNazanin" w:cs="IRNazanin"/>
          <w:lang w:bidi="fa-IR"/>
          <w:color w:val="111111"/>
          <w:sz w:val="28"/>
          <w:szCs w:val="28"/>
          <w:rtl/>
        </w:rPr>
        <w:t xml:space="preserve">إنّ تبدیل لفظة «الواو» ب «عن» کثیر فی الأسانید، و قد نبّه علیه المحقّق صاحب «المعالم» فی مقدّمات «منتقی الجمان»، و بالتأمّل فیه ینحلّ کثیر من العویصات الموجودة فی الأسانید، کما ینحلّ کثیر من النقوض الّتی اوردت علی القاعدة کما ستوافیک. و لأجل کونه أساسا لحلّ بعض العویصات و ردّ النقوض، نأتی بعبارة «المنتقی» بنصّه:</w:t>
      </w:r>
      <w:r>
        <w:rPr>
          <w:rStyle w:val="FootnoteReference"/>
        </w:rPr>
        <w:footnoteReference w:id="3872"/>
      </w:r>
    </w:p>
    <w:p>
      <w:pPr>
        <w:pStyle w:val="BookText"/>
      </w:pPr>
      <w:r>
        <w:rPr>
          <w:rFonts w:ascii="IRNazanin" w:hAnsi="IRNazanin" w:eastAsia="IRNazanin" w:cs="IRNazanin"/>
          <w:lang w:bidi="fa-IR"/>
          <w:color w:val="111111"/>
          <w:sz w:val="28"/>
          <w:szCs w:val="28"/>
          <w:rtl/>
        </w:rPr>
        <w:t xml:space="preserve">قال: «حیث إنّ الغالب فی الطرق هو الوحدة و وقوع کلمة «عن» فی الکتابة بین أسماء الرجال، فمع الاعجال یسبق إلی الذّهن ما هو الغالب، فیوضع کلمة «عن» فی الکتابة موضع واو العطف، و قد رأیت فی نسخة «التّهذیب» الّتی عندی بخطّ الشیخ - رحمه اللّه - عدّة مواضع سبق فیها القلم إلی إثبات کلمة «عن» فی موضع «الواو»، ثمّ وصل بین طرفی العین و جعلها علی صورتها واوا و التبس ذلک علی بعض النسّاخ فکتبها بالصّورة الأصلیّة فی بعض مواضع الإصلاح. و فشا ذلک فی النّسخ المتجدّدة، و لما راجعت خطّ الشیخ فیه تبیّنت الحال. و ظاهر أنّ إبدال «الواو» ب «عن» یقتضی الزّیادة الّتی ذکرناها (کثرة الواسطة و زیادتها) فإذا کان الرجل ضعیفا، ضاع به الإسناد فلا بدّ من استفراغ الوسع فی ملاحظة أمثال هذا، و عدم القناعة بظواهر الامور.</w:t>
      </w:r>
    </w:p>
    <w:p>
      <w:pPr>
        <w:pStyle w:val="BookText"/>
      </w:pPr>
      <w:r>
        <w:rPr>
          <w:rFonts w:ascii="IRNazanin" w:hAnsi="IRNazanin" w:eastAsia="IRNazanin" w:cs="IRNazanin"/>
          <w:lang w:bidi="fa-IR"/>
          <w:color w:val="111111"/>
          <w:sz w:val="28"/>
          <w:szCs w:val="28"/>
          <w:rtl/>
        </w:rPr>
        <w:t xml:space="preserve">و من المواضع الّتی اتّفق فیها هذا الغلط مکرّرا، روایة الشیخ عن سعد</w:t>
      </w:r>
    </w:p>
    <w:p>
      <w:pPr>
        <w:pStyle w:val="BookText"/>
      </w:pPr>
      <w:r>
        <w:rPr>
          <w:rFonts w:ascii="IRNazanin" w:hAnsi="IRNazanin" w:eastAsia="IRNazanin" w:cs="IRNazanin"/>
          <w:lang w:bidi="fa-IR"/>
          <w:color w:val="111111"/>
          <w:sz w:val="28"/>
          <w:szCs w:val="28"/>
          <w:rtl/>
        </w:rPr>
        <w:t xml:space="preserve">[شماره صفحه واقعی : 218]</w:t>
      </w:r>
    </w:p>
    <w:p>
      <w:pPr>
        <w:pStyle w:val="BookText"/>
      </w:pPr>
      <w:r>
        <w:rPr>
          <w:rFonts w:ascii="IRNazanin" w:hAnsi="IRNazanin" w:eastAsia="IRNazanin" w:cs="IRNazanin"/>
          <w:lang w:bidi="fa-IR"/>
          <w:color w:val="111111"/>
          <w:sz w:val="28"/>
          <w:szCs w:val="28"/>
          <w:rtl/>
        </w:rPr>
        <w:t xml:space="preserve">ص: 936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عن أحمد بن محمد بن عیسی، عن عبد الرحمن بن أبی نجران، و علیّ بن حدید، و الحسین بن سعید. فقد وقع بخطّ الشیخ - رحمه اللّه - فی عدّة مواضع منها، إبدال أحد واوی العطف بکلمة «عن» مع أنّ ذلک لیس بموضع شکّ أو احتمال، لکثرة تکرّر هذا الاسناد فی کتب الرجال و الحدیث». ثمّ ذکر نموذجا فلاحظ.</w:t>
      </w:r>
    </w:p>
    <w:p>
      <w:pPr>
        <w:pStyle w:val="BookText"/>
      </w:pPr>
      <w:r>
        <w:rPr>
          <w:rFonts w:ascii="IRNazanin" w:hAnsi="IRNazanin" w:eastAsia="IRNazanin" w:cs="IRNazanin"/>
          <w:lang w:bidi="fa-IR"/>
          <w:color w:val="111111"/>
          <w:sz w:val="28"/>
          <w:szCs w:val="28"/>
          <w:rtl/>
        </w:rPr>
        <w:t xml:space="preserve">2 - نجیّة بن إسحاق الفزاری: روی الصّدوق عن أبیه قال: حدّثنا علیّ بن إبراهیم، عن محمّد بن عیسی، قال: حدّثنا محمّد بن زیاد مولی بنی هاشم، قال: حدّثنا شیخ لنا ثقة، یقال له نجیّة بن إسحاق الفزاری، قال حدّثنا عبد اللّه بن الحسن قال: قال لی أبو الحسن: «لم سمّیت فاطمة فاطمة... الخ»</w:t>
      </w:r>
      <w:r>
        <w:rPr>
          <w:rStyle w:val="FootnoteReference"/>
        </w:rPr>
        <w:footnoteReference w:id="3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کون المراد من محمّد بن زیاد هو ابن أبی عمیر، لا دلیل علیه، لأنّه لا یّعبر عنه فی کتب الحدیث ب «محمّد بن زیاد» الاّ مقیّدا ب «الأزدی» أو «البزاز» و قد عنون فی الرجال عدّة من الرواة بهذا الاسم، یبلغ عددهم إلی تسعة</w:t>
      </w:r>
      <w:r>
        <w:rPr>
          <w:rStyle w:val="FootnoteReference"/>
        </w:rPr>
        <w:footnoteReference w:id="3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إلیه أنّ أحدا من الرجالیّین لم یصفه ب «مولی بنی هاشم». بل النجاشی و غیره، و صفوه بأنّه من موالی المهلّب، أو بنی امیّة، قال: و الأوّل أصحّ.</w:t>
      </w:r>
    </w:p>
    <w:p>
      <w:pPr>
        <w:pStyle w:val="BookText"/>
      </w:pPr>
      <w:r>
        <w:rPr>
          <w:rFonts w:ascii="IRNazanin" w:hAnsi="IRNazanin" w:eastAsia="IRNazanin" w:cs="IRNazanin"/>
          <w:lang w:bidi="fa-IR"/>
          <w:color w:val="111111"/>
          <w:sz w:val="28"/>
          <w:szCs w:val="28"/>
          <w:rtl/>
        </w:rPr>
        <w:t xml:space="preserve">و أمّا نجیّة بن إسحاق فلم یعنون فی کتب الرجال و إنّما المعنون «نجیّة بن الحارث» فلاحظ.</w:t>
      </w:r>
    </w:p>
    <w:p>
      <w:pPr>
        <w:pStyle w:val="BookText"/>
      </w:pPr>
      <w:r>
        <w:rPr>
          <w:rFonts w:ascii="IRNazanin" w:hAnsi="IRNazanin" w:eastAsia="IRNazanin" w:cs="IRNazanin"/>
          <w:lang w:bidi="fa-IR"/>
          <w:color w:val="111111"/>
          <w:sz w:val="28"/>
          <w:szCs w:val="28"/>
          <w:rtl/>
        </w:rPr>
        <w:t xml:space="preserve">3 - معاویة بن حفص: روی الصّدوق عن شیخه محمّد بن الحسن بن الولید (المتوفّی عام 343) قال: حدّثنا محمّد بن الحسن الصفّار قال: حدّثنا</w:t>
      </w:r>
    </w:p>
    <w:p>
      <w:pPr>
        <w:pStyle w:val="BookText"/>
      </w:pPr>
      <w:r>
        <w:rPr>
          <w:rFonts w:ascii="IRNazanin" w:hAnsi="IRNazanin" w:eastAsia="IRNazanin" w:cs="IRNazanin"/>
          <w:lang w:bidi="fa-IR"/>
          <w:color w:val="111111"/>
          <w:sz w:val="28"/>
          <w:szCs w:val="28"/>
          <w:rtl/>
        </w:rPr>
        <w:t xml:space="preserve">[شماره صفحه واقعی : 219]</w:t>
      </w:r>
    </w:p>
    <w:p>
      <w:pPr>
        <w:pStyle w:val="BookText"/>
      </w:pPr>
      <w:r>
        <w:rPr>
          <w:rFonts w:ascii="IRNazanin" w:hAnsi="IRNazanin" w:eastAsia="IRNazanin" w:cs="IRNazanin"/>
          <w:lang w:bidi="fa-IR"/>
          <w:color w:val="111111"/>
          <w:sz w:val="28"/>
          <w:szCs w:val="28"/>
          <w:rtl/>
        </w:rPr>
        <w:t xml:space="preserve">ص: 937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الحسن بن أبان، عن الحسین بن سعید، عن ابن أبی عمیر، عن حمّاد بن عثمان، و معاویة بن حفص، عن منصور، جمیعا عن أبی عبد اللّه - علیه السلام - قال: «کان أبو عبد اللّه - علیه السلام - فی المسجد الحرام... الخ»</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عدّ المؤلّف معاویة بن حفص، من مشایخ ابن أبی عمیر. و هو غیر معنون فی الکتب الرجالیّة و لکن الدقّة فی طبقات الرواة و ملاحظة لفظة «جمیعا» تدلّ علی خلافه، إذ لا معنی لإرجاع «جمیعا» فی قوله «عن منصور جمیعا» إلی منصور، فإنّه شخص واحد، فهذان الأمران، أی ملاحظة طبقات الوسائط، و لفظة «جمیعا»، تقتضیان کون معاویة بن حفص، معطوفا علی ابن أبی عمیر، لا علی حمّاد بن عثمان، ففی الحقیقة یروی الحسین بن سعید عن الإمام الصادق - علیه السلام - بسندین:</w:t>
      </w:r>
    </w:p>
    <w:p>
      <w:pPr>
        <w:pStyle w:val="BookText"/>
      </w:pPr>
      <w:r>
        <w:rPr>
          <w:rFonts w:ascii="IRNazanin" w:hAnsi="IRNazanin" w:eastAsia="IRNazanin" w:cs="IRNazanin"/>
          <w:lang w:bidi="fa-IR"/>
          <w:color w:val="111111"/>
          <w:sz w:val="28"/>
          <w:szCs w:val="28"/>
          <w:rtl/>
        </w:rPr>
        <w:t xml:space="preserve">1 - الحسین بن سعید، عن ابن أبی عمیر، عن حمّاد، عن أبی عبد اللّه - علیه السلام -.</w:t>
      </w:r>
    </w:p>
    <w:p>
      <w:pPr>
        <w:pStyle w:val="BookText"/>
      </w:pPr>
      <w:r>
        <w:rPr>
          <w:rFonts w:ascii="IRNazanin" w:hAnsi="IRNazanin" w:eastAsia="IRNazanin" w:cs="IRNazanin"/>
          <w:lang w:bidi="fa-IR"/>
          <w:color w:val="111111"/>
          <w:sz w:val="28"/>
          <w:szCs w:val="28"/>
          <w:rtl/>
        </w:rPr>
        <w:t xml:space="preserve">2 - الحسین بن سعید، عن معاویة بن حفص، عن منصور، عن أبی عبد اللّه - علیه السلام -.</w:t>
      </w:r>
    </w:p>
    <w:p>
      <w:pPr>
        <w:pStyle w:val="BookText"/>
      </w:pPr>
      <w:r>
        <w:rPr>
          <w:rFonts w:ascii="IRNazanin" w:hAnsi="IRNazanin" w:eastAsia="IRNazanin" w:cs="IRNazanin"/>
          <w:lang w:bidi="fa-IR"/>
          <w:color w:val="111111"/>
          <w:sz w:val="28"/>
          <w:szCs w:val="28"/>
          <w:rtl/>
        </w:rPr>
        <w:t xml:space="preserve">و علی ذلک فمعاویة بن حفص، فی نفس طبقة ابن أبی عمیر، لا من مشایخه.</w:t>
      </w:r>
    </w:p>
    <w:p>
      <w:pPr>
        <w:pStyle w:val="BookText"/>
      </w:pPr>
      <w:r>
        <w:rPr>
          <w:rFonts w:ascii="IRNazanin" w:hAnsi="IRNazanin" w:eastAsia="IRNazanin" w:cs="IRNazanin"/>
          <w:lang w:bidi="fa-IR"/>
          <w:color w:val="111111"/>
          <w:sz w:val="28"/>
          <w:szCs w:val="28"/>
          <w:rtl/>
        </w:rPr>
        <w:t xml:space="preserve">4 - عبد الرّحمن بن أبی نجران: روی الشّیخ فی «التهذیب» عن الحسین بن سعید، عن فضالة بن أیّوب، و محمّد بن أبی عمیر، و صفوان بن یحیی، عن جمیل و عبد الرّحمن بن أبی نجران، عن محمّد بن حمران قال:</w:t>
      </w:r>
    </w:p>
    <w:p>
      <w:pPr>
        <w:pStyle w:val="BookText"/>
      </w:pPr>
      <w:r>
        <w:rPr>
          <w:rFonts w:ascii="IRNazanin" w:hAnsi="IRNazanin" w:eastAsia="IRNazanin" w:cs="IRNazanin"/>
          <w:lang w:bidi="fa-IR"/>
          <w:color w:val="111111"/>
          <w:sz w:val="28"/>
          <w:szCs w:val="28"/>
          <w:rtl/>
        </w:rPr>
        <w:t xml:space="preserve">«سألت أبا عبد اللّه - علیه السلام - عن النّبت الّذی فی أرض الحرم،</w:t>
      </w:r>
    </w:p>
    <w:p>
      <w:pPr>
        <w:pStyle w:val="BookText"/>
      </w:pPr>
      <w:r>
        <w:rPr>
          <w:rFonts w:ascii="IRNazanin" w:hAnsi="IRNazanin" w:eastAsia="IRNazanin" w:cs="IRNazanin"/>
          <w:lang w:bidi="fa-IR"/>
          <w:color w:val="111111"/>
          <w:sz w:val="28"/>
          <w:szCs w:val="28"/>
          <w:rtl/>
        </w:rPr>
        <w:t xml:space="preserve">[شماره صفحه واقعی : 220]</w:t>
      </w:r>
    </w:p>
    <w:p>
      <w:pPr>
        <w:pStyle w:val="BookText"/>
      </w:pPr>
      <w:r>
        <w:rPr>
          <w:rFonts w:ascii="IRNazanin" w:hAnsi="IRNazanin" w:eastAsia="IRNazanin" w:cs="IRNazanin"/>
          <w:lang w:bidi="fa-IR"/>
          <w:color w:val="111111"/>
          <w:sz w:val="28"/>
          <w:szCs w:val="28"/>
          <w:rtl/>
        </w:rPr>
        <w:t xml:space="preserve">ص: 938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أینزع... الخ»</w:t>
      </w:r>
      <w:r>
        <w:rPr>
          <w:rStyle w:val="FootnoteReference"/>
        </w:rPr>
        <w:footnoteReference w:id="3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فزعم المؤلّف أنّ عبد الرحمن بن أبی نجران من مشایخ ابن أبی عمیر و هو ثقة أیضا.</w:t>
      </w:r>
    </w:p>
    <w:p>
      <w:pPr>
        <w:pStyle w:val="BookText"/>
      </w:pPr>
      <w:r>
        <w:rPr>
          <w:rFonts w:ascii="IRNazanin" w:hAnsi="IRNazanin" w:eastAsia="IRNazanin" w:cs="IRNazanin"/>
          <w:lang w:bidi="fa-IR"/>
          <w:color w:val="111111"/>
          <w:sz w:val="28"/>
          <w:szCs w:val="28"/>
          <w:rtl/>
        </w:rPr>
        <w:t xml:space="preserve">و الاستظهار مبنیّ علی أنّ عبد الرّحمن عطف علی جمیل، و هو غیر صحیح. لأنّ عبد الرّحمن لیس فی طبقة «جمیل بن درّاج» الّذی هو من تلامذة الإمام الصّادق - علیه السلام -. بل أبوه «أبو نجران» من أفراد تلک الطّبقة. قال النجاشی: «عبد الرحمن بن أبی نجران: کوفیّ روی عن الرضا، و روی أبوه، أبو نجران، عن أبی عبد اللّه - علیه السلام -» و علی ذلک فعبد الرحمن من رواة طبقة ابن أبی عمیر، لا من مشایخه. و یؤیّده روایة «عبد اللّه بن محمّد بن خالد» الّذی هو من رواة الطّبقة المتأخرة عن ابن أبی عمیر، عن عبد الرحمن بن أبی نجران، کما فی «رجال النجاشی» و علی ذلک فمفاد السند:</w:t>
      </w:r>
    </w:p>
    <w:p>
      <w:pPr>
        <w:pStyle w:val="BookText"/>
      </w:pPr>
      <w:r>
        <w:rPr>
          <w:rFonts w:ascii="IRNazanin" w:hAnsi="IRNazanin" w:eastAsia="IRNazanin" w:cs="IRNazanin"/>
          <w:lang w:bidi="fa-IR"/>
          <w:color w:val="111111"/>
          <w:sz w:val="28"/>
          <w:szCs w:val="28"/>
          <w:rtl/>
        </w:rPr>
        <w:t xml:space="preserve">أنّ الحسین بن سعید تارة یروی عن فضالة بن أیّوب، و محمّد بن أبی عمیر، و صفوان بن یحیی، عن جمیل، عن أبی عبد اللّه - علیه السلام -.</w:t>
      </w:r>
    </w:p>
    <w:p>
      <w:pPr>
        <w:pStyle w:val="BookText"/>
      </w:pPr>
      <w:r>
        <w:rPr>
          <w:rFonts w:ascii="IRNazanin" w:hAnsi="IRNazanin" w:eastAsia="IRNazanin" w:cs="IRNazanin"/>
          <w:lang w:bidi="fa-IR"/>
          <w:color w:val="111111"/>
          <w:sz w:val="28"/>
          <w:szCs w:val="28"/>
          <w:rtl/>
        </w:rPr>
        <w:t xml:space="preserve">و اخری یروی عن عبد الرحمن بن أبی نجران، عن محمّد بن حمران، عن أبی عبد اللّه - علیه السلام -. و بالنتیجة؛ إنّ عبد الرحمن عطف علی فضالة ابن أیّوب، لا علی جمیل.</w:t>
      </w:r>
    </w:p>
    <w:p>
      <w:pPr>
        <w:pStyle w:val="BookText"/>
      </w:pPr>
      <w:r>
        <w:rPr>
          <w:rFonts w:ascii="IRNazanin" w:hAnsi="IRNazanin" w:eastAsia="IRNazanin" w:cs="IRNazanin"/>
          <w:lang w:bidi="fa-IR"/>
          <w:color w:val="111111"/>
          <w:sz w:val="28"/>
          <w:szCs w:val="28"/>
          <w:rtl/>
        </w:rPr>
        <w:t xml:space="preserve">و یوضح ذلک ما رواه الشّیخ فی «التّهذیب» عن الحسین بن سعید، عن صفوان، عن جمیل بن درّاج. و ابن أبی نجران، عن محمّد بن حمران، جمیعا، عن إسماعیل الجعفی</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221]</w:t>
      </w:r>
    </w:p>
    <w:p>
      <w:pPr>
        <w:pStyle w:val="BookText"/>
      </w:pPr>
      <w:r>
        <w:rPr>
          <w:rFonts w:ascii="IRNazanin" w:hAnsi="IRNazanin" w:eastAsia="IRNazanin" w:cs="IRNazanin"/>
          <w:lang w:bidi="fa-IR"/>
          <w:color w:val="111111"/>
          <w:sz w:val="28"/>
          <w:szCs w:val="28"/>
          <w:rtl/>
        </w:rPr>
        <w:t xml:space="preserve">ص: 939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فالحسین تارة یروی عن صفوان، عن جمیل بن درّاج، عن إسماعیل الجعفی، عن أبی جعفر - علیه السلام -. و اخری عن ابن أبی نجران، عن محمّد بن حمران، عن اسماعیل الجعفی، عن الإمام الباقر - علیه السلام -.</w:t>
      </w:r>
    </w:p>
    <w:p>
      <w:pPr>
        <w:pStyle w:val="BookText"/>
      </w:pPr>
      <w:r>
        <w:rPr>
          <w:rFonts w:ascii="IRNazanin" w:hAnsi="IRNazanin" w:eastAsia="IRNazanin" w:cs="IRNazanin"/>
          <w:lang w:bidi="fa-IR"/>
          <w:color w:val="111111"/>
          <w:sz w:val="28"/>
          <w:szCs w:val="28"/>
          <w:rtl/>
        </w:rPr>
        <w:t xml:space="preserve">و إنّما توسّط الجعفی بین محمّد بن حمران و الإمام، لأجل کون الروایة السابقة عن الإمام الصادق - علیه السلام -، فیصحّ لمحمّد بن حمران الرّوایة عنه، بخلاف هذه الرّوایة. فإنّ المرویّ عنه هو أبو جعفر الباقر - علیه السلام -، فیحتاج إلی توسّط راو آخر بینه و بین أبی جعفر الباقر - علیه السلام -.</w:t>
      </w:r>
    </w:p>
    <w:p>
      <w:pPr>
        <w:pStyle w:val="BookText"/>
      </w:pPr>
      <w:r>
        <w:rPr>
          <w:rFonts w:ascii="IRNazanin" w:hAnsi="IRNazanin" w:eastAsia="IRNazanin" w:cs="IRNazanin"/>
          <w:lang w:bidi="fa-IR"/>
          <w:color w:val="111111"/>
          <w:sz w:val="28"/>
          <w:szCs w:val="28"/>
          <w:rtl/>
        </w:rPr>
        <w:t xml:space="preserve">5 - المعلّی بن خنیس: روی الشّیخ بإسناده عن الحسن بن محمّد بن سماعة، عن محمّد بن زیاد یعنی ابن أبی عمیر، عن معلّی بن خنیس، قال:</w:t>
      </w:r>
    </w:p>
    <w:p>
      <w:pPr>
        <w:pStyle w:val="BookText"/>
      </w:pPr>
      <w:r>
        <w:rPr>
          <w:rFonts w:ascii="IRNazanin" w:hAnsi="IRNazanin" w:eastAsia="IRNazanin" w:cs="IRNazanin"/>
          <w:lang w:bidi="fa-IR"/>
          <w:color w:val="111111"/>
          <w:sz w:val="28"/>
          <w:szCs w:val="28"/>
          <w:rtl/>
        </w:rPr>
        <w:t xml:space="preserve">قلت لأبی عبد اللّه - علیه السلام -: «أشتری الزّرع؟ قال: إذا کان علی قدر شبر»</w:t>
      </w:r>
      <w:r>
        <w:rPr>
          <w:rStyle w:val="FootnoteReference"/>
        </w:rPr>
        <w:footnoteReference w:id="3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صاحب «مشایخ الثّقات» روایته عنه عن رجال الکشّی (الرقم 460).</w:t>
      </w:r>
    </w:p>
    <w:p>
      <w:pPr>
        <w:pStyle w:val="BookText"/>
      </w:pPr>
      <w:r>
        <w:rPr>
          <w:rFonts w:ascii="IRNazanin" w:hAnsi="IRNazanin" w:eastAsia="IRNazanin" w:cs="IRNazanin"/>
          <w:lang w:bidi="fa-IR"/>
          <w:color w:val="111111"/>
          <w:sz w:val="28"/>
          <w:szCs w:val="28"/>
          <w:rtl/>
        </w:rPr>
        <w:t xml:space="preserve">و الظّاهر سقوط الواسطة بین ابن أبی عمیر و المعلّی، لأنّه قتل فی زمان الإمام الصادق - علیه السلام -. قتله داود بن علی بأمر المنصور. و من البعید أن یروی عنه ابن أبی عمیر (المتوفّی عام 217). لأنّ داود بن علی توفّی عام 133 کما نقله الجزری فی الکامل</w:t>
      </w:r>
      <w:r>
        <w:rPr>
          <w:rStyle w:val="FootnoteReference"/>
        </w:rPr>
        <w:footnoteReference w:id="3879"/>
      </w:r>
      <w:r>
        <w:rPr>
          <w:rFonts w:ascii="IRNazanin" w:hAnsi="IRNazanin" w:eastAsia="IRNazanin" w:cs="IRNazanin"/>
          <w:lang w:bidi="fa-IR"/>
          <w:color w:val="111111"/>
          <w:sz w:val="28"/>
          <w:szCs w:val="28"/>
          <w:rtl/>
        </w:rPr>
        <w:t xml:space="preserve">، فالمعلّی قتل قبل هذا العام، و علیه لا یمکن لابن أبی عمیر أن ینقل منه الحدیث إلاّ إذا کان من موالید 117، و عند ذلک یکون من المعمّرین الّذین عاشوا قرابة مائة سنة، و لو کان کذلک، لذکروه فی حقّه، لأنّه من الشخصیّات البارزة عند الشّیعة، و یؤیّد ذلک أنّ صفوان بن یحیی (المتوفّی عام 210) یروی کتاب المعلّی، عنه بواسطة معلّی بن زید</w:t>
      </w:r>
    </w:p>
    <w:p>
      <w:pPr>
        <w:pStyle w:val="BookText"/>
      </w:pPr>
      <w:r>
        <w:rPr>
          <w:rFonts w:ascii="IRNazanin" w:hAnsi="IRNazanin" w:eastAsia="IRNazanin" w:cs="IRNazanin"/>
          <w:lang w:bidi="fa-IR"/>
          <w:color w:val="111111"/>
          <w:sz w:val="28"/>
          <w:szCs w:val="28"/>
          <w:rtl/>
        </w:rPr>
        <w:t xml:space="preserve">[شماره صفحه واقعی : 222]</w:t>
      </w:r>
    </w:p>
    <w:p>
      <w:pPr>
        <w:pStyle w:val="BookText"/>
      </w:pPr>
      <w:r>
        <w:rPr>
          <w:rFonts w:ascii="IRNazanin" w:hAnsi="IRNazanin" w:eastAsia="IRNazanin" w:cs="IRNazanin"/>
          <w:lang w:bidi="fa-IR"/>
          <w:color w:val="111111"/>
          <w:sz w:val="28"/>
          <w:szCs w:val="28"/>
          <w:rtl/>
        </w:rPr>
        <w:t xml:space="preserve">ص: 940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الأحول. لاحظ رجال النجاشی (الرقم: 1114).</w:t>
      </w:r>
    </w:p>
    <w:p>
      <w:pPr>
        <w:pStyle w:val="BookText"/>
      </w:pPr>
      <w:r>
        <w:rPr>
          <w:rFonts w:ascii="IRNazanin" w:hAnsi="IRNazanin" w:eastAsia="IRNazanin" w:cs="IRNazanin"/>
          <w:lang w:bidi="fa-IR"/>
          <w:color w:val="111111"/>
          <w:sz w:val="28"/>
          <w:szCs w:val="28"/>
          <w:rtl/>
        </w:rPr>
        <w:t xml:space="preserve">فالنتیجة؛ أنّ المعلّی لیس من مشایخ ابن أبی عمیر، سواء کان ثقة کما هو الأصحّ بل الصّحیح، أم لا.</w:t>
      </w:r>
    </w:p>
    <w:p>
      <w:pPr>
        <w:pStyle w:val="BookText"/>
      </w:pPr>
      <w:r>
        <w:rPr>
          <w:rFonts w:ascii="IRNazanin" w:hAnsi="IRNazanin" w:eastAsia="IRNazanin" w:cs="IRNazanin"/>
          <w:lang w:bidi="fa-IR"/>
          <w:color w:val="111111"/>
          <w:sz w:val="28"/>
          <w:szCs w:val="28"/>
          <w:rtl/>
        </w:rPr>
        <w:t xml:space="preserve">و هذا قلیل من کثیر ممّن عدّوا من مشایخه، و لیسوا منه، و إنّما قدّمنا ذلک لتکن کالمقدّمة لحلّ بعض النّقوض الّتی اوردت علی الضابطة.</w:t>
      </w:r>
    </w:p>
    <w:p>
      <w:pPr>
        <w:pStyle w:val="BookText"/>
      </w:pPr>
      <w:r>
        <w:rPr>
          <w:rFonts w:ascii="IRNazanin" w:hAnsi="IRNazanin" w:eastAsia="IRNazanin" w:cs="IRNazanin"/>
          <w:lang w:bidi="fa-IR"/>
          <w:color w:val="111111"/>
          <w:sz w:val="28"/>
          <w:szCs w:val="28"/>
          <w:rtl/>
        </w:rPr>
        <w:t xml:space="preserve">الخامس: هل المراد من قوله: «فإن کان ممّن یعلم أنّه لا یرسل إلاّ عن ثقة موثوق به، فلا ترجیح لخبر غیره علی خبره» هو الانسان الموثوق به، سواء أکان امامیّا أم غیره، أو خصوص العدل الإمامی؟</w:t>
      </w:r>
    </w:p>
    <w:p>
      <w:pPr>
        <w:pStyle w:val="BookText"/>
      </w:pPr>
      <w:r>
        <w:rPr>
          <w:rFonts w:ascii="IRNazanin" w:hAnsi="IRNazanin" w:eastAsia="IRNazanin" w:cs="IRNazanin"/>
          <w:lang w:bidi="fa-IR"/>
          <w:color w:val="111111"/>
          <w:sz w:val="28"/>
          <w:szCs w:val="28"/>
          <w:rtl/>
        </w:rPr>
        <w:t xml:space="preserve">توضیحه؛ أنّه قد تطلق الثّقة و یراد منها الصّدوق لسانا و إن کان عاصیا بالجوارح، و هی فی مقابل الکذوب الّذی یعصی بلسانه، کما یعصی بسائر أعضائه، و هذا هو الظّاهر عند التوصیف بأنّه ثقة فی الحدیث.</w:t>
      </w:r>
    </w:p>
    <w:p>
      <w:pPr>
        <w:pStyle w:val="BookText"/>
      </w:pPr>
      <w:r>
        <w:rPr>
          <w:rFonts w:ascii="IRNazanin" w:hAnsi="IRNazanin" w:eastAsia="IRNazanin" w:cs="IRNazanin"/>
          <w:lang w:bidi="fa-IR"/>
          <w:color w:val="111111"/>
          <w:sz w:val="28"/>
          <w:szCs w:val="28"/>
          <w:rtl/>
        </w:rPr>
        <w:t xml:space="preserve">و قد تطلق و یراد منها المتحرّز عن المعاصی کلّها، و منها الکذب، سواء کان امامیّا أم غیره. و الوثاقة بهذا المعنی فی الراوی توجب کون خبره موثّقا لا صحیحا.</w:t>
      </w:r>
    </w:p>
    <w:p>
      <w:pPr>
        <w:pStyle w:val="BookText"/>
      </w:pPr>
      <w:r>
        <w:rPr>
          <w:rFonts w:ascii="IRNazanin" w:hAnsi="IRNazanin" w:eastAsia="IRNazanin" w:cs="IRNazanin"/>
          <w:lang w:bidi="fa-IR"/>
          <w:color w:val="111111"/>
          <w:sz w:val="28"/>
          <w:szCs w:val="28"/>
          <w:rtl/>
        </w:rPr>
        <w:t xml:space="preserve">و قد تطلق و یراد ذاک المعنی بإضافة کونه صحیح المذهب، أی کونه إمامیّا.</w:t>
      </w:r>
    </w:p>
    <w:p>
      <w:pPr>
        <w:pStyle w:val="BookText"/>
      </w:pPr>
      <w:r>
        <w:rPr>
          <w:rFonts w:ascii="IRNazanin" w:hAnsi="IRNazanin" w:eastAsia="IRNazanin" w:cs="IRNazanin"/>
          <w:lang w:bidi="fa-IR"/>
          <w:color w:val="111111"/>
          <w:sz w:val="28"/>
          <w:szCs w:val="28"/>
          <w:rtl/>
        </w:rPr>
        <w:t xml:space="preserve">إنّ بعض الأجلّة استظهر أنّ المراد منها فی عبارة الشیخ هو المعنی الثالث، فقال ما هذا مفاده:</w:t>
      </w:r>
    </w:p>
    <w:p>
      <w:pPr>
        <w:pStyle w:val="BookText"/>
      </w:pPr>
      <w:r>
        <w:rPr>
          <w:rFonts w:ascii="IRNazanin" w:hAnsi="IRNazanin" w:eastAsia="IRNazanin" w:cs="IRNazanin"/>
          <w:lang w:bidi="fa-IR"/>
          <w:color w:val="111111"/>
          <w:sz w:val="28"/>
          <w:szCs w:val="28"/>
          <w:rtl/>
        </w:rPr>
        <w:t xml:space="preserve">1 - ذکر الشّیخ عند البحث عن ترجیح أحد الخبرین علی الآخر، بأنّ روایة المخالف شیعیّا کان أم غیره، إنّما یحتجّ بها إذا لم یکن فی مقابلها خبر مخالف مرویّ من الفرقة المحقّة، و إلاّ فلا یحتجّ بها، و إلیک نصّه: «فأمّا إذا کان مخالفا فی الاعتقاد لأصل المذهب، و روی مع ذلک عن الأئمّة - علیهم</w:t>
      </w:r>
    </w:p>
    <w:p>
      <w:pPr>
        <w:pStyle w:val="BookText"/>
      </w:pPr>
      <w:r>
        <w:rPr>
          <w:rFonts w:ascii="IRNazanin" w:hAnsi="IRNazanin" w:eastAsia="IRNazanin" w:cs="IRNazanin"/>
          <w:lang w:bidi="fa-IR"/>
          <w:color w:val="111111"/>
          <w:sz w:val="28"/>
          <w:szCs w:val="28"/>
          <w:rtl/>
        </w:rPr>
        <w:t xml:space="preserve">[شماره صفحه واقعی : 223]</w:t>
      </w:r>
    </w:p>
    <w:p>
      <w:pPr>
        <w:pStyle w:val="BookText"/>
      </w:pPr>
      <w:r>
        <w:rPr>
          <w:rFonts w:ascii="IRNazanin" w:hAnsi="IRNazanin" w:eastAsia="IRNazanin" w:cs="IRNazanin"/>
          <w:lang w:bidi="fa-IR"/>
          <w:color w:val="111111"/>
          <w:sz w:val="28"/>
          <w:szCs w:val="28"/>
          <w:rtl/>
        </w:rPr>
        <w:t xml:space="preserve">ص: 941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 نظر فیما یرویه، فإن کان هناک من طرق الموثوق بهم ما یخالفه، وجب إطراح خبره. و إن لم یکن هناک ما یوجب إطراح خبره و یکون هناک ما یوافقه وجب العمل به، و إن لم یکن هناک من الفرقة المحقّة خبر یوافق ذلک و لا یخالفه، و لا یعرف لهم قول فیه، وجب أیضا العمل به»</w:t>
      </w:r>
      <w:r>
        <w:rPr>
          <w:rStyle w:val="FootnoteReference"/>
        </w:rPr>
        <w:footnoteReference w:id="3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نظیر ذلک فی حقّ سائر فرق الشیعة مثل الفطحیّة و الواقفة و الناووسیّة.</w:t>
      </w:r>
    </w:p>
    <w:p>
      <w:pPr>
        <w:pStyle w:val="BookText"/>
      </w:pPr>
      <w:r>
        <w:rPr>
          <w:rFonts w:ascii="IRNazanin" w:hAnsi="IRNazanin" w:eastAsia="IRNazanin" w:cs="IRNazanin"/>
          <w:lang w:bidi="fa-IR"/>
          <w:color w:val="111111"/>
          <w:sz w:val="28"/>
          <w:szCs w:val="28"/>
          <w:rtl/>
        </w:rPr>
        <w:t xml:space="preserve">2 - إنّ الطّائفة سوّت بین مراسیل الثّلاثة و مسانید غیرهم، و بما أنّ المراد من مسانید الغیر، هو الأحادیث المرویّة عن طرق أصحابنا الإمامیّة، فیجب أن یکون المراد من الثّقة الّذی یرسل عنه هؤلاء الثلاثة، العدل الإمامی، حتّی تصحّ التسویة بین مراسیل هؤلاء و مسانید غیرهم، و إلاّ فلو کان المراد منها هو الثقة بالمعنی الأعمّ، بحیث یشمل الإمامیّ و غیره من فرق الشیعة و غیرهم، لکانت التّسویة مخالفا لما حقّقه و اختاره من التّفصیل، فلا تصحّ التسویة إلاّ إذا کان الثّقة الّذی یرسل عنه ابن أبی عمیر و أضرابه، عدلا إمامیّا.</w:t>
      </w:r>
    </w:p>
    <w:p>
      <w:pPr>
        <w:pStyle w:val="BookText"/>
      </w:pPr>
      <w:r>
        <w:rPr>
          <w:rFonts w:ascii="IRNazanin" w:hAnsi="IRNazanin" w:eastAsia="IRNazanin" w:cs="IRNazanin"/>
          <w:lang w:bidi="fa-IR"/>
          <w:color w:val="111111"/>
          <w:sz w:val="28"/>
          <w:szCs w:val="28"/>
          <w:rtl/>
        </w:rPr>
        <w:t xml:space="preserve">و علی ذلک فهؤلاء الأقطاب الثّلاثة کانوا ملتزمین بأن لا یرووا إلاّ عن الثّقة بالمعنی الأخصّ، فلو وجدنا موردا من مسانید هؤلاء رووا فیه عن ضعیف فی الحدیث، أو صدوق و لکن مخالف فی المذهب، تکون القاعدة منقوضة، فلیست نقوض القاعدة منحصرة بالنّقل عن الضّعاف، بل تعمّ ما کان النّقل عن موثّق فی الحدیث مخالف للمذهب الحقّ.</w:t>
      </w:r>
    </w:p>
    <w:p>
      <w:pPr>
        <w:pStyle w:val="BookText"/>
      </w:pPr>
      <w:r>
        <w:rPr>
          <w:rFonts w:ascii="IRNazanin" w:hAnsi="IRNazanin" w:eastAsia="IRNazanin" w:cs="IRNazanin"/>
          <w:lang w:bidi="fa-IR"/>
          <w:color w:val="111111"/>
          <w:sz w:val="28"/>
          <w:szCs w:val="28"/>
          <w:rtl/>
        </w:rPr>
        <w:t xml:space="preserve">و لا یخفی أنّ ما استنبطه من کلام الشّیخ مبنیّ علی ثبوت أحد أمرین:</w:t>
      </w:r>
    </w:p>
    <w:p>
      <w:pPr>
        <w:pStyle w:val="BookText"/>
      </w:pPr>
      <w:r>
        <w:rPr>
          <w:rFonts w:ascii="IRNazanin" w:hAnsi="IRNazanin" w:eastAsia="IRNazanin" w:cs="IRNazanin"/>
          <w:lang w:bidi="fa-IR"/>
          <w:color w:val="111111"/>
          <w:sz w:val="28"/>
          <w:szCs w:val="28"/>
          <w:rtl/>
        </w:rPr>
        <w:t xml:space="preserve">الأوّل: أن یکون الثّقة فی مصطلح القدماء من یکون صدوقا إمامیّا، أو عدلا إمامیّا، بحیث یکون للاعتقاد بالمذهب الحقّ دخالة فی مفهومها حتی یحمل علیه قوله «لا یروون و لا یرسلون إلا عمّن یوثق به».</w:t>
      </w:r>
    </w:p>
    <w:p>
      <w:pPr>
        <w:pStyle w:val="BookText"/>
      </w:pPr>
      <w:r>
        <w:rPr>
          <w:rFonts w:ascii="IRNazanin" w:hAnsi="IRNazanin" w:eastAsia="IRNazanin" w:cs="IRNazanin"/>
          <w:lang w:bidi="fa-IR"/>
          <w:color w:val="111111"/>
          <w:sz w:val="28"/>
          <w:szCs w:val="28"/>
          <w:rtl/>
        </w:rPr>
        <w:t xml:space="preserve">[شماره صفحه واقعی : 224]</w:t>
      </w:r>
    </w:p>
    <w:p>
      <w:pPr>
        <w:pStyle w:val="BookText"/>
      </w:pPr>
      <w:r>
        <w:rPr>
          <w:rFonts w:ascii="IRNazanin" w:hAnsi="IRNazanin" w:eastAsia="IRNazanin" w:cs="IRNazanin"/>
          <w:lang w:bidi="fa-IR"/>
          <w:color w:val="111111"/>
          <w:sz w:val="28"/>
          <w:szCs w:val="28"/>
          <w:rtl/>
        </w:rPr>
        <w:t xml:space="preserve">ص: 942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یکون مذهبه فی حجّیة خبر الواحد هو نفس مذهب القدماء، بأن یکون المقتضی فی خبر المخالف ناقصا غیر تامّ، و لأجل ذلک لا یعارض خبر الموافق، بخلاف الموافق فإنّ الاقتضاء فیه تامّ، فیقدّم علی خبر المخالف، و لکن یعارض خبر الموافق الآخر. و فی ثبوت کلا الأمرین نظر.</w:t>
      </w:r>
    </w:p>
    <w:p>
      <w:pPr>
        <w:pStyle w:val="BookText"/>
      </w:pPr>
      <w:r>
        <w:rPr>
          <w:rFonts w:ascii="IRNazanin" w:hAnsi="IRNazanin" w:eastAsia="IRNazanin" w:cs="IRNazanin"/>
          <w:lang w:bidi="fa-IR"/>
          <w:color w:val="111111"/>
          <w:sz w:val="28"/>
          <w:szCs w:val="28"/>
          <w:rtl/>
        </w:rPr>
        <w:t xml:space="preserve">أمّا الأوّل، فلا ریب فی إفادتها المدح التامّ و کون المتّصف بها معتمدا ضابطا، و أمّا دلالتها علی کونه إمامیّا فغیر ظاهر، إلاّ إذا اقترنت بالقرائن، کما إذا کان بناء المؤلّف علی ترجمة أهل الحقّ من الرواة و ذکر غیره علی وجه الاستطراد، ففی مثل ذلک یستظهر کونها بمعنی الإمامی، کما هو الحال فی رجال النجاشی و غیره. و أمّا دلالتها علی کون الراوی إمامیّا علی وجه الإطلاق فهی غیر ثابتة، إذ لیس للثّقة إلا معنی واحد، و هو من یوثق به فی العمل الّذی نریده منه، فالوثاقة المطلوبة من الأطبّاء غیر ما تطلب من نقلة الحدیث. فیراد منها الأمین فی الموضوع الّذی تصدّی له. و علی ذلک یصیر معنی الثقة فی مورد الرواة من یوثق بروایته، و تطمئنّ النفس بها لأجل وجود مبادیء فیه تمسکه عن الکذب، و أوضح المبادیء الممسکة هو الاعتقاد باللّه و رسله و أنبیائه و معاده، سواء کان مصیبا فی سائر ما یدین، أو لا.</w:t>
      </w:r>
    </w:p>
    <w:p>
      <w:pPr>
        <w:pStyle w:val="BookText"/>
      </w:pPr>
      <w:r>
        <w:rPr>
          <w:rFonts w:ascii="IRNazanin" w:hAnsi="IRNazanin" w:eastAsia="IRNazanin" w:cs="IRNazanin"/>
          <w:lang w:bidi="fa-IR"/>
          <w:color w:val="111111"/>
          <w:sz w:val="28"/>
          <w:szCs w:val="28"/>
          <w:rtl/>
        </w:rPr>
        <w:t xml:space="preserve">نعم نقل العلاّمة المامقانی فی «مقباس الهدایة» عن بعض من عاصره بأنّه جزم باستفادة کون الراوی إمامیّا من اطلاق لفظ الثقة علیه، ما لم یصرّح بالخلاف، کما نقل عن المحقّق البهبهانی دلالته علی عدالته</w:t>
      </w:r>
      <w:r>
        <w:rPr>
          <w:rStyle w:val="FootnoteReference"/>
        </w:rPr>
        <w:footnoteReference w:id="3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کلامهما منزّل علی وجود قرائن فی کلام المستعمل تفید کلاّ من هذین القیدین، و إلاّ فهو فی مظانّ الإطلاق لا یفید سوی ما یتبادر منه عند أهل اللّغة و العرف.</w:t>
      </w:r>
    </w:p>
    <w:p>
      <w:pPr>
        <w:pStyle w:val="BookText"/>
      </w:pPr>
      <w:r>
        <w:rPr>
          <w:rFonts w:ascii="IRNazanin" w:hAnsi="IRNazanin" w:eastAsia="IRNazanin" w:cs="IRNazanin"/>
          <w:lang w:bidi="fa-IR"/>
          <w:color w:val="111111"/>
          <w:sz w:val="28"/>
          <w:szCs w:val="28"/>
          <w:rtl/>
        </w:rPr>
        <w:t xml:space="preserve">هذا و لم یعلم کون الثّقة فی کلام القدماء الذین یحکی عنهم الشیخ</w:t>
      </w:r>
    </w:p>
    <w:p>
      <w:pPr>
        <w:pStyle w:val="BookText"/>
      </w:pPr>
      <w:r>
        <w:rPr>
          <w:rFonts w:ascii="IRNazanin" w:hAnsi="IRNazanin" w:eastAsia="IRNazanin" w:cs="IRNazanin"/>
          <w:lang w:bidi="fa-IR"/>
          <w:color w:val="111111"/>
          <w:sz w:val="28"/>
          <w:szCs w:val="28"/>
          <w:rtl/>
        </w:rPr>
        <w:t xml:space="preserve">[شماره صفحه واقعی : 225]</w:t>
      </w:r>
    </w:p>
    <w:p>
      <w:pPr>
        <w:pStyle w:val="BookText"/>
      </w:pPr>
      <w:r>
        <w:rPr>
          <w:rFonts w:ascii="IRNazanin" w:hAnsi="IRNazanin" w:eastAsia="IRNazanin" w:cs="IRNazanin"/>
          <w:lang w:bidi="fa-IR"/>
          <w:color w:val="111111"/>
          <w:sz w:val="28"/>
          <w:szCs w:val="28"/>
          <w:rtl/>
        </w:rPr>
        <w:t xml:space="preserve">ص: 943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«سوّت الطائفة بین ما یرویه محمد بن أبی عمیر، و صفوان بن یحیی، و أحمد بن محمّد بن أبی نصر، و غیرهم من الثّقات الّذین عرفوا بأنهم لا یروون و لا یرسلون إلاّ عمّن یوثق به، و بین ما أسنده غیرهم» غیر معناه المتبادر عند العرف، فإنّ تفسیر «عمّن یوثق به» بالإمامیّ الصّدوق أولا الامامی العادل، یحتاج إلی قرینة دالّة علیه.</w:t>
      </w:r>
    </w:p>
    <w:p>
      <w:pPr>
        <w:pStyle w:val="BookText"/>
      </w:pPr>
      <w:r>
        <w:rPr>
          <w:rFonts w:ascii="IRNazanin" w:hAnsi="IRNazanin" w:eastAsia="IRNazanin" w:cs="IRNazanin"/>
          <w:lang w:bidi="fa-IR"/>
          <w:color w:val="111111"/>
          <w:sz w:val="28"/>
          <w:szCs w:val="28"/>
          <w:rtl/>
        </w:rPr>
        <w:t xml:space="preserve">و أمّا الثانی، فإنّ ما أفاده الشیخ من التفصیل فی أخبار غیر الإمامی إنّما هو مختار نفسه، لا خیرة الأصحاب جمیعا، و لأجل ذلک قال عند الاستدلال علی التّفصیل: «فأمّا ما اخترته من المذهب، فهو أنّ خبر الواحد إذا کان واردا من طریق أصحابنا القائلین بالامامة... الخ»</w:t>
      </w:r>
      <w:r>
        <w:rPr>
          <w:rStyle w:val="FootnoteReference"/>
        </w:rPr>
        <w:footnoteReference w:id="3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فی الاستدلال علی التّفصیل المختار علی وجه مبسوط، و یظهر من ثنایا کلامه أنّ الاصحاب یعملون بأخبار الخاطئین فی الاعتقاد مطلقا، حیث قال: «إذا علم من اعتقادهم تمسّکهم بالدّین و تحرّجهم من الکذب و وضع الأحادیث، و هذه کانت طریقة جماعة عاصروا الأئمّة - علیهم السلام -، نحو عبد اللّه بن بکیر، و سماعة بن مهران، و نحو بنی فضّال من المتأخّرین عنهم، و بنی سماعة و من شاکلهم، فإذا علمنا أنّ هؤلاء الّذین أشرنا إلیهم و إن کانوا مخطئین فی الاعتقاد من القول بالوقف و غیر ذلک، کانوا ثقاتا فی النّقل، فما یکون طریقه هؤلاء، جاز العمل به»</w:t>
      </w:r>
      <w:r>
        <w:rPr>
          <w:rStyle w:val="FootnoteReference"/>
        </w:rPr>
        <w:footnoteReference w:id="3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یظهر من بعض عبائره أنّ ما اختاره من التّفصیل هو خیرة الأصحاب أیضا</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کلّه فلا تطمئن النفس بأنّ ما اختاره هو نفس مختار قدماء</w:t>
      </w:r>
    </w:p>
    <w:p>
      <w:pPr>
        <w:pStyle w:val="BookText"/>
      </w:pPr>
      <w:r>
        <w:rPr>
          <w:rFonts w:ascii="IRNazanin" w:hAnsi="IRNazanin" w:eastAsia="IRNazanin" w:cs="IRNazanin"/>
          <w:lang w:bidi="fa-IR"/>
          <w:color w:val="111111"/>
          <w:sz w:val="28"/>
          <w:szCs w:val="28"/>
          <w:rtl/>
        </w:rPr>
        <w:t xml:space="preserve">[شماره صفحه واقعی : 226]</w:t>
      </w:r>
    </w:p>
    <w:p>
      <w:pPr>
        <w:pStyle w:val="BookText"/>
      </w:pPr>
      <w:r>
        <w:rPr>
          <w:rFonts w:ascii="IRNazanin" w:hAnsi="IRNazanin" w:eastAsia="IRNazanin" w:cs="IRNazanin"/>
          <w:lang w:bidi="fa-IR"/>
          <w:color w:val="111111"/>
          <w:sz w:val="28"/>
          <w:szCs w:val="28"/>
          <w:rtl/>
        </w:rPr>
        <w:t xml:space="preserve">ص: 944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و علی ذلک فلا یکون مختاره فی حجّیة خبر الواحد، قرینة علی أنّ المراد من الثّقة فی قولهم «لأنّهم لا یروون و لا یرسلون إلاّ عن ثقة» هو الثّقة بالمعنی الأخصّ، إلاّ إذا ثبت أنّ خیرته و خیرة الأصحاب فی حجّیة خبر الواحد سواسیة.</w:t>
      </w:r>
    </w:p>
    <w:p>
      <w:pPr>
        <w:pStyle w:val="BookText"/>
      </w:pPr>
      <w:r>
        <w:rPr>
          <w:rFonts w:ascii="IRNazanin" w:hAnsi="IRNazanin" w:eastAsia="IRNazanin" w:cs="IRNazanin"/>
          <w:lang w:bidi="fa-IR"/>
          <w:color w:val="111111"/>
          <w:sz w:val="28"/>
          <w:szCs w:val="28"/>
          <w:rtl/>
        </w:rPr>
        <w:t xml:space="preserve">و علی ذلک فینحصر النقض بما إذا ثبت روایة هؤلاء عن الضّعیف فی الروایة، لا فی المذهب و الاعتقاد و لا أقلّ یکون ذلک هو المتیقّن فی التسویة الواردة فی کلام الأصحاب.</w:t>
      </w:r>
    </w:p>
    <w:p>
      <w:pPr>
        <w:pStyle w:val="BookText"/>
      </w:pPr>
      <w:r>
        <w:rPr>
          <w:rFonts w:ascii="IRNazanin" w:hAnsi="IRNazanin" w:eastAsia="IRNazanin" w:cs="IRNazanin"/>
          <w:lang w:bidi="fa-IR"/>
          <w:color w:val="111111"/>
          <w:sz w:val="28"/>
          <w:szCs w:val="28"/>
          <w:rtl/>
        </w:rPr>
        <w:t xml:space="preserve">و بذلک یسقط النّقض بکثیر ممّن روی عنه ابن أبی عمیر و قد رموا بالناووسیّة، أو الوقف، أو الفطحیّة و العامیة، و إلیک أسامی هؤلاء سواء کانوا ثقات من غیر ذلک الوجه أم لا.</w:t>
      </w:r>
    </w:p>
    <w:p>
      <w:pPr>
        <w:pStyle w:val="BookText"/>
      </w:pPr>
      <w:r>
        <w:rPr>
          <w:rFonts w:ascii="IRNazanin" w:hAnsi="IRNazanin" w:eastAsia="IRNazanin" w:cs="IRNazanin"/>
          <w:lang w:bidi="fa-IR"/>
          <w:color w:val="111111"/>
          <w:sz w:val="28"/>
          <w:szCs w:val="28"/>
          <w:rtl/>
        </w:rPr>
        <w:t xml:space="preserve">أمّا الواقفة فیقرب من ثلاثة عشر شیخا أعنی بهم:</w:t>
      </w:r>
    </w:p>
    <w:p>
      <w:pPr>
        <w:pStyle w:val="BookText"/>
      </w:pPr>
      <w:r>
        <w:rPr>
          <w:rFonts w:ascii="IRNazanin" w:hAnsi="IRNazanin" w:eastAsia="IRNazanin" w:cs="IRNazanin"/>
          <w:lang w:bidi="fa-IR"/>
          <w:color w:val="111111"/>
          <w:sz w:val="28"/>
          <w:szCs w:val="28"/>
          <w:rtl/>
        </w:rPr>
        <w:t xml:space="preserve">1 - إبراهیم بن عبد الحمید الأسدی 2 - الحسین بن مختار 3 - حنان بن سدیر 4 - داود بن الحصین 5 - درست بن أبی منصور 6 - زکریّا المؤمن 7 - زیاد بن مروان القندی 8 - سماعة بن مهران 9 - سیف بن عمیرة 10 - عثمان بن عیسی 11 - محمّد بن إسحاق بن عمّار 12 - منصور بن یونس بزرج 13 - موسی بن بکر.</w:t>
      </w:r>
    </w:p>
    <w:p>
      <w:pPr>
        <w:pStyle w:val="BookText"/>
      </w:pPr>
      <w:r>
        <w:rPr>
          <w:rFonts w:ascii="IRNazanin" w:hAnsi="IRNazanin" w:eastAsia="IRNazanin" w:cs="IRNazanin"/>
          <w:lang w:bidi="fa-IR"/>
          <w:color w:val="111111"/>
          <w:sz w:val="28"/>
          <w:szCs w:val="28"/>
          <w:rtl/>
        </w:rPr>
        <w:t xml:space="preserve">و أمّا الفطحیّة من مشایخه فنذکر منهم:</w:t>
      </w:r>
    </w:p>
    <w:p>
      <w:pPr>
        <w:pStyle w:val="BookText"/>
      </w:pPr>
      <w:r>
        <w:rPr>
          <w:rFonts w:ascii="IRNazanin" w:hAnsi="IRNazanin" w:eastAsia="IRNazanin" w:cs="IRNazanin"/>
          <w:lang w:bidi="fa-IR"/>
          <w:color w:val="111111"/>
          <w:sz w:val="28"/>
          <w:szCs w:val="28"/>
          <w:rtl/>
        </w:rPr>
        <w:t xml:space="preserve">14 - إسحاق بن عمّار الساباطی 15 - إسماعیل بن عمّار 16 - یونس بن یعقوب 17 - عبد اللّه بن بکیر 18 - خالد بن نجیح جوّان</w:t>
      </w:r>
      <w:r>
        <w:rPr>
          <w:rStyle w:val="FootnoteReference"/>
        </w:rPr>
        <w:footnoteReference w:id="3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عن جماعة من العامّة فنذکر منهم:</w:t>
      </w:r>
    </w:p>
    <w:p>
      <w:pPr>
        <w:pStyle w:val="BookText"/>
      </w:pPr>
      <w:r>
        <w:rPr>
          <w:rFonts w:ascii="IRNazanin" w:hAnsi="IRNazanin" w:eastAsia="IRNazanin" w:cs="IRNazanin"/>
          <w:lang w:bidi="fa-IR"/>
          <w:color w:val="111111"/>
          <w:sz w:val="28"/>
          <w:szCs w:val="28"/>
          <w:rtl/>
        </w:rPr>
        <w:t xml:space="preserve">[شماره صفحه واقعی : 227]</w:t>
      </w:r>
    </w:p>
    <w:p>
      <w:pPr>
        <w:pStyle w:val="BookText"/>
      </w:pPr>
      <w:r>
        <w:rPr>
          <w:rFonts w:ascii="IRNazanin" w:hAnsi="IRNazanin" w:eastAsia="IRNazanin" w:cs="IRNazanin"/>
          <w:lang w:bidi="fa-IR"/>
          <w:color w:val="111111"/>
          <w:sz w:val="28"/>
          <w:szCs w:val="28"/>
          <w:rtl/>
        </w:rPr>
        <w:t xml:space="preserve">ص: 945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مالک بن أنس علی ما فی فهرس الشیخ فی ترجمة مالک 20 - محمّد بن عبد الرحمن بن أبی لیلی القاضی المعروف، کما فی کمال الدین ص 21.411 - محمّد بن یحیی الخثعمی علی ما فی فهرس الشیخ فی ترجمته. 22 - أبا حنیفة علی ما فی الاختصاص ص 109.</w:t>
      </w:r>
    </w:p>
    <w:p>
      <w:pPr>
        <w:pStyle w:val="BookText"/>
      </w:pPr>
      <w:r>
        <w:rPr>
          <w:rFonts w:ascii="IRNazanin" w:hAnsi="IRNazanin" w:eastAsia="IRNazanin" w:cs="IRNazanin"/>
          <w:lang w:bidi="fa-IR"/>
          <w:color w:val="111111"/>
          <w:sz w:val="28"/>
          <w:szCs w:val="28"/>
          <w:rtl/>
        </w:rPr>
        <w:t xml:space="preserve">و قد روی عن بعض الزیدیّة نظیر 23 - زیاد بن المنذر علی ما فی فهرس الشیخ.</w:t>
      </w:r>
    </w:p>
    <w:p>
      <w:pPr>
        <w:pStyle w:val="BookText"/>
      </w:pPr>
      <w:r>
        <w:rPr>
          <w:rFonts w:ascii="IRNazanin" w:hAnsi="IRNazanin" w:eastAsia="IRNazanin" w:cs="IRNazanin"/>
          <w:lang w:bidi="fa-IR"/>
          <w:color w:val="111111"/>
          <w:sz w:val="28"/>
          <w:szCs w:val="28"/>
          <w:rtl/>
        </w:rPr>
        <w:t xml:space="preserve">و قد روی عن بعض الناووسیة مثل أبان بن عثمان المرمیّ بالناووسیة، و إن کان الحقّ براءته منها. و علی الجملة فروایته عن هؤلاء من أجل کونهم من الواقفة و الفطحیّة، أو العامّة، لا تعدّ نقضا إذا کانوا ثقات فی الروایة، و إنّما تعدّ نقضا إذا کانوا ضعافا فی نقل الحدیث.</w:t>
      </w:r>
    </w:p>
    <w:p>
      <w:pPr>
        <w:pStyle w:val="BookText"/>
      </w:pPr>
      <w:r>
        <w:rPr>
          <w:rFonts w:ascii="IRNazanin" w:hAnsi="IRNazanin" w:eastAsia="IRNazanin" w:cs="IRNazanin"/>
          <w:lang w:bidi="fa-IR"/>
          <w:color w:val="111111"/>
          <w:sz w:val="28"/>
          <w:szCs w:val="28"/>
          <w:rtl/>
        </w:rPr>
        <w:t xml:space="preserve">السادس: إنّ القدر المتیقّن من التزامه بکون المرویّ عنه ثقة، إذا کان روی عنه بلا واسطة، و أمّا النقل بواسطة فلم یظهر من العبارة التزامه به أیضا، و لأجل ذلک لو ثبت نقله عن غیر ثقة بواسطة الثقة فلا یعدّ نقضا.</w:t>
      </w:r>
    </w:p>
    <w:p>
      <w:pPr>
        <w:pStyle w:val="BookText"/>
      </w:pPr>
      <w:r>
        <w:rPr>
          <w:rFonts w:ascii="IRNazanin" w:hAnsi="IRNazanin" w:eastAsia="IRNazanin" w:cs="IRNazanin"/>
          <w:lang w:bidi="fa-IR"/>
          <w:color w:val="111111"/>
          <w:sz w:val="28"/>
          <w:szCs w:val="28"/>
          <w:rtl/>
        </w:rPr>
        <w:t xml:space="preserve">و بذلک یظهر أنّ حجّیة مراسیله مختصّة بما إذا أرسل عن واسطة واحدة، کما إذا قال: عن رجل، عن أبی عبد اللّه - علیه السلام -. و أمّا إذا علم أنّ الارسال بواسطتین، فیشکل الأخذ به إلاّ ببعض المحاولات الّتی سنشیر إلیها فی خاتمة البحث.</w:t>
      </w:r>
    </w:p>
    <w:p>
      <w:pPr>
        <w:pStyle w:val="BookText"/>
      </w:pPr>
      <w:r>
        <w:rPr>
          <w:rFonts w:ascii="IRNazanin" w:hAnsi="IRNazanin" w:eastAsia="IRNazanin" w:cs="IRNazanin"/>
          <w:lang w:bidi="fa-IR"/>
          <w:color w:val="111111"/>
          <w:sz w:val="28"/>
          <w:szCs w:val="28"/>
          <w:rtl/>
        </w:rPr>
        <w:t xml:space="preserve">السابع: قد عرفت الایعاز علی أنّ الشهید الثّانی استشکل علی هذه التّسویة - کما نقله المحدّث النوری فی مستدرکه - و تبعه سبطه صاحب المدارک و ولده فی المعالم، و قد کان الوالد المغفور له، ینقل عن شیخه «شیخ الشریعة الاصفهانی» أنّه کان معترضا علی هذه التسویة و غیر مؤمن بصحّتها، و قد صبّ صاحب معجم الرجال</w:t>
      </w:r>
      <w:r>
        <w:rPr>
          <w:rStyle w:val="FootnoteReference"/>
        </w:rPr>
        <w:footnoteReference w:id="3886"/>
      </w:r>
      <w:r>
        <w:rPr>
          <w:rFonts w:ascii="IRNazanin" w:hAnsi="IRNazanin" w:eastAsia="IRNazanin" w:cs="IRNazanin"/>
          <w:lang w:bidi="fa-IR"/>
          <w:color w:val="111111"/>
          <w:sz w:val="28"/>
          <w:szCs w:val="28"/>
          <w:rtl/>
        </w:rPr>
        <w:t xml:space="preserve">ما ذکره الشهید، و ما أضاف إلیه، فی قوالب</w:t>
      </w:r>
    </w:p>
    <w:p>
      <w:pPr>
        <w:pStyle w:val="BookText"/>
      </w:pPr>
      <w:r>
        <w:rPr>
          <w:rFonts w:ascii="IRNazanin" w:hAnsi="IRNazanin" w:eastAsia="IRNazanin" w:cs="IRNazanin"/>
          <w:lang w:bidi="fa-IR"/>
          <w:color w:val="111111"/>
          <w:sz w:val="28"/>
          <w:szCs w:val="28"/>
          <w:rtl/>
        </w:rPr>
        <w:t xml:space="preserve">[شماره صفحه واقعی : 228]</w:t>
      </w:r>
    </w:p>
    <w:p>
      <w:pPr>
        <w:pStyle w:val="BookText"/>
      </w:pPr>
      <w:r>
        <w:rPr>
          <w:rFonts w:ascii="IRNazanin" w:hAnsi="IRNazanin" w:eastAsia="IRNazanin" w:cs="IRNazanin"/>
          <w:lang w:bidi="fa-IR"/>
          <w:color w:val="111111"/>
          <w:sz w:val="28"/>
          <w:szCs w:val="28"/>
          <w:rtl/>
        </w:rPr>
        <w:t xml:space="preserve">ص: 946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و نحن نذکر الجمیع مع ما یمکن أن یقال فی دفعه فقال - دام ظله -:</w:t>
      </w:r>
    </w:p>
    <w:p>
      <w:pPr>
        <w:pStyle w:val="BookText"/>
      </w:pPr>
      <w:r>
        <w:rPr>
          <w:rFonts w:ascii="IRNazanin" w:hAnsi="IRNazanin" w:eastAsia="IRNazanin" w:cs="IRNazanin"/>
          <w:lang w:bidi="fa-IR"/>
          <w:color w:val="111111"/>
          <w:sz w:val="28"/>
          <w:szCs w:val="28"/>
          <w:rtl/>
        </w:rPr>
        <w:t xml:space="preserve">إنّ هذه التسویة لا یتمّ بوجوه:</w:t>
      </w:r>
    </w:p>
    <w:p>
      <w:pPr>
        <w:pStyle w:val="BookText"/>
      </w:pPr>
      <w:r>
        <w:rPr>
          <w:rFonts w:ascii="IRNazanin" w:hAnsi="IRNazanin" w:eastAsia="IRNazanin" w:cs="IRNazanin"/>
          <w:lang w:bidi="fa-IR"/>
          <w:color w:val="111111"/>
          <w:sz w:val="28"/>
          <w:szCs w:val="28"/>
          <w:rtl/>
        </w:rPr>
        <w:t xml:space="preserve">أوّلا: لو کانت التسویة صحیحة لذکرت فی کلام أحد من القدماء فمن المطمأنّ به أنّ منشأ هذه الدعوی هو دعوی الکشّی الإجماع علی تصحیح ما یصحّ عن هؤلاء، و قد مرّ أنّ مفاده لیس توثیق مشایخهم، و یؤکدّ ما ذکرناه أنّ الشّیخ لم یخصّ ما ذکره بالثّلاثة المذکورین، بل عمّمه لغیرهم من الثّقات الّذین عرفوا بأنّهم لا یروون إلاّ عمّن یوثق به، و فی الظّاهر أنّه لم یعرف أحد بذلک من غیر جهة دعوی الکشّی الاجماع علی التّصحیح، و ممّا یکشف عن أنّ نسبة الشیخ التسویة المذکورة إلی الأصحاب مبتنیة علی اجتهاده، أنّ الشّیخ بنفسه ردّ فی مواضع روایة ابن أبی عمیر للارسال. و قد عرفت بعض موارد الردّ.</w:t>
      </w:r>
    </w:p>
    <w:p>
      <w:pPr>
        <w:pStyle w:val="BookText"/>
      </w:pPr>
      <w:r>
        <w:rPr>
          <w:rFonts w:ascii="IRNazanin" w:hAnsi="IRNazanin" w:eastAsia="IRNazanin" w:cs="IRNazanin"/>
          <w:lang w:bidi="fa-IR"/>
          <w:color w:val="111111"/>
          <w:sz w:val="28"/>
          <w:szCs w:val="28"/>
          <w:rtl/>
        </w:rPr>
        <w:t xml:space="preserve">و فیه: أنّ قوله «لو کانت أمرا متسالما علیه لذکرت فی کلام أحد من القدماء» و إن کان صحیحا، إلاّ أنّ ما رتّب علیه من قوله «و لیس منها فی کلماتهم عین و لا أثر» غیر ثابت، لأنّه إنّما تصحّ تلک الدعوی لو وصل إلینا شیء من کتبهم الرجالیة، فإنّ مظانّ ذکر هذا هو مثل هذه الکتب، و المفروض أنّه لم یصل إلینا منها سوی کتاب الکشّی الّذی هو أیضا لیس أصل الکتاب، بل ما اختاره الشیخ منه، و سوی «رجال البرقی» الّذی عبّر عنه الشیخ فی فهرسه ب «طبقات الرجال» و عندئذ کیف یصحّ لنا أن نقول «و لیس منها فی کلماتهم عین و لا أثر»؟</w:t>
      </w:r>
    </w:p>
    <w:p>
      <w:pPr>
        <w:pStyle w:val="BookText"/>
      </w:pPr>
      <w:r>
        <w:rPr>
          <w:rFonts w:ascii="IRNazanin" w:hAnsi="IRNazanin" w:eastAsia="IRNazanin" w:cs="IRNazanin"/>
          <w:lang w:bidi="fa-IR"/>
          <w:color w:val="111111"/>
          <w:sz w:val="28"/>
          <w:szCs w:val="28"/>
          <w:rtl/>
        </w:rPr>
        <w:t xml:space="preserve">أضف إلی ذلک أنّه من الممکن أنّ الشیخ استنبطها من الکتب الفقهیّة غیر الواصلة إلینا، حیث رأی أنّهم یعاملون مراسیلهم عند عدم التعارض معاملة المسانید، أو یعاملونها معاملة المعارض إذا کان فی مقابلها خبر مخالف.</w:t>
      </w:r>
    </w:p>
    <w:p>
      <w:pPr>
        <w:pStyle w:val="BookText"/>
      </w:pPr>
      <w:r>
        <w:rPr>
          <w:rFonts w:ascii="IRNazanin" w:hAnsi="IRNazanin" w:eastAsia="IRNazanin" w:cs="IRNazanin"/>
          <w:lang w:bidi="fa-IR"/>
          <w:color w:val="111111"/>
          <w:sz w:val="28"/>
          <w:szCs w:val="28"/>
          <w:rtl/>
        </w:rPr>
        <w:t xml:space="preserve">و ما ذکره من «أنّ الشیخ لم یخصّه بالثلاثة المذکورین بل عمّمه لغیرهم من الثقات الذین عرفوا بأنّهم لا یروون إلاّ عمّن یونق به و من المعلوم أنّه لم</w:t>
      </w:r>
    </w:p>
    <w:p>
      <w:pPr>
        <w:pStyle w:val="BookText"/>
      </w:pPr>
      <w:r>
        <w:rPr>
          <w:rFonts w:ascii="IRNazanin" w:hAnsi="IRNazanin" w:eastAsia="IRNazanin" w:cs="IRNazanin"/>
          <w:lang w:bidi="fa-IR"/>
          <w:color w:val="111111"/>
          <w:sz w:val="28"/>
          <w:szCs w:val="28"/>
          <w:rtl/>
        </w:rPr>
        <w:t xml:space="preserve">[شماره صفحه واقعی : 229]</w:t>
      </w:r>
    </w:p>
    <w:p>
      <w:pPr>
        <w:pStyle w:val="BookText"/>
      </w:pPr>
      <w:r>
        <w:rPr>
          <w:rFonts w:ascii="IRNazanin" w:hAnsi="IRNazanin" w:eastAsia="IRNazanin" w:cs="IRNazanin"/>
          <w:lang w:bidi="fa-IR"/>
          <w:color w:val="111111"/>
          <w:sz w:val="28"/>
          <w:szCs w:val="28"/>
          <w:rtl/>
        </w:rPr>
        <w:t xml:space="preserve">ص: 947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أحد بذلک من غیر جهة دعوی الکشّی الاجماع علی التصحیح» غیر تامّ أیضا، فإنّ الظاهر أنّ مراده من «و غیرهم من الثقات» هم المعروفون بأنّهم لا یروون إلاّ عنهم، و قد ذکرنا أسماء بعضهم، و المتتبّع فی معاجم الرجال و فهارسها یقف علی عدّة کان دیدنهم عدم النّقل إلاّ عن الثّقات، و لأجل ذلک کانوا یعدّون النقل عن الضعفاء ضعفا فی الراوی و یقولون: «أحمد بن محمّد بن خالد البرقی ثقة إلاّ أنّه یروی عن الضعفاء» و هذا یکشف عن تجنّب عدّة من الأعاظم عن هذا، و معه کیف یصحّ أن یدّعی «و لم یعرف أحد بذلک من غیر جهة دعوی الکشّی».</w:t>
      </w:r>
    </w:p>
    <w:p>
      <w:pPr>
        <w:pStyle w:val="BookText"/>
      </w:pPr>
      <w:r>
        <w:rPr>
          <w:rFonts w:ascii="IRNazanin" w:hAnsi="IRNazanin" w:eastAsia="IRNazanin" w:cs="IRNazanin"/>
          <w:lang w:bidi="fa-IR"/>
          <w:color w:val="111111"/>
          <w:sz w:val="28"/>
          <w:szCs w:val="28"/>
          <w:rtl/>
        </w:rPr>
        <w:t xml:space="preserve">ثمّ إنّه أیّ فرق بین دعوی الکشّی فی حقّ أصحاب الإجماع فتقبل ثمّ یناقش فی مدلولها، و دعوی الشیخ فی حقّ هؤلاء الثلاثة فلا تقبل من رأس و ترمی بأنّها مستنبطة من کلام الکشّی.</w:t>
      </w:r>
    </w:p>
    <w:p>
      <w:pPr>
        <w:pStyle w:val="BookText"/>
      </w:pPr>
      <w:r>
        <w:rPr>
          <w:rFonts w:ascii="IRNazanin" w:hAnsi="IRNazanin" w:eastAsia="IRNazanin" w:cs="IRNazanin"/>
          <w:lang w:bidi="fa-IR"/>
          <w:color w:val="111111"/>
          <w:sz w:val="28"/>
          <w:szCs w:val="28"/>
          <w:rtl/>
        </w:rPr>
        <w:t xml:space="preserve">و أمّا مخالفة الشیخ نفسه فی موارد من التهذیب و الاستبصار فقد عرفت وجهه، و أنّه ألّف جامعیه فی أوائل شبابه، و لم یکن عند ذاک واقفا علی سیرة الأصحاب فی مراسیل هؤلاء، فلأجل ذلک ردّ مراسیلهم بحجّة الارسال.</w:t>
      </w:r>
    </w:p>
    <w:p>
      <w:pPr>
        <w:pStyle w:val="BookText"/>
      </w:pPr>
      <w:r>
        <w:rPr>
          <w:rFonts w:ascii="IRNazanin" w:hAnsi="IRNazanin" w:eastAsia="IRNazanin" w:cs="IRNazanin"/>
          <w:lang w:bidi="fa-IR"/>
          <w:color w:val="111111"/>
          <w:sz w:val="28"/>
          <w:szCs w:val="28"/>
          <w:rtl/>
        </w:rPr>
        <w:t xml:space="preserve">و لکنّه وقف علیها بعد الممارسة الکثیرة بکتب الأصحاب الرجالیة و الفقهیّة، و کتب و ألّف کتاب «العدّة» فی أیّام الشریف المرتضی (المتوفّی عام 436) و هو فی تلک الأیّام یتجاوز الخمسین سنة، و قد خالط الفقه و الرجال لحمه و دمه، و وقف علی الاصول المؤلّفة فی عصر الأئمّة و بعده.</w:t>
      </w:r>
    </w:p>
    <w:p>
      <w:pPr>
        <w:pStyle w:val="BookText"/>
      </w:pPr>
      <w:r>
        <w:rPr>
          <w:rFonts w:ascii="IRNazanin" w:hAnsi="IRNazanin" w:eastAsia="IRNazanin" w:cs="IRNazanin"/>
          <w:lang w:bidi="fa-IR"/>
          <w:color w:val="111111"/>
          <w:sz w:val="28"/>
          <w:szCs w:val="28"/>
          <w:rtl/>
        </w:rPr>
        <w:t xml:space="preserve">و ثانیا: فرضنا أنّ التسویة ثابتة، لکن من المظنون قویّا أنّ منشأ ذلک هو بناء العامل علی حجیّة خبر کلّ إمامی لم یظهر منه فسق، و عدم اعتبار الوثاقة فیه، کما نسب إلی القدماء، و اختاره جمع من المتأخّرین منهم العلاّمة علی ما سیجیء فی ترجمة أحمد بن إسماعیل بن عبد اللّه</w:t>
      </w:r>
      <w:r>
        <w:rPr>
          <w:rStyle w:val="FootnoteReference"/>
        </w:rPr>
        <w:footnoteReference w:id="3887"/>
      </w:r>
      <w:r>
        <w:rPr>
          <w:rFonts w:ascii="IRNazanin" w:hAnsi="IRNazanin" w:eastAsia="IRNazanin" w:cs="IRNazanin"/>
          <w:lang w:bidi="fa-IR"/>
          <w:color w:val="111111"/>
          <w:sz w:val="28"/>
          <w:szCs w:val="28"/>
          <w:rtl/>
        </w:rPr>
        <w:t xml:space="preserve">و علیه لا أثر لهذه التسویة</w:t>
      </w:r>
    </w:p>
    <w:p>
      <w:pPr>
        <w:pStyle w:val="BookText"/>
      </w:pPr>
      <w:r>
        <w:rPr>
          <w:rFonts w:ascii="IRNazanin" w:hAnsi="IRNazanin" w:eastAsia="IRNazanin" w:cs="IRNazanin"/>
          <w:lang w:bidi="fa-IR"/>
          <w:color w:val="111111"/>
          <w:sz w:val="28"/>
          <w:szCs w:val="28"/>
          <w:rtl/>
        </w:rPr>
        <w:t xml:space="preserve">[شماره صفحه واقعی : 230]</w:t>
      </w:r>
    </w:p>
    <w:p>
      <w:pPr>
        <w:pStyle w:val="BookText"/>
      </w:pPr>
      <w:r>
        <w:rPr>
          <w:rFonts w:ascii="IRNazanin" w:hAnsi="IRNazanin" w:eastAsia="IRNazanin" w:cs="IRNazanin"/>
          <w:lang w:bidi="fa-IR"/>
          <w:color w:val="111111"/>
          <w:sz w:val="28"/>
          <w:szCs w:val="28"/>
          <w:rtl/>
        </w:rPr>
        <w:t xml:space="preserve">ص: 948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من یعتبر الوثاقة</w:t>
      </w:r>
      <w:r>
        <w:rPr>
          <w:rStyle w:val="FootnoteReference"/>
        </w:rPr>
        <w:footnoteReference w:id="3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 نسبة العمل بخبر کلّ إمامیّ لم یظهر منه فسق إلی قدماء الامامیّة، تخالف ما ذکره عنهم الشیخ فی «العدة»، و هو أبصر بآرائهم حیث قال فی ضمن استدلاله علی حجیّة الأخبار الّتی رواها الأصحاب فی تصانیفهم: «إنّ واحدا منهم إذا أفتی بشیء لا یعرفونه سألوه من أین قلت هذا؟ فإذا أحالهم علی کتاب معروف، أو أصل مشهور، و کان راویه ثقة لا ینکر حدیثه سکتوا و سلّموا الأمر فی ذلک، و قبلوا قوله، و هذه عادتهم و سجیّتهم من عهد النبی - صلی اللّه علیه و آله - و من بعده من الائمة - علیهم السلام -»</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 أنّه یقیّد عملهم و قبولهم الروایة بکون راویه ثقة و القول بحجیّة کلّ خبر یرویه إمامیّ لم یظهر فسقه، أشبه بقول الحشویّة، و قریب من رأیهم فی الأخبار و لو کان ذلک مذهب القدامی من الامامیّة لما صحّ للسید المرتضی ادّعاء الاتّفاق علی عدم حجیّة خبر الواحد فإنّ ذلک الادّعاء مع هذه النّسبة فی طرفی النقیض.</w:t>
      </w:r>
    </w:p>
    <w:p>
      <w:pPr>
        <w:pStyle w:val="BookText"/>
      </w:pPr>
      <w:r>
        <w:rPr>
          <w:rFonts w:ascii="IRNazanin" w:hAnsi="IRNazanin" w:eastAsia="IRNazanin" w:cs="IRNazanin"/>
          <w:lang w:bidi="fa-IR"/>
          <w:color w:val="111111"/>
          <w:sz w:val="28"/>
          <w:szCs w:val="28"/>
          <w:rtl/>
        </w:rPr>
        <w:t xml:space="preserve">و لو کان بناء القدماء علی أصالة العدالة فی کلّ من لم یعلم حاله، فلا معنی لتقسیم الرواة إلی الثّقة، و الضعیف، و المجهول، بل کان علیهم أن یوثّقوا کلّ من لم یثبت ضعفه، و من المعلوم ثبوت خلافه.</w:t>
      </w:r>
    </w:p>
    <w:p>
      <w:pPr>
        <w:pStyle w:val="BookText"/>
      </w:pPr>
      <w:r>
        <w:rPr>
          <w:rFonts w:ascii="IRNazanin" w:hAnsi="IRNazanin" w:eastAsia="IRNazanin" w:cs="IRNazanin"/>
          <w:lang w:bidi="fa-IR"/>
          <w:color w:val="111111"/>
          <w:sz w:val="28"/>
          <w:szCs w:val="28"/>
          <w:rtl/>
        </w:rPr>
        <w:t xml:space="preserve">و أمّا ما نقل عن العلاّمة فی حقّ أحمد بن إسماعیل من قوله «لم ینصّ علماءنا علیه بتعدیل و لم یرو فیه جرح، فالأقوی قبول روایته مع سلامتها من المعارض»</w:t>
      </w:r>
      <w:r>
        <w:rPr>
          <w:rStyle w:val="FootnoteReference"/>
        </w:rPr>
        <w:footnoteReference w:id="3890"/>
      </w:r>
      <w:r>
        <w:rPr>
          <w:rFonts w:ascii="IRNazanin" w:hAnsi="IRNazanin" w:eastAsia="IRNazanin" w:cs="IRNazanin"/>
          <w:lang w:bidi="fa-IR"/>
          <w:color w:val="111111"/>
          <w:sz w:val="28"/>
          <w:szCs w:val="28"/>
          <w:rtl/>
        </w:rPr>
        <w:t xml:space="preserve">فمن الممکن أن یکون اعتماده علیه لأجل ما قاله النّجاشی فی ترجمته من أنّ «له عدّة کتب لم یصنّف مثلها، و أنّ أباه کان من غلمان أحمد بن</w:t>
      </w:r>
    </w:p>
    <w:p>
      <w:pPr>
        <w:pStyle w:val="BookText"/>
      </w:pPr>
      <w:r>
        <w:rPr>
          <w:rFonts w:ascii="IRNazanin" w:hAnsi="IRNazanin" w:eastAsia="IRNazanin" w:cs="IRNazanin"/>
          <w:lang w:bidi="fa-IR"/>
          <w:color w:val="111111"/>
          <w:sz w:val="28"/>
          <w:szCs w:val="28"/>
          <w:rtl/>
        </w:rPr>
        <w:t xml:space="preserve">[شماره صفحه واقعی : 231]</w:t>
      </w:r>
    </w:p>
    <w:p>
      <w:pPr>
        <w:pStyle w:val="BookText"/>
      </w:pPr>
      <w:r>
        <w:rPr>
          <w:rFonts w:ascii="IRNazanin" w:hAnsi="IRNazanin" w:eastAsia="IRNazanin" w:cs="IRNazanin"/>
          <w:lang w:bidi="fa-IR"/>
          <w:color w:val="111111"/>
          <w:sz w:val="28"/>
          <w:szCs w:val="28"/>
          <w:rtl/>
        </w:rPr>
        <w:t xml:space="preserve">ص: 949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البرقی و ممّن تأدّب علیه و ممّن کتّبه»</w:t>
      </w:r>
      <w:r>
        <w:rPr>
          <w:rStyle w:val="FootnoteReference"/>
        </w:rPr>
        <w:footnoteReference w:id="3891"/>
      </w:r>
      <w:r>
        <w:rPr>
          <w:rFonts w:ascii="IRNazanin" w:hAnsi="IRNazanin" w:eastAsia="IRNazanin" w:cs="IRNazanin"/>
          <w:lang w:bidi="fa-IR"/>
          <w:color w:val="111111"/>
          <w:sz w:val="28"/>
          <w:szCs w:val="28"/>
          <w:rtl/>
        </w:rPr>
        <w:t xml:space="preserve">و ما قال الشیخ فی فهرسه:</w:t>
      </w:r>
    </w:p>
    <w:p>
      <w:pPr>
        <w:pStyle w:val="BookText"/>
      </w:pPr>
      <w:r>
        <w:rPr>
          <w:rFonts w:ascii="IRNazanin" w:hAnsi="IRNazanin" w:eastAsia="IRNazanin" w:cs="IRNazanin"/>
          <w:lang w:bidi="fa-IR"/>
          <w:color w:val="111111"/>
          <w:sz w:val="28"/>
          <w:szCs w:val="28"/>
          <w:rtl/>
        </w:rPr>
        <w:t xml:space="preserve">«کان من أهل الفضل و الأدب و العلم و له کتب عدّة لم یصنّف مثلها فمن کتبه کتاب العبّاسی، و هو کتاب عظیم نحو عشرة آلاف ورقة فی أخبار الخلفاء و الدولة العباسیّة مستوفی، لم یصنّف مثله»</w:t>
      </w:r>
      <w:r>
        <w:rPr>
          <w:rStyle w:val="FootnoteReference"/>
        </w:rPr>
        <w:footnoteReference w:id="3892"/>
      </w:r>
      <w:r>
        <w:rPr>
          <w:rFonts w:ascii="IRNazanin" w:hAnsi="IRNazanin" w:eastAsia="IRNazanin" w:cs="IRNazanin"/>
          <w:lang w:bidi="fa-IR"/>
          <w:color w:val="111111"/>
          <w:sz w:val="28"/>
          <w:szCs w:val="28"/>
          <w:rtl/>
        </w:rPr>
        <w:t xml:space="preserve">و قال فی رجاله: «أدیب أستاذ ابن العمید»</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الجمل تعرب عن أنّه کان من مشاهیر علماء الشیعة الإمامیّة و أکابرهم و فی القمّة من الأدب و الکتابة.</w:t>
      </w:r>
    </w:p>
    <w:p>
      <w:pPr>
        <w:pStyle w:val="BookText"/>
      </w:pPr>
      <w:r>
        <w:rPr>
          <w:rFonts w:ascii="IRNazanin" w:hAnsi="IRNazanin" w:eastAsia="IRNazanin" w:cs="IRNazanin"/>
          <w:lang w:bidi="fa-IR"/>
          <w:color w:val="111111"/>
          <w:sz w:val="28"/>
          <w:szCs w:val="28"/>
          <w:rtl/>
        </w:rPr>
        <w:t xml:space="preserve">و مثل ذلک لا یحتاج إلی التّوثیق، بل إذا لم یرد فیه جرح یحکم بوثاقته، فإنّ موقفه بین العلماء غیر موقف مطلق الرّاوی الّذی لا یحکم فی حقه بشیء إلاّ بما ورد فیه، و إلاّ فیحکم بالجهل أو الاهمال، و لأجل ذلک کلّه کان دیدن العلماء فی حقّ الأعاظم و الأکابر هو الحکم بالوثاقة، و إن لم یرد فی حقّهم التّصریح بها، فلأجل ذلک نحکم بوثاقة نظراء إبراهیم بن هاشم و الصّدوق و غیرهما، و إن لم یرد فی حقّهم تصریح بالوثاقة.</w:t>
      </w:r>
    </w:p>
    <w:p>
      <w:pPr>
        <w:pStyle w:val="BookText"/>
      </w:pPr>
      <w:r>
        <w:rPr>
          <w:rFonts w:ascii="IRNazanin" w:hAnsi="IRNazanin" w:eastAsia="IRNazanin" w:cs="IRNazanin"/>
          <w:lang w:bidi="fa-IR"/>
          <w:color w:val="111111"/>
          <w:sz w:val="28"/>
          <w:szCs w:val="28"/>
          <w:rtl/>
        </w:rPr>
        <w:t xml:space="preserve">و ثالثا: إنّ إثبات أنّ هؤلاء لا یروون و لا یرسلون إلاّ عن ثقة، دونه خرط القتاد، فإنّ الطّریق إلیه امّا تصریح نفس الراوی بأنّه لا یروی و لا یرسل إلاّ عنه، أو التتبّع فی مسانیدهم و مشایخهم و عدم العثور علی روایة هؤلاء عن ضعیف.</w:t>
      </w:r>
    </w:p>
    <w:p>
      <w:pPr>
        <w:pStyle w:val="BookText"/>
      </w:pPr>
      <w:r>
        <w:rPr>
          <w:rFonts w:ascii="IRNazanin" w:hAnsi="IRNazanin" w:eastAsia="IRNazanin" w:cs="IRNazanin"/>
          <w:lang w:bidi="fa-IR"/>
          <w:color w:val="111111"/>
          <w:sz w:val="28"/>
          <w:szCs w:val="28"/>
          <w:rtl/>
        </w:rPr>
        <w:t xml:space="preserve">أمّا الأوّل؛ فلم ینسب إلی أحد من هؤلاء إخباره و تصریحه بذلک، و أمّا الثانی؛ فغایته عدم الوجدان، و هو لا یدلّ علی عدم الوجود، علی أنّه لو تمّ، فإنّما یتمّ فی المسانید دون المراسیل، فإنّ ابن أبی عمیر قد غاب عنه أسماء من</w:t>
      </w:r>
    </w:p>
    <w:p>
      <w:pPr>
        <w:pStyle w:val="BookText"/>
      </w:pPr>
      <w:r>
        <w:rPr>
          <w:rFonts w:ascii="IRNazanin" w:hAnsi="IRNazanin" w:eastAsia="IRNazanin" w:cs="IRNazanin"/>
          <w:lang w:bidi="fa-IR"/>
          <w:color w:val="111111"/>
          <w:sz w:val="28"/>
          <w:szCs w:val="28"/>
          <w:rtl/>
        </w:rPr>
        <w:t xml:space="preserve">[شماره صفحه واقعی : 232]</w:t>
      </w:r>
    </w:p>
    <w:p>
      <w:pPr>
        <w:pStyle w:val="BookText"/>
      </w:pPr>
      <w:r>
        <w:rPr>
          <w:rFonts w:ascii="IRNazanin" w:hAnsi="IRNazanin" w:eastAsia="IRNazanin" w:cs="IRNazanin"/>
          <w:lang w:bidi="fa-IR"/>
          <w:color w:val="111111"/>
          <w:sz w:val="28"/>
          <w:szCs w:val="28"/>
          <w:rtl/>
        </w:rPr>
        <w:t xml:space="preserve">ص: 950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عنهم، فکیف یمکن للغیر أن یطّلع علیهم و یعرف وثاقتهم.</w:t>
      </w:r>
    </w:p>
    <w:p>
      <w:pPr>
        <w:pStyle w:val="BookText"/>
      </w:pPr>
      <w:r>
        <w:rPr>
          <w:rFonts w:ascii="IRNazanin" w:hAnsi="IRNazanin" w:eastAsia="IRNazanin" w:cs="IRNazanin"/>
          <w:lang w:bidi="fa-IR"/>
          <w:color w:val="111111"/>
          <w:sz w:val="28"/>
          <w:szCs w:val="28"/>
          <w:rtl/>
        </w:rPr>
        <w:t xml:space="preserve">و فیه: أنّا نختار الشقّ الأوّل و أنّهم صرّحوا بذلک، و وقف علیه تلامیذهم و الرواة عنهم، و وقف الشیخ و النجاشی عن طریقهم علیه، و عدم وقوفنا علیه بعد ضیاع کثیر من کتب القدماء من الأصحاب، أشبه بالاستدلال بعدم الوجدان علی عدم الوجود، کما أنّ من الممکن أن یقف علیه الشیخ من خلال الکتب الفتوائیة من معاملة الأصحاب مع مراسیلهم معاملة المسانید، و عدم التفریق بینهما قید شعرة.</w:t>
      </w:r>
    </w:p>
    <w:p>
      <w:pPr>
        <w:pStyle w:val="BookText"/>
      </w:pPr>
      <w:r>
        <w:rPr>
          <w:rFonts w:ascii="IRNazanin" w:hAnsi="IRNazanin" w:eastAsia="IRNazanin" w:cs="IRNazanin"/>
          <w:lang w:bidi="fa-IR"/>
          <w:color w:val="111111"/>
          <w:sz w:val="28"/>
          <w:szCs w:val="28"/>
          <w:rtl/>
        </w:rPr>
        <w:t xml:space="preserve">و لنا أن نختار الشقّ الثّانی، و هو التتبّع فی المسانید، و ما ذکره من أنّ غایته عدم الوجدان و هو لا یدلّ علی عدم الوجود، غیر تامّ، لأنّه لو تتبّعنا مسانید هؤلاء و لم نجد لهم شیخا ضعیفا فی الحدیث، نطمئنّ بأنّ ذلک لیس إلاّ من جهة التزامهم بعدم الروایة إلاّ عن ثقة، و لم یکن ذلک من باب الصّدفة، و لو ثبت ذلک لما کان هناک فرق بین المسانید و المراسیل، و احتمال وجود الضّعاف فی الثانیة دون الاولی، احتمال ضعیف لا یعبأ به.</w:t>
      </w:r>
    </w:p>
    <w:p>
      <w:pPr>
        <w:pStyle w:val="BookText"/>
      </w:pPr>
      <w:r>
        <w:rPr>
          <w:rFonts w:ascii="IRNazanin" w:hAnsi="IRNazanin" w:eastAsia="IRNazanin" w:cs="IRNazanin"/>
          <w:lang w:bidi="fa-IR"/>
          <w:color w:val="111111"/>
          <w:sz w:val="28"/>
          <w:szCs w:val="28"/>
          <w:rtl/>
        </w:rPr>
        <w:t xml:space="preserve">إلی هنا ثبت عدم تمامیّة الإشکالات الثّلاثة، و المهمّ هو الاشکال الرّابع، و هو ثبوت روایة هؤلاء عن الضّعاف، و ذلک بالتتبّع فی مسانیدهم، و معه کیف یمکن ادّعاء أنّهم لا یروون و لا یرسلون إلاّ عن ثقة.</w:t>
      </w:r>
    </w:p>
    <w:p>
      <w:pPr>
        <w:pStyle w:val="BookText"/>
      </w:pPr>
      <w:r>
        <w:rPr>
          <w:rFonts w:ascii="IRNazanin" w:hAnsi="IRNazanin" w:eastAsia="IRNazanin" w:cs="IRNazanin"/>
          <w:lang w:bidi="fa-IR"/>
          <w:color w:val="111111"/>
          <w:sz w:val="28"/>
          <w:szCs w:val="28"/>
          <w:rtl/>
        </w:rPr>
        <w:t xml:space="preserve">[شماره صفحه واقعی : 233]</w:t>
      </w:r>
    </w:p>
    <w:p>
      <w:pPr>
        <w:pStyle w:val="BookText"/>
      </w:pPr>
      <w:r>
        <w:rPr>
          <w:rFonts w:ascii="IRNazanin" w:hAnsi="IRNazanin" w:eastAsia="IRNazanin" w:cs="IRNazanin"/>
          <w:lang w:bidi="fa-IR"/>
          <w:color w:val="111111"/>
          <w:sz w:val="28"/>
          <w:szCs w:val="28"/>
          <w:rtl/>
        </w:rPr>
        <w:t xml:space="preserve">ص: 951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234]</w:t>
      </w:r>
    </w:p>
    <w:p>
      <w:pPr>
        <w:pStyle w:val="BookText"/>
      </w:pPr>
      <w:r>
        <w:rPr>
          <w:rFonts w:ascii="IRNazanin" w:hAnsi="IRNazanin" w:eastAsia="IRNazanin" w:cs="IRNazanin"/>
          <w:lang w:bidi="fa-IR"/>
          <w:color w:val="111111"/>
          <w:sz w:val="28"/>
          <w:szCs w:val="28"/>
          <w:rtl/>
        </w:rPr>
        <w:t xml:space="preserve">ص: 952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419" w:name="pg14419_167668"/>
    <w:bookmarkEnd w:id="419"/>
    <w:p>
      <w:pPr>
        <w:pStyle w:val="Heading6"/>
      </w:pPr>
      <w:bookmarkStart w:id="1355" w:name="_Toc795"/>
      <w:r>
        <w:t>نقض القاعدة بالنقل عن الضعاف</w:t>
      </w:r>
      <w:bookmarkEnd w:id="1355"/>
    </w:p>
    <w:p>
      <w:pPr>
        <w:pStyle w:val="BookText"/>
      </w:pPr>
      <w:r>
        <w:rPr>
          <w:rFonts w:ascii="IRNazanin" w:hAnsi="IRNazanin" w:eastAsia="IRNazanin" w:cs="IRNazanin"/>
          <w:lang w:bidi="fa-IR"/>
          <w:color w:val="111111"/>
          <w:sz w:val="28"/>
          <w:szCs w:val="28"/>
          <w:rtl/>
        </w:rPr>
        <w:t xml:space="preserve">ذکر صاحب معجم الرّجال من مشایخه الضعاف أربعة شیوخ یعنی بهم:</w:t>
      </w:r>
    </w:p>
    <w:p>
      <w:pPr>
        <w:pStyle w:val="BookText"/>
      </w:pPr>
      <w:r>
        <w:rPr>
          <w:rFonts w:ascii="IRNazanin" w:hAnsi="IRNazanin" w:eastAsia="IRNazanin" w:cs="IRNazanin"/>
          <w:lang w:bidi="fa-IR"/>
          <w:color w:val="111111"/>
          <w:sz w:val="28"/>
          <w:szCs w:val="28"/>
          <w:rtl/>
        </w:rPr>
        <w:t xml:space="preserve">1 - علیّ بن أبی حمزة البطائنی.</w:t>
      </w:r>
    </w:p>
    <w:p>
      <w:pPr>
        <w:pStyle w:val="BookText"/>
      </w:pPr>
      <w:r>
        <w:rPr>
          <w:rFonts w:ascii="IRNazanin" w:hAnsi="IRNazanin" w:eastAsia="IRNazanin" w:cs="IRNazanin"/>
          <w:lang w:bidi="fa-IR"/>
          <w:color w:val="111111"/>
          <w:sz w:val="28"/>
          <w:szCs w:val="28"/>
          <w:rtl/>
        </w:rPr>
        <w:t xml:space="preserve">2 - یونس بن ظبیان.</w:t>
      </w:r>
    </w:p>
    <w:p>
      <w:pPr>
        <w:pStyle w:val="BookText"/>
      </w:pPr>
      <w:r>
        <w:rPr>
          <w:rFonts w:ascii="Amiri" w:hAnsi="Amiri" w:eastAsia="Amiri" w:cs="Amiri"/>
          <w:lang w:bidi="ar-SA"/>
          <w:color w:val="111111"/>
          <w:sz w:val="28"/>
          <w:szCs w:val="28"/>
          <w:rtl/>
        </w:rPr>
        <w:t xml:space="preserve">3 - علیّ بن حدید.</w:t>
      </w:r>
    </w:p>
    <w:p>
      <w:pPr>
        <w:pStyle w:val="BookText"/>
      </w:pPr>
      <w:r>
        <w:rPr>
          <w:rFonts w:ascii="IRNazanin" w:hAnsi="IRNazanin" w:eastAsia="IRNazanin" w:cs="IRNazanin"/>
          <w:lang w:bidi="fa-IR"/>
          <w:color w:val="111111"/>
          <w:sz w:val="28"/>
          <w:szCs w:val="28"/>
          <w:rtl/>
        </w:rPr>
        <w:t xml:space="preserve">4 - الحسین بن أحمد المنقری.</w:t>
      </w:r>
    </w:p>
    <w:p>
      <w:pPr>
        <w:pStyle w:val="BookText"/>
      </w:pPr>
      <w:r>
        <w:rPr>
          <w:rFonts w:ascii="IRNazanin" w:hAnsi="IRNazanin" w:eastAsia="IRNazanin" w:cs="IRNazanin"/>
          <w:lang w:bidi="fa-IR"/>
          <w:color w:val="111111"/>
          <w:sz w:val="28"/>
          <w:szCs w:val="28"/>
          <w:rtl/>
        </w:rPr>
        <w:t xml:space="preserve">و لو صحّ نقله عنهم مع ثبوت کونهم ضعافا بطلت القاعدة و إلیک تفصیل ذلک:</w:t>
      </w:r>
    </w:p>
    <w:p>
      <w:pPr>
        <w:pStyle w:val="BookText"/>
      </w:pPr>
      <w:r>
        <w:rPr>
          <w:rFonts w:ascii="IRNazanin" w:hAnsi="IRNazanin" w:eastAsia="IRNazanin" w:cs="IRNazanin"/>
          <w:lang w:bidi="fa-IR"/>
          <w:color w:val="111111"/>
          <w:sz w:val="28"/>
          <w:szCs w:val="28"/>
          <w:rtl/>
        </w:rPr>
        <w:t xml:space="preserve">1 - علیّ بن أبی حمزة البطائنی: روی الکلینی عن ابن أبی عمیر، عن علیّ بن أبی حمزة، عن أبی بصیر، قال: شکوت إلی أبی عبد اللّه - علیه السلام - الوسواس...</w:t>
      </w:r>
      <w:r>
        <w:rPr>
          <w:rStyle w:val="FootnoteReference"/>
        </w:rPr>
        <w:footnoteReference w:id="3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الکشّی عن ابن مسعود العیّاشی قال: سمعت علیّ بن الحسن</w:t>
      </w:r>
    </w:p>
    <w:p>
      <w:pPr>
        <w:pStyle w:val="BookText"/>
      </w:pPr>
      <w:r>
        <w:rPr>
          <w:rFonts w:ascii="IRNazanin" w:hAnsi="IRNazanin" w:eastAsia="IRNazanin" w:cs="IRNazanin"/>
          <w:lang w:bidi="fa-IR"/>
          <w:color w:val="111111"/>
          <w:sz w:val="28"/>
          <w:szCs w:val="28"/>
          <w:rtl/>
        </w:rPr>
        <w:t xml:space="preserve">[شماره صفحه واقعی : 235]</w:t>
      </w:r>
    </w:p>
    <w:p>
      <w:pPr>
        <w:pStyle w:val="BookText"/>
      </w:pPr>
      <w:r>
        <w:rPr>
          <w:rFonts w:ascii="IRNazanin" w:hAnsi="IRNazanin" w:eastAsia="IRNazanin" w:cs="IRNazanin"/>
          <w:lang w:bidi="fa-IR"/>
          <w:color w:val="111111"/>
          <w:sz w:val="28"/>
          <w:szCs w:val="28"/>
          <w:rtl/>
        </w:rPr>
        <w:t xml:space="preserve">ص: 953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فضال یقول: ابن أبی حمزة کذّاب ملعون، قد رویت عنه أحادیث کثیرة، و کتبت تفسیر القرآن من أوّله إلی آخره، إلاّ أنّی لا أستحلّ أن أروی عنه حدیثا واحدا</w:t>
      </w:r>
      <w:r>
        <w:rPr>
          <w:rStyle w:val="FootnoteReference"/>
        </w:rPr>
        <w:footnoteReference w:id="3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علیّ بن أبی حمزة البطائنی من الواقفة، و هو ضعیف المذهب، و لیس ضعیفا فی الحدیث علی الأقوی</w:t>
      </w:r>
      <w:r>
        <w:rPr>
          <w:rStyle w:val="FootnoteReference"/>
        </w:rPr>
        <w:footnoteReference w:id="3896"/>
      </w:r>
      <w:r>
        <w:rPr>
          <w:rFonts w:ascii="IRNazanin" w:hAnsi="IRNazanin" w:eastAsia="IRNazanin" w:cs="IRNazanin"/>
          <w:lang w:bidi="fa-IR"/>
          <w:color w:val="111111"/>
          <w:sz w:val="28"/>
          <w:szCs w:val="28"/>
          <w:rtl/>
        </w:rPr>
        <w:t xml:space="preserve">و هو مطعون لأجل وقفه فی موسی بن جعفر - علیه السلام - و عدم اعتقاده بامامة الرضا - علیه السلام - و لیس مطعونا من جانب النّقل و الروایة، و قد عرفت أنّ المراد من «عمّن یوثق به» فی عبارة الکشّی هو الموثوق فی الحدیث، فیکفی فی ذلک أن یکون مسلما متحرّزا عن الکذب فی الرّوایة، و أمّا کونه إمامیّا فلا یظهر من عبارة «العدّة» و علی ذلک فالنّقض غیر تامّ.</w:t>
      </w:r>
    </w:p>
    <w:p>
      <w:pPr>
        <w:pStyle w:val="BookText"/>
      </w:pPr>
      <w:r>
        <w:rPr>
          <w:rFonts w:ascii="IRNazanin" w:hAnsi="IRNazanin" w:eastAsia="IRNazanin" w:cs="IRNazanin"/>
          <w:lang w:bidi="fa-IR"/>
          <w:color w:val="111111"/>
          <w:sz w:val="28"/>
          <w:szCs w:val="28"/>
          <w:rtl/>
        </w:rPr>
        <w:t xml:space="preserve">و أمّا ما نقل من العیّاشی فی حقّ ابن أبی حمزة من أنّه کذّاب ملعون، فهو راجع إلی ابنه، أی الحسن بن علیّ بن أبی حمزة البطائنی، لا إلی نفسه، کما استظهره صاحب المعالم فی هامش «التّحریر الطاووسی»</w:t>
      </w:r>
      <w:r>
        <w:rPr>
          <w:rStyle w:val="FootnoteReference"/>
        </w:rPr>
        <w:footnoteReference w:id="3897"/>
      </w:r>
      <w:r>
        <w:rPr>
          <w:rFonts w:ascii="IRNazanin" w:hAnsi="IRNazanin" w:eastAsia="IRNazanin" w:cs="IRNazanin"/>
          <w:lang w:bidi="fa-IR"/>
          <w:color w:val="111111"/>
          <w:sz w:val="28"/>
          <w:szCs w:val="28"/>
          <w:rtl/>
        </w:rPr>
        <w:t xml:space="preserve">، و ابن أبی حمزة مشترک فی الاطلاق بین الوالد و الولد. و الشاهد علی ذلک أمران:</w:t>
      </w:r>
    </w:p>
    <w:p>
      <w:pPr>
        <w:pStyle w:val="BookText"/>
      </w:pPr>
      <w:r>
        <w:rPr>
          <w:rFonts w:ascii="IRNazanin" w:hAnsi="IRNazanin" w:eastAsia="IRNazanin" w:cs="IRNazanin"/>
          <w:lang w:bidi="fa-IR"/>
          <w:color w:val="111111"/>
          <w:sz w:val="28"/>
          <w:szCs w:val="28"/>
          <w:rtl/>
        </w:rPr>
        <w:t xml:space="preserve">الأوّل: إنّ الکشّی نقله أیضا فی ترجمة الحسن بن علیّ بن أبی حمزة البطائنی. قال (العیّاشی): سألت علیّ بن الحسن بن فضّال، عن الحسن بن علیّ بن أبی حمزة البطائنی، فقال: «کذّاب ملعون رویت عنه أحادیث کثیرة» فلا یصحّ القول جزما بأنّه راجع إلی الوالد، و الظّاهر من النّجاشی أنّه راجع إلی الولد، حیث نقل طعن ابن فضّال فی ترجمة الحسن.</w:t>
      </w:r>
    </w:p>
    <w:p>
      <w:pPr>
        <w:pStyle w:val="BookText"/>
      </w:pPr>
      <w:r>
        <w:rPr>
          <w:rFonts w:ascii="IRNazanin" w:hAnsi="IRNazanin" w:eastAsia="IRNazanin" w:cs="IRNazanin"/>
          <w:lang w:bidi="fa-IR"/>
          <w:color w:val="111111"/>
          <w:sz w:val="28"/>
          <w:szCs w:val="28"/>
          <w:rtl/>
        </w:rPr>
        <w:t xml:space="preserve">[شماره صفحه واقعی : 236]</w:t>
      </w:r>
    </w:p>
    <w:p>
      <w:pPr>
        <w:pStyle w:val="BookText"/>
      </w:pPr>
      <w:r>
        <w:rPr>
          <w:rFonts w:ascii="IRNazanin" w:hAnsi="IRNazanin" w:eastAsia="IRNazanin" w:cs="IRNazanin"/>
          <w:lang w:bidi="fa-IR"/>
          <w:color w:val="111111"/>
          <w:sz w:val="28"/>
          <w:szCs w:val="28"/>
          <w:rtl/>
        </w:rPr>
        <w:t xml:space="preserve">ص: 954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علیّ بن أبی حمزة توفّی قبل أن یتولّد علیّ بن الحسن بن فضّال بأعوام، فکیف یمکن أن یکتب منه أحادیث، و تفسیر القرآن من أوّله إلی آخره، و إنّما حصل الاشتباه من نقله الکشّی فی ترجمة الوالد تارة، و ترجمة الولد اخری</w:t>
      </w:r>
      <w:r>
        <w:rPr>
          <w:rStyle w:val="FootnoteReference"/>
        </w:rPr>
        <w:footnoteReference w:id="3898"/>
      </w:r>
      <w:r>
        <w:rPr>
          <w:rFonts w:ascii="IRNazanin" w:hAnsi="IRNazanin" w:eastAsia="IRNazanin" w:cs="IRNazanin"/>
          <w:lang w:bidi="fa-IR"/>
          <w:color w:val="111111"/>
          <w:sz w:val="28"/>
          <w:szCs w:val="28"/>
          <w:rtl/>
        </w:rPr>
        <w:t xml:space="preserve">، و ذلک لأنّ علیّ بن أبی حمزة مات فی زمن الرضا - علیه السلام - حتّی أخبر - علیه السلام - أنّه اقعد فی قبره فسئل عن الأئمّة فأخبر بأسمائهم حتی انتهی إلیّ فسئل فوقف، فضرب علی رأسه ضربة امتلأ قبره نارا</w:t>
      </w:r>
      <w:r>
        <w:rPr>
          <w:rStyle w:val="FootnoteReference"/>
        </w:rPr>
        <w:footnoteReference w:id="3899"/>
      </w:r>
      <w:r>
        <w:rPr>
          <w:rFonts w:ascii="IRNazanin" w:hAnsi="IRNazanin" w:eastAsia="IRNazanin" w:cs="IRNazanin"/>
          <w:lang w:bidi="fa-IR"/>
          <w:color w:val="111111"/>
          <w:sz w:val="28"/>
          <w:szCs w:val="28"/>
          <w:rtl/>
        </w:rPr>
        <w:t xml:space="preserve">، فاذا توفّی الرضا - علیه السلام - عام 203، فقد توفّی ابن أبی حمزة قبل ذلک العام.</w:t>
      </w:r>
    </w:p>
    <w:p>
      <w:pPr>
        <w:pStyle w:val="BookText"/>
      </w:pPr>
      <w:r>
        <w:rPr>
          <w:rFonts w:ascii="IRNazanin" w:hAnsi="IRNazanin" w:eastAsia="IRNazanin" w:cs="IRNazanin"/>
          <w:lang w:bidi="fa-IR"/>
          <w:color w:val="111111"/>
          <w:sz w:val="28"/>
          <w:szCs w:val="28"/>
          <w:rtl/>
        </w:rPr>
        <w:t xml:space="preserve">و من جانب آخر مات الوالد (الحسن بن فضّال) سنة أربع و عشرین و مائتین کما أرّخه النّجاشی فی ترجمته.</w:t>
      </w:r>
    </w:p>
    <w:p>
      <w:pPr>
        <w:pStyle w:val="BookText"/>
      </w:pPr>
      <w:r>
        <w:rPr>
          <w:rFonts w:ascii="IRNazanin" w:hAnsi="IRNazanin" w:eastAsia="IRNazanin" w:cs="IRNazanin"/>
          <w:lang w:bidi="fa-IR"/>
          <w:color w:val="111111"/>
          <w:sz w:val="28"/>
          <w:szCs w:val="28"/>
          <w:rtl/>
        </w:rPr>
        <w:t xml:space="preserve">و کان الولد یتجنّب الروایة عن الوالد و هو ابن ثمان عشرة سنة یقول:</w:t>
      </w:r>
    </w:p>
    <w:p>
      <w:pPr>
        <w:pStyle w:val="BookText"/>
      </w:pPr>
      <w:r>
        <w:rPr>
          <w:rFonts w:ascii="IRNazanin" w:hAnsi="IRNazanin" w:eastAsia="IRNazanin" w:cs="IRNazanin"/>
          <w:lang w:bidi="fa-IR"/>
          <w:color w:val="111111"/>
          <w:sz w:val="28"/>
          <w:szCs w:val="28"/>
          <w:rtl/>
        </w:rPr>
        <w:t xml:space="preserve">«کنت اقابله (الوالد) - و سنّی ثمان عشرة سنة - بکتبه و لا أفهم إذ ذاک الروایات و لا أستحلّ أن أرویها عنه» و لأجل ذلک روی عن أخویه عن أبیهما. فاذا کان سنّه عند موت الوالد ثمانی عشرة فعلیه یکون من موالید عام 206، فمعه کیف یمکن أن یروی عن علیّ بن أبی حمزة الّذی توفّی فی حیاة الإمام الرضا - علیه السلام -؟</w:t>
      </w:r>
    </w:p>
    <w:p>
      <w:pPr>
        <w:pStyle w:val="BookText"/>
      </w:pPr>
      <w:r>
        <w:rPr>
          <w:rFonts w:ascii="IRNazanin" w:hAnsi="IRNazanin" w:eastAsia="IRNazanin" w:cs="IRNazanin"/>
          <w:lang w:bidi="fa-IR"/>
          <w:color w:val="111111"/>
          <w:sz w:val="28"/>
          <w:szCs w:val="28"/>
          <w:rtl/>
        </w:rPr>
        <w:t xml:space="preserve">و علی کلّ تقدیر فقد روی ابن أبی عمیر کتاب علیّ بن أبی حمزة عنه، کما نصّ به النجاشی فی ترجمته</w:t>
      </w:r>
      <w:r>
        <w:rPr>
          <w:rStyle w:val="FootnoteReference"/>
        </w:rPr>
        <w:footnoteReference w:id="3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من المحتمل فی هذا المورد و سائر الموارد، أنّ ابن أبی عمیر نقل عنه الحدیث فی حال استقامته، لأنّ الاستاذ و التلمیذ أدرکا عصر الإمام أبی</w:t>
      </w:r>
    </w:p>
    <w:p>
      <w:pPr>
        <w:pStyle w:val="BookText"/>
      </w:pPr>
      <w:r>
        <w:rPr>
          <w:rFonts w:ascii="IRNazanin" w:hAnsi="IRNazanin" w:eastAsia="IRNazanin" w:cs="IRNazanin"/>
          <w:lang w:bidi="fa-IR"/>
          <w:color w:val="111111"/>
          <w:sz w:val="28"/>
          <w:szCs w:val="28"/>
          <w:rtl/>
        </w:rPr>
        <w:t xml:space="preserve">[شماره صفحه واقعی : 237]</w:t>
      </w:r>
    </w:p>
    <w:p>
      <w:pPr>
        <w:pStyle w:val="BookText"/>
      </w:pPr>
      <w:r>
        <w:rPr>
          <w:rFonts w:ascii="IRNazanin" w:hAnsi="IRNazanin" w:eastAsia="IRNazanin" w:cs="IRNazanin"/>
          <w:lang w:bidi="fa-IR"/>
          <w:color w:val="111111"/>
          <w:sz w:val="28"/>
          <w:szCs w:val="28"/>
          <w:rtl/>
        </w:rPr>
        <w:t xml:space="preserve">ص: 955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الکاظم - علیه السلام -، فقد کان ابن أبی حمزة موضع ثقة منه، و قد أخذ عنه الحدیث عند ما کان مستقیم المذهب، صحیح العقیدة فحدّثه بعد انحرافه أیضا، نعم لو لم یکن ابن أبی عمیر مدرکا لعصر الإمام الکاظم - علیه السلام - و انحصر نقله فی عصر الرضا - علیه السلام - یکون النقل عنه ناقضا للقاعدة، و لکن عرفت أنّه أدرکه کلا العصرین.</w:t>
      </w:r>
    </w:p>
    <w:p>
      <w:pPr>
        <w:pStyle w:val="BookText"/>
      </w:pPr>
      <w:r>
        <w:rPr>
          <w:rFonts w:ascii="IRNazanin" w:hAnsi="IRNazanin" w:eastAsia="IRNazanin" w:cs="IRNazanin"/>
          <w:lang w:bidi="fa-IR"/>
          <w:color w:val="111111"/>
          <w:sz w:val="28"/>
          <w:szCs w:val="28"/>
          <w:rtl/>
        </w:rPr>
        <w:t xml:space="preserve">أضف إلی ذلک أنّه لم یثبت کون علیّ بن أبی حمزة من الواقفة، و ما اقیم من الأدلّة فهی معارضة بمثلها أو بأحسن منها، و سیجیء الکلام فیه إجمالا عند البحث عن روایة صفوان عنه فارتقب.</w:t>
      </w:r>
    </w:p>
    <w:p>
      <w:pPr>
        <w:pStyle w:val="BookText"/>
      </w:pPr>
      <w:r>
        <w:rPr>
          <w:rFonts w:ascii="IRNazanin" w:hAnsi="IRNazanin" w:eastAsia="IRNazanin" w:cs="IRNazanin"/>
          <w:lang w:bidi="fa-IR"/>
          <w:color w:val="111111"/>
          <w:sz w:val="28"/>
          <w:szCs w:val="28"/>
          <w:rtl/>
        </w:rPr>
        <w:t xml:space="preserve">2 - یونس بن ظبیان: روی الشّیخ عن موسی بن القاسم، عن صفوان، و ابن أبی عمیر، عن برید أو یزید و یونس بن ظبیان قالا: سألنا أبا عبد اللّه - علیه السلام - عن رجل یحرم فی رجب أو فی شهر رمضان، حتّی إذا کان أوان الحجّ أتی متمتّعا، فقال: لا بأس بذلک</w:t>
      </w:r>
      <w:r>
        <w:rPr>
          <w:rStyle w:val="FootnoteReference"/>
        </w:rPr>
        <w:footnoteReference w:id="3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یونس بن ظبیان ضعیف، قال النّجاشی: «ضعیف جدّا لا یلتفت إلی ما رواه، کلّ کتبه تخلیط»</w:t>
      </w:r>
      <w:r>
        <w:rPr>
          <w:rStyle w:val="FootnoteReference"/>
        </w:rPr>
        <w:footnoteReference w:id="3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الکاظمی فی التکملة: «علماء الرجال بالغوا فی ذمّه و نسبوه إلی الکذب، و الضّعف، و التّهمة، و الغلوّ، و وضع الحدیث، و نقلوا عن الرّضا - علیه السلام - لعنه»</w:t>
      </w:r>
      <w:r>
        <w:rPr>
          <w:rStyle w:val="FootnoteReference"/>
        </w:rPr>
        <w:footnoteReference w:id="3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الإجابة بوجوه:</w:t>
      </w:r>
    </w:p>
    <w:p>
      <w:pPr>
        <w:pStyle w:val="BookText"/>
      </w:pPr>
      <w:r>
        <w:rPr>
          <w:rFonts w:ascii="IRNazanin" w:hAnsi="IRNazanin" w:eastAsia="IRNazanin" w:cs="IRNazanin"/>
          <w:lang w:bidi="fa-IR"/>
          <w:color w:val="111111"/>
          <w:sz w:val="28"/>
          <w:szCs w:val="28"/>
          <w:rtl/>
        </w:rPr>
        <w:t xml:space="preserve">الأوّل: الظّاهر أنّ محمّد بن أبی عمیر لا یروی عن غیر الثّقة إذا انفرد هو</w:t>
      </w:r>
    </w:p>
    <w:p>
      <w:pPr>
        <w:pStyle w:val="BookText"/>
      </w:pPr>
      <w:r>
        <w:rPr>
          <w:rFonts w:ascii="IRNazanin" w:hAnsi="IRNazanin" w:eastAsia="IRNazanin" w:cs="IRNazanin"/>
          <w:lang w:bidi="fa-IR"/>
          <w:color w:val="111111"/>
          <w:sz w:val="28"/>
          <w:szCs w:val="28"/>
          <w:rtl/>
        </w:rPr>
        <w:t xml:space="preserve">[شماره صفحه واقعی : 238]</w:t>
      </w:r>
    </w:p>
    <w:p>
      <w:pPr>
        <w:pStyle w:val="BookText"/>
      </w:pPr>
      <w:r>
        <w:rPr>
          <w:rFonts w:ascii="IRNazanin" w:hAnsi="IRNazanin" w:eastAsia="IRNazanin" w:cs="IRNazanin"/>
          <w:lang w:bidi="fa-IR"/>
          <w:color w:val="111111"/>
          <w:sz w:val="28"/>
          <w:szCs w:val="28"/>
          <w:rtl/>
        </w:rPr>
        <w:t xml:space="preserve">ص: 956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بالنّقل، و لأجله لم یرو عن یونس بن ظبیان، إلاّ هذا الحدیث فقط، کما هو الظّاهر من معجم الرجال عند البحث عن تفصیل طبقات الرواة (ج 22 ص 320). و أمّا إذا لم یتفرّد، کما إذا نقله الثّقة و غیره فیروی عنهما تأییدا للخبر. و بعبارة اخری لا یروی عن الضّعیف إذا کان فی طول الثقة لا فی عرضه. و أمّا المقام فقد روی عن برید و یونس بن ظبیان معا. و یونس و إن کان ضعیفا، لکنّه کما رواه عنه، رواه عن برید أیضا کما فی نسخة التهذیب و الوافی و الوسائل، أو عن یزید کما فی نسخة الاستبصار</w:t>
      </w:r>
      <w:r>
        <w:rPr>
          <w:rStyle w:val="FootnoteReference"/>
        </w:rPr>
        <w:footnoteReference w:id="3904"/>
      </w:r>
      <w:r>
        <w:rPr>
          <w:rFonts w:ascii="IRNazanin" w:hAnsi="IRNazanin" w:eastAsia="IRNazanin" w:cs="IRNazanin"/>
          <w:lang w:bidi="fa-IR"/>
          <w:color w:val="111111"/>
          <w:sz w:val="28"/>
          <w:szCs w:val="28"/>
          <w:rtl/>
        </w:rPr>
        <w:t xml:space="preserve">و الأوّل بعید، لأنّ روایة ابن أبی عمیر عن برید بن معاویة المتوفّی فی حیاة الإمام الصادق - علیه السلام -، قبل (148) بعیدة، فالثانی هو المتعیّن.</w:t>
      </w:r>
    </w:p>
    <w:p>
      <w:pPr>
        <w:pStyle w:val="BookText"/>
      </w:pPr>
      <w:r>
        <w:rPr>
          <w:rFonts w:ascii="IRNazanin" w:hAnsi="IRNazanin" w:eastAsia="IRNazanin" w:cs="IRNazanin"/>
          <w:lang w:bidi="fa-IR"/>
          <w:color w:val="111111"/>
          <w:sz w:val="28"/>
          <w:szCs w:val="28"/>
          <w:rtl/>
        </w:rPr>
        <w:t xml:space="preserve">و یحتمل أن یکون المراد من «یزید» أبا خالد القمّاط و هو ثقة یروی عن أبی عبد اللّه - علیه السلام - و یروی عنه صفوان، کما فی رجال النجاشی، فیصح نقل ابن أبی عمیر عنه، کما یحتمل أن یکون المراد منه یزید بن خلیفة الّذی هو من أصحاب الصّادق - علیه السلام -، و یروی عنه صفوان أیضا کما فی الاستبصار (ج 3، الحدیث 372).</w:t>
      </w:r>
    </w:p>
    <w:p>
      <w:pPr>
        <w:pStyle w:val="BookText"/>
      </w:pPr>
      <w:r>
        <w:rPr>
          <w:rFonts w:ascii="IRNazanin" w:hAnsi="IRNazanin" w:eastAsia="IRNazanin" w:cs="IRNazanin"/>
          <w:lang w:bidi="fa-IR"/>
          <w:color w:val="111111"/>
          <w:sz w:val="28"/>
          <w:szCs w:val="28"/>
          <w:rtl/>
        </w:rPr>
        <w:t xml:space="preserve">الثانی: احتمال وجود الارسال فی الروایة بمعنی وجود الواسطة بین ابن أبی عمیر و یونس، و قد سقطت عند النقل، و ذلک لأنّ یونس قد توفّی فی حیاة الإمام الصادق - علیه السلام -، کما یظهر من الدعاء الآتی. و قد توفّی الإمام - علیه السلام - عام 148، و من البعید أن یروی ابن أبی عمیر (المتوفّی عام 217) عن مثله، إلاّ أن یکون معمّرا قابلا لأخذ الحدیث عن تلامیذ الإمام الّذین توفّوا فی حیاته، و هو غیر ثابت.</w:t>
      </w:r>
    </w:p>
    <w:p>
      <w:pPr>
        <w:pStyle w:val="BookText"/>
      </w:pPr>
      <w:r>
        <w:rPr>
          <w:rFonts w:ascii="IRNazanin" w:hAnsi="IRNazanin" w:eastAsia="IRNazanin" w:cs="IRNazanin"/>
          <w:lang w:bidi="fa-IR"/>
          <w:color w:val="111111"/>
          <w:sz w:val="28"/>
          <w:szCs w:val="28"/>
          <w:rtl/>
        </w:rPr>
        <w:t xml:space="preserve">الثالث: إنّه لم یثبت ضعف یونس، لا لما رواه الکشّی عن هشام بن سالم، قال: «سألت أبا عبد اللّه - علیه السلام - عن یونس بن ظبیان فقال:</w:t>
      </w:r>
    </w:p>
    <w:p>
      <w:pPr>
        <w:pStyle w:val="BookText"/>
      </w:pPr>
      <w:r>
        <w:rPr>
          <w:rFonts w:ascii="IRNazanin" w:hAnsi="IRNazanin" w:eastAsia="IRNazanin" w:cs="IRNazanin"/>
          <w:lang w:bidi="fa-IR"/>
          <w:color w:val="111111"/>
          <w:sz w:val="28"/>
          <w:szCs w:val="28"/>
          <w:rtl/>
        </w:rPr>
        <w:t xml:space="preserve">رحمه اللّه و بنی له بیتا فی الجّنة، کان و اللّه مأمونا فی الحدیث» و ذلک لأنّ فی</w:t>
      </w:r>
    </w:p>
    <w:p>
      <w:pPr>
        <w:pStyle w:val="BookText"/>
      </w:pPr>
      <w:r>
        <w:rPr>
          <w:rFonts w:ascii="IRNazanin" w:hAnsi="IRNazanin" w:eastAsia="IRNazanin" w:cs="IRNazanin"/>
          <w:lang w:bidi="fa-IR"/>
          <w:color w:val="111111"/>
          <w:sz w:val="28"/>
          <w:szCs w:val="28"/>
          <w:rtl/>
        </w:rPr>
        <w:t xml:space="preserve">[شماره صفحه واقعی : 239]</w:t>
      </w:r>
    </w:p>
    <w:p>
      <w:pPr>
        <w:pStyle w:val="BookText"/>
      </w:pPr>
      <w:r>
        <w:rPr>
          <w:rFonts w:ascii="IRNazanin" w:hAnsi="IRNazanin" w:eastAsia="IRNazanin" w:cs="IRNazanin"/>
          <w:lang w:bidi="fa-IR"/>
          <w:color w:val="111111"/>
          <w:sz w:val="28"/>
          <w:szCs w:val="28"/>
          <w:rtl/>
        </w:rPr>
        <w:t xml:space="preserve">ص: 957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سنده ضعفا، و هو وجود ابن الهروی المجهول، و قد نصّ به الکشی، بل لروایة البزنطی ذلک الخبر فی جامعه بسند صحیح، و قد نقله ابن إدریس فی مستطرفاته. و ما فی معجم رجال الحدیث من أن طریق ابن إدریس إلی جامع البزنطی مجهول، فالروایة بکلا طریقیها ضعیفة، غیر تامّ، لأنّ جامعه کسائر الجوامع کان من الکتب المشهورة الّتی کان انتسابها إلی مؤلّفیها أمرا قطعیا، و لم یکن من الکتب المجهولة، کیف و قد کان مرجع الشیعة قبل تألیف الجوامع الثانویة کالکافی و غیره.</w:t>
      </w:r>
    </w:p>
    <w:p>
      <w:pPr>
        <w:pStyle w:val="BookText"/>
      </w:pPr>
      <w:r>
        <w:rPr>
          <w:rFonts w:ascii="IRNazanin" w:hAnsi="IRNazanin" w:eastAsia="IRNazanin" w:cs="IRNazanin"/>
          <w:lang w:bidi="fa-IR"/>
          <w:color w:val="111111"/>
          <w:sz w:val="28"/>
          <w:szCs w:val="28"/>
          <w:rtl/>
        </w:rPr>
        <w:t xml:space="preserve">و لأجل هذه الوجوه الثّلاثة لا تصلح الرّوایة لنقض القاعدة.</w:t>
      </w:r>
    </w:p>
    <w:p>
      <w:pPr>
        <w:pStyle w:val="BookText"/>
      </w:pPr>
      <w:r>
        <w:rPr>
          <w:rFonts w:ascii="IRNazanin" w:hAnsi="IRNazanin" w:eastAsia="IRNazanin" w:cs="IRNazanin"/>
          <w:lang w:bidi="fa-IR"/>
          <w:color w:val="111111"/>
          <w:sz w:val="28"/>
          <w:szCs w:val="28"/>
          <w:rtl/>
        </w:rPr>
        <w:t xml:space="preserve">3 - علیّ بن حدید: روی الشیخ عن الحسین بن سعید، عن ابن أبی عمیر، عن علیّ بن حدید، عن جمیل بن درّاج، عن بعض أصحابه، عن احدهما - علیهما السلام - فی رجل کانت له جاریة فوطئها ثمّ اشتری امّها أو ابنتها، قال: لا تحلّ له</w:t>
      </w:r>
      <w:r>
        <w:rPr>
          <w:rStyle w:val="FootnoteReference"/>
        </w:rPr>
        <w:footnoteReference w:id="3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الشیخ علیّ بن حدید فی رجاله</w:t>
      </w:r>
      <w:r>
        <w:rPr>
          <w:rStyle w:val="FootnoteReference"/>
        </w:rPr>
        <w:footnoteReference w:id="3906"/>
      </w:r>
      <w:r>
        <w:rPr>
          <w:rFonts w:ascii="IRNazanin" w:hAnsi="IRNazanin" w:eastAsia="IRNazanin" w:cs="IRNazanin"/>
          <w:lang w:bidi="fa-IR"/>
          <w:color w:val="111111"/>
          <w:sz w:val="28"/>
          <w:szCs w:val="28"/>
          <w:rtl/>
        </w:rPr>
        <w:t xml:space="preserve">فی أصحاب الرضا - علیه السلام -، و فی الإمام الجواد - علیه السلام -</w:t>
      </w:r>
      <w:r>
        <w:rPr>
          <w:rStyle w:val="FootnoteReference"/>
        </w:rPr>
        <w:footnoteReference w:id="3907"/>
      </w:r>
      <w:r>
        <w:rPr>
          <w:rFonts w:ascii="IRNazanin" w:hAnsi="IRNazanin" w:eastAsia="IRNazanin" w:cs="IRNazanin"/>
          <w:lang w:bidi="fa-IR"/>
          <w:color w:val="111111"/>
          <w:sz w:val="28"/>
          <w:szCs w:val="28"/>
          <w:rtl/>
        </w:rPr>
        <w:t xml:space="preserve">،و فی فهرسه قائلا بأنّ له کتابا. و قال الکشّی فی رجاله: «فطحیّ من أهل الکوفة، و کان أدرک الرّضا - علیه السلام -»</w:t>
      </w:r>
      <w:r>
        <w:rPr>
          <w:rStyle w:val="FootnoteReference"/>
        </w:rPr>
        <w:footnoteReference w:id="3908"/>
      </w:r>
      <w:r>
        <w:rPr>
          <w:rFonts w:ascii="IRNazanin" w:hAnsi="IRNazanin" w:eastAsia="IRNazanin" w:cs="IRNazanin"/>
          <w:lang w:bidi="fa-IR"/>
          <w:color w:val="111111"/>
          <w:sz w:val="28"/>
          <w:szCs w:val="28"/>
          <w:rtl/>
        </w:rPr>
        <w:t xml:space="preserve">، و قال العلاّمة فی القسم الثانی من الخلاصة: «علیّ بن حدید بن الحکیم، ضعّفه شیخنا فی کتاب الاستبصار و التّهذیب، لا یعوّل</w:t>
      </w:r>
    </w:p>
    <w:p>
      <w:pPr>
        <w:pStyle w:val="BookText"/>
      </w:pPr>
      <w:r>
        <w:rPr>
          <w:rFonts w:ascii="IRNazanin" w:hAnsi="IRNazanin" w:eastAsia="IRNazanin" w:cs="IRNazanin"/>
          <w:lang w:bidi="fa-IR"/>
          <w:color w:val="111111"/>
          <w:sz w:val="28"/>
          <w:szCs w:val="28"/>
          <w:rtl/>
        </w:rPr>
        <w:t xml:space="preserve">[شماره صفحه واقعی : 240]</w:t>
      </w:r>
    </w:p>
    <w:p>
      <w:pPr>
        <w:pStyle w:val="BookText"/>
      </w:pPr>
      <w:r>
        <w:rPr>
          <w:rFonts w:ascii="IRNazanin" w:hAnsi="IRNazanin" w:eastAsia="IRNazanin" w:cs="IRNazanin"/>
          <w:lang w:bidi="fa-IR"/>
          <w:color w:val="111111"/>
          <w:sz w:val="28"/>
          <w:szCs w:val="28"/>
          <w:rtl/>
        </w:rPr>
        <w:t xml:space="preserve">ص: 958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ینفرد بنقله»</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الشیخ ضعّفه فی موضعین من الاستبصار، أحدهما باب البئر تقع فیها الفأرة و غیرها، فروی فیه عن أحمد بن محمّد بن عیسی، عن علیّ ابن حدید، عن بعض أصحابنا قال: «کنت مع أبی عبد اللّه - علیه السلام - فی طریق مکّة، فصرنا إلی بئر، فاستقی غلام أبی عبد اللّه - علیه السلام - دلوا، فخرج فیه فأرتان...» فقال الشیخ: «فأوّل ما فی هذا الخبر أنّه مرسل، و راویه ضعیف، و هذا یضعّف الاحتجاج بخبره»</w:t>
      </w:r>
      <w:r>
        <w:rPr>
          <w:rStyle w:val="FootnoteReference"/>
        </w:rPr>
        <w:footnoteReference w:id="3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باب النّهی عن بیع الذّهب بالفضّة نسیئة، فی ذیل حدیث عباد: «و أمّا خبر زرارة فالطّریق إلیه علیّ بن حدید، و هو ضعیف جدّا لا یعوّل علی ما ینفرد بنقله»</w:t>
      </w:r>
      <w:r>
        <w:rPr>
          <w:rStyle w:val="FootnoteReference"/>
        </w:rPr>
        <w:footnoteReference w:id="3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بوجهین، الأوّل: لم یثبت ضعف علیّ بن حدید، بل الظّاهر عمّا رواه الکشّی وثاقته، قال فی ترجمة هشام بن الحکم: «علیّ بن محمد، عن أحمد بن محمّد، عن علیّ بن راشد، عن أبی جعفر الثّانی قال: جعلت فداک، قد اختلف أصحابنا، فاصلّی خلف أصحاب هشام بن الحکم؟ قال:</w:t>
      </w:r>
    </w:p>
    <w:p>
      <w:pPr>
        <w:pStyle w:val="BookText"/>
      </w:pPr>
      <w:r>
        <w:rPr>
          <w:rFonts w:ascii="IRNazanin" w:hAnsi="IRNazanin" w:eastAsia="IRNazanin" w:cs="IRNazanin"/>
          <w:lang w:bidi="fa-IR"/>
          <w:color w:val="111111"/>
          <w:sz w:val="28"/>
          <w:szCs w:val="28"/>
          <w:rtl/>
        </w:rPr>
        <w:t xml:space="preserve">علیک بعلیّ بن حدید، قلت: فآخذ بقوله؟ قال: نعم، فلقیت علیّ بن حدید فقلت: نصلّی خلف أصحاب هشام بن الحکم؟ قال: لا»</w:t>
      </w:r>
      <w:r>
        <w:rPr>
          <w:rStyle w:val="FootnoteReference"/>
        </w:rPr>
        <w:footnoteReference w:id="3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ترجمة یونس بن عبد الرّحمن: «آدم بن محمّد القلانسی البلخی قال: علیّ بن محمّد القمّی قال: حدّثنی أحمد بن محمّد بن عیسی القمی، عن یعقوب بن یزید، عن أبیه یزید بن حمّاد، عن أبی الحسن قال:</w:t>
      </w:r>
    </w:p>
    <w:p>
      <w:pPr>
        <w:pStyle w:val="BookText"/>
      </w:pPr>
      <w:r>
        <w:rPr>
          <w:rFonts w:ascii="IRNazanin" w:hAnsi="IRNazanin" w:eastAsia="IRNazanin" w:cs="IRNazanin"/>
          <w:lang w:bidi="fa-IR"/>
          <w:color w:val="111111"/>
          <w:sz w:val="28"/>
          <w:szCs w:val="28"/>
          <w:rtl/>
        </w:rPr>
        <w:t xml:space="preserve">[شماره صفحه واقعی : 241]</w:t>
      </w:r>
    </w:p>
    <w:p>
      <w:pPr>
        <w:pStyle w:val="BookText"/>
      </w:pPr>
      <w:r>
        <w:rPr>
          <w:rFonts w:ascii="IRNazanin" w:hAnsi="IRNazanin" w:eastAsia="IRNazanin" w:cs="IRNazanin"/>
          <w:lang w:bidi="fa-IR"/>
          <w:color w:val="111111"/>
          <w:sz w:val="28"/>
          <w:szCs w:val="28"/>
          <w:rtl/>
        </w:rPr>
        <w:t xml:space="preserve">ص: 959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اصلّی خلف من لا أعرف؟ فقال: لا تصلّ إلاّ خلف من تثق بدینه، فقلت له: اصلّی خلف یونس و أصحابه؟ فقال: یأبی ذلک علیکم علیّ بن حدید، قلت: آخذ بقوله فی ذلک؟ قال: نعم، قال: فسألت علیّ بن حدید عن ذلک، فقال: لا تصلّ خلفه و لا خلف أصحابه»</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یؤیّد وثاقته کونه من رجال «کامل الزیارات»</w:t>
      </w:r>
      <w:r>
        <w:rPr>
          <w:rStyle w:val="FootnoteReference"/>
        </w:rPr>
        <w:footnoteReference w:id="3914"/>
      </w:r>
      <w:r>
        <w:rPr>
          <w:rFonts w:ascii="IRNazanin" w:hAnsi="IRNazanin" w:eastAsia="IRNazanin" w:cs="IRNazanin"/>
          <w:lang w:bidi="fa-IR"/>
          <w:color w:val="111111"/>
          <w:sz w:val="28"/>
          <w:szCs w:val="28"/>
          <w:rtl/>
        </w:rPr>
        <w:t xml:space="preserve">الّتی نصّ ابن قولویه فی أوّله بأنّه یروی عن الثّقات فی کتابه هذا</w:t>
      </w:r>
      <w:r>
        <w:rPr>
          <w:rStyle w:val="FootnoteReference"/>
        </w:rPr>
        <w:footnoteReference w:id="3915"/>
      </w:r>
      <w:r>
        <w:rPr>
          <w:rFonts w:ascii="IRNazanin" w:hAnsi="IRNazanin" w:eastAsia="IRNazanin" w:cs="IRNazanin"/>
          <w:lang w:bidi="fa-IR"/>
          <w:color w:val="111111"/>
          <w:sz w:val="28"/>
          <w:szCs w:val="28"/>
          <w:rtl/>
        </w:rPr>
        <w:t xml:space="preserve">. کما یؤیّد وثاقته أیضا کونه من رجال تفسیر القمّی</w:t>
      </w:r>
      <w:r>
        <w:rPr>
          <w:rStyle w:val="FootnoteReference"/>
        </w:rPr>
        <w:footnoteReference w:id="3916"/>
      </w:r>
      <w:r>
        <w:rPr>
          <w:rFonts w:ascii="IRNazanin" w:hAnsi="IRNazanin" w:eastAsia="IRNazanin" w:cs="IRNazanin"/>
          <w:lang w:bidi="fa-IR"/>
          <w:color w:val="111111"/>
          <w:sz w:val="28"/>
          <w:szCs w:val="28"/>
          <w:rtl/>
        </w:rPr>
        <w:t xml:space="preserve">الّذی نصّ فی أوّل تفسیره بأنّ رجال تفسیره هذا من الثّقات. و سوف یوافیک الکلام فی هذین التوثیقین، غیر أنّ تضعیف الشّیخ مقدّم علی ما نقله الکشّی، لأنّ فی سند روایته ضعفا، فلم یبق إلاّ کونه من رجال کامل الزیارات و تفسیر القمّی. و الظّاهر تقدیم جرح الشّیخ علی التوثیق العمومی الّذی مبناه کونه من رجال کامل الزیارات و تفسیر القمّی، و سیوافیک الکلام بأنّ التوثیق العمومی المستفاد من مقدّمة الکتابین، علی فرض صحّته، حجّة ما لم یعارض بحجّة صریحة اخری، مضافا إلی ما فی نفس هذا التوثیق العمومی الّذی نسب إلی الکتابین من الضعف.</w:t>
      </w:r>
    </w:p>
    <w:p>
      <w:pPr>
        <w:pStyle w:val="BookText"/>
      </w:pPr>
      <w:r>
        <w:rPr>
          <w:rFonts w:ascii="IRNazanin" w:hAnsi="IRNazanin" w:eastAsia="IRNazanin" w:cs="IRNazanin"/>
          <w:lang w:bidi="fa-IR"/>
          <w:color w:val="111111"/>
          <w:sz w:val="28"/>
          <w:szCs w:val="28"/>
          <w:rtl/>
        </w:rPr>
        <w:t xml:space="preserve">الثانی: وجود التّصحیف فی سند الروایة. و الظّاهر أنّ لفظة «عن علیّ بن حدید» مصحّف «و علیّ بن حدید» و یدلّ علیه امور:</w:t>
      </w:r>
    </w:p>
    <w:p>
      <w:pPr>
        <w:pStyle w:val="BookText"/>
      </w:pPr>
      <w:r>
        <w:rPr>
          <w:rFonts w:ascii="IRNazanin" w:hAnsi="IRNazanin" w:eastAsia="IRNazanin" w:cs="IRNazanin"/>
          <w:lang w:bidi="fa-IR"/>
          <w:color w:val="111111"/>
          <w:sz w:val="28"/>
          <w:szCs w:val="28"/>
          <w:rtl/>
        </w:rPr>
        <w:t xml:space="preserve">الف - کثرة روایة ابن أبی عمیر عن جمیل بلا واسطة. قال فی معجم رجال الحدیث: «و روایاته عنه تبلغ 298 موردا»</w:t>
      </w:r>
      <w:r>
        <w:rPr>
          <w:rStyle w:val="FootnoteReference"/>
        </w:rPr>
        <w:footnoteReference w:id="3917"/>
      </w:r>
      <w:r>
        <w:rPr>
          <w:rFonts w:ascii="IRNazanin" w:hAnsi="IRNazanin" w:eastAsia="IRNazanin" w:cs="IRNazanin"/>
          <w:lang w:bidi="fa-IR"/>
          <w:color w:val="111111"/>
          <w:sz w:val="28"/>
          <w:szCs w:val="28"/>
          <w:rtl/>
        </w:rPr>
        <w:t xml:space="preserve">و علی ذلک فمن البعید</w:t>
      </w:r>
    </w:p>
    <w:p>
      <w:pPr>
        <w:pStyle w:val="BookText"/>
      </w:pPr>
      <w:r>
        <w:rPr>
          <w:rFonts w:ascii="IRNazanin" w:hAnsi="IRNazanin" w:eastAsia="IRNazanin" w:cs="IRNazanin"/>
          <w:lang w:bidi="fa-IR"/>
          <w:color w:val="111111"/>
          <w:sz w:val="28"/>
          <w:szCs w:val="28"/>
          <w:rtl/>
        </w:rPr>
        <w:t xml:space="preserve">[شماره صفحه واقعی : 242]</w:t>
      </w:r>
    </w:p>
    <w:p>
      <w:pPr>
        <w:pStyle w:val="BookText"/>
      </w:pPr>
      <w:r>
        <w:rPr>
          <w:rFonts w:ascii="IRNazanin" w:hAnsi="IRNazanin" w:eastAsia="IRNazanin" w:cs="IRNazanin"/>
          <w:lang w:bidi="fa-IR"/>
          <w:color w:val="111111"/>
          <w:sz w:val="28"/>
          <w:szCs w:val="28"/>
          <w:rtl/>
        </w:rPr>
        <w:t xml:space="preserve">ص: 960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أنّ ابن أبی عمیر الّذی یروی عن جمیل هذه الکمیّة الهائلة من الأحادیث بلا واسطة، یروی عنه روایة واحدة مع الواسطة، و لأجل ذلک لا تجد له نظیرا فی کتب الأحادیث.</w:t>
      </w:r>
    </w:p>
    <w:p>
      <w:pPr>
        <w:pStyle w:val="BookText"/>
      </w:pPr>
      <w:r>
        <w:rPr>
          <w:rFonts w:ascii="IRNazanin" w:hAnsi="IRNazanin" w:eastAsia="IRNazanin" w:cs="IRNazanin"/>
          <w:lang w:bidi="fa-IR"/>
          <w:color w:val="111111"/>
          <w:sz w:val="28"/>
          <w:szCs w:val="28"/>
          <w:rtl/>
        </w:rPr>
        <w:t xml:space="preserve">ب - وحدة الطّبقة، لأنّ الرجلین فی طبقة واحدة من أصحاب الکاظم و الرضا - علیهما السلام -، و نصّ النجاشی علی روایة علیّ بن حدید عن أبی الحسن موسی بن جعفر - علیهما السلام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لم یوجد لابن أبی عمیر أیّ روایة عن علیّ بن حدید فی الکتب الأربعة غیر هذا المورد، کما یظهر من قسم تفاصیل طبقات الرواة لمعجم الرجال</w:t>
      </w:r>
      <w:r>
        <w:rPr>
          <w:rStyle w:val="FootnoteReference"/>
        </w:rPr>
        <w:footnoteReference w:id="3919"/>
      </w:r>
      <w:r>
        <w:rPr>
          <w:rFonts w:ascii="IRNazanin" w:hAnsi="IRNazanin" w:eastAsia="IRNazanin" w:cs="IRNazanin"/>
          <w:lang w:bidi="fa-IR"/>
          <w:color w:val="111111"/>
          <w:sz w:val="28"/>
          <w:szCs w:val="28"/>
          <w:rtl/>
        </w:rPr>
        <w:t xml:space="preserve">و هذا یوکّد کون علیّ بن حدید، معطوفا علی ابن أبی عمیر و أنّه لم یکن شیخا له، و إلاّ لما اقتصر فی النّقل عنه علی روایة واحدة.</w:t>
      </w:r>
    </w:p>
    <w:p>
      <w:pPr>
        <w:pStyle w:val="BookText"/>
      </w:pPr>
      <w:r>
        <w:rPr>
          <w:rFonts w:ascii="IRNazanin" w:hAnsi="IRNazanin" w:eastAsia="IRNazanin" w:cs="IRNazanin"/>
          <w:lang w:bidi="fa-IR"/>
          <w:color w:val="111111"/>
          <w:sz w:val="28"/>
          <w:szCs w:val="28"/>
          <w:rtl/>
        </w:rPr>
        <w:t xml:space="preserve">4 - الحسین بن أحمد المنقری: فقد روی عن ابن أبی عمیر، عددا من الروایات جاء فی بعضها لفظ المنقری دون الآخر، و القرائن تشهد علی وحدتهما. و إلیک مجموع ما ورد عنه فی الکتب الأربعة:</w:t>
      </w:r>
    </w:p>
    <w:p>
      <w:pPr>
        <w:pStyle w:val="BookText"/>
      </w:pPr>
      <w:r>
        <w:rPr>
          <w:rFonts w:ascii="IRNazanin" w:hAnsi="IRNazanin" w:eastAsia="IRNazanin" w:cs="IRNazanin"/>
          <w:lang w:bidi="fa-IR"/>
          <w:color w:val="111111"/>
          <w:sz w:val="28"/>
          <w:szCs w:val="28"/>
          <w:rtl/>
        </w:rPr>
        <w:t xml:space="preserve">1 - روی الکلینی عن علیّ بن ابراهیم، عن أبیه، عن ابن أبی عمیر، عن الحسین بن أحمد المنقریّ قال: سمعت أبا ابراهیم یقول: من استکفی بآیة من القرآن...</w:t>
      </w:r>
      <w:r>
        <w:rPr>
          <w:rStyle w:val="FootnoteReference"/>
        </w:rPr>
        <w:footnoteReference w:id="3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عن محمّد بن یحیی، عن أحمد بن محمّد، عن ابن أبی عمیر، عن الحسین بن أحمد المنقری عن خاله قال: سمعت أبا عبد اللّه - علیه السلام - یقول: من أکل طعاما لم یدع إلیه فإنّه أکل قصعة من النار</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243]</w:t>
      </w:r>
    </w:p>
    <w:p>
      <w:pPr>
        <w:pStyle w:val="BookText"/>
      </w:pPr>
      <w:r>
        <w:rPr>
          <w:rFonts w:ascii="IRNazanin" w:hAnsi="IRNazanin" w:eastAsia="IRNazanin" w:cs="IRNazanin"/>
          <w:lang w:bidi="fa-IR"/>
          <w:color w:val="111111"/>
          <w:sz w:val="28"/>
          <w:szCs w:val="28"/>
          <w:rtl/>
        </w:rPr>
        <w:t xml:space="preserve">ص: 961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روی فی الروضة عن علیّ بن إبراهیم، عن أبیه، عن ابن أبی عمیر، عن حسین بن أحمد المنقری، عن یونس بن ظبیان قال: قلت لأبی عبد اللّه - علیه السلام -: ألا تنهی هذین الرّجلین عن هذا الرجل...</w:t>
      </w:r>
      <w:r>
        <w:rPr>
          <w:rStyle w:val="FootnoteReference"/>
        </w:rPr>
        <w:footnoteReference w:id="3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أیضا بسند صحیح عن ابن أبی عمیر، عن الحسین بن أحمد، عن شهاب بن عبد ربّه قال: قال لی أبو عبد اللّه - علیه السلام -: إن ظننت أنّ هذا الأمر کائن فی غد، فلا تدعنّ طلب الرزق</w:t>
      </w:r>
      <w:r>
        <w:rPr>
          <w:rStyle w:val="FootnoteReference"/>
        </w:rPr>
        <w:footnoteReference w:id="3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عن علیّ بن إبراهیم، عن أبیه، عن ابن أبی عمیر، عن حسین بن أحمد المنقری، عن عیسی الضریر قال: قلت لأبی عبد اللّه - علیه السلام -: رجل قتل رجلا متعمّدا ما توبته؟...</w:t>
      </w:r>
      <w:r>
        <w:rPr>
          <w:rStyle w:val="FootnoteReference"/>
        </w:rPr>
        <w:footnoteReference w:id="3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لم یذکره فی معجم الرجال فی هذا المقام، لکنّه ذکره فی ترجمة الحسین بن أحمد المنقری، و ربما یتخیّل أنّ «الحسین» فی الأخیر هو المحسن بن أحمد، کما فی الفقیه</w:t>
      </w:r>
      <w:r>
        <w:rPr>
          <w:rStyle w:val="FootnoteReference"/>
        </w:rPr>
        <w:footnoteReference w:id="3925"/>
      </w:r>
      <w:r>
        <w:rPr>
          <w:rFonts w:ascii="IRNazanin" w:hAnsi="IRNazanin" w:eastAsia="IRNazanin" w:cs="IRNazanin"/>
          <w:lang w:bidi="fa-IR"/>
          <w:color w:val="111111"/>
          <w:sz w:val="28"/>
          <w:szCs w:val="28"/>
          <w:rtl/>
        </w:rPr>
        <w:t xml:space="preserve">لکنّه ضعیف، لأنّ المحسن من أقران ابن أبی عمیر، و من أصحاب الرضا - علیه السلام -، و من مشایخ أحمد بن محمّد بن خالد، الّذی یروی عن ابن أبی عمیر بلا واسطة، و عندئذ کیف یصحّ نقل ابن أبی عمیر عن «المحسن»؟</w:t>
      </w:r>
    </w:p>
    <w:p>
      <w:pPr>
        <w:pStyle w:val="BookText"/>
      </w:pPr>
      <w:r>
        <w:rPr>
          <w:rFonts w:ascii="IRNazanin" w:hAnsi="IRNazanin" w:eastAsia="IRNazanin" w:cs="IRNazanin"/>
          <w:lang w:bidi="fa-IR"/>
          <w:color w:val="111111"/>
          <w:sz w:val="28"/>
          <w:szCs w:val="28"/>
          <w:rtl/>
        </w:rPr>
        <w:t xml:space="preserve">و الجواب عن النقض یظهر بالاحاطة بکلمات النجاشی و ابن الغضائری فی حقّه.</w:t>
      </w:r>
    </w:p>
    <w:p>
      <w:pPr>
        <w:pStyle w:val="BookText"/>
      </w:pPr>
      <w:r>
        <w:rPr>
          <w:rFonts w:ascii="IRNazanin" w:hAnsi="IRNazanin" w:eastAsia="IRNazanin" w:cs="IRNazanin"/>
          <w:lang w:bidi="fa-IR"/>
          <w:color w:val="111111"/>
          <w:sz w:val="28"/>
          <w:szCs w:val="28"/>
          <w:rtl/>
        </w:rPr>
        <w:t xml:space="preserve">قال النجاشی: «الحسین بن أحمد المنقری التمیمی أبو عبد اللّه، روی عن أبی عبد اللّه - علیه السلام - روایة شاذّة لم تثبت، و کان ضعیفا، ذکر ذلک</w:t>
      </w:r>
    </w:p>
    <w:p>
      <w:pPr>
        <w:pStyle w:val="BookText"/>
      </w:pPr>
      <w:r>
        <w:rPr>
          <w:rFonts w:ascii="IRNazanin" w:hAnsi="IRNazanin" w:eastAsia="IRNazanin" w:cs="IRNazanin"/>
          <w:lang w:bidi="fa-IR"/>
          <w:color w:val="111111"/>
          <w:sz w:val="28"/>
          <w:szCs w:val="28"/>
          <w:rtl/>
        </w:rPr>
        <w:t xml:space="preserve">[شماره صفحه واقعی : 244]</w:t>
      </w:r>
    </w:p>
    <w:p>
      <w:pPr>
        <w:pStyle w:val="BookText"/>
      </w:pPr>
      <w:r>
        <w:rPr>
          <w:rFonts w:ascii="IRNazanin" w:hAnsi="IRNazanin" w:eastAsia="IRNazanin" w:cs="IRNazanin"/>
          <w:lang w:bidi="fa-IR"/>
          <w:color w:val="111111"/>
          <w:sz w:val="28"/>
          <w:szCs w:val="28"/>
          <w:rtl/>
        </w:rPr>
        <w:t xml:space="preserve">ص: 962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 رحمهم اللّه -. روی عن داود الرقی و أکثر، له کتب».</w:t>
      </w:r>
    </w:p>
    <w:p>
      <w:pPr>
        <w:pStyle w:val="BookText"/>
      </w:pPr>
      <w:r>
        <w:rPr>
          <w:rFonts w:ascii="IRNazanin" w:hAnsi="IRNazanin" w:eastAsia="IRNazanin" w:cs="IRNazanin"/>
          <w:lang w:bidi="fa-IR"/>
          <w:color w:val="111111"/>
          <w:sz w:val="28"/>
          <w:szCs w:val="28"/>
          <w:rtl/>
        </w:rPr>
        <w:t xml:space="preserve">و قال الشیخ فی الفهرس: «الحسین بن أحمد المنقری له کتاب رویناه» (الفهرس: الرقم 216).</w:t>
      </w:r>
    </w:p>
    <w:p>
      <w:pPr>
        <w:pStyle w:val="BookText"/>
      </w:pPr>
      <w:r>
        <w:rPr>
          <w:rFonts w:ascii="IRNazanin" w:hAnsi="IRNazanin" w:eastAsia="IRNazanin" w:cs="IRNazanin"/>
          <w:lang w:bidi="fa-IR"/>
          <w:color w:val="111111"/>
          <w:sz w:val="28"/>
          <w:szCs w:val="28"/>
          <w:rtl/>
        </w:rPr>
        <w:t xml:space="preserve">و عدّه فی رجاله من أصحاب الباقر - علیه السلام - (الرقم 25)، و من أصحاب الکاظم - علیه السلام - قائلا: «إنّه ضعیف» (الرقم 8).</w:t>
      </w:r>
    </w:p>
    <w:p>
      <w:pPr>
        <w:pStyle w:val="BookText"/>
      </w:pPr>
      <w:r>
        <w:rPr>
          <w:rFonts w:ascii="IRNazanin" w:hAnsi="IRNazanin" w:eastAsia="IRNazanin" w:cs="IRNazanin"/>
          <w:lang w:bidi="fa-IR"/>
          <w:color w:val="111111"/>
          <w:sz w:val="28"/>
          <w:szCs w:val="28"/>
          <w:rtl/>
        </w:rPr>
        <w:t xml:space="preserve">إنّ کون الرجل من أصحاب الباقر - علیه السلام - مع إکثاره النقل من داود الرقی، محلّ تأمّل و قد توفّی داود الرقّی بعد المائتین بقلیل بعد وفاة الرضا - علیه السلام - (سنة 203).</w:t>
      </w:r>
    </w:p>
    <w:p>
      <w:pPr>
        <w:pStyle w:val="BookText"/>
      </w:pPr>
      <w:r>
        <w:rPr>
          <w:rFonts w:ascii="IRNazanin" w:hAnsi="IRNazanin" w:eastAsia="IRNazanin" w:cs="IRNazanin"/>
          <w:lang w:bidi="fa-IR"/>
          <w:color w:val="111111"/>
          <w:sz w:val="28"/>
          <w:szCs w:val="28"/>
          <w:rtl/>
        </w:rPr>
        <w:t xml:space="preserve">و علی أیّ تقدیر، فالظّاهر أنّ ضعفه راجع إلی العقیدة لا الروایة و ذلک لأمرین:</w:t>
      </w:r>
    </w:p>
    <w:p>
      <w:pPr>
        <w:pStyle w:val="BookText"/>
      </w:pPr>
      <w:r>
        <w:rPr>
          <w:rFonts w:ascii="IRNazanin" w:hAnsi="IRNazanin" w:eastAsia="IRNazanin" w:cs="IRNazanin"/>
          <w:lang w:bidi="fa-IR"/>
          <w:color w:val="111111"/>
          <w:sz w:val="28"/>
          <w:szCs w:val="28"/>
          <w:rtl/>
        </w:rPr>
        <w:t xml:space="preserve">الأوّل: إنّ النجاشی وصفه بقوله: «روی عن داود الرقی و أکثر» و قد قال فی حقّ داود «ضعیف جدّا و الغلاة تروی عنه»، فیمکن أن یکون هو أحد الغلاة الّذین رووا عن داود.</w:t>
      </w:r>
    </w:p>
    <w:p>
      <w:pPr>
        <w:pStyle w:val="BookText"/>
      </w:pPr>
      <w:r>
        <w:rPr>
          <w:rFonts w:ascii="IRNazanin" w:hAnsi="IRNazanin" w:eastAsia="IRNazanin" w:cs="IRNazanin"/>
          <w:lang w:bidi="fa-IR"/>
          <w:color w:val="111111"/>
          <w:sz w:val="28"/>
          <w:szCs w:val="28"/>
          <w:rtl/>
        </w:rPr>
        <w:t xml:space="preserve">الثانی: إنّ الشیخ ذکر داود الرقّی فی أصحاب الکاظم - علیه السلام -، و قال: «داود الرقّی مولی بنی أسد و هو ثقة، من أصحاب أبی عبد اللّه - علیه السلام -»،، و مع ذلک نری ابن الغضائری یقول فی حقّه: «داود بن کثیر بن أبی خالد الرقّی مولی بنی أسد، روی عن أبی عبد اللّه - علیه السلام -، کان فاسد المذهب، ضعیف الروایة لا یلتفت إلیه».</w:t>
      </w:r>
    </w:p>
    <w:p>
      <w:pPr>
        <w:pStyle w:val="BookText"/>
      </w:pPr>
      <w:r>
        <w:rPr>
          <w:rFonts w:ascii="IRNazanin" w:hAnsi="IRNazanin" w:eastAsia="IRNazanin" w:cs="IRNazanin"/>
          <w:lang w:bidi="fa-IR"/>
          <w:color w:val="111111"/>
          <w:sz w:val="28"/>
          <w:szCs w:val="28"/>
          <w:rtl/>
        </w:rPr>
        <w:t xml:space="preserve">فاتّضح أنّ الطّعن فیه لم یکن لأجل کونه غیر ثقة فی نقل الحدیث، بل الطّعن لأجل وجود الارتفاع فی العقیدة بقرینة إکثار النقل عن داود الرقی، المتهم بالارتفاع فی العقیدة، و نقل الغلاة عنه، و الکلّ غیر مناف للوثاقة فی مقام النّقل الّذی کان ابن أبی عمیر ملتزما فیه بعدم النقل إلاّ عن الثقة.</w:t>
      </w:r>
    </w:p>
    <w:p>
      <w:pPr>
        <w:pStyle w:val="BookText"/>
      </w:pPr>
      <w:r>
        <w:rPr>
          <w:rFonts w:ascii="IRNazanin" w:hAnsi="IRNazanin" w:eastAsia="IRNazanin" w:cs="IRNazanin"/>
          <w:lang w:bidi="fa-IR"/>
          <w:color w:val="111111"/>
          <w:sz w:val="28"/>
          <w:szCs w:val="28"/>
          <w:rtl/>
        </w:rPr>
        <w:t xml:space="preserve">[شماره صفحه واقعی : 245]</w:t>
      </w:r>
    </w:p>
    <w:p>
      <w:pPr>
        <w:pStyle w:val="BookText"/>
      </w:pPr>
      <w:r>
        <w:rPr>
          <w:rFonts w:ascii="IRNazanin" w:hAnsi="IRNazanin" w:eastAsia="IRNazanin" w:cs="IRNazanin"/>
          <w:lang w:bidi="fa-IR"/>
          <w:color w:val="111111"/>
          <w:sz w:val="28"/>
          <w:szCs w:val="28"/>
          <w:rtl/>
        </w:rPr>
        <w:t xml:space="preserve">ص: 963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النقوض هی الّتی ذکرها صاحب معجم رجال الحدیث، و قد عرفت مدی صحّتها.</w:t>
      </w:r>
    </w:p>
    <w:p>
      <w:pPr>
        <w:pStyle w:val="BookText"/>
      </w:pPr>
      <w:r>
        <w:rPr>
          <w:rFonts w:ascii="IRNazanin" w:hAnsi="IRNazanin" w:eastAsia="IRNazanin" w:cs="IRNazanin"/>
          <w:lang w:bidi="fa-IR"/>
          <w:color w:val="111111"/>
          <w:sz w:val="28"/>
          <w:szCs w:val="28"/>
          <w:rtl/>
        </w:rPr>
        <w:t xml:space="preserve">ثمّ إنّ صاحب مشایخ الثقات جعل ثابتی الضعف منهم خمسة، و هم:</w:t>
      </w:r>
    </w:p>
    <w:p>
      <w:pPr>
        <w:pStyle w:val="BookText"/>
      </w:pPr>
      <w:r>
        <w:rPr>
          <w:rFonts w:ascii="IRNazanin" w:hAnsi="IRNazanin" w:eastAsia="IRNazanin" w:cs="IRNazanin"/>
          <w:lang w:bidi="fa-IR"/>
          <w:color w:val="111111"/>
          <w:sz w:val="28"/>
          <w:szCs w:val="28"/>
          <w:rtl/>
        </w:rPr>
        <w:t xml:space="preserve">1 - الحسین بن أحمد المنقری.</w:t>
      </w:r>
    </w:p>
    <w:p>
      <w:pPr>
        <w:pStyle w:val="BookText"/>
      </w:pPr>
      <w:r>
        <w:rPr>
          <w:rFonts w:ascii="Amiri" w:hAnsi="Amiri" w:eastAsia="Amiri" w:cs="Amiri"/>
          <w:lang w:bidi="ar-SA"/>
          <w:color w:val="111111"/>
          <w:sz w:val="28"/>
          <w:szCs w:val="28"/>
          <w:rtl/>
        </w:rPr>
        <w:t xml:space="preserve">2 - علیّ بن حدید.</w:t>
      </w:r>
    </w:p>
    <w:p>
      <w:pPr>
        <w:pStyle w:val="BookText"/>
      </w:pPr>
      <w:r>
        <w:rPr>
          <w:rFonts w:ascii="IRNazanin" w:hAnsi="IRNazanin" w:eastAsia="IRNazanin" w:cs="IRNazanin"/>
          <w:lang w:bidi="fa-IR"/>
          <w:color w:val="111111"/>
          <w:sz w:val="28"/>
          <w:szCs w:val="28"/>
          <w:rtl/>
        </w:rPr>
        <w:t xml:space="preserve">3 - یونس بن ظبیان.</w:t>
      </w:r>
    </w:p>
    <w:p>
      <w:pPr>
        <w:pStyle w:val="BookText"/>
      </w:pPr>
      <w:r>
        <w:rPr>
          <w:rFonts w:ascii="IRNazanin" w:hAnsi="IRNazanin" w:eastAsia="IRNazanin" w:cs="IRNazanin"/>
          <w:lang w:bidi="fa-IR"/>
          <w:color w:val="111111"/>
          <w:sz w:val="28"/>
          <w:szCs w:val="28"/>
          <w:rtl/>
        </w:rPr>
        <w:t xml:space="preserve">4 - ابو البختری وهب بن وهب.</w:t>
      </w:r>
    </w:p>
    <w:p>
      <w:pPr>
        <w:pStyle w:val="BookText"/>
      </w:pPr>
      <w:r>
        <w:rPr>
          <w:rFonts w:ascii="IRNazanin" w:hAnsi="IRNazanin" w:eastAsia="IRNazanin" w:cs="IRNazanin"/>
          <w:lang w:bidi="fa-IR"/>
          <w:color w:val="111111"/>
          <w:sz w:val="28"/>
          <w:szCs w:val="28"/>
          <w:rtl/>
        </w:rPr>
        <w:t xml:space="preserve">5 - عمرو بن جمیع.</w:t>
      </w:r>
    </w:p>
    <w:p>
      <w:pPr>
        <w:pStyle w:val="BookText"/>
      </w:pPr>
      <w:r>
        <w:rPr>
          <w:rFonts w:ascii="IRNazanin" w:hAnsi="IRNazanin" w:eastAsia="IRNazanin" w:cs="IRNazanin"/>
          <w:lang w:bidi="fa-IR"/>
          <w:color w:val="111111"/>
          <w:sz w:val="28"/>
          <w:szCs w:val="28"/>
          <w:rtl/>
        </w:rPr>
        <w:t xml:space="preserve">و بعد أن عرفت حقیقة الحال فی الثّلاثة الاول، فهلمّ معی نبحث فی الأخیرین منهم:</w:t>
      </w:r>
    </w:p>
    <w:p>
      <w:pPr>
        <w:pStyle w:val="BookText"/>
      </w:pPr>
      <w:r>
        <w:rPr>
          <w:rFonts w:ascii="IRNazanin" w:hAnsi="IRNazanin" w:eastAsia="IRNazanin" w:cs="IRNazanin"/>
          <w:lang w:bidi="fa-IR"/>
          <w:color w:val="111111"/>
          <w:sz w:val="28"/>
          <w:szCs w:val="28"/>
          <w:rtl/>
        </w:rPr>
        <w:t xml:space="preserve">ألف - أبو البختری وهب بن وهب العامی: قال النّجاشی: «وهب بن وهب أبو البختری، روی عن أبی عبد اللّه - علیه السلام - و کان کذّابا، و له أحادیث مع الرشید فی الکذب. قال سعد: تزوّج أبو عبد اللّه - علیه السلام - بامّه، له کتاب یرویه جماعة» ثمّ ذکر سنده إلیه</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لابن أبی عمیر فی الکتب الأربعة روایة عنه إلاّ ما ورد فی صلاة الاستسقاء، و رواها الشیخ بسنده عن محمّد بن علیّ بن محبوب، عن محمّد ابن خالد البرقی، عن ابن أبی عمیر، عن أبی البختری، عن أبی عبد اللّه - علیه السلام -، عن أبیه، عن علی - علیه السلام - أنّه قال: مضت السنّة إنّه لا یستسقی إلاّ بالبراری، حیث ینظر الناس إلی السّماء و لا یستسقی فی المساجد إلاّ بمکّة</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246]</w:t>
      </w:r>
    </w:p>
    <w:p>
      <w:pPr>
        <w:pStyle w:val="BookText"/>
      </w:pPr>
      <w:r>
        <w:rPr>
          <w:rFonts w:ascii="IRNazanin" w:hAnsi="IRNazanin" w:eastAsia="IRNazanin" w:cs="IRNazanin"/>
          <w:lang w:bidi="fa-IR"/>
          <w:color w:val="111111"/>
          <w:sz w:val="28"/>
          <w:szCs w:val="28"/>
          <w:rtl/>
        </w:rPr>
        <w:t xml:space="preserve">ص: 964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یمکن التخلّص عن النقض بوجهین:</w:t>
      </w:r>
    </w:p>
    <w:p>
      <w:pPr>
        <w:pStyle w:val="BookText"/>
      </w:pPr>
      <w:r>
        <w:rPr>
          <w:rFonts w:ascii="IRNazanin" w:hAnsi="IRNazanin" w:eastAsia="IRNazanin" w:cs="IRNazanin"/>
          <w:lang w:bidi="fa-IR"/>
          <w:color w:val="111111"/>
          <w:sz w:val="28"/>
          <w:szCs w:val="28"/>
          <w:rtl/>
        </w:rPr>
        <w:t xml:space="preserve">الأوّل: کون الرجل ثقة عند ابن أبی عمیر وقت تحمّل الحدیث، و هذا کاف فی العمل بالالتزام.</w:t>
      </w:r>
    </w:p>
    <w:p>
      <w:pPr>
        <w:pStyle w:val="BookText"/>
      </w:pPr>
      <w:r>
        <w:rPr>
          <w:rFonts w:ascii="IRNazanin" w:hAnsi="IRNazanin" w:eastAsia="IRNazanin" w:cs="IRNazanin"/>
          <w:lang w:bidi="fa-IR"/>
          <w:color w:val="111111"/>
          <w:sz w:val="28"/>
          <w:szCs w:val="28"/>
          <w:rtl/>
        </w:rPr>
        <w:t xml:space="preserve">الثانی: إنّ أبا البختری کان عامیا، و من المحتمل أن یکون التزام المشایخ راجعا إلی أبواب العقائد و الأحکام الشرعیّة، و أمّا ما یرجع إلی أدب المصلّی فی صلاة الاستسقاء، فلم یکن من موارد الالتزام، و لم یکن فی نقل مثل ذلک أیّ خطر و إشکال فتأمّل.</w:t>
      </w:r>
    </w:p>
    <w:p>
      <w:pPr>
        <w:pStyle w:val="BookText"/>
      </w:pPr>
      <w:r>
        <w:rPr>
          <w:rFonts w:ascii="IRNazanin" w:hAnsi="IRNazanin" w:eastAsia="IRNazanin" w:cs="IRNazanin"/>
          <w:lang w:bidi="fa-IR"/>
          <w:color w:val="111111"/>
          <w:sz w:val="28"/>
          <w:szCs w:val="28"/>
          <w:rtl/>
        </w:rPr>
        <w:t xml:space="preserve">ب - عمرو بن جمیع الزیدی البتری: قال النّجاشی: «عمرو بن جمیع الأزدی البصری، أبو عثمان، قاضی الری، ضعیف، له نسخة یرویها عنه سهل بن عامر» ثمّ ذکر سنده إلی الکتاب</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لیس لابن أبی عمیر روایة عنه فی الکتب الأربعة، بل روی عنه الصّدوق فی معانی الأخبار، و لا یتجاوز الرّوایتین:</w:t>
      </w:r>
    </w:p>
    <w:p>
      <w:pPr>
        <w:pStyle w:val="BookText"/>
      </w:pPr>
      <w:r>
        <w:rPr>
          <w:rFonts w:ascii="IRNazanin" w:hAnsi="IRNazanin" w:eastAsia="IRNazanin" w:cs="IRNazanin"/>
          <w:lang w:bidi="fa-IR"/>
          <w:color w:val="111111"/>
          <w:sz w:val="28"/>
          <w:szCs w:val="28"/>
          <w:rtl/>
        </w:rPr>
        <w:t xml:space="preserve">1 - روی الصّدوق فی معانی الأخبار عن أحمد بن زیاد بن جعفر الهمدانیّ، عن علیّ بن إبراهیم، عن أبیه، عن محمّد بن أبی عمیر، عن عمرو بن جمیع قال: قال أبو عبد اللّه - علیه السلام -: لا بأس بالاقعاء فی الصّلاة بین السّجدتین</w:t>
      </w:r>
      <w:r>
        <w:rPr>
          <w:rStyle w:val="FootnoteReference"/>
        </w:rPr>
        <w:footnoteReference w:id="3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 بهذا الإسناد أیضا قال: قال أبو عبد اللّه - علیه السلام -: حدّثنی أبی، عن أبیه، عن جدّه قال: قال رسول اللّه - صلی اللّه علیه و آله -: إذا مشت امتّی المطیطا، و خدمتهم فارس و الروم، کان بأسهم بینهم. المطیطا:</w:t>
      </w:r>
    </w:p>
    <w:p>
      <w:pPr>
        <w:pStyle w:val="BookText"/>
      </w:pPr>
      <w:r>
        <w:rPr>
          <w:rFonts w:ascii="IRNazanin" w:hAnsi="IRNazanin" w:eastAsia="IRNazanin" w:cs="IRNazanin"/>
          <w:lang w:bidi="fa-IR"/>
          <w:color w:val="111111"/>
          <w:sz w:val="28"/>
          <w:szCs w:val="28"/>
          <w:rtl/>
        </w:rPr>
        <w:t xml:space="preserve">[شماره صفحه واقعی : 247]</w:t>
      </w:r>
    </w:p>
    <w:p>
      <w:pPr>
        <w:pStyle w:val="BookText"/>
      </w:pPr>
      <w:r>
        <w:rPr>
          <w:rFonts w:ascii="IRNazanin" w:hAnsi="IRNazanin" w:eastAsia="IRNazanin" w:cs="IRNazanin"/>
          <w:lang w:bidi="fa-IR"/>
          <w:color w:val="111111"/>
          <w:sz w:val="28"/>
          <w:szCs w:val="28"/>
          <w:rtl/>
        </w:rPr>
        <w:t xml:space="preserve">ص: 965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التبختر، و مدّ الیدین فی المشی</w:t>
      </w:r>
      <w:r>
        <w:rPr>
          <w:rStyle w:val="FootnoteReference"/>
        </w:rPr>
        <w:footnoteReference w:id="3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عمرو بن جمیع مع ضعفه کان زیدیّا بتریّا، و قد صرّح بکونه بتریّا أبو عمرو فی رجاله، فی ترجمة محمّد بن إسحاق صاحب المغازی</w:t>
      </w:r>
      <w:r>
        <w:rPr>
          <w:rStyle w:val="FootnoteReference"/>
        </w:rPr>
        <w:footnoteReference w:id="3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استظهر من عبارة «العدّة» بأنّ المشایخ التزموا أن لا یرووا إلاّ عن إمامیّ ثقة یکون النقض هنا و فیما تقدّم، من جهتین: من جهة المذهب، حیث إنّ أبا البختری کان عامیا، و عمرو بن جمیع کان بتریا، و من جهة الوثاقة، لکون الرجلین ضعیفین، و علی المختار یکون النقض من جهة واحدة، و علی کلّ تقدیر فإحدی الروایتین لا صلة لها بالأحکام الشرعیّة، و إنّما هی نقل تنبّؤ عن مستقبل الامّة إذا ساد فیهم الکبر و التبختر. نعم الروایة الاخری تتضمّن حکما شرعیا. و لعلّ ابن أبی عمیر کان یعتقد بوثاقته عند التحمّل و النقل.</w:t>
      </w:r>
    </w:p>
    <w:p>
      <w:pPr>
        <w:pStyle w:val="BookText"/>
      </w:pPr>
      <w:r>
        <w:rPr>
          <w:rFonts w:ascii="IRNazanin" w:hAnsi="IRNazanin" w:eastAsia="IRNazanin" w:cs="IRNazanin"/>
          <w:lang w:bidi="fa-IR"/>
          <w:color w:val="111111"/>
          <w:sz w:val="28"/>
          <w:szCs w:val="28"/>
          <w:rtl/>
        </w:rPr>
        <w:t xml:space="preserve">ثم ان سیّدنا الاستاذ - دام ظلّه - أورد علی القاعدة نقضا بعدّة أشخاص:</w:t>
      </w:r>
    </w:p>
    <w:p>
      <w:pPr>
        <w:pStyle w:val="BookText"/>
      </w:pPr>
      <w:r>
        <w:rPr>
          <w:rFonts w:ascii="IRNazanin" w:hAnsi="IRNazanin" w:eastAsia="IRNazanin" w:cs="IRNazanin"/>
          <w:lang w:bidi="fa-IR"/>
          <w:color w:val="111111"/>
          <w:sz w:val="28"/>
          <w:szCs w:val="28"/>
          <w:rtl/>
        </w:rPr>
        <w:t xml:space="preserve">1 - یونس بن ظبیان.</w:t>
      </w:r>
    </w:p>
    <w:p>
      <w:pPr>
        <w:pStyle w:val="BookText"/>
      </w:pPr>
      <w:r>
        <w:rPr>
          <w:rFonts w:ascii="IRNazanin" w:hAnsi="IRNazanin" w:eastAsia="IRNazanin" w:cs="IRNazanin"/>
          <w:lang w:bidi="fa-IR"/>
          <w:color w:val="111111"/>
          <w:sz w:val="28"/>
          <w:szCs w:val="28"/>
          <w:rtl/>
        </w:rPr>
        <w:t xml:space="preserve">2 - علی بن أبی حمزة.</w:t>
      </w:r>
    </w:p>
    <w:p>
      <w:pPr>
        <w:pStyle w:val="BookText"/>
      </w:pPr>
      <w:r>
        <w:rPr>
          <w:rFonts w:ascii="IRNazanin" w:hAnsi="IRNazanin" w:eastAsia="IRNazanin" w:cs="IRNazanin"/>
          <w:lang w:bidi="fa-IR"/>
          <w:color w:val="111111"/>
          <w:sz w:val="28"/>
          <w:szCs w:val="28"/>
          <w:rtl/>
        </w:rPr>
        <w:t xml:space="preserve">3 - علی بن حدید.</w:t>
      </w:r>
    </w:p>
    <w:p>
      <w:pPr>
        <w:pStyle w:val="BookText"/>
      </w:pPr>
      <w:r>
        <w:rPr>
          <w:rFonts w:ascii="IRNazanin" w:hAnsi="IRNazanin" w:eastAsia="IRNazanin" w:cs="IRNazanin"/>
          <w:lang w:bidi="fa-IR"/>
          <w:color w:val="111111"/>
          <w:sz w:val="28"/>
          <w:szCs w:val="28"/>
          <w:rtl/>
        </w:rPr>
        <w:t xml:space="preserve">4 - أبی جمیلة.</w:t>
      </w:r>
    </w:p>
    <w:p>
      <w:pPr>
        <w:pStyle w:val="BookText"/>
      </w:pPr>
      <w:r>
        <w:rPr>
          <w:rFonts w:ascii="IRNazanin" w:hAnsi="IRNazanin" w:eastAsia="IRNazanin" w:cs="IRNazanin"/>
          <w:lang w:bidi="fa-IR"/>
          <w:color w:val="111111"/>
          <w:sz w:val="28"/>
          <w:szCs w:val="28"/>
          <w:rtl/>
        </w:rPr>
        <w:t xml:space="preserve">5 - عبد اللّه بن قاسم الحضری</w:t>
      </w:r>
      <w:r>
        <w:rPr>
          <w:rStyle w:val="FootnoteReference"/>
        </w:rPr>
        <w:footnoteReference w:id="3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الحال فی الثلاثة الاول و سیوافیک الکلام فی أبی جمیلة عند البحث عن مشایخ صفوان الّذی عدّت روایة عن أبی جمیلة نقضا علی القاعدة</w:t>
      </w:r>
    </w:p>
    <w:p>
      <w:pPr>
        <w:pStyle w:val="BookText"/>
      </w:pPr>
      <w:r>
        <w:rPr>
          <w:rFonts w:ascii="IRNazanin" w:hAnsi="IRNazanin" w:eastAsia="IRNazanin" w:cs="IRNazanin"/>
          <w:lang w:bidi="fa-IR"/>
          <w:color w:val="111111"/>
          <w:sz w:val="28"/>
          <w:szCs w:val="28"/>
          <w:rtl/>
        </w:rPr>
        <w:t xml:space="preserve">[شماره صفحه واقعی : 248]</w:t>
      </w:r>
    </w:p>
    <w:p>
      <w:pPr>
        <w:pStyle w:val="BookText"/>
      </w:pPr>
      <w:r>
        <w:rPr>
          <w:rFonts w:ascii="IRNazanin" w:hAnsi="IRNazanin" w:eastAsia="IRNazanin" w:cs="IRNazanin"/>
          <w:lang w:bidi="fa-IR"/>
          <w:color w:val="111111"/>
          <w:sz w:val="28"/>
          <w:szCs w:val="28"/>
          <w:rtl/>
        </w:rPr>
        <w:t xml:space="preserve">ص: 966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الیک الکلام فی الخامس أعنی عبد اللّه بن قاسم الحضرمی.</w:t>
      </w:r>
    </w:p>
    <w:p>
      <w:pPr>
        <w:pStyle w:val="BookText"/>
      </w:pPr>
      <w:r>
        <w:rPr>
          <w:rFonts w:ascii="IRNazanin" w:hAnsi="IRNazanin" w:eastAsia="IRNazanin" w:cs="IRNazanin"/>
          <w:lang w:bidi="fa-IR"/>
          <w:color w:val="111111"/>
          <w:sz w:val="28"/>
          <w:szCs w:val="28"/>
          <w:rtl/>
        </w:rPr>
        <w:t xml:space="preserve">قال النجاشی: عبد اللّه بن القاسم الحضرمی المعروف بالبطل: کذّاب غال یروی عن الغلاة لا خیر فیه و لا یعتدّ بروایته، له کتاب یرویه عنه جماعة</w:t>
      </w:r>
      <w:r>
        <w:rPr>
          <w:rStyle w:val="FootnoteReference"/>
        </w:rPr>
        <w:footnoteReference w:id="3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الشیخ فی «الفهرس» و قال: له کتاب، و ذکر سنده إلیه،</w:t>
      </w:r>
      <w:r>
        <w:rPr>
          <w:rStyle w:val="FootnoteReference"/>
        </w:rPr>
        <w:footnoteReference w:id="3934"/>
      </w:r>
      <w:r>
        <w:rPr>
          <w:rFonts w:ascii="IRNazanin" w:hAnsi="IRNazanin" w:eastAsia="IRNazanin" w:cs="IRNazanin"/>
          <w:lang w:bidi="fa-IR"/>
          <w:color w:val="111111"/>
          <w:sz w:val="28"/>
          <w:szCs w:val="28"/>
          <w:rtl/>
        </w:rPr>
        <w:t xml:space="preserve">و عنونه فی رجاله فی أصحاب الکاظم - علیه السلام - قائلا: عبد اللّه بن القاسم الحضرمی واقفی</w:t>
      </w:r>
      <w:r>
        <w:rPr>
          <w:rStyle w:val="FootnoteReference"/>
        </w:rPr>
        <w:footnoteReference w:id="3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الغضائری: عبد اللّه بن القاسم الحضرمی کوفی ضعیف أیضا غال متهافت و لا یرتفع به</w:t>
      </w:r>
      <w:r>
        <w:rPr>
          <w:rStyle w:val="FootnoteReference"/>
        </w:rPr>
        <w:footnoteReference w:id="3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أبی عمیر عنه عن الصادق جعفر بن محمد - علیهما السلام - عن أبیه، عن جدّه عن علی - علیه السلام - قال: «کن لما لا ترجو أرجی منک لما ترجو، فإنّ موسی بن عمران - علیه السلام - خرج یقتبس لأهله نارا فکلّمه اللّه عزّ و جلّ فرجع نبیّا، و خرجت ملکة سبأ فأسلمت مع سلیمان - علیه السلام - و خرج سحرة فرعون یطلبون العزّة لفرعون فرجعوا مؤمنین»</w:t>
      </w:r>
      <w:r>
        <w:rPr>
          <w:rStyle w:val="FootnoteReference"/>
        </w:rPr>
        <w:footnoteReference w:id="3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یلاحظ علیه:</w:t>
      </w:r>
    </w:p>
    <w:p>
      <w:pPr>
        <w:pStyle w:val="BookText"/>
      </w:pPr>
      <w:r>
        <w:rPr>
          <w:rFonts w:ascii="IRNazanin" w:hAnsi="IRNazanin" w:eastAsia="IRNazanin" w:cs="IRNazanin"/>
          <w:lang w:bidi="fa-IR"/>
          <w:color w:val="111111"/>
          <w:sz w:val="28"/>
          <w:szCs w:val="28"/>
          <w:rtl/>
        </w:rPr>
        <w:t xml:space="preserve">أوّلا: من المحتمل، اعتماد النجاشی فی تضعیفه إلی تضعیف ابن الغضائری، یعرب عنه تقارب العبارتین، و قد عرفت قیمة تضعیفاته.</w:t>
      </w:r>
    </w:p>
    <w:p>
      <w:pPr>
        <w:pStyle w:val="BookText"/>
      </w:pPr>
      <w:r>
        <w:rPr>
          <w:rFonts w:ascii="IRNazanin" w:hAnsi="IRNazanin" w:eastAsia="IRNazanin" w:cs="IRNazanin"/>
          <w:lang w:bidi="fa-IR"/>
          <w:color w:val="111111"/>
          <w:sz w:val="28"/>
          <w:szCs w:val="28"/>
          <w:rtl/>
        </w:rPr>
        <w:t xml:space="preserve">و ثانیا: إنّ ابن أبی عمیر لم یرو عنه إلاّ روایة واحدة و لا صلة لمضمونها</w:t>
      </w:r>
    </w:p>
    <w:p>
      <w:pPr>
        <w:pStyle w:val="BookText"/>
      </w:pPr>
      <w:r>
        <w:rPr>
          <w:rFonts w:ascii="IRNazanin" w:hAnsi="IRNazanin" w:eastAsia="IRNazanin" w:cs="IRNazanin"/>
          <w:lang w:bidi="fa-IR"/>
          <w:color w:val="111111"/>
          <w:sz w:val="28"/>
          <w:szCs w:val="28"/>
          <w:rtl/>
        </w:rPr>
        <w:t xml:space="preserve">[شماره صفحه واقعی : 249]</w:t>
      </w:r>
    </w:p>
    <w:p>
      <w:pPr>
        <w:pStyle w:val="BookText"/>
      </w:pPr>
      <w:r>
        <w:rPr>
          <w:rFonts w:ascii="IRNazanin" w:hAnsi="IRNazanin" w:eastAsia="IRNazanin" w:cs="IRNazanin"/>
          <w:lang w:bidi="fa-IR"/>
          <w:color w:val="111111"/>
          <w:sz w:val="28"/>
          <w:szCs w:val="28"/>
          <w:rtl/>
        </w:rPr>
        <w:t xml:space="preserve">ص: 967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420" w:name="pg14419_167683"/>
    <w:bookmarkEnd w:id="420"/>
    <w:p>
      <w:pPr>
        <w:pStyle w:val="BookText"/>
      </w:pPr>
      <w:r>
        <w:rPr>
          <w:rFonts w:ascii="IRNazanin" w:hAnsi="IRNazanin" w:eastAsia="IRNazanin" w:cs="IRNazanin"/>
          <w:lang w:bidi="fa-IR"/>
          <w:color w:val="111111"/>
          <w:sz w:val="28"/>
          <w:szCs w:val="28"/>
          <w:rtl/>
        </w:rPr>
        <w:t xml:space="preserve">بالأحکام و لعله کان ملتزما بأن لا یروی إلاّ عن ثقة فیما یمتّ بالحکم الشرعی بصلة لا فی الموضوعات الأخلاقیة أو التربویّة کما هو مورد الحدیث.</w:t>
      </w:r>
    </w:p>
    <w:p>
      <w:pPr>
        <w:pStyle w:val="BookText"/>
      </w:pPr>
      <w:r>
        <w:rPr>
          <w:rFonts w:ascii="IRNazanin" w:hAnsi="IRNazanin" w:eastAsia="IRNazanin" w:cs="IRNazanin"/>
          <w:lang w:bidi="fa-IR"/>
          <w:color w:val="111111"/>
          <w:sz w:val="28"/>
          <w:szCs w:val="28"/>
          <w:rtl/>
        </w:rPr>
        <w:t xml:space="preserve">ثالثا: إنّه لم یرد فی الفقیه توصیفه بالحضرمی فیحتمل کونه «عبد اللّه بن القاسم الحارثی و هو و إن کان ضعیفا حیث یصفه النجاشی بالضعف و الغلّو و یقول: ضعیف غال (1) لکنّه أین هو من قوله فی الحضرمی «کذّاب»، عندئذ یقوی أن یکون ضعفه لأجل غلوّه فی العقیدة لا لضعفه فی لسانه، و قد عرفت أنّ التضعیف بین القدماء لأجل العقیدة لا یوجب سلب الوثوق عن الراوی، لأنّ أکثر ما رآه القدماء غلوّا أصبح فی زماننا من الضّروریات فی دین الامامیّة فلاحظ.</w:t>
      </w:r>
    </w:p>
    <w:p>
      <w:pPr>
        <w:pStyle w:val="BookText"/>
      </w:pPr>
      <w:r>
        <w:rPr>
          <w:rFonts w:ascii="IRNazanin" w:hAnsi="IRNazanin" w:eastAsia="IRNazanin" w:cs="IRNazanin"/>
          <w:lang w:bidi="fa-IR"/>
          <w:color w:val="111111"/>
          <w:sz w:val="28"/>
          <w:szCs w:val="28"/>
          <w:rtl/>
        </w:rPr>
        <w:t xml:space="preserve">هذا کلّه حول أسانید ابن أبی عمیر و حال النّقوض الّتی جاءت فی «معجم رجال الحدیث» و «مشایخ الثقات» و غیرهما. غیر أنّ النقوض لا تنحصر فیما ذکر بل هناک موارد اخر، ربما یستظهر منها أنّ ابن أبی عمیر نقل فیها عن الضعفاء، و ستجیء الاشارة الکلیّة إلی ما یمکن الجواب به عن هذه الموارد المذکورة و غیر المذکورة.</w:t>
      </w:r>
    </w:p>
    <w:p>
      <w:pPr>
        <w:pStyle w:val="BookText"/>
      </w:pPr>
      <w:r>
        <w:rPr>
          <w:rFonts w:ascii="IRNazanin" w:hAnsi="IRNazanin" w:eastAsia="IRNazanin" w:cs="IRNazanin"/>
          <w:lang w:bidi="fa-IR"/>
          <w:color w:val="111111"/>
          <w:sz w:val="28"/>
          <w:szCs w:val="28"/>
          <w:rtl/>
        </w:rPr>
        <w:t xml:space="preserve">و قد حان وقت البحث عن مشایخ عدیله و قرینه و هو صفوان بن یحیی.</w:t>
      </w:r>
    </w:p>
    <w:p>
      <w:pPr>
        <w:pStyle w:val="Heading6"/>
      </w:pPr>
      <w:bookmarkStart w:id="1356" w:name="_Toc796"/>
      <w:r>
        <w:t>2 - صفوان بن یحیی بیّاع السابری (المتوفی عام 210 ه )</w:t>
      </w:r>
      <w:bookmarkEnd w:id="1356"/>
    </w:p>
    <w:p>
      <w:pPr>
        <w:pStyle w:val="Heading6"/>
      </w:pPr>
      <w:bookmarkStart w:id="1357" w:name="_Toc797"/>
      <w:r>
        <w:t>اشارة</w:t>
      </w:r>
      <w:bookmarkEnd w:id="1357"/>
    </w:p>
    <w:p>
      <w:pPr>
        <w:pStyle w:val="BookText"/>
      </w:pPr>
      <w:r>
        <w:rPr>
          <w:rFonts w:ascii="IRNazanin" w:hAnsi="IRNazanin" w:eastAsia="IRNazanin" w:cs="IRNazanin"/>
          <w:lang w:bidi="fa-IR"/>
          <w:color w:val="111111"/>
          <w:sz w:val="28"/>
          <w:szCs w:val="28"/>
          <w:rtl/>
        </w:rPr>
        <w:t xml:space="preserve">قد تعرّفت من الشّیخ أنّ صفوان، أحد الثلاثة الّذین التزموا بعدم الروایة و الارسال إلاّ عن ثقة، و قبل دراسة هذه الضابطة عن طریق أسانیده نأتی بما ذکره النّجاشی فی حقّه.</w:t>
      </w:r>
    </w:p>
    <w:p>
      <w:pPr>
        <w:pStyle w:val="BookText"/>
      </w:pPr>
      <w:r>
        <w:rPr>
          <w:rFonts w:ascii="IRNazanin" w:hAnsi="IRNazanin" w:eastAsia="IRNazanin" w:cs="IRNazanin"/>
          <w:lang w:bidi="fa-IR"/>
          <w:color w:val="111111"/>
          <w:sz w:val="28"/>
          <w:szCs w:val="28"/>
          <w:rtl/>
        </w:rPr>
        <w:t xml:space="preserve">قال: «صفوان بن یحیی البجلی بیّاع السابری، کوفیّ ثقة، ثقة، عین، روی أبوه عن أبی عبد اللّه - علیه السلام -، و روی هو عن الرضا - علیه السلام -، و کانت له عنده منزلة شریفة، ذکره الکشّی فی رجال أبی الحسن موسی - علیه السلام -. و قد توکّل للرضا و أبی جعفر - علیهما السلام -، و سلم</w:t>
      </w:r>
    </w:p>
    <w:p>
      <w:pPr>
        <w:pStyle w:val="BookText"/>
      </w:pPr>
      <w:r>
        <w:rPr>
          <w:rFonts w:ascii="IRNazanin" w:hAnsi="IRNazanin" w:eastAsia="IRNazanin" w:cs="IRNazanin"/>
          <w:lang w:bidi="fa-IR"/>
          <w:color w:val="111111"/>
          <w:sz w:val="28"/>
          <w:szCs w:val="28"/>
          <w:rtl/>
        </w:rPr>
        <w:t xml:space="preserve">[شماره صفحه واقعی : 250]</w:t>
      </w:r>
    </w:p>
    <w:p>
      <w:pPr>
        <w:pStyle w:val="BookText"/>
      </w:pPr>
      <w:r>
        <w:rPr>
          <w:rFonts w:ascii="IRNazanin" w:hAnsi="IRNazanin" w:eastAsia="IRNazanin" w:cs="IRNazanin"/>
          <w:lang w:bidi="fa-IR"/>
          <w:color w:val="111111"/>
          <w:sz w:val="28"/>
          <w:szCs w:val="28"/>
          <w:rtl/>
        </w:rPr>
        <w:t xml:space="preserve">ص: 968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421" w:name="pg14419_167684"/>
    <w:bookmarkEnd w:id="421"/>
    <w:p>
      <w:pPr>
        <w:pStyle w:val="BookText"/>
      </w:pPr>
      <w:r>
        <w:rPr>
          <w:rFonts w:ascii="IRNazanin" w:hAnsi="IRNazanin" w:eastAsia="IRNazanin" w:cs="IRNazanin"/>
          <w:lang w:bidi="fa-IR"/>
          <w:color w:val="111111"/>
          <w:sz w:val="28"/>
          <w:szCs w:val="28"/>
          <w:rtl/>
        </w:rPr>
        <w:t xml:space="preserve">مذهبه من الوقف، و کانت له منزلة من الزهد و العبادة، و کانت جماعة الواقفة بذلوا له أموالا کثیرة - إلی أن قال: و کان من الورع و العبادة علی ما لم یکن علیه أحد من طبقته رحمه اللّه، و صنّف ثلاثین کتابا کما ذکر أصحابنا»، ثمّ ذکر کتبه</w:t>
      </w:r>
      <w:r>
        <w:rPr>
          <w:rStyle w:val="FootnoteReference"/>
        </w:rPr>
        <w:footnoteReference w:id="3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الفهرس: «أوثق أهل زمانه عند أهل الحدیث، و أعبدهم، و کان یصلّی کلّ یوم و لیلة خمسین و مائة رکعة، و یصوم فی السنة ثلاثة أشهر، و یخرج زکاة ماله فی کلّ سنة ثلاث مرّات».</w:t>
      </w:r>
    </w:p>
    <w:p>
      <w:pPr>
        <w:pStyle w:val="Heading6"/>
      </w:pPr>
      <w:bookmarkStart w:id="1358" w:name="_Toc798"/>
      <w:r>
        <w:t>مشایخه</w:t>
      </w:r>
      <w:bookmarkEnd w:id="1358"/>
    </w:p>
    <w:p>
      <w:pPr>
        <w:pStyle w:val="BookText"/>
      </w:pPr>
      <w:r>
        <w:rPr>
          <w:rFonts w:ascii="IRNazanin" w:hAnsi="IRNazanin" w:eastAsia="IRNazanin" w:cs="IRNazanin"/>
          <w:lang w:bidi="fa-IR"/>
          <w:color w:val="111111"/>
          <w:sz w:val="28"/>
          <w:szCs w:val="28"/>
          <w:rtl/>
        </w:rPr>
        <w:t xml:space="preserve">فقد أنهی فی «معجم رجال الحدیث» مشایخه فی الکتب الأربعة إلی 140 شیخا، و قد أحصاها مؤلّف «مشایخ الثقات» فبلغ مشایخه فی الکتب الأربعة و غیرها 213 شیخا، و الثّقات منهم 109 مشایخ، و الباقون إمّا مهمل أو مجهول، و قلیل منهم مضعّف، و هذا إن دلّ علی شیء فإنّما یدلّ علی جلالة الرجل و عظمته و إحاطته بأحادیث العترة الطّاهرة. و مع ذلک فقد ادّعی وجود ضعاف فی مشایخه نأتی بما جاء فی «معجم الرجال» أوّلا، ثمّ بما جاء فی کتاب «مشایخ الثقات» ثانیا.</w:t>
      </w:r>
    </w:p>
    <w:p>
      <w:pPr>
        <w:pStyle w:val="BookText"/>
      </w:pPr>
      <w:r>
        <w:rPr>
          <w:rFonts w:ascii="IRNazanin" w:hAnsi="IRNazanin" w:eastAsia="IRNazanin" w:cs="IRNazanin"/>
          <w:lang w:bidi="fa-IR"/>
          <w:color w:val="111111"/>
          <w:sz w:val="28"/>
          <w:szCs w:val="28"/>
          <w:rtl/>
        </w:rPr>
        <w:t xml:space="preserve">1 - یونس بن ظبیان: روی الشیخ عن موسی بن القاسم، عن صفوان و ابن أبی عمیر، عن برید (یزید) و یونس بن ظبیان قالا: سألنا أبا عبد اللّه - علیه السلام - عن رجل یحرم فی رجب أو فی شهر رمضان حتّی إذا کان أوان الحج...</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مرّ الجواب عنه بوجوه ثلاثة فی البحث السابق فلا نعید.</w:t>
      </w:r>
    </w:p>
    <w:p>
      <w:pPr>
        <w:pStyle w:val="BookText"/>
      </w:pPr>
      <w:r>
        <w:rPr>
          <w:rFonts w:ascii="IRNazanin" w:hAnsi="IRNazanin" w:eastAsia="IRNazanin" w:cs="IRNazanin"/>
          <w:lang w:bidi="fa-IR"/>
          <w:color w:val="111111"/>
          <w:sz w:val="28"/>
          <w:szCs w:val="28"/>
          <w:rtl/>
        </w:rPr>
        <w:t xml:space="preserve">[شماره صفحه واقعی : 251]</w:t>
      </w:r>
    </w:p>
    <w:p>
      <w:pPr>
        <w:pStyle w:val="BookText"/>
      </w:pPr>
      <w:r>
        <w:rPr>
          <w:rFonts w:ascii="IRNazanin" w:hAnsi="IRNazanin" w:eastAsia="IRNazanin" w:cs="IRNazanin"/>
          <w:lang w:bidi="fa-IR"/>
          <w:color w:val="111111"/>
          <w:sz w:val="28"/>
          <w:szCs w:val="28"/>
          <w:rtl/>
        </w:rPr>
        <w:t xml:space="preserve">ص: 969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علیّ بن أبی حمزة البطائنی: روی الکلینی عن أحمد بن إدریس، عن محمّد بن عبد الجبّار، عن صفوان بن یحیی، عن علیّ بن أبی حمزة قال: قلت لأبی عبد اللّه - علیه السلام - سمعت هشام بن الحکم یروی عنکم أنّ اللّه جسم صمدیّ نوریّ، معرفته ضرورة، یمنّ بها علی ما یشاء من خلقه.</w:t>
      </w:r>
    </w:p>
    <w:p>
      <w:pPr>
        <w:pStyle w:val="BookText"/>
      </w:pPr>
      <w:r>
        <w:rPr>
          <w:rFonts w:ascii="IRNazanin" w:hAnsi="IRNazanin" w:eastAsia="IRNazanin" w:cs="IRNazanin"/>
          <w:lang w:bidi="fa-IR"/>
          <w:color w:val="111111"/>
          <w:sz w:val="28"/>
          <w:szCs w:val="28"/>
          <w:rtl/>
        </w:rPr>
        <w:t xml:space="preserve">فقال - علیه السلام -: سبحان من لا یعلم أحد کیف هو إلاّ هو، لیس کمثله شیء و هو السمیع البصیر، لا یحدّ، و لا یحسّ، و لا یجسّ و لا تدرکه الأبصار و لا الحواسّ، و لا یحیط به شیء، و لا جسم و لا صورة، و لا تخطیط و لا تحدید</w:t>
      </w:r>
      <w:r>
        <w:rPr>
          <w:rStyle w:val="FootnoteReference"/>
        </w:rPr>
        <w:footnoteReference w:id="3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لصفوان بن یحیی روایة عن علیّ بن أبی حمزة فی الکتب الأربعة غیر ما ذکر.</w:t>
      </w:r>
    </w:p>
    <w:p>
      <w:pPr>
        <w:pStyle w:val="BookText"/>
      </w:pPr>
      <w:r>
        <w:rPr>
          <w:rFonts w:ascii="IRNazanin" w:hAnsi="IRNazanin" w:eastAsia="IRNazanin" w:cs="IRNazanin"/>
          <w:lang w:bidi="fa-IR"/>
          <w:color w:val="111111"/>
          <w:sz w:val="28"/>
          <w:szCs w:val="28"/>
          <w:rtl/>
        </w:rPr>
        <w:t xml:space="preserve">و الجواب من وجهین الأوّل: ما عرفت أنّ وزان علیّ بن أبی حمزة، وزان زیاد بن مروان القندی، فالرجلان قد ابتلیا بالطّعن و اللّعن، و لیس وجهه إلاّ الانتماء إلی غیر مذهب الحقّ، و هو لا یمنع من قبول روایتهما إذا کانا ثقتین فی الروایة، و النّجاشی و الشّیخ و إن صرّحا بوقف الرجل و أنّه من عمده، و لکنّه لا یضرّ باعتبار قوله إذا کان متجنّبا عن الکذب.</w:t>
      </w:r>
    </w:p>
    <w:p>
      <w:pPr>
        <w:pStyle w:val="BookText"/>
      </w:pPr>
      <w:r>
        <w:rPr>
          <w:rFonts w:ascii="IRNazanin" w:hAnsi="IRNazanin" w:eastAsia="IRNazanin" w:cs="IRNazanin"/>
          <w:lang w:bidi="fa-IR"/>
          <w:color w:val="111111"/>
          <w:sz w:val="28"/>
          <w:szCs w:val="28"/>
          <w:rtl/>
        </w:rPr>
        <w:t xml:space="preserve">الثانی: إنّ أبا عمرو الکشّی روی مسندا و مرسلا ما یناهز خمس روایات</w:t>
      </w:r>
      <w:r>
        <w:rPr>
          <w:rStyle w:val="FootnoteReference"/>
        </w:rPr>
        <w:footnoteReference w:id="3941"/>
      </w:r>
      <w:r>
        <w:rPr>
          <w:rFonts w:ascii="IRNazanin" w:hAnsi="IRNazanin" w:eastAsia="IRNazanin" w:cs="IRNazanin"/>
          <w:lang w:bidi="fa-IR"/>
          <w:color w:val="111111"/>
          <w:sz w:val="28"/>
          <w:szCs w:val="28"/>
          <w:rtl/>
        </w:rPr>
        <w:t xml:space="preserve">تدلّ علی انحراف عقیدته، کما روی الشّیخ فی غیبته ما یدلّ علی أنّه تعمد الکذب</w:t>
      </w:r>
      <w:r>
        <w:rPr>
          <w:rStyle w:val="FootnoteReference"/>
        </w:rPr>
        <w:footnoteReference w:id="3942"/>
      </w:r>
      <w:r>
        <w:rPr>
          <w:rFonts w:ascii="IRNazanin" w:hAnsi="IRNazanin" w:eastAsia="IRNazanin" w:cs="IRNazanin"/>
          <w:lang w:bidi="fa-IR"/>
          <w:color w:val="111111"/>
          <w:sz w:val="28"/>
          <w:szCs w:val="28"/>
          <w:rtl/>
        </w:rPr>
        <w:t xml:space="preserve">إلاّ أنّ هنا روایات تدلّ علی کونه باقیا علی مذهب الإمامیّة، أو أنّه رجع عن الوقف و صار مستبصرا. و هذه الروایات مبثوثة فی غیبة النعمانی، و کمال الدین للصدوق، و عیون أخبار الرضا - علیه السلام -، بل</w:t>
      </w:r>
    </w:p>
    <w:p>
      <w:pPr>
        <w:pStyle w:val="BookText"/>
      </w:pPr>
      <w:r>
        <w:rPr>
          <w:rFonts w:ascii="IRNazanin" w:hAnsi="IRNazanin" w:eastAsia="IRNazanin" w:cs="IRNazanin"/>
          <w:lang w:bidi="fa-IR"/>
          <w:color w:val="111111"/>
          <w:sz w:val="28"/>
          <w:szCs w:val="28"/>
          <w:rtl/>
        </w:rPr>
        <w:t xml:space="preserve">[شماره صفحه واقعی : 252]</w:t>
      </w:r>
    </w:p>
    <w:p>
      <w:pPr>
        <w:pStyle w:val="BookText"/>
      </w:pPr>
      <w:r>
        <w:rPr>
          <w:rFonts w:ascii="IRNazanin" w:hAnsi="IRNazanin" w:eastAsia="IRNazanin" w:cs="IRNazanin"/>
          <w:lang w:bidi="fa-IR"/>
          <w:color w:val="111111"/>
          <w:sz w:val="28"/>
          <w:szCs w:val="28"/>
          <w:rtl/>
        </w:rPr>
        <w:t xml:space="preserve">ص: 970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رجال الکشّی ما یدلّ علی رجوعه عن الوقف، و لأجل هذه المعارضة لا یمکن رمی الرجل بالبقاء علی الوقف بقول قاطع.</w:t>
      </w:r>
    </w:p>
    <w:p>
      <w:pPr>
        <w:pStyle w:val="BookText"/>
      </w:pPr>
      <w:r>
        <w:rPr>
          <w:rFonts w:ascii="IRNazanin" w:hAnsi="IRNazanin" w:eastAsia="IRNazanin" w:cs="IRNazanin"/>
          <w:lang w:bidi="fa-IR"/>
          <w:color w:val="111111"/>
          <w:sz w:val="28"/>
          <w:szCs w:val="28"/>
          <w:rtl/>
        </w:rPr>
        <w:t xml:space="preserve">و لأجل إیقاف القاریء الکریم علی هذه النصوص نأتی بها:</w:t>
      </w:r>
    </w:p>
    <w:p>
      <w:pPr>
        <w:pStyle w:val="BookText"/>
      </w:pPr>
      <w:r>
        <w:rPr>
          <w:rFonts w:ascii="IRNazanin" w:hAnsi="IRNazanin" w:eastAsia="IRNazanin" w:cs="IRNazanin"/>
          <w:lang w:bidi="fa-IR"/>
          <w:color w:val="111111"/>
          <w:sz w:val="28"/>
          <w:szCs w:val="28"/>
          <w:rtl/>
        </w:rPr>
        <w:t xml:space="preserve">الف: ما رواه أبو زینب فی غیبته عن علیّ بن أبی حمزة، قال: کنت مع أبی بصیر و معنا مولی لأبی جعفر الباقر - علیه السلام - فقال: سمعت أبا جعفر - علیه السلام - یقول: منّا اثنا عشر محدّثا، السابع من ولدی القائم، فقام إلیه أبو بصیر فقال: أشهد أنّی سمعت أبا جعفر - علیه السلام - یقوله منذ أربعین سنة</w:t>
      </w:r>
      <w:r>
        <w:rPr>
          <w:rStyle w:val="FootnoteReference"/>
        </w:rPr>
        <w:footnoteReference w:id="3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روی الصّدوق فی کمال الدین بسنده عن الحسن بن علیّ بن أبی حمزة، عن أبیه، عن یحیی بن أبی القاسم، عن الصادق جعفر بن محمّد - علیه السلام - عن أبیه، عن جدّه قال: قال رسول اللّه - صلی اللّه علیه و آله -:</w:t>
      </w:r>
    </w:p>
    <w:p>
      <w:pPr>
        <w:pStyle w:val="BookText"/>
      </w:pPr>
      <w:r>
        <w:rPr>
          <w:rFonts w:ascii="IRNazanin" w:hAnsi="IRNazanin" w:eastAsia="IRNazanin" w:cs="IRNazanin"/>
          <w:lang w:bidi="fa-IR"/>
          <w:color w:val="111111"/>
          <w:sz w:val="28"/>
          <w:szCs w:val="28"/>
          <w:rtl/>
        </w:rPr>
        <w:t xml:space="preserve">الأئمّة بعدی إثنا عشر أوّلهم علیّ بن أبی طالب و آخرهم القائم، هم خلفائی، و أوصیائی، و أولیائی، و حجج اللّه علی امتی بعدی، المقرّ بهم مؤمن، و المنکر لهم کافر</w:t>
      </w:r>
      <w:r>
        <w:rPr>
          <w:rStyle w:val="FootnoteReference"/>
        </w:rPr>
        <w:footnoteReference w:id="3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روی الصدوق فی عیون أخبار الرضا عن الحسن بن علیّ الخزّاز قال: خرجنا إلی مکّة و معنا علیّ بن أبی حمزة، و معه مال و متاع، فقلنا ما هذا؟ قال: هذا للعبد الصالح - علیه السلام -، أمرنی أن أحمله إلی علیّ ابنه - علیه السلام - و قد أوصی إلیه</w:t>
      </w:r>
      <w:r>
        <w:rPr>
          <w:rStyle w:val="FootnoteReference"/>
        </w:rPr>
        <w:footnoteReference w:id="3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یدلّ علی خلاف ما نسب الیه الکشّی من القول بالوقف و قد نقل</w:t>
      </w:r>
    </w:p>
    <w:p>
      <w:pPr>
        <w:pStyle w:val="BookText"/>
      </w:pPr>
      <w:r>
        <w:rPr>
          <w:rFonts w:ascii="IRNazanin" w:hAnsi="IRNazanin" w:eastAsia="IRNazanin" w:cs="IRNazanin"/>
          <w:lang w:bidi="fa-IR"/>
          <w:color w:val="111111"/>
          <w:sz w:val="28"/>
          <w:szCs w:val="28"/>
          <w:rtl/>
        </w:rPr>
        <w:t xml:space="preserve">[شماره صفحه واقعی : 253]</w:t>
      </w:r>
    </w:p>
    <w:p>
      <w:pPr>
        <w:pStyle w:val="BookText"/>
      </w:pPr>
      <w:r>
        <w:rPr>
          <w:rFonts w:ascii="IRNazanin" w:hAnsi="IRNazanin" w:eastAsia="IRNazanin" w:cs="IRNazanin"/>
          <w:lang w:bidi="fa-IR"/>
          <w:color w:val="111111"/>
          <w:sz w:val="28"/>
          <w:szCs w:val="28"/>
          <w:rtl/>
        </w:rPr>
        <w:t xml:space="preserve">ص: 971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الکشّی نفسه ما یظهر منه عنایة الإمام الرضا - علیه السلام - </w:t>
      </w:r>
      <w:r>
        <w:rPr>
          <w:rStyle w:val="FootnoteReference"/>
        </w:rPr>
        <w:footnoteReference w:id="3946"/>
      </w:r>
      <w:r>
        <w:rPr>
          <w:rFonts w:ascii="IRNazanin" w:hAnsi="IRNazanin" w:eastAsia="IRNazanin" w:cs="IRNazanin"/>
          <w:lang w:bidi="fa-IR"/>
          <w:color w:val="111111"/>
          <w:sz w:val="28"/>
          <w:szCs w:val="28"/>
          <w:rtl/>
        </w:rPr>
        <w:t xml:space="preserve">به و یصدّ الانسان عن التسّرع فی القضاء. خصوصا إذا وقف الانسان علی ما رواه الشیخ بسند صحیح فی «التّهذیب» عن الحسن بن علیّ بن أبی حمزة، الّذی رمی بالوقف مثل أبیه، روی أنّه قال لأبی الحسن (الرضا) - علیه السلام -: إنّ أبی هلک و ترک جاریتین قد دبّرهما، و أنا ممّن أشهد لهما و علیه دین کثیر، فما رأیک؟ فقال: رضی اللّه عن أبیک، و رفعه مع محمّد - صلی اللّه علیه و آله - قضاء دینه خیر له إن شاء اللّه</w:t>
      </w:r>
      <w:r>
        <w:rPr>
          <w:rStyle w:val="FootnoteReference"/>
        </w:rPr>
        <w:footnoteReference w:id="3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صحّت هذه الروایات لما صحّ ما ذکره ابن الغضائری فی حقّ ابن أبی حمزة، أنّه أصل الوقف، و أشدّ الخلق عداوة للولیّ من بعد أبی ابراهیم.</w:t>
      </w:r>
    </w:p>
    <w:p>
      <w:pPr>
        <w:pStyle w:val="BookText"/>
      </w:pPr>
      <w:r>
        <w:rPr>
          <w:rFonts w:ascii="IRNazanin" w:hAnsi="IRNazanin" w:eastAsia="IRNazanin" w:cs="IRNazanin"/>
          <w:lang w:bidi="fa-IR"/>
          <w:color w:val="111111"/>
          <w:sz w:val="28"/>
          <w:szCs w:val="28"/>
          <w:rtl/>
        </w:rPr>
        <w:t xml:space="preserve">و قد قام الفاضل المعاصر الشیخ غلامرضا عرفانیان، بتألیف رسالة فی شأن الاعتبار الروائی لعلیّ بن أبی حمزة، و نجله الحسن - شکر اللّه مساعیه -.</w:t>
      </w:r>
    </w:p>
    <w:p>
      <w:pPr>
        <w:pStyle w:val="BookText"/>
      </w:pPr>
      <w:r>
        <w:rPr>
          <w:rFonts w:ascii="IRNazanin" w:hAnsi="IRNazanin" w:eastAsia="IRNazanin" w:cs="IRNazanin"/>
          <w:lang w:bidi="fa-IR"/>
          <w:color w:val="111111"/>
          <w:sz w:val="28"/>
          <w:szCs w:val="28"/>
          <w:rtl/>
        </w:rPr>
        <w:t xml:space="preserve">و القضاء الصحیح فی حقّ الرواة خصوصا المشایخ منهم، لا یتمّ بصرف المراجعة إلی کلمات الرجالیّین، خصوصا رجال الکشّی الذی فیه ما فیه من اللّحن و الخلط، فلا بدّ من بذل السعی فی الروایات الواردة فی المجامیع الحدیثیة.</w:t>
      </w:r>
    </w:p>
    <w:p>
      <w:pPr>
        <w:pStyle w:val="BookText"/>
      </w:pPr>
      <w:r>
        <w:rPr>
          <w:rFonts w:ascii="IRNazanin" w:hAnsi="IRNazanin" w:eastAsia="IRNazanin" w:cs="IRNazanin"/>
          <w:lang w:bidi="fa-IR"/>
          <w:color w:val="111111"/>
          <w:sz w:val="28"/>
          <w:szCs w:val="28"/>
          <w:rtl/>
        </w:rPr>
        <w:t xml:space="preserve">هذا کلّه حول «علیّ بن أبی حمزة» و من تتبّع الکتب الفقهیّة یری أنّ الأصحاب یأخذون بروایاته و یعملون بها إذا لم یکن هناک معارض.</w:t>
      </w:r>
    </w:p>
    <w:p>
      <w:pPr>
        <w:pStyle w:val="BookText"/>
      </w:pPr>
      <w:r>
        <w:rPr>
          <w:rFonts w:ascii="IRNazanin" w:hAnsi="IRNazanin" w:eastAsia="IRNazanin" w:cs="IRNazanin"/>
          <w:lang w:bidi="fa-IR"/>
          <w:color w:val="111111"/>
          <w:sz w:val="28"/>
          <w:szCs w:val="28"/>
          <w:rtl/>
        </w:rPr>
        <w:t xml:space="preserve">و إلیک الکلام فی باقی النقوض:</w:t>
      </w:r>
    </w:p>
    <w:p>
      <w:pPr>
        <w:pStyle w:val="BookText"/>
      </w:pPr>
      <w:r>
        <w:rPr>
          <w:rFonts w:ascii="IRNazanin" w:hAnsi="IRNazanin" w:eastAsia="IRNazanin" w:cs="IRNazanin"/>
          <w:lang w:bidi="fa-IR"/>
          <w:color w:val="111111"/>
          <w:sz w:val="28"/>
          <w:szCs w:val="28"/>
          <w:rtl/>
        </w:rPr>
        <w:t xml:space="preserve">3 - أبو جمیلة المفضّل بن صالح الأسدی: روی الکلینی عن عدّة من أصحابنا، عن أحمد بن أبی عبد اللّه، عن صفوان بن یحیی، عن أبی</w:t>
      </w:r>
    </w:p>
    <w:p>
      <w:pPr>
        <w:pStyle w:val="BookText"/>
      </w:pPr>
      <w:r>
        <w:rPr>
          <w:rFonts w:ascii="IRNazanin" w:hAnsi="IRNazanin" w:eastAsia="IRNazanin" w:cs="IRNazanin"/>
          <w:lang w:bidi="fa-IR"/>
          <w:color w:val="111111"/>
          <w:sz w:val="28"/>
          <w:szCs w:val="28"/>
          <w:rtl/>
        </w:rPr>
        <w:t xml:space="preserve">[شماره صفحه واقعی : 254]</w:t>
      </w:r>
    </w:p>
    <w:p>
      <w:pPr>
        <w:pStyle w:val="BookText"/>
      </w:pPr>
      <w:r>
        <w:rPr>
          <w:rFonts w:ascii="IRNazanin" w:hAnsi="IRNazanin" w:eastAsia="IRNazanin" w:cs="IRNazanin"/>
          <w:lang w:bidi="fa-IR"/>
          <w:color w:val="111111"/>
          <w:sz w:val="28"/>
          <w:szCs w:val="28"/>
          <w:rtl/>
        </w:rPr>
        <w:t xml:space="preserve">ص: 972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جمیلة، عن حمید الصیرفیّ، عن أبی عبد اللّه - علیه السلام - قال: کلّ بناء لیس بکفاف فهو وبال علی صاحبه یوم القیامة</w:t>
      </w:r>
      <w:r>
        <w:rPr>
          <w:rStyle w:val="FootnoteReference"/>
        </w:rPr>
        <w:footnoteReference w:id="3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منه المفضّل بن صالح الأسدی الّذی عدّه الشیخ فی رجاله من أصحاب الصادق - علیه السلام - قائلا: «المفضّل بن صالح أبو علی مولی بنی أسد، یکنّی بأبی جمیلة، مات فی حیاة الرضا - علیه السلام -»</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النجاشی ضعّفه عندما ذکر جابر بن یزید الجعفی (المتوفّی عام 128 ه) و قال: «روی عنه جماعة غمز فیهم و ضعّفوا، منهم: عمرو بن شمر، و مفضّل بن صالح، و منخل بن جمیل، و یوسف بن یعقوب»</w:t>
      </w:r>
      <w:r>
        <w:rPr>
          <w:rStyle w:val="FootnoteReference"/>
        </w:rPr>
        <w:footnoteReference w:id="3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فی الخلاصة: «مفضّل بن صالح أبو جمیلة الأسدی النحاس مولاهم، ضعیف کذّاب، یضع الحدیث، روی عن أبی عبد اللّه و عن أبی الحسن - علیهما السلام -»</w:t>
      </w:r>
      <w:r>
        <w:rPr>
          <w:rStyle w:val="FootnoteReference"/>
        </w:rPr>
        <w:footnoteReference w:id="3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لیس لصفوان أیّة روایة عن المفضّل فی الکتب الأربعة إلاّ هذه الروایة</w:t>
      </w:r>
      <w:r>
        <w:rPr>
          <w:rStyle w:val="FootnoteReference"/>
        </w:rPr>
        <w:footnoteReference w:id="3952"/>
      </w:r>
      <w:r>
        <w:rPr>
          <w:rFonts w:ascii="IRNazanin" w:hAnsi="IRNazanin" w:eastAsia="IRNazanin" w:cs="IRNazanin"/>
          <w:lang w:bidi="fa-IR"/>
          <w:color w:val="111111"/>
          <w:sz w:val="28"/>
          <w:szCs w:val="28"/>
          <w:rtl/>
        </w:rPr>
        <w:t xml:space="preserve">و مع ذلک کلّه فلم یثبت ضعفه، أمّا ما ذکره العلاّمة فهو مأخوذ عن ابن الغضائری، و إلیک نصّ عبارته: «المفضّل بن صالح أبو جمیلة الأسدی النحاس مولاهم، ضعیف کذّاب یضع الحدیث». و قد ذکرنا أنّه لا اعتبار بتضعیفاته و تعدیلاته، لعدم استناده فیهما إلی السّماع بل إلی قراءة المتون کما مرّ غیر مرّة.</w:t>
      </w:r>
    </w:p>
    <w:p>
      <w:pPr>
        <w:pStyle w:val="BookText"/>
      </w:pPr>
      <w:r>
        <w:rPr>
          <w:rFonts w:ascii="IRNazanin" w:hAnsi="IRNazanin" w:eastAsia="IRNazanin" w:cs="IRNazanin"/>
          <w:lang w:bidi="fa-IR"/>
          <w:color w:val="111111"/>
          <w:sz w:val="28"/>
          <w:szCs w:val="28"/>
          <w:rtl/>
        </w:rPr>
        <w:t xml:space="preserve">و أمّا ما ذکره النّجاشی فمن القریب جدّا أنّ تضعیفه لأجل الاعتقاد فیه</w:t>
      </w:r>
    </w:p>
    <w:p>
      <w:pPr>
        <w:pStyle w:val="BookText"/>
      </w:pPr>
      <w:r>
        <w:rPr>
          <w:rFonts w:ascii="IRNazanin" w:hAnsi="IRNazanin" w:eastAsia="IRNazanin" w:cs="IRNazanin"/>
          <w:lang w:bidi="fa-IR"/>
          <w:color w:val="111111"/>
          <w:sz w:val="28"/>
          <w:szCs w:val="28"/>
          <w:rtl/>
        </w:rPr>
        <w:t xml:space="preserve">[شماره صفحه واقعی : 255]</w:t>
      </w:r>
    </w:p>
    <w:p>
      <w:pPr>
        <w:pStyle w:val="BookText"/>
      </w:pPr>
      <w:r>
        <w:rPr>
          <w:rFonts w:ascii="IRNazanin" w:hAnsi="IRNazanin" w:eastAsia="IRNazanin" w:cs="IRNazanin"/>
          <w:lang w:bidi="fa-IR"/>
          <w:color w:val="111111"/>
          <w:sz w:val="28"/>
          <w:szCs w:val="28"/>
          <w:rtl/>
        </w:rPr>
        <w:t xml:space="preserve">ص: 973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بالغلوّ، فصار ذلک الاعتقاد مبدءا للتّضعیف، و من تتبّع رجاله یقف علی أنّ النّجاشی متأثّر جدّا بطریقة ابن الغضائری، و أنّ بعض تضعیفاته أو کثیرا منها إذا لم یذکر لها وجها، کان لاعتقاد الغلوّ فی الراوی. و قد عرفت عند البحث عن کتاب ابن الغضائری أنّ مفهوم الغلوّ لم یکن محدودا آنذاک، حتّی یعرف به الغالی من المقصّر.</w:t>
      </w:r>
    </w:p>
    <w:p>
      <w:pPr>
        <w:pStyle w:val="BookText"/>
      </w:pPr>
      <w:r>
        <w:rPr>
          <w:rFonts w:ascii="IRNazanin" w:hAnsi="IRNazanin" w:eastAsia="IRNazanin" w:cs="IRNazanin"/>
          <w:lang w:bidi="fa-IR"/>
          <w:color w:val="111111"/>
          <w:sz w:val="28"/>
          <w:szCs w:val="28"/>
          <w:rtl/>
        </w:rPr>
        <w:t xml:space="preserve">و هذا الاحتمال و إن لم یکن له دلیل، إلاّ أنّه مظنون لمن راجع رجال النّجاشی. و علی ذلک فلا یعدّ تضعیفه نقضا للقاعدة الّتی استنبطها الأصحاب من طریقة هؤلاء الثقات، و التزامهم بأنّهم لا یروون و لا یرسلون إلاّ عن ثقة.</w:t>
      </w:r>
    </w:p>
    <w:p>
      <w:pPr>
        <w:pStyle w:val="BookText"/>
      </w:pPr>
      <w:r>
        <w:rPr>
          <w:rFonts w:ascii="IRNazanin" w:hAnsi="IRNazanin" w:eastAsia="IRNazanin" w:cs="IRNazanin"/>
          <w:lang w:bidi="fa-IR"/>
          <w:color w:val="111111"/>
          <w:sz w:val="28"/>
          <w:szCs w:val="28"/>
          <w:rtl/>
        </w:rPr>
        <w:t xml:space="preserve">4 - عبد اللّه بن خداش المنقری: روی الکلینی عن أبی علیّ الأشعری، عن محمّد بن عبد الجبّار، عن صفوان، عن عبد اللّه بن خداش المنقری أنّه سأل أبا الحسن - علیه السلام - عن رجل مات و ترک ابنته و أخاه، قال: المال للابنة</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 «عبد اللّه بن خداش، أبو خداش المهری ضعیف جدا، و فی مذهبه ارتفاع، له کتاب أخبرناه ابن شاذان، عن أحمد بن محمّد بن یحیی قال حدّثنا أبی، قال حدّثنا سلمة بن الخطّاب عنه بکتابه»</w:t>
      </w:r>
      <w:r>
        <w:rPr>
          <w:rStyle w:val="FootnoteReference"/>
        </w:rPr>
        <w:footnoteReference w:id="3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النّجاشی و إن ضعّفه، لکن تضعیفه بقرینة قوله «و فی مذهبه ارتفاع» لأجل اعتقاده بأنّه غال، لا لأنّه لیس بصدوق. و الظّاهر کما عرفت أنّ النّجاشی کان متأثّرا بابن الغضائری فی تضعیف الراوی فی بعض الأحیان لأجل کونه راویا لبعض ما یتراءی منه الغلوّ، حسب عقیدة النجاشی و زمیله ابن الغضائری، و مثل ذلک لا یمکن الاعتماد علیه.</w:t>
      </w:r>
    </w:p>
    <w:p>
      <w:pPr>
        <w:pStyle w:val="BookText"/>
      </w:pPr>
      <w:r>
        <w:rPr>
          <w:rFonts w:ascii="IRNazanin" w:hAnsi="IRNazanin" w:eastAsia="IRNazanin" w:cs="IRNazanin"/>
          <w:lang w:bidi="fa-IR"/>
          <w:color w:val="111111"/>
          <w:sz w:val="28"/>
          <w:szCs w:val="28"/>
          <w:rtl/>
        </w:rPr>
        <w:t xml:space="preserve">[شماره صفحه واقعی : 256]</w:t>
      </w:r>
    </w:p>
    <w:p>
      <w:pPr>
        <w:pStyle w:val="BookText"/>
      </w:pPr>
      <w:r>
        <w:rPr>
          <w:rFonts w:ascii="IRNazanin" w:hAnsi="IRNazanin" w:eastAsia="IRNazanin" w:cs="IRNazanin"/>
          <w:lang w:bidi="fa-IR"/>
          <w:color w:val="111111"/>
          <w:sz w:val="28"/>
          <w:szCs w:val="28"/>
          <w:rtl/>
        </w:rPr>
        <w:t xml:space="preserve">ص: 974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أضف إلی ذلک أنّ الکشّی نقل وثاقته عن عبد اللّه بن أبی عبد اللّه، محمّد بن خالد الطیالسی، فتوثیقه ممّا یعتنی به. قال الکشّی: «محمّد بن مسعود، قال أبو محمد عبد اللّه بن محمّد بن خالد:</w:t>
      </w:r>
      <w:r>
        <w:rPr>
          <w:rStyle w:val="FootnoteReference"/>
        </w:rPr>
        <w:footnoteReference w:id="3955"/>
      </w:r>
      <w:r>
        <w:rPr>
          <w:rFonts w:ascii="IRNazanin" w:hAnsi="IRNazanin" w:eastAsia="IRNazanin" w:cs="IRNazanin"/>
          <w:lang w:bidi="fa-IR"/>
          <w:color w:val="111111"/>
          <w:sz w:val="28"/>
          <w:szCs w:val="28"/>
          <w:rtl/>
        </w:rPr>
        <w:t xml:space="preserve">أبو خداش، عبد اللّه بن خداش المهری. و مهرة: محلّة بالبصرة و هو ثقة» ثم نقل عنه أنّه کان یقول: «ما صافحت ذمّیا قطّ، و لا دخلت بیت ذمّی، و لا شربت دواءا قطّ، و لا افتصدت و لا ترکت غسل یوم الجمعة قطّ، و لا دخلت علی وال قطّ، و لا دخلت علی قاض قطّ».</w:t>
      </w:r>
    </w:p>
    <w:p>
      <w:pPr>
        <w:pStyle w:val="BookText"/>
      </w:pPr>
      <w:r>
        <w:rPr>
          <w:rFonts w:ascii="IRNazanin" w:hAnsi="IRNazanin" w:eastAsia="IRNazanin" w:cs="IRNazanin"/>
          <w:lang w:bidi="fa-IR"/>
          <w:color w:val="111111"/>
          <w:sz w:val="28"/>
          <w:szCs w:val="28"/>
          <w:rtl/>
        </w:rPr>
        <w:t xml:space="preserve">و قد اختلف ضبط اسم والده، و المشهور هو بالدال کما فی مواضع من رجال الشیخ فی أصحاب الکاظم و أصحاب الجواد - علیهما السلام -، فضبطه بأبی خداش المهری البصری، و لکن ابن داود ذکر أنّه رأی فی کتاب الرجال للشّیخ بخطّه فی رجال الصادق - علیه السلام - عبد اللّه بن خداش البصری.</w:t>
      </w:r>
    </w:p>
    <w:p>
      <w:pPr>
        <w:pStyle w:val="BookText"/>
      </w:pPr>
      <w:r>
        <w:rPr>
          <w:rFonts w:ascii="IRNazanin" w:hAnsi="IRNazanin" w:eastAsia="IRNazanin" w:cs="IRNazanin"/>
          <w:lang w:bidi="fa-IR"/>
          <w:color w:val="111111"/>
          <w:sz w:val="28"/>
          <w:szCs w:val="28"/>
          <w:rtl/>
        </w:rPr>
        <w:t xml:space="preserve">ثمّ الظّاهر أنّ المنقریّ هو تصحیف المهری. و قد قال الفیض - قده - فی هامش الوافی: «الصّحیح المهری - بفتح المیم و الهاء الساکنة قبل الراء - مکان المنقری»</w:t>
      </w:r>
    </w:p>
    <w:p>
      <w:pPr>
        <w:pStyle w:val="BookText"/>
      </w:pPr>
      <w:r>
        <w:rPr>
          <w:rFonts w:ascii="IRNazanin" w:hAnsi="IRNazanin" w:eastAsia="IRNazanin" w:cs="IRNazanin"/>
          <w:lang w:bidi="fa-IR"/>
          <w:color w:val="111111"/>
          <w:sz w:val="28"/>
          <w:szCs w:val="28"/>
          <w:rtl/>
        </w:rPr>
        <w:t xml:space="preserve">5 - معلّی بن خنیس: و قد روی عنه صفوان علی ما فی فهرس الشیخ فی ترجمة معلّی. قال: «معلّی بن خنیس یکنّی أبا عثمان الأحول له کتاب، أخبرنا به جماعة عن أبی جعفر ابن بابویه، عن ابن الولید، عن الصفّار، عن أحمد بن محمّد، عن أبیه عن صفوان، عنه»</w:t>
      </w:r>
      <w:r>
        <w:rPr>
          <w:rStyle w:val="FootnoteReference"/>
        </w:rPr>
        <w:footnoteReference w:id="3956"/>
      </w:r>
      <w:r>
        <w:rPr>
          <w:rFonts w:ascii="Amiri" w:hAnsi="Amiri" w:eastAsia="Amiri" w:cs="Amiri"/>
          <w:lang w:bidi="ar-SA"/>
          <w:color w:val="111111"/>
          <w:sz w:val="28"/>
          <w:szCs w:val="28"/>
          <w:rtl/>
        </w:rPr>
        <w:t xml:space="preserve">. و الاجابة عن هذا النقض واضحة.</w:t>
      </w:r>
    </w:p>
    <w:p>
      <w:pPr>
        <w:pStyle w:val="BookText"/>
      </w:pPr>
      <w:r>
        <w:rPr>
          <w:rFonts w:ascii="IRNazanin" w:hAnsi="IRNazanin" w:eastAsia="IRNazanin" w:cs="IRNazanin"/>
          <w:lang w:bidi="fa-IR"/>
          <w:color w:val="111111"/>
          <w:sz w:val="28"/>
          <w:szCs w:val="28"/>
          <w:rtl/>
        </w:rPr>
        <w:t xml:space="preserve">أمّا أوّلا: فقد مرّ أنّ المعلّی بن خنیس ثقة، و ما اثیر حوله من الشبهات لیست بتامّة، و کفی بذلک ما نقله الشیخ فی «الغیبة» فی حقّه، یقول:</w:t>
      </w:r>
    </w:p>
    <w:p>
      <w:pPr>
        <w:pStyle w:val="BookText"/>
      </w:pPr>
      <w:r>
        <w:rPr>
          <w:rFonts w:ascii="IRNazanin" w:hAnsi="IRNazanin" w:eastAsia="IRNazanin" w:cs="IRNazanin"/>
          <w:lang w:bidi="fa-IR"/>
          <w:color w:val="111111"/>
          <w:sz w:val="28"/>
          <w:szCs w:val="28"/>
          <w:rtl/>
        </w:rPr>
        <w:t xml:space="preserve">[شماره صفحه واقعی : 257]</w:t>
      </w:r>
    </w:p>
    <w:p>
      <w:pPr>
        <w:pStyle w:val="BookText"/>
      </w:pPr>
      <w:r>
        <w:rPr>
          <w:rFonts w:ascii="IRNazanin" w:hAnsi="IRNazanin" w:eastAsia="IRNazanin" w:cs="IRNazanin"/>
          <w:lang w:bidi="fa-IR"/>
          <w:color w:val="111111"/>
          <w:sz w:val="28"/>
          <w:szCs w:val="28"/>
          <w:rtl/>
        </w:rPr>
        <w:t xml:space="preserve">ص: 975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معلّی من قوّام أبی عبد اللّه - علیه السلام - و إنّما قتله داود بن علی بسببه، و کان محمودا عنده، و مضی علی منهاجه، و أمره مشهور، فروی عن أبی بصیر قال: لمّا قتل داود بن علی «المعلی بن خنیس»، فصلبه، عظم ذلک علی أبی عبد اللّه - علیه السلام - و اشتدّ علیه و قال له: یا داود، علی ما قتلت مولای و قیّمی فی مالی و علی عیالی؟ و اللّه إنّه لأوجه عند اللّه منک - فی حدیث طویل. و فی خبر آخر أنّه قال: أما و اللّه لقد دخل الجنّة»</w:t>
      </w:r>
      <w:r>
        <w:rPr>
          <w:rStyle w:val="FootnoteReference"/>
        </w:rPr>
        <w:footnoteReference w:id="3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إنّ المعلّی قتل قبل الثالث و ثلاثین و مائة، کما مرّ فی بحث مشایخ ابن أبی عمیر، و صفوان بن یحیی ممّن توفّی عام 210، فکیف یمکن له أن ینقل عنه، مع أنّ بین الوفاتین 77 سنة فما زاد، و لم یکن صفوان من المعمّرین الّذین عاشوا إلی مائة و أزید، و لذلک إنّ من القریب سقوط الواسطة بین صفوان و معلّی بن خنیس. و یشهد علی ذلک قول النّجاشی فی ترجمة معلّی بن خنیس: «له کتاب... أخبرنا أبو عبد اللّه بن شاذان، قال: حدّثنا علیّ بن حاتم، قال: حدّثنا محمّد بن عبد اللّه بن جعفر، عن أبیه، عن أیّوب بن...، عن صفوان بن یحیی، عن أبی عثمان معلّی بن زید الأحول، عن معلّی بن خنیس بکتابه»</w:t>
      </w:r>
      <w:r>
        <w:rPr>
          <w:rStyle w:val="FootnoteReference"/>
        </w:rPr>
        <w:footnoteReference w:id="3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ذلک أنّ ما نقلناه آنفا من الفهرس هو ترجمة معلّی بن عثمان (أو ابن زید) الأحول، لا معلّی بن خنیس و النسخة محرّفة لما عرفت من بعد روایة صفوان عن معلّی بن خنیس أوّلا، و لأنّ «أبا عثمان» کنیة معلّی بن عثمان (أو ابن زید) کما ذکر النّجاشی و الشیخ نفسه فی رجاله ثانیا.</w:t>
      </w:r>
    </w:p>
    <w:p>
      <w:pPr>
        <w:pStyle w:val="BookText"/>
      </w:pPr>
      <w:r>
        <w:rPr>
          <w:rFonts w:ascii="IRNazanin" w:hAnsi="IRNazanin" w:eastAsia="IRNazanin" w:cs="IRNazanin"/>
          <w:lang w:bidi="fa-IR"/>
          <w:color w:val="111111"/>
          <w:sz w:val="28"/>
          <w:szCs w:val="28"/>
          <w:rtl/>
        </w:rPr>
        <w:t xml:space="preserve">إلی هنا وقفت علی حال النّقوض المتوجّهة إلی الضّابطة الّتی نقلها الشیخ</w:t>
      </w:r>
    </w:p>
    <w:p>
      <w:pPr>
        <w:pStyle w:val="BookText"/>
      </w:pPr>
      <w:r>
        <w:rPr>
          <w:rFonts w:ascii="IRNazanin" w:hAnsi="IRNazanin" w:eastAsia="IRNazanin" w:cs="IRNazanin"/>
          <w:lang w:bidi="fa-IR"/>
          <w:color w:val="111111"/>
          <w:sz w:val="28"/>
          <w:szCs w:val="28"/>
          <w:rtl/>
        </w:rPr>
        <w:t xml:space="preserve">[شماره صفحه واقعی : 258]</w:t>
      </w:r>
    </w:p>
    <w:p>
      <w:pPr>
        <w:pStyle w:val="BookText"/>
      </w:pPr>
      <w:r>
        <w:rPr>
          <w:rFonts w:ascii="IRNazanin" w:hAnsi="IRNazanin" w:eastAsia="IRNazanin" w:cs="IRNazanin"/>
          <w:lang w:bidi="fa-IR"/>
          <w:color w:val="111111"/>
          <w:sz w:val="28"/>
          <w:szCs w:val="28"/>
          <w:rtl/>
        </w:rPr>
        <w:t xml:space="preserve">ص: 976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422" w:name="pg14419_167692"/>
    <w:bookmarkEnd w:id="422"/>
    <w:p>
      <w:pPr>
        <w:pStyle w:val="BookText"/>
      </w:pPr>
      <w:r>
        <w:rPr>
          <w:rFonts w:ascii="IRNazanin" w:hAnsi="IRNazanin" w:eastAsia="IRNazanin" w:cs="IRNazanin"/>
          <w:lang w:bidi="fa-IR"/>
          <w:color w:val="111111"/>
          <w:sz w:val="28"/>
          <w:szCs w:val="28"/>
          <w:rtl/>
        </w:rPr>
        <w:t xml:space="preserve">فی حقّ الفقهاء الثلاثة و لیس النقض منحصرا بما ذکره صاحب «معجم رجال الحدیث» أو مؤلّف «مشایخ الثقات» بل هناک نقوض اخر یعرف الجواب عنها بالاحاطة بما ذکرناه. و إلیک الکلام فی أحوال البزنطی الشیخ الثالث، الّذی لا یروی و لا یرسل إلاّ عن ثقة.</w:t>
      </w:r>
    </w:p>
    <w:p>
      <w:pPr>
        <w:pStyle w:val="Heading6"/>
      </w:pPr>
      <w:bookmarkStart w:id="1359" w:name="_Toc799"/>
      <w:r>
        <w:t>3 - أحمد بن محمّد بن عمرو بن أبی نصر البزنطی (المتوفّی عام 221)</w:t>
      </w:r>
      <w:bookmarkEnd w:id="1359"/>
    </w:p>
    <w:p>
      <w:pPr>
        <w:pStyle w:val="Heading6"/>
      </w:pPr>
      <w:bookmarkStart w:id="1360" w:name="_Toc800"/>
      <w:r>
        <w:t>اشارة</w:t>
      </w:r>
      <w:bookmarkEnd w:id="1360"/>
    </w:p>
    <w:p>
      <w:pPr>
        <w:pStyle w:val="BookText"/>
      </w:pPr>
      <w:r>
        <w:rPr>
          <w:rFonts w:ascii="IRNazanin" w:hAnsi="IRNazanin" w:eastAsia="IRNazanin" w:cs="IRNazanin"/>
          <w:lang w:bidi="fa-IR"/>
          <w:color w:val="111111"/>
          <w:sz w:val="28"/>
          <w:szCs w:val="28"/>
          <w:rtl/>
        </w:rPr>
        <w:t xml:space="preserve">قال النّجاشی: «أحمد بن محمّد بن عمرو بن أبی نصر زید، مولی السکون، أبو جعفر، المعروف بالبزنطی، کوفی لقی الرضا و أبا جعفر - علیهما السلام -، و کان عظیم المنزلة عندهما و له کتب منها: الجامع قرأناه علی أبی عبد اللّه الحسین بن عبید اللّه، قال: قرأته علی أبی غالب أحمد بن محمّد الزراری، قال حدّثنی به خال أبی محمّد بن جعفر، و عمّ أبی علیّ بن سلیمان قالا: حدّثنا محمّد بن الحسین بن أبی الخطّاب عنه به.</w:t>
      </w:r>
    </w:p>
    <w:p>
      <w:pPr>
        <w:pStyle w:val="BookText"/>
      </w:pPr>
      <w:r>
        <w:rPr>
          <w:rFonts w:ascii="IRNazanin" w:hAnsi="IRNazanin" w:eastAsia="IRNazanin" w:cs="IRNazanin"/>
          <w:lang w:bidi="fa-IR"/>
          <w:color w:val="111111"/>
          <w:sz w:val="28"/>
          <w:szCs w:val="28"/>
          <w:rtl/>
        </w:rPr>
        <w:t xml:space="preserve">و کتاب النوادر - إلی أن قال: و مات أحمد بن محمّد سنة إحدی و عشرین و مائتین بعد وفاة الحسن بن علیّ بن فضّال بثمانیة أشهر. ذکر محمّد بن عیسی بن عبید أنّه سمع منه سنة عشرة و مائتین»</w:t>
      </w:r>
      <w:r>
        <w:rPr>
          <w:rStyle w:val="FootnoteReference"/>
        </w:rPr>
        <w:footnoteReference w:id="3959"/>
      </w:r>
      <w:r>
        <w:rPr>
          <w:rFonts w:ascii="IRNazanin" w:hAnsi="IRNazanin" w:eastAsia="IRNazanin" w:cs="IRNazanin"/>
          <w:lang w:bidi="fa-IR"/>
          <w:color w:val="111111"/>
          <w:sz w:val="28"/>
          <w:szCs w:val="28"/>
          <w:rtl/>
        </w:rPr>
        <w:t xml:space="preserve">و البزنطی أحد الفقهاء الثّلاثة الّذین ادّعی الشیخ أنّهم لا یروون و لا یرسلون إلاّ عن ثقة. و قد جاء فی الکتب الأربعة فی أسناد روایات تبلغ زهاء 788 موردا، و قد أنهی صاحب «معجم رجال الحدیث» مشایخه فی الکتب الأربعة و غیرها فبلغ 115 شیخا، و الثقات منهم 53 شیخا، و الباقی إمّا مهمل أو مجهول، و قلیل منهم مضعف نظراء.</w:t>
      </w:r>
    </w:p>
    <w:p>
      <w:pPr>
        <w:pStyle w:val="BookText"/>
      </w:pPr>
      <w:r>
        <w:rPr>
          <w:rFonts w:ascii="IRNazanin" w:hAnsi="IRNazanin" w:eastAsia="IRNazanin" w:cs="IRNazanin"/>
          <w:lang w:bidi="fa-IR"/>
          <w:color w:val="111111"/>
          <w:sz w:val="28"/>
          <w:szCs w:val="28"/>
          <w:rtl/>
        </w:rPr>
        <w:t xml:space="preserve">1 - المفضّل بن صالح: روی الکلینی عن علیّ بن إبراهیم، عن أبیه، عن أحمد بن أبی نصر و ابن محبوب، جمیعا عن المفضّل بن صالح، عن</w:t>
      </w:r>
    </w:p>
    <w:p>
      <w:pPr>
        <w:pStyle w:val="BookText"/>
      </w:pPr>
      <w:r>
        <w:rPr>
          <w:rFonts w:ascii="IRNazanin" w:hAnsi="IRNazanin" w:eastAsia="IRNazanin" w:cs="IRNazanin"/>
          <w:lang w:bidi="fa-IR"/>
          <w:color w:val="111111"/>
          <w:sz w:val="28"/>
          <w:szCs w:val="28"/>
          <w:rtl/>
        </w:rPr>
        <w:t xml:space="preserve">[شماره صفحه واقعی : 259]</w:t>
      </w:r>
    </w:p>
    <w:p>
      <w:pPr>
        <w:pStyle w:val="BookText"/>
      </w:pPr>
      <w:r>
        <w:rPr>
          <w:rFonts w:ascii="IRNazanin" w:hAnsi="IRNazanin" w:eastAsia="IRNazanin" w:cs="IRNazanin"/>
          <w:lang w:bidi="fa-IR"/>
          <w:color w:val="111111"/>
          <w:sz w:val="28"/>
          <w:szCs w:val="28"/>
          <w:rtl/>
        </w:rPr>
        <w:t xml:space="preserve">ص: 977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مروان قال: سمعت أبا عبد اللّه - علیه السلام - یقول: کنت مع أبی فی الحجر فبینما هو قائم یصلّی إذا أتاه رجل فجلس إلیه فلمّا انصرف، سلّم علیه ثمّ قال: إنّی أسألک عن ثلاثة أشیاء لا یعلمها إلاّ أنت و رجل آخر، قال:</w:t>
      </w:r>
    </w:p>
    <w:p>
      <w:pPr>
        <w:pStyle w:val="BookText"/>
      </w:pPr>
      <w:r>
        <w:rPr>
          <w:rFonts w:ascii="IRNazanin" w:hAnsi="IRNazanin" w:eastAsia="IRNazanin" w:cs="IRNazanin"/>
          <w:lang w:bidi="fa-IR"/>
          <w:color w:val="111111"/>
          <w:sz w:val="28"/>
          <w:szCs w:val="28"/>
          <w:rtl/>
        </w:rPr>
        <w:t xml:space="preserve">ما هی... الخ</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تعرّفت علی حال هذا النقض عند البحث عن مشایخ صفوان فلا نعید.</w:t>
      </w:r>
    </w:p>
    <w:p>
      <w:pPr>
        <w:pStyle w:val="BookText"/>
      </w:pPr>
      <w:r>
        <w:rPr>
          <w:rFonts w:ascii="IRNazanin" w:hAnsi="IRNazanin" w:eastAsia="IRNazanin" w:cs="IRNazanin"/>
          <w:lang w:bidi="fa-IR"/>
          <w:color w:val="111111"/>
          <w:sz w:val="28"/>
          <w:szCs w:val="28"/>
          <w:rtl/>
        </w:rPr>
        <w:t xml:space="preserve">2 - حسن بن علیّ بن أبی حمزة: روی الشیخ عن محمّد بن أحمد بن یحیی، عن أحمد بن محمّد بن أبی نصر، عن الحسن بن علیّ بن أبی حمزة، عن أبی الحسن - علیه السلام - قال: قلت له: إنّ أبی هلک و ترک جاریتین... الخ</w:t>
      </w:r>
      <w:r>
        <w:rPr>
          <w:rStyle w:val="FootnoteReference"/>
        </w:rPr>
        <w:footnoteReference w:id="3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أوّلا: إنّ علیّ بن أبی حمزة و نجله الحسن و معاصرهما زیاد بن مروان القندی، ابتلوا بالشّتم و الطّعن و اللّعن، لذهابهم إلی الوقف، و لکنّه کان راجعا إلی اعتقادهم الفاسد، و لا ینافی وثاقتهم الروائیة.</w:t>
      </w:r>
    </w:p>
    <w:p>
      <w:pPr>
        <w:pStyle w:val="BookText"/>
      </w:pPr>
      <w:r>
        <w:rPr>
          <w:rFonts w:ascii="IRNazanin" w:hAnsi="IRNazanin" w:eastAsia="IRNazanin" w:cs="IRNazanin"/>
          <w:lang w:bidi="fa-IR"/>
          <w:color w:val="111111"/>
          <w:sz w:val="28"/>
          <w:szCs w:val="28"/>
          <w:rtl/>
        </w:rPr>
        <w:t xml:space="preserve">و ثانیا: إنّ هناک روایات تدلّ علی رجوع الوالد و الولد عن الوقف و صیرورتهما مستبصرین، و قد نقلا النصّ علی إمامة الإمام الرضا - علیه السلام -، و منها هذه الروایة، فتری أنّ النّجل یذهب إلی الإمام الرضا - علیه السلام - یسأله عن مسألة شرعیّة راجعة إلی ترکة أبیه، و لولا اعتقاده لما کان لسؤاله معنی، و قد عرفت بعض هذه الروایات عند البحث عن النّقوض المتوجّهة إلی مشایخ ابن أبی عمیر، فلا نعید.</w:t>
      </w:r>
    </w:p>
    <w:p>
      <w:pPr>
        <w:pStyle w:val="BookText"/>
      </w:pPr>
      <w:r>
        <w:rPr>
          <w:rFonts w:ascii="IRNazanin" w:hAnsi="IRNazanin" w:eastAsia="IRNazanin" w:cs="IRNazanin"/>
          <w:lang w:bidi="fa-IR"/>
          <w:color w:val="111111"/>
          <w:sz w:val="28"/>
          <w:szCs w:val="28"/>
          <w:rtl/>
        </w:rPr>
        <w:t xml:space="preserve">3 - عبد اللّه بن محمّد الشامی: روی الکلینی عن علیّ بن إبراهیم، عن أبیه، عن أحمد بن محمّد بن أبی نصر، عن عبد اللّه بن محمّد الشامی، عن</w:t>
      </w:r>
    </w:p>
    <w:p>
      <w:pPr>
        <w:pStyle w:val="BookText"/>
      </w:pPr>
      <w:r>
        <w:rPr>
          <w:rFonts w:ascii="IRNazanin" w:hAnsi="IRNazanin" w:eastAsia="IRNazanin" w:cs="IRNazanin"/>
          <w:lang w:bidi="fa-IR"/>
          <w:color w:val="111111"/>
          <w:sz w:val="28"/>
          <w:szCs w:val="28"/>
          <w:rtl/>
        </w:rPr>
        <w:t xml:space="preserve">[شماره صفحه واقعی : 260]</w:t>
      </w:r>
    </w:p>
    <w:p>
      <w:pPr>
        <w:pStyle w:val="BookText"/>
      </w:pPr>
      <w:r>
        <w:rPr>
          <w:rFonts w:ascii="IRNazanin" w:hAnsi="IRNazanin" w:eastAsia="IRNazanin" w:cs="IRNazanin"/>
          <w:lang w:bidi="fa-IR"/>
          <w:color w:val="111111"/>
          <w:sz w:val="28"/>
          <w:szCs w:val="28"/>
          <w:rtl/>
        </w:rPr>
        <w:t xml:space="preserve">ص: 978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حنظلة، عن أحدهما - علیهما السلام - قال: أکل الکباب یذهب بالحمّی</w:t>
      </w:r>
      <w:r>
        <w:rPr>
          <w:rStyle w:val="FootnoteReference"/>
        </w:rPr>
        <w:footnoteReference w:id="3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عدّة من أصحابنا، عن سهل بن زیاد، عن أحمد بن محمّد بن أبی نصر، عن عبد اللّه بن محمّد الشامی، عن الحسین بن حنظلة قال: الدباء یزید فی الدماغ</w:t>
      </w:r>
      <w:r>
        <w:rPr>
          <w:rStyle w:val="FootnoteReference"/>
        </w:rPr>
        <w:footnoteReference w:id="3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البرقی فی المحاسن بسنده عن أحمد بن محمّد بن أبی نصر، عن عبد اللّه بن محمّد الشامی، عن الحسین بن حنظلة، عن أحدهما - علیهما السلام - قال: السمک یذیب الجسد</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وجه النّقض فإنّ عبد اللّه بن محمّد، من رجال کتاب «نوادر الحکمة» و قد ضعّف عدّة من رجالها، و ذکرها النّجاشی فی ترجمة مؤلّفها، منهم عبد اللّه بن محمّد الشامی، و إلیک نصّ النجاشی فی ترجمة محمّد بن أحمد بن یحیی الأشعری القمی: «کان ثقة فی الحدیث إلاّ أنّ أصحابنا قالوا: کان یروی عن الضعفاء و یعتمد المراسیل، و لا یبالی عمّن أخذ، و ما علیه فی نفسه مطعن فی شیء، و کان محمّد بن الحسن بن الولید یستثنی من روایة محمّد بن أحمد بن یحیی، ما رواه عن موسی بن محمد الهمدانی - إلی أن قال: أو عبد اللّه بن محمّد الشامی، أو عبد اللّه بن أحمد الرازی...»</w:t>
      </w:r>
      <w:r>
        <w:rPr>
          <w:rStyle w:val="FootnoteReference"/>
        </w:rPr>
        <w:footnoteReference w:id="3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عبد اللّه بن محمّد الشامی، الّذی یروی عنه محمّد بن أحمد ابن یحیی صاحب «نوادر الحکمة» غیر عبد اللّه بن محمّد الشامی الّذی یروی عنه البزنطی، فإنّ الأوّل شیخ صاحب النوادر و تلمیذ أحمد بن محمّد بن</w:t>
      </w:r>
    </w:p>
    <w:p>
      <w:pPr>
        <w:pStyle w:val="BookText"/>
      </w:pPr>
      <w:r>
        <w:rPr>
          <w:rFonts w:ascii="IRNazanin" w:hAnsi="IRNazanin" w:eastAsia="IRNazanin" w:cs="IRNazanin"/>
          <w:lang w:bidi="fa-IR"/>
          <w:color w:val="111111"/>
          <w:sz w:val="28"/>
          <w:szCs w:val="28"/>
          <w:rtl/>
        </w:rPr>
        <w:t xml:space="preserve">[شماره صفحه واقعی : 261]</w:t>
      </w:r>
    </w:p>
    <w:p>
      <w:pPr>
        <w:pStyle w:val="BookText"/>
      </w:pPr>
      <w:r>
        <w:rPr>
          <w:rFonts w:ascii="IRNazanin" w:hAnsi="IRNazanin" w:eastAsia="IRNazanin" w:cs="IRNazanin"/>
          <w:lang w:bidi="fa-IR"/>
          <w:color w:val="111111"/>
          <w:sz w:val="28"/>
          <w:szCs w:val="28"/>
          <w:rtl/>
        </w:rPr>
        <w:t xml:space="preserve">ص: 979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قال الشیخ: «عبد اللّه بن محمد یکنّی أبا محمد الشامی الدمشقی، یروی عن أحمد بن محمد بن عیسی، و غیره من أصحاب العسکری - علیه السلام -» و قال فی فصل من لم یرو عنهم - علیهم السلام -: «عبد اللّه بن محمّد الشامی روی عنه محمّد بن أحمد بن یحیی» و هذا هو الذی استثناه ابن الولید من روایات کتاب «نوادر الحکمة».</w:t>
      </w:r>
    </w:p>
    <w:p>
      <w:pPr>
        <w:pStyle w:val="BookText"/>
      </w:pPr>
      <w:r>
        <w:rPr>
          <w:rFonts w:ascii="IRNazanin" w:hAnsi="IRNazanin" w:eastAsia="IRNazanin" w:cs="IRNazanin"/>
          <w:lang w:bidi="fa-IR"/>
          <w:color w:val="111111"/>
          <w:sz w:val="28"/>
          <w:szCs w:val="28"/>
          <w:rtl/>
        </w:rPr>
        <w:t xml:space="preserve">و أمّا عبد اللّه بن محمّد الشامی الّذی یروی عنه أحمد بن محمّد بن أبی نصر البزنطی، فهو متقدّم علی سمیّه بواسطتین: 1 - أحمد بن محمّد بن عیسی 2 - أحمد بن محمّد بن أبی نصر البزنطی، و ذلک لأنّ ابن عیسی یروی کثیرا عن البزنطی، و هو یروی عن عبد اللّه بن محمّد الشامی، فلا یمکن أن یکونا شخصا واحدا.</w:t>
      </w:r>
    </w:p>
    <w:p>
      <w:pPr>
        <w:pStyle w:val="BookText"/>
      </w:pPr>
      <w:r>
        <w:rPr>
          <w:rFonts w:ascii="IRNazanin" w:hAnsi="IRNazanin" w:eastAsia="IRNazanin" w:cs="IRNazanin"/>
          <w:lang w:bidi="fa-IR"/>
          <w:color w:val="111111"/>
          <w:sz w:val="28"/>
          <w:szCs w:val="28"/>
          <w:rtl/>
        </w:rPr>
        <w:t xml:space="preserve">و بعبارة اخری؛ توفّی مؤلف النّوادر حوالی 290، و توفّی أحمد بن محمّد بن عیسی بعد 274، أو بعد 280، و توفّی البزنطی 221، فکیف یمکن أن یروی صاحب «نوادر الحکمة» عن شیخ البزنطی و هو عبد اللّه بن محمّد الشامی. و منشأ الاشتباه اتّحاد الراویین فی الاسم و النسبة.</w:t>
      </w:r>
    </w:p>
    <w:p>
      <w:pPr>
        <w:pStyle w:val="BookText"/>
      </w:pPr>
      <w:r>
        <w:rPr>
          <w:rFonts w:ascii="IRNazanin" w:hAnsi="IRNazanin" w:eastAsia="IRNazanin" w:cs="IRNazanin"/>
          <w:lang w:bidi="fa-IR"/>
          <w:color w:val="111111"/>
          <w:sz w:val="28"/>
          <w:szCs w:val="28"/>
          <w:rtl/>
        </w:rPr>
        <w:t xml:space="preserve">و لأجل أن یقف القاریء علی تعدّدهما ذاتا و طبقة، فلیلاحظ ما رواه الصّدوق فی عیون أخبار الرّضا باب النصّ علی الرضا - علیه السلام - قال:</w:t>
      </w:r>
    </w:p>
    <w:p>
      <w:pPr>
        <w:pStyle w:val="BookText"/>
      </w:pPr>
      <w:r>
        <w:rPr>
          <w:rFonts w:ascii="IRNazanin" w:hAnsi="IRNazanin" w:eastAsia="IRNazanin" w:cs="IRNazanin"/>
          <w:lang w:bidi="fa-IR"/>
          <w:color w:val="111111"/>
          <w:sz w:val="28"/>
          <w:szCs w:val="28"/>
          <w:rtl/>
        </w:rPr>
        <w:t xml:space="preserve">حدّثنا أبی و محمّد بن الحسن بن أحمد بن الولید، و أحمد بن محمّد بن یحیی العطّار، و محمّد بن علی ماجیلویه - رضی اللّه عنهم - قالوا حدّثنا محمّد بن یحیی العطّار، عن محمّد بن أحمد بن یحیی بن عمران الأشعری (مؤلّف نوادر الحکمة) عن عبد اللّه بن محمّد الشامی، عن الحسن بن موسی الخشّاب، عن علیّ بن أسباط، عن الحسین مولی أبی عبد اللّه - علیه السلام -... الخ</w:t>
      </w:r>
      <w:r>
        <w:rPr>
          <w:rStyle w:val="FootnoteReference"/>
        </w:rPr>
        <w:footnoteReference w:id="3966"/>
      </w:r>
      <w:r>
        <w:rPr>
          <w:rFonts w:ascii="Amiri" w:hAnsi="Amiri" w:eastAsia="Amiri" w:cs="Amiri"/>
          <w:lang w:bidi="ar-SA"/>
          <w:color w:val="111111"/>
          <w:sz w:val="28"/>
          <w:szCs w:val="28"/>
          <w:rtl/>
        </w:rPr>
        <w:t xml:space="preserve">. تری فیه أنّ عبد اللّه بن محمّد الشامی یروی عن علیّ</w:t>
      </w:r>
    </w:p>
    <w:p>
      <w:pPr>
        <w:pStyle w:val="BookText"/>
      </w:pPr>
      <w:r>
        <w:rPr>
          <w:rFonts w:ascii="IRNazanin" w:hAnsi="IRNazanin" w:eastAsia="IRNazanin" w:cs="IRNazanin"/>
          <w:lang w:bidi="fa-IR"/>
          <w:color w:val="111111"/>
          <w:sz w:val="28"/>
          <w:szCs w:val="28"/>
          <w:rtl/>
        </w:rPr>
        <w:t xml:space="preserve">[شماره صفحه واقعی : 262]</w:t>
      </w:r>
    </w:p>
    <w:p>
      <w:pPr>
        <w:pStyle w:val="BookText"/>
      </w:pPr>
      <w:r>
        <w:rPr>
          <w:rFonts w:ascii="IRNazanin" w:hAnsi="IRNazanin" w:eastAsia="IRNazanin" w:cs="IRNazanin"/>
          <w:lang w:bidi="fa-IR"/>
          <w:color w:val="111111"/>
          <w:sz w:val="28"/>
          <w:szCs w:val="28"/>
          <w:rtl/>
        </w:rPr>
        <w:t xml:space="preserve">ص: 980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أسباط بواسطة، و کان علیّ بن أسباط معاصرا لعلیّ بن مهزیار، و قد دارت بینهما رسائل، و علیّ بن مهزیار متأخّر عن البزنطی</w:t>
      </w:r>
      <w:r>
        <w:rPr>
          <w:rStyle w:val="FootnoteReference"/>
        </w:rPr>
        <w:footnoteReference w:id="3967"/>
      </w:r>
      <w:r>
        <w:rPr>
          <w:rFonts w:ascii="IRNazanin" w:hAnsi="IRNazanin" w:eastAsia="IRNazanin" w:cs="IRNazanin"/>
          <w:lang w:bidi="fa-IR"/>
          <w:color w:val="111111"/>
          <w:sz w:val="28"/>
          <w:szCs w:val="28"/>
          <w:rtl/>
        </w:rPr>
        <w:t xml:space="preserve">و لیسا فی طبقة واحدة، فکیف یمکن أن یکون الشامی الّذی هو شیخ صاحب النوادر، شیخا للبزنطی؟ و لأجل ذلک یحکم بتعدّد الراویین.</w:t>
      </w:r>
    </w:p>
    <w:p>
      <w:pPr>
        <w:pStyle w:val="BookText"/>
      </w:pPr>
      <w:r>
        <w:rPr>
          <w:rFonts w:ascii="IRNazanin" w:hAnsi="IRNazanin" w:eastAsia="IRNazanin" w:cs="IRNazanin"/>
          <w:lang w:bidi="fa-IR"/>
          <w:color w:val="111111"/>
          <w:sz w:val="28"/>
          <w:szCs w:val="28"/>
          <w:rtl/>
        </w:rPr>
        <w:t xml:space="preserve">4 - عبد الرحمن بن سالم: روی الشیخ بإسناده عن أحمد بن محمّد بن أبی نصر، عن عبد الرّحمن بن سالم، عن إسحاق بن عمار قال: قلت لأبی عبد اللّه - علیه السلام -: أخبرنی عن أفضل المواقیت فی صلاة الفجر...</w:t>
      </w:r>
    </w:p>
    <w:p>
      <w:pPr>
        <w:pStyle w:val="BookText"/>
      </w:pPr>
      <w:r>
        <w:rPr>
          <w:rFonts w:ascii="IRNazanin" w:hAnsi="IRNazanin" w:eastAsia="IRNazanin" w:cs="IRNazanin"/>
          <w:lang w:bidi="fa-IR"/>
          <w:color w:val="111111"/>
          <w:sz w:val="28"/>
          <w:szCs w:val="28"/>
          <w:rtl/>
        </w:rPr>
        <w:t xml:space="preserve">الخ</w:t>
      </w:r>
      <w:r>
        <w:rPr>
          <w:rStyle w:val="FootnoteReference"/>
        </w:rPr>
        <w:footnoteReference w:id="3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بهذا السند عن عبد الرّحمن بن سالم، عن مفضّل بن عمر قال: قلت لأبی عبد اللّه - علیه السلام -: جعلت فداک ما تقول فی المرأة تکون فی السفر مع الرجال لیس فیهم لها ذو محرم... الخ</w:t>
      </w:r>
      <w:r>
        <w:rPr>
          <w:rStyle w:val="FootnoteReference"/>
        </w:rPr>
        <w:footnoteReference w:id="3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محمد بن یحیی، عن احمد بن محمد بن عیسی، عن عبد الرحمن بن سالم، عن مفضّل بن عمر قال: قلت لأبی عبد اللّه - علیه السلام -: من غسّل فاطمة - علیها السلام -؟... الخ</w:t>
      </w:r>
      <w:r>
        <w:rPr>
          <w:rStyle w:val="FootnoteReference"/>
        </w:rPr>
        <w:footnoteReference w:id="3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یروی عنه ابن أبی عمیر أیضا. روی الکلینی عن علیّ بن إبراهیم عن أبیه، عن ابن أبی عمیر، عن عبد الرّحمن بن سالم، عن أبیه،</w:t>
      </w:r>
    </w:p>
    <w:p>
      <w:pPr>
        <w:pStyle w:val="BookText"/>
      </w:pPr>
      <w:r>
        <w:rPr>
          <w:rFonts w:ascii="IRNazanin" w:hAnsi="IRNazanin" w:eastAsia="IRNazanin" w:cs="IRNazanin"/>
          <w:lang w:bidi="fa-IR"/>
          <w:color w:val="111111"/>
          <w:sz w:val="28"/>
          <w:szCs w:val="28"/>
          <w:rtl/>
        </w:rPr>
        <w:t xml:space="preserve">[شماره صفحه واقعی : 263]</w:t>
      </w:r>
    </w:p>
    <w:p>
      <w:pPr>
        <w:pStyle w:val="BookText"/>
      </w:pPr>
      <w:r>
        <w:rPr>
          <w:rFonts w:ascii="IRNazanin" w:hAnsi="IRNazanin" w:eastAsia="IRNazanin" w:cs="IRNazanin"/>
          <w:lang w:bidi="fa-IR"/>
          <w:color w:val="111111"/>
          <w:sz w:val="28"/>
          <w:szCs w:val="28"/>
          <w:rtl/>
        </w:rPr>
        <w:t xml:space="preserve">ص: 981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جعفر علیه السلام قال: قلت له: هل یکره الجماع فی وقت من الأوقات و إن کان حلالا؟... الخ</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وقع بعنوان «عبد الرّحمن بن سالم» فی أسناد ثلاث و عشرین روایة، فهو یروی عن أبی بصیر و أبیه، و إسحاق بن عمار، و المفضّل بن عمر، و روی عنه ابن أبی عمیر، و ابن أبی نصر، و الحسن بن ظریف، و سهل بن زیاد، و محمّد بن أسلم و غیرهم.</w:t>
      </w:r>
    </w:p>
    <w:p>
      <w:pPr>
        <w:pStyle w:val="BookText"/>
      </w:pPr>
      <w:r>
        <w:rPr>
          <w:rFonts w:ascii="IRNazanin" w:hAnsi="IRNazanin" w:eastAsia="IRNazanin" w:cs="IRNazanin"/>
          <w:lang w:bidi="fa-IR"/>
          <w:color w:val="111111"/>
          <w:sz w:val="28"/>
          <w:szCs w:val="28"/>
          <w:rtl/>
        </w:rPr>
        <w:t xml:space="preserve">قال النجاشی: «عبد الرحمن بن سالم بن عبد الرحمن الکوفی العطّار - و کان سالم بیّاع المصاحف - و عبد الرحمن أخو عبد الحمید بن سالم، له کتاب» ثمّ ذکر سنده إلیه</w:t>
      </w:r>
      <w:r>
        <w:rPr>
          <w:rStyle w:val="FootnoteReference"/>
        </w:rPr>
        <w:footnoteReference w:id="3972"/>
      </w:r>
      <w:r>
        <w:rPr>
          <w:rFonts w:ascii="IRNazanin" w:hAnsi="IRNazanin" w:eastAsia="IRNazanin" w:cs="IRNazanin"/>
          <w:lang w:bidi="fa-IR"/>
          <w:color w:val="111111"/>
          <w:sz w:val="28"/>
          <w:szCs w:val="28"/>
          <w:rtl/>
        </w:rPr>
        <w:t xml:space="preserve">و عدّه الشیخ فی رجاله من أصحاب الصّادق - علیه السلام - کما عدّه البرقی من أصحابه</w:t>
      </w:r>
      <w:r>
        <w:rPr>
          <w:rStyle w:val="FootnoteReference"/>
        </w:rPr>
        <w:footnoteReference w:id="3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یضعّفه إلاّ ابن الغضائری و قال: «روی عن أبی بصیر، ضعیف» و من المعلوم أنّ تضعیفاته غیر موثوق بها، لما أوضحنا حالها.</w:t>
      </w:r>
    </w:p>
    <w:p>
      <w:pPr>
        <w:pStyle w:val="BookText"/>
      </w:pPr>
      <w:r>
        <w:rPr>
          <w:rFonts w:ascii="IRNazanin" w:hAnsi="IRNazanin" w:eastAsia="IRNazanin" w:cs="IRNazanin"/>
          <w:lang w:bidi="fa-IR"/>
          <w:color w:val="111111"/>
          <w:sz w:val="28"/>
          <w:szCs w:val="28"/>
          <w:rtl/>
        </w:rPr>
        <w:t xml:space="preserve">حصیلة البحث: قد تعرّفت علی النقوض المتوجّهة إلی الضّابطة من جانب المحقّق مؤلّف «معجم رجال الحدیث» و الفاضل المعاصر مؤلّف «مشایخ الثقات» و أنّ شیئا منها لا یصلح لأن یکون نقضا للقاعدة، و ذلک لجهات شتّی نشیر إلیها:</w:t>
      </w:r>
    </w:p>
    <w:p>
      <w:pPr>
        <w:pStyle w:val="BookText"/>
      </w:pPr>
      <w:r>
        <w:rPr>
          <w:rFonts w:ascii="IRNazanin" w:hAnsi="IRNazanin" w:eastAsia="IRNazanin" w:cs="IRNazanin"/>
          <w:lang w:bidi="fa-IR"/>
          <w:color w:val="111111"/>
          <w:sz w:val="28"/>
          <w:szCs w:val="28"/>
          <w:rtl/>
        </w:rPr>
        <w:t xml:space="preserve">1 - إنّ کثیرا من هؤلاء الضّعاف لم یکونوا مشایخ للثقات، بل کانوا أعدالهم و أقرانهم، و إنّما توهّمت الروایة عنهم بسبب وجود «عن» مکان «الواو»، فتصحیف العاطف بحرف الجرّ، صار سببا لأوهام کثیرة. و قد نبّه</w:t>
      </w:r>
    </w:p>
    <w:p>
      <w:pPr>
        <w:pStyle w:val="BookText"/>
      </w:pPr>
      <w:r>
        <w:rPr>
          <w:rFonts w:ascii="IRNazanin" w:hAnsi="IRNazanin" w:eastAsia="IRNazanin" w:cs="IRNazanin"/>
          <w:lang w:bidi="fa-IR"/>
          <w:color w:val="111111"/>
          <w:sz w:val="28"/>
          <w:szCs w:val="28"/>
          <w:rtl/>
        </w:rPr>
        <w:t xml:space="preserve">[شماره صفحه واقعی : 264]</w:t>
      </w:r>
    </w:p>
    <w:p>
      <w:pPr>
        <w:pStyle w:val="BookText"/>
      </w:pPr>
      <w:r>
        <w:rPr>
          <w:rFonts w:ascii="IRNazanin" w:hAnsi="IRNazanin" w:eastAsia="IRNazanin" w:cs="IRNazanin"/>
          <w:lang w:bidi="fa-IR"/>
          <w:color w:val="111111"/>
          <w:sz w:val="28"/>
          <w:szCs w:val="28"/>
          <w:rtl/>
        </w:rPr>
        <w:t xml:space="preserve">ص: 982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423" w:name="pg14419_167698"/>
    <w:bookmarkEnd w:id="423"/>
    <w:p>
      <w:pPr>
        <w:pStyle w:val="BookText"/>
      </w:pPr>
      <w:r>
        <w:rPr>
          <w:rFonts w:ascii="IRNazanin" w:hAnsi="IRNazanin" w:eastAsia="IRNazanin" w:cs="IRNazanin"/>
          <w:lang w:bidi="fa-IR"/>
          <w:color w:val="111111"/>
          <w:sz w:val="28"/>
          <w:szCs w:val="28"/>
          <w:rtl/>
        </w:rPr>
        <w:t xml:space="preserve">علی هذه القاعدة صاحب «منتقی الجمان» کما أوضحناه فتصوّر العدیل استاذا لهم.</w:t>
      </w:r>
    </w:p>
    <w:p>
      <w:pPr>
        <w:pStyle w:val="BookText"/>
      </w:pPr>
      <w:r>
        <w:rPr>
          <w:rFonts w:ascii="IRNazanin" w:hAnsi="IRNazanin" w:eastAsia="IRNazanin" w:cs="IRNazanin"/>
          <w:lang w:bidi="fa-IR"/>
          <w:color w:val="111111"/>
          <w:sz w:val="28"/>
          <w:szCs w:val="28"/>
          <w:rtl/>
        </w:rPr>
        <w:t xml:space="preserve">2 - إنّ کثیرا ممّن اتّهم بالضعف، مضعّفون من حیث المذهب و العقیدة، لا من حیث الروایة، و هذا لا یخالف وثاقتهم و صدقهم فی الحدیث. و قد وقفت فی کلام الشیخ علی أنّ المراد من الثّقات هم الموثوق بهم من حیث الروایة و الحدیث لا المذهب، و بعبارة اخری، کانوا ملتزمین بالنّقل عن الثقات سواء کانوا إمامیّین أم غیرهم.</w:t>
      </w:r>
    </w:p>
    <w:p>
      <w:pPr>
        <w:pStyle w:val="BookText"/>
      </w:pPr>
      <w:r>
        <w:rPr>
          <w:rFonts w:ascii="IRNazanin" w:hAnsi="IRNazanin" w:eastAsia="IRNazanin" w:cs="IRNazanin"/>
          <w:lang w:bidi="fa-IR"/>
          <w:color w:val="111111"/>
          <w:sz w:val="28"/>
          <w:szCs w:val="28"/>
          <w:rtl/>
        </w:rPr>
        <w:t xml:space="preserve">3 - إنّ منشأ بعض النقوض هو الاشتراک فی الاسم بین المضعّف و غیره، کما مرّ نظیره فی عبد اللّه بن محمّد الشامی.</w:t>
      </w:r>
    </w:p>
    <w:p>
      <w:pPr>
        <w:pStyle w:val="BookText"/>
      </w:pPr>
      <w:r>
        <w:rPr>
          <w:rFonts w:ascii="IRNazanin" w:hAnsi="IRNazanin" w:eastAsia="IRNazanin" w:cs="IRNazanin"/>
          <w:lang w:bidi="fa-IR"/>
          <w:color w:val="111111"/>
          <w:sz w:val="28"/>
          <w:szCs w:val="28"/>
          <w:rtl/>
        </w:rPr>
        <w:t xml:space="preserve">4 - إنّ بعض من اتّهم بالضّعف لم یثبت ضعفهم أوّلا، و معارض بتعدیل الآخرین ثانیا. و علی ضوء ما تقدّم، تقدر علی الاجابة عن کثیر من النّقوض المتوجّهة إلی الضّابطة، الّتی ربّما تبلغ خمسة و أربعین نقضا. و أغلبها مستند إلی سقم النّسخ و عدم إتقانها.</w:t>
      </w:r>
    </w:p>
    <w:p>
      <w:pPr>
        <w:pStyle w:val="BookText"/>
      </w:pPr>
      <w:r>
        <w:rPr>
          <w:rFonts w:ascii="IRNazanin" w:hAnsi="IRNazanin" w:eastAsia="IRNazanin" w:cs="IRNazanin"/>
          <w:lang w:bidi="fa-IR"/>
          <w:color w:val="111111"/>
          <w:sz w:val="28"/>
          <w:szCs w:val="28"/>
          <w:rtl/>
        </w:rPr>
        <w:t xml:space="preserve">نعم من کان له إلمام بطبقات الرواة، و میّز الشیخ عن التلمیذ، یقف علی کثیر من الاشتباهات الواردة فی الاسناد الّتی لم تقابل علی النسخ الصّحیحة.</w:t>
      </w:r>
    </w:p>
    <w:p>
      <w:pPr>
        <w:pStyle w:val="BookText"/>
      </w:pPr>
      <w:r>
        <w:rPr>
          <w:rFonts w:ascii="IRNazanin" w:hAnsi="IRNazanin" w:eastAsia="IRNazanin" w:cs="IRNazanin"/>
          <w:lang w:bidi="fa-IR"/>
          <w:color w:val="111111"/>
          <w:sz w:val="28"/>
          <w:szCs w:val="28"/>
          <w:rtl/>
        </w:rPr>
        <w:t xml:space="preserve">فابتلاؤنا بکثیر من هذه الاشتباهات ولید التقصیر فی دراسة الحدیث، و عدم معرفتنا بأحوال الرواة، و طبقاتهم و مشایخهم و تلامیذهم، و فقدان النسخ الصّحیحة.</w:t>
      </w:r>
    </w:p>
    <w:p>
      <w:pPr>
        <w:pStyle w:val="Heading6"/>
      </w:pPr>
      <w:bookmarkStart w:id="1361" w:name="_Toc801"/>
      <w:r>
        <w:t>محاولة للاجابة عن النقوض</w:t>
      </w:r>
      <w:bookmarkEnd w:id="1361"/>
    </w:p>
    <w:p>
      <w:pPr>
        <w:pStyle w:val="BookText"/>
      </w:pPr>
      <w:r>
        <w:rPr>
          <w:rFonts w:ascii="IRNazanin" w:hAnsi="IRNazanin" w:eastAsia="IRNazanin" w:cs="IRNazanin"/>
          <w:lang w:bidi="fa-IR"/>
          <w:color w:val="111111"/>
          <w:sz w:val="28"/>
          <w:szCs w:val="28"/>
          <w:rtl/>
        </w:rPr>
        <w:t xml:space="preserve">إنّ هنا محاولة للاجابة عن هذه النقوض لا بأس بطرحها، و هی:</w:t>
      </w:r>
    </w:p>
    <w:p>
      <w:pPr>
        <w:pStyle w:val="BookText"/>
      </w:pPr>
      <w:r>
        <w:rPr>
          <w:rFonts w:ascii="IRNazanin" w:hAnsi="IRNazanin" w:eastAsia="IRNazanin" w:cs="IRNazanin"/>
          <w:lang w:bidi="fa-IR"/>
          <w:color w:val="111111"/>
          <w:sz w:val="28"/>
          <w:szCs w:val="28"/>
          <w:rtl/>
        </w:rPr>
        <w:t xml:space="preserve">أنّ شهادة الشیخ فی المقام لا تقصر عن شهادة ابن قولویه و علیّ بن</w:t>
      </w:r>
    </w:p>
    <w:p>
      <w:pPr>
        <w:pStyle w:val="BookText"/>
      </w:pPr>
      <w:r>
        <w:rPr>
          <w:rFonts w:ascii="IRNazanin" w:hAnsi="IRNazanin" w:eastAsia="IRNazanin" w:cs="IRNazanin"/>
          <w:lang w:bidi="fa-IR"/>
          <w:color w:val="111111"/>
          <w:sz w:val="28"/>
          <w:szCs w:val="28"/>
          <w:rtl/>
        </w:rPr>
        <w:t xml:space="preserve">[شماره صفحه واقعی : 265]</w:t>
      </w:r>
    </w:p>
    <w:p>
      <w:pPr>
        <w:pStyle w:val="BookText"/>
      </w:pPr>
      <w:r>
        <w:rPr>
          <w:rFonts w:ascii="IRNazanin" w:hAnsi="IRNazanin" w:eastAsia="IRNazanin" w:cs="IRNazanin"/>
          <w:lang w:bidi="fa-IR"/>
          <w:color w:val="111111"/>
          <w:sz w:val="28"/>
          <w:szCs w:val="28"/>
          <w:rtl/>
        </w:rPr>
        <w:t xml:space="preserve">ص: 983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فی أوّل کتابیهما بأنّهما لا یرویان فیهما إلاّ عن ثقة. فکما أنّه یجب الأخذ بشهادتهما مطلقا، إلاّ إذا عارضها تنصیص آخر، و عند التعارض إمّا أن یتوقّف، أو یؤخذ بالثّانی لو ثبت رجحانه، فهکذا المقام یؤخذ بهذه الشّهادة إلاّ إذا ثبت خلافها، أو تعارضت مع نصّ آخر، فکما أنّ ثبوت الخلاف فی مورد شهادة ابن قولویه و علیّ بن إبراهیم، لا یضرّ بالأخذ بقولهما فی غیر مورده فهکذا المقام.</w:t>
      </w:r>
    </w:p>
    <w:p>
      <w:pPr>
        <w:pStyle w:val="BookText"/>
      </w:pPr>
      <w:r>
        <w:rPr>
          <w:rFonts w:ascii="IRNazanin" w:hAnsi="IRNazanin" w:eastAsia="IRNazanin" w:cs="IRNazanin"/>
          <w:lang w:bidi="fa-IR"/>
          <w:color w:val="111111"/>
          <w:sz w:val="28"/>
          <w:szCs w:val="28"/>
          <w:rtl/>
        </w:rPr>
        <w:t xml:space="preserve">وجه ذلک أنّ الشّهادة الإجمالیّة فی هذه المقامات تنحلّ إلی شهادات حسب عدد الرواة، فالتّعارض أو ثبوت الخلاف فی موارد خاصّة یوجب عدم الأخذ بها فی الموارد التی ثبت خلافها دون ما لم یثبت. و قد اورد علی هذه المحاولة بوجهین:</w:t>
      </w:r>
    </w:p>
    <w:p>
      <w:pPr>
        <w:pStyle w:val="BookText"/>
      </w:pPr>
      <w:r>
        <w:rPr>
          <w:rFonts w:ascii="IRNazanin" w:hAnsi="IRNazanin" w:eastAsia="IRNazanin" w:cs="IRNazanin"/>
          <w:lang w:bidi="fa-IR"/>
          <w:color w:val="111111"/>
          <w:sz w:val="28"/>
          <w:szCs w:val="28"/>
          <w:rtl/>
        </w:rPr>
        <w:t xml:space="preserve">الوجه الأوّل: أنّ هذا الجواب إنّما یتمّ لو کانت الشهادة منتهیة إلی نفس هؤلاء الثّلاثة، بأن کانوا مصرّحین بأنّهم لا یروون و لا یرسلون إلاّ عن ثقة.</w:t>
      </w:r>
    </w:p>
    <w:p>
      <w:pPr>
        <w:pStyle w:val="BookText"/>
      </w:pPr>
      <w:r>
        <w:rPr>
          <w:rFonts w:ascii="IRNazanin" w:hAnsi="IRNazanin" w:eastAsia="IRNazanin" w:cs="IRNazanin"/>
          <w:lang w:bidi="fa-IR"/>
          <w:color w:val="111111"/>
          <w:sz w:val="28"/>
          <w:szCs w:val="28"/>
          <w:rtl/>
        </w:rPr>
        <w:t xml:space="preserve">فعند ذلک تؤخذ بشهادتهم إلاّ فی صورة التّعارض أو ثبوت الخلاف، أمّا إذا کانت الشّهادة مستندة إلی نفس الشّیخ، بأن یشهد هو - قدّس سره - بأنّ هؤلاء المشایخ لا یروون و لا یرسلون إلاّ عن ثقة، فعندئذ یکون الوقوف علی مشایخ لهم مضعّفین بنفس الشیخ، موجبا لسقوط هذه الشهادة عن الاعتبار فلا یبقی لها وثوق.</w:t>
      </w:r>
    </w:p>
    <w:p>
      <w:pPr>
        <w:pStyle w:val="BookText"/>
      </w:pPr>
      <w:r>
        <w:rPr>
          <w:rFonts w:ascii="IRNazanin" w:hAnsi="IRNazanin" w:eastAsia="IRNazanin" w:cs="IRNazanin"/>
          <w:lang w:bidi="fa-IR"/>
          <w:color w:val="111111"/>
          <w:sz w:val="28"/>
          <w:szCs w:val="28"/>
          <w:rtl/>
        </w:rPr>
        <w:t xml:space="preserve">و الفرق بین کون الشّهادة منتهیة إلی نفس الأقطاب الثّلاثة، و کونها منتهیة إلی نفس الشّیخ واضح، إذ لو کانت الشهادة منتهیة إلی نفس المشایخ، یکون معناه أنّهم شهدوا علی أنّهم ما کانوا یروون و لا یرسلون إلاّ عن ثقة عندهم.</w:t>
      </w:r>
    </w:p>
    <w:p>
      <w:pPr>
        <w:pStyle w:val="BookText"/>
      </w:pPr>
      <w:r>
        <w:rPr>
          <w:rFonts w:ascii="IRNazanin" w:hAnsi="IRNazanin" w:eastAsia="IRNazanin" w:cs="IRNazanin"/>
          <w:lang w:bidi="fa-IR"/>
          <w:color w:val="111111"/>
          <w:sz w:val="28"/>
          <w:szCs w:val="28"/>
          <w:rtl/>
        </w:rPr>
        <w:t xml:space="preserve">فإذا تبیّن الخلاف، أو تعارض مع تنصیص آخر، یحمل علی أنّه صدر اشتباها من هؤلاء فی هذه الموارد المتبیّنة، فحسبوا غیر الثقة ثقة فرووا عنه. و هذا لا یضرّ بالأخذ بها فی غیر تلک الموارد و کم له من نظائر فی عالم الشهادت.</w:t>
      </w:r>
    </w:p>
    <w:p>
      <w:pPr>
        <w:pStyle w:val="BookText"/>
      </w:pPr>
      <w:r>
        <w:rPr>
          <w:rFonts w:ascii="IRNazanin" w:hAnsi="IRNazanin" w:eastAsia="IRNazanin" w:cs="IRNazanin"/>
          <w:lang w:bidi="fa-IR"/>
          <w:color w:val="111111"/>
          <w:sz w:val="28"/>
          <w:szCs w:val="28"/>
          <w:rtl/>
        </w:rPr>
        <w:t xml:space="preserve">[شماره صفحه واقعی : 266]</w:t>
      </w:r>
    </w:p>
    <w:p>
      <w:pPr>
        <w:pStyle w:val="BookText"/>
      </w:pPr>
      <w:r>
        <w:rPr>
          <w:rFonts w:ascii="IRNazanin" w:hAnsi="IRNazanin" w:eastAsia="IRNazanin" w:cs="IRNazanin"/>
          <w:lang w:bidi="fa-IR"/>
          <w:color w:val="111111"/>
          <w:sz w:val="28"/>
          <w:szCs w:val="28"/>
          <w:rtl/>
        </w:rPr>
        <w:t xml:space="preserve">ص: 984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إذا کانت الشهادة منتهیة إلی نفس الشّیخ، و کانت شهادته علی أنّهم لا یروون و لا یرسلون إلاّ عن ثقة، مبنیّة علی استقرائه فی مشایخهم، فلا تعتدّ بها إذا تبیّن الخلاف، و اعلم أنّهم یروون عن غیر الثقة أیضا، إذ عندئذ یتبیّن أنّ استقراء الشیخ کان استقراء ناقصا غیر مفید لامکان انتزاع الضابطة الکلیّة، فلا یصحّ الأخذ بها لبطلان أساسها.</w:t>
      </w:r>
    </w:p>
    <w:p>
      <w:pPr>
        <w:pStyle w:val="BookText"/>
      </w:pPr>
      <w:r>
        <w:rPr>
          <w:rFonts w:ascii="IRNazanin" w:hAnsi="IRNazanin" w:eastAsia="IRNazanin" w:cs="IRNazanin"/>
          <w:lang w:bidi="fa-IR"/>
          <w:color w:val="111111"/>
          <w:sz w:val="28"/>
          <w:szCs w:val="28"/>
          <w:rtl/>
        </w:rPr>
        <w:t xml:space="preserve">هذا ما یرومه معجم رجال الحدیث. و إن کانت العبارة غیر وافیة بهذا التّقریر، و لکنّ الإجابة عن هذا الاشکال ممکنة بعد الدقّة فی عبارة «العدّة».</w:t>
      </w:r>
    </w:p>
    <w:p>
      <w:pPr>
        <w:pStyle w:val="BookText"/>
      </w:pPr>
      <w:r>
        <w:rPr>
          <w:rFonts w:ascii="IRNazanin" w:hAnsi="IRNazanin" w:eastAsia="IRNazanin" w:cs="IRNazanin"/>
          <w:lang w:bidi="fa-IR"/>
          <w:color w:val="111111"/>
          <w:sz w:val="28"/>
          <w:szCs w:val="28"/>
          <w:rtl/>
        </w:rPr>
        <w:t xml:space="preserve">لأنّ الظاهر من عبارة الشیخ هو استکشاف الطائفة التزامهم بأنّهم ما کانوا یروون و لا یرسلون إلاّ عن ثقة، علی وجه کانت القضیّة مشهورة فی الأوساط العلمیّة قبل زمن الشیخ إلی أن انتهت إلیه، فعند ذاک یکون الشیخ حاکیا لهذا الاستکشاف، لا أنّه هو الذی کشف ذلک، و ادّعی الإجماع علیه. ألا تری أنّه یقول: «سوّت الطائفة بین ما یرویه هؤلاء و غیرهم من الثقات الّذین عرفوا بأنّهم لا یروون و لا یرسلون إلاّ عمّن یوثق به»</w:t>
      </w:r>
    </w:p>
    <w:p>
      <w:pPr>
        <w:pStyle w:val="BookText"/>
      </w:pPr>
      <w:r>
        <w:rPr>
          <w:rFonts w:ascii="IRNazanin" w:hAnsi="IRNazanin" w:eastAsia="IRNazanin" w:cs="IRNazanin"/>
          <w:lang w:bidi="fa-IR"/>
          <w:color w:val="111111"/>
          <w:sz w:val="28"/>
          <w:szCs w:val="28"/>
          <w:rtl/>
        </w:rPr>
        <w:t xml:space="preserve">فالطّائفة الّتی سوّت بین ما یرویه هؤلاء هی الّتی کشفت هذا الالتزام عنها و عرفها الشیخ، و بذلک یسقط الاشکال عن الصلاحیّة، لأنّه کان مبنیّا علی أنّ الشیخ هو الّذی کشف الضابطة عن طریق الاستقراء، و بالعثور علی مشایخ ضعّفهم الشیخ نفسه فی کتبه، یکون ذلک دلیلا علی نقصان الاستقراء.</w:t>
      </w:r>
    </w:p>
    <w:p>
      <w:pPr>
        <w:pStyle w:val="BookText"/>
      </w:pPr>
      <w:r>
        <w:rPr>
          <w:rFonts w:ascii="IRNazanin" w:hAnsi="IRNazanin" w:eastAsia="IRNazanin" w:cs="IRNazanin"/>
          <w:lang w:bidi="fa-IR"/>
          <w:color w:val="111111"/>
          <w:sz w:val="28"/>
          <w:szCs w:val="28"/>
          <w:rtl/>
        </w:rPr>
        <w:t xml:space="preserve">و لکنّک عرفت أنّ احتمال کون الشیخ هو المستکشف، فضلا عن کون استکشافه مبنیّا علی الاستقراء، أمر لا توافقه عبارة «العدّة». و علی ذلک یؤخذ بهذه الشهادة، و یحکم بوثاقة مشایخهم عامّة، و إن لم یذکروا فی الکتب الرجالیة بشیء من الوثاقة و المدح.</w:t>
      </w:r>
    </w:p>
    <w:p>
      <w:pPr>
        <w:pStyle w:val="BookText"/>
      </w:pPr>
      <w:r>
        <w:rPr>
          <w:rFonts w:ascii="IRNazanin" w:hAnsi="IRNazanin" w:eastAsia="IRNazanin" w:cs="IRNazanin"/>
          <w:lang w:bidi="fa-IR"/>
          <w:color w:val="111111"/>
          <w:sz w:val="28"/>
          <w:szCs w:val="28"/>
          <w:rtl/>
        </w:rPr>
        <w:t xml:space="preserve">الوجه الثانی: ربّما یقال إنّ هذه المحاولة إنّما تنتج فی المسانید، فیحکم بوثاقة کلّ من جاء فیها إلاّ من ثبت ضعفه. و أمّا المراسیل فلا تجری</w:t>
      </w:r>
    </w:p>
    <w:p>
      <w:pPr>
        <w:pStyle w:val="BookText"/>
      </w:pPr>
      <w:r>
        <w:rPr>
          <w:rFonts w:ascii="IRNazanin" w:hAnsi="IRNazanin" w:eastAsia="IRNazanin" w:cs="IRNazanin"/>
          <w:lang w:bidi="fa-IR"/>
          <w:color w:val="111111"/>
          <w:sz w:val="28"/>
          <w:szCs w:val="28"/>
          <w:rtl/>
        </w:rPr>
        <w:t xml:space="preserve">[شماره صفحه واقعی : 267]</w:t>
      </w:r>
    </w:p>
    <w:p>
      <w:pPr>
        <w:pStyle w:val="BookText"/>
      </w:pPr>
      <w:r>
        <w:rPr>
          <w:rFonts w:ascii="IRNazanin" w:hAnsi="IRNazanin" w:eastAsia="IRNazanin" w:cs="IRNazanin"/>
          <w:lang w:bidi="fa-IR"/>
          <w:color w:val="111111"/>
          <w:sz w:val="28"/>
          <w:szCs w:val="28"/>
          <w:rtl/>
        </w:rPr>
        <w:t xml:space="preserve">ص: 985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إذ من المحتمل أن تکون الواسطة هی من ثبت ضعفه فعندئذ لا یمکن الأخذ بها، لأنّه یکون من قبیل التمسّک بالعام فی الشبهة المصداقیّة</w:t>
      </w:r>
      <w:r>
        <w:rPr>
          <w:rStyle w:val="FootnoteReference"/>
        </w:rPr>
        <w:footnoteReference w:id="3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عنه السید الشهید الصدر - رضوان اللّه علیه - علی أساس حساب الاحتمالات، و حاصله: أنّ الوسیط المجهول إذا افترضنا أنّه مردّد بین جمیع مشایخ ابن أبی عمیر، و کان مجموع من روی عنه أربعمائة شخص، و کان ثابت الضّعف منهم بشهادة اخری، لا یزیدون علی خمسة أو حوالی ذلک، فعندئذ یکون احتمال کون الوسیط المحذوف أحد الخمسة المضعّفة 1/80، و إذا افترضنا أنّ ثابت الضّعف من الأربعمائة هم عشرة، یکون احتمال کون الوسیط المحذوف منهم 1/40 و مثل هذا الاحتمال لا یضرّ بالاطمئنان الشخصی، و لیس العقلاء ملتزمین علی العمل و الاتبّاع، إذا صاروا مطمئنّین مائة بالمائة.</w:t>
      </w:r>
    </w:p>
    <w:p>
      <w:pPr>
        <w:pStyle w:val="BookText"/>
      </w:pPr>
      <w:r>
        <w:rPr>
          <w:rFonts w:ascii="IRNazanin" w:hAnsi="IRNazanin" w:eastAsia="IRNazanin" w:cs="IRNazanin"/>
          <w:lang w:bidi="fa-IR"/>
          <w:color w:val="111111"/>
          <w:sz w:val="28"/>
          <w:szCs w:val="28"/>
          <w:rtl/>
        </w:rPr>
        <w:t xml:space="preserve">ثمّ إنّه - قدّس سره - أورد علی ما أجاب به إشکالا هذا حاصله: إنّ هذا الجواب إنّما یتمّ إذا کانت الاحتمالات الأربعمائة فی الوسیط المجهول، متساویة فی قیمتها الاحتمالیّة، إذ حینئذ یصحّ أن یقال احتمال کونه أحد الخمسة المضعّفین قیمة 1/80، و إذا فرضنا أنّ ثابت الضعف عشرة فی أربعمائة، کان احتمال کون الوسیط أحدهم 1/40، و أمّا إذا لم تکن الاحتمالات متساویة، و کانت هناک أمارة احتمالیة تزید من قیمة احتمال أن یکون الوسیط المجهول أحد الخمسة، فسوف یختلّ الحساب المذکور، و یمکن أن ندّعی وجود عامل احتمالی، یزید من قیمة هذا الاحتمال، و هو نفس کون ابن أبی عمیر یروی الروایة عن رجل أو بعض أصحابه، و نحو ذلک من التعبیرات الّتی تعرب عن کون الراوی بدرجة من عدم الاعتناء، و عدم الوثوق بالروایة، یناسب أن یکون المرویّ عنه أحد اولئک الخمسة، و إلاّ لما</w:t>
      </w:r>
    </w:p>
    <w:p>
      <w:pPr>
        <w:pStyle w:val="BookText"/>
      </w:pPr>
      <w:r>
        <w:rPr>
          <w:rFonts w:ascii="IRNazanin" w:hAnsi="IRNazanin" w:eastAsia="IRNazanin" w:cs="IRNazanin"/>
          <w:lang w:bidi="fa-IR"/>
          <w:color w:val="111111"/>
          <w:sz w:val="28"/>
          <w:szCs w:val="28"/>
          <w:rtl/>
        </w:rPr>
        <w:t xml:space="preserve">[شماره صفحه واقعی : 268]</w:t>
      </w:r>
    </w:p>
    <w:p>
      <w:pPr>
        <w:pStyle w:val="BookText"/>
      </w:pPr>
      <w:r>
        <w:rPr>
          <w:rFonts w:ascii="IRNazanin" w:hAnsi="IRNazanin" w:eastAsia="IRNazanin" w:cs="IRNazanin"/>
          <w:lang w:bidi="fa-IR"/>
          <w:color w:val="111111"/>
          <w:sz w:val="28"/>
          <w:szCs w:val="28"/>
          <w:rtl/>
        </w:rPr>
        <w:t xml:space="preserve">ص: 986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وجه لترک اسمه و التکنیة عنه برجل و نحوه و عندئذ یختلّ الحساب المذکور، و یکون المظنون کون المرویّ هو أحد الخمسة، لا أحد الباقین، فتنقلب المحاسبة المذکورة</w:t>
      </w:r>
      <w:r>
        <w:rPr>
          <w:rStyle w:val="FootnoteReference"/>
        </w:rPr>
        <w:footnoteReference w:id="3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الجواب المذکور غیر واف لدفع الاشکال، و علی فرض صحّته فالذی اورد علیه غیر تامّ.</w:t>
      </w:r>
    </w:p>
    <w:p>
      <w:pPr>
        <w:pStyle w:val="BookText"/>
      </w:pPr>
      <w:r>
        <w:rPr>
          <w:rFonts w:ascii="IRNazanin" w:hAnsi="IRNazanin" w:eastAsia="IRNazanin" w:cs="IRNazanin"/>
          <w:lang w:bidi="fa-IR"/>
          <w:color w:val="111111"/>
          <w:sz w:val="28"/>
          <w:szCs w:val="28"/>
          <w:rtl/>
        </w:rPr>
        <w:t xml:space="preserve">أمّا الأوّل، فلأنّ العقلاء فی الامور المهمّة، یحتاطون بأکثر من ذلک، فلا یأخذون بخبر یحتمل کذبه بنسبة 1/80 فلو علم العقلاء أنّ قنبلة تصیب بنایة من ثمانین بنایة، لا یقدمون علی السکنی فی أحدها، کما أنّه لو وقفوا علی أنّ السیل سیجرف إحدی السیّارات الّتی تبلغ العدد المذکور لا یجرؤون علی رکوب أیّ منها، و هکذا غیر ذلک من الامور الخطیرة.</w:t>
      </w:r>
    </w:p>
    <w:p>
      <w:pPr>
        <w:pStyle w:val="BookText"/>
      </w:pPr>
      <w:r>
        <w:rPr>
          <w:rFonts w:ascii="IRNazanin" w:hAnsi="IRNazanin" w:eastAsia="IRNazanin" w:cs="IRNazanin"/>
          <w:lang w:bidi="fa-IR"/>
          <w:color w:val="111111"/>
          <w:sz w:val="28"/>
          <w:szCs w:val="28"/>
          <w:rtl/>
        </w:rPr>
        <w:t xml:space="preserve">نعم الامور الحقیرة الّتی لا یهتمّ العقلاء بإضرارها، ربّما یأخذون بخبر یحتمل صدقه حتّی بأقلّ من النسبة المذکورة. و الشریعة الالهیّة من الامور المهمّة، فلا یصحّ التساهل فیها، مثل ما یتساهل فی الامور غیر المهمّة.</w:t>
      </w:r>
    </w:p>
    <w:p>
      <w:pPr>
        <w:pStyle w:val="BookText"/>
      </w:pPr>
      <w:r>
        <w:rPr>
          <w:rFonts w:ascii="IRNazanin" w:hAnsi="IRNazanin" w:eastAsia="IRNazanin" w:cs="IRNazanin"/>
          <w:lang w:bidi="fa-IR"/>
          <w:color w:val="111111"/>
          <w:sz w:val="28"/>
          <w:szCs w:val="28"/>
          <w:rtl/>
        </w:rPr>
        <w:t xml:space="preserve">و لأجل ذلک قلنا إنّ أصل الجواب غیر تامّ. أللّهم إلاّ أن یقال: إنّ تسویغ الشارع العمل بمطلق قول الثقة، یکشف عن أنّه اکتفی فی العمل بالشریعة، بالمراتب النازلة من الاطمئنان، و إلاّ لما سوّغ العمل بقول الثقة علی وجه الاطلاق، و لیس قول کل ثقة مفیدا للدرجة العلیا من الاطمئنان.</w:t>
      </w:r>
    </w:p>
    <w:p>
      <w:pPr>
        <w:pStyle w:val="BookText"/>
      </w:pPr>
      <w:r>
        <w:rPr>
          <w:rFonts w:ascii="IRNazanin" w:hAnsi="IRNazanin" w:eastAsia="IRNazanin" w:cs="IRNazanin"/>
          <w:lang w:bidi="fa-IR"/>
          <w:color w:val="111111"/>
          <w:sz w:val="28"/>
          <w:szCs w:val="28"/>
          <w:rtl/>
        </w:rPr>
        <w:t xml:space="preserve">و أمّا الثانی، و هو أنّ الإشکال غیر وارد علی فرض صحّة الجواب، فلأنّ النجاشی یصرّح بأنّ وجه إرساله الروایات، هو أنّ اخته دفنت کتبه فی حال استتاره، و کونه فی الحبس أربع سنین، فهلکت الکتب و قیل: بل ترکتها فی غرفة فسال علیها المطر فهلکت، فحدّث من حفظه و ممّا کان سلف له فی أیدی</w:t>
      </w:r>
    </w:p>
    <w:p>
      <w:pPr>
        <w:pStyle w:val="BookText"/>
      </w:pPr>
      <w:r>
        <w:rPr>
          <w:rFonts w:ascii="IRNazanin" w:hAnsi="IRNazanin" w:eastAsia="IRNazanin" w:cs="IRNazanin"/>
          <w:lang w:bidi="fa-IR"/>
          <w:color w:val="111111"/>
          <w:sz w:val="28"/>
          <w:szCs w:val="28"/>
          <w:rtl/>
        </w:rPr>
        <w:t xml:space="preserve">[شماره صفحه واقعی : 269]</w:t>
      </w:r>
    </w:p>
    <w:p>
      <w:pPr>
        <w:pStyle w:val="BookText"/>
      </w:pPr>
      <w:r>
        <w:rPr>
          <w:rFonts w:ascii="IRNazanin" w:hAnsi="IRNazanin" w:eastAsia="IRNazanin" w:cs="IRNazanin"/>
          <w:lang w:bidi="fa-IR"/>
          <w:color w:val="111111"/>
          <w:sz w:val="28"/>
          <w:szCs w:val="28"/>
          <w:rtl/>
        </w:rPr>
        <w:t xml:space="preserve">ص: 987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فلهذا أصحابنا یسکنون إلی مراسیله</w:t>
      </w:r>
      <w:r>
        <w:rPr>
          <w:rStyle w:val="FootnoteReference"/>
        </w:rPr>
        <w:footnoteReference w:id="3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فقوله «عن رجل» و ما شاکله، لأجل أنّه نسی المرویّ عنه، و إلاّ لصرّح باسمه، لا کأنّه بلغ من الضعف إلی درجة یأنف عن التصریح باسمه، حتّی یستقرب بأنّه من أحد الخمسة الضعاف.</w:t>
      </w:r>
    </w:p>
    <w:p>
      <w:pPr>
        <w:pStyle w:val="BookText"/>
      </w:pPr>
      <w:r>
        <w:rPr>
          <w:rFonts w:ascii="IRNazanin" w:hAnsi="IRNazanin" w:eastAsia="IRNazanin" w:cs="IRNazanin"/>
          <w:lang w:bidi="fa-IR"/>
          <w:color w:val="111111"/>
          <w:sz w:val="28"/>
          <w:szCs w:val="28"/>
          <w:rtl/>
        </w:rPr>
        <w:t xml:space="preserve">نعم ها هنا محاولة لحجیّة مراسیله لو صحّت لاطمأنّ الانسان بأنّ الواسطة المحذوفة کانت من الثقات لا من الخمسة الضعاف.</w:t>
      </w:r>
    </w:p>
    <w:p>
      <w:pPr>
        <w:pStyle w:val="BookText"/>
      </w:pPr>
      <w:r>
        <w:rPr>
          <w:rFonts w:ascii="IRNazanin" w:hAnsi="IRNazanin" w:eastAsia="IRNazanin" w:cs="IRNazanin"/>
          <w:lang w:bidi="fa-IR"/>
          <w:color w:val="111111"/>
          <w:sz w:val="28"/>
          <w:szCs w:val="28"/>
          <w:rtl/>
        </w:rPr>
        <w:t xml:space="preserve">و حاصلها أنّ التتبّع یقضی بأنّ عدد روایاته عن الضّعاف قلیل جدّا بالنسبة إلی عدد روایاته عن الثقات، مثلا إنّه یروی عن أبی أیّوب فی ثمانیة و خمسین موردا، کما یروی عن ابن اذینة فی مائة و اثنین و خمسین موردا، و یروی عن حمّاد فی تسعمائة و خمسة و ستّین موردا، و یروی عن عبد الرحمن بن الحجّاج فی مائة و خمسة و ثلاثین موردا، کما یروی عن معاویة بن عمّار فی أربعمائة و ثمانیة و أربعین موردا، إلی غیر ذلک من المشایخ الّتی یقف علیها المتتبّع بالسبر فی روایاته.</w:t>
      </w:r>
    </w:p>
    <w:p>
      <w:pPr>
        <w:pStyle w:val="BookText"/>
      </w:pPr>
      <w:r>
        <w:rPr>
          <w:rFonts w:ascii="IRNazanin" w:hAnsi="IRNazanin" w:eastAsia="IRNazanin" w:cs="IRNazanin"/>
          <w:lang w:bidi="fa-IR"/>
          <w:color w:val="111111"/>
          <w:sz w:val="28"/>
          <w:szCs w:val="28"/>
          <w:rtl/>
        </w:rPr>
        <w:t xml:space="preserve">و فی الوقت نفسه لا یروی عن بعض الضعاف إلاّ روایة أو روایتین أو ثلاثة، و قد عرفت عدد روایاته فی الکتب الأربعة عن هذه الضّعاف.</w:t>
      </w:r>
    </w:p>
    <w:p>
      <w:pPr>
        <w:pStyle w:val="BookText"/>
      </w:pPr>
      <w:r>
        <w:rPr>
          <w:rFonts w:ascii="IRNazanin" w:hAnsi="IRNazanin" w:eastAsia="IRNazanin" w:cs="IRNazanin"/>
          <w:lang w:bidi="fa-IR"/>
          <w:color w:val="111111"/>
          <w:sz w:val="28"/>
          <w:szCs w:val="28"/>
          <w:rtl/>
        </w:rPr>
        <w:t xml:space="preserve">فإذا کانت روایاته من الثّقات أکثر بکثیر من روایاته عن الضّعاف، یطمئنّ الإنسان بأنّ الواسطة المحذوفة فی المراسیل هی من الثقات، لا من الضعاف.</w:t>
      </w:r>
    </w:p>
    <w:p>
      <w:pPr>
        <w:pStyle w:val="BookText"/>
      </w:pPr>
      <w:r>
        <w:rPr>
          <w:rFonts w:ascii="IRNazanin" w:hAnsi="IRNazanin" w:eastAsia="IRNazanin" w:cs="IRNazanin"/>
          <w:lang w:bidi="fa-IR"/>
          <w:color w:val="111111"/>
          <w:sz w:val="28"/>
          <w:szCs w:val="28"/>
          <w:rtl/>
        </w:rPr>
        <w:t xml:space="preserve">و لعلّ هذا القدر من الاطمئنان کاف فی رفع الاشکال.</w:t>
      </w:r>
    </w:p>
    <w:p>
      <w:pPr>
        <w:pStyle w:val="BookText"/>
      </w:pPr>
      <w:r>
        <w:rPr>
          <w:rFonts w:ascii="IRNazanin" w:hAnsi="IRNazanin" w:eastAsia="IRNazanin" w:cs="IRNazanin"/>
          <w:lang w:bidi="fa-IR"/>
          <w:color w:val="111111"/>
          <w:sz w:val="28"/>
          <w:szCs w:val="28"/>
          <w:rtl/>
        </w:rPr>
        <w:t xml:space="preserve">نعم لمّا کانت مراسیله کثیرة مبسوطة فی أبواب الفقه، فلا جرم إنّ الانسان یذعن بأنّ بعض الوسائط المحذوفة فیها من الضعفاء.</w:t>
      </w:r>
    </w:p>
    <w:p>
      <w:pPr>
        <w:pStyle w:val="BookText"/>
      </w:pPr>
      <w:r>
        <w:rPr>
          <w:rFonts w:ascii="IRNazanin" w:hAnsi="IRNazanin" w:eastAsia="IRNazanin" w:cs="IRNazanin"/>
          <w:lang w:bidi="fa-IR"/>
          <w:color w:val="111111"/>
          <w:sz w:val="28"/>
          <w:szCs w:val="28"/>
          <w:rtl/>
        </w:rPr>
        <w:t xml:space="preserve">[شماره صفحه واقعی : 270]</w:t>
      </w:r>
    </w:p>
    <w:p>
      <w:pPr>
        <w:pStyle w:val="BookText"/>
      </w:pPr>
      <w:r>
        <w:rPr>
          <w:rFonts w:ascii="IRNazanin" w:hAnsi="IRNazanin" w:eastAsia="IRNazanin" w:cs="IRNazanin"/>
          <w:lang w:bidi="fa-IR"/>
          <w:color w:val="111111"/>
          <w:sz w:val="28"/>
          <w:szCs w:val="28"/>
          <w:rtl/>
        </w:rPr>
        <w:t xml:space="preserve">ص: 988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مثل هذا العلم الإجمالی أشبه بالشبه غیر المحصورة، لا یترتب علیها أثر، کالعلم بأنّ بعض الاخبار الصحیحة غیر مطابق للواقع، و لا صادر عن المعصوم.</w:t>
      </w:r>
    </w:p>
    <w:p>
      <w:pPr>
        <w:pStyle w:val="BookText"/>
      </w:pPr>
      <w:r>
        <w:rPr>
          <w:rFonts w:ascii="IRNazanin" w:hAnsi="IRNazanin" w:eastAsia="IRNazanin" w:cs="IRNazanin"/>
          <w:lang w:bidi="fa-IR"/>
          <w:color w:val="111111"/>
          <w:sz w:val="28"/>
          <w:szCs w:val="28"/>
          <w:rtl/>
        </w:rPr>
        <w:t xml:space="preserve">[شماره صفحه واقعی : 271]</w:t>
      </w:r>
    </w:p>
    <w:p>
      <w:pPr>
        <w:pStyle w:val="BookText"/>
      </w:pPr>
      <w:r>
        <w:rPr>
          <w:rFonts w:ascii="IRNazanin" w:hAnsi="IRNazanin" w:eastAsia="IRNazanin" w:cs="IRNazanin"/>
          <w:lang w:bidi="fa-IR"/>
          <w:color w:val="111111"/>
          <w:sz w:val="28"/>
          <w:szCs w:val="28"/>
          <w:rtl/>
        </w:rPr>
        <w:t xml:space="preserve">ص: 989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272]</w:t>
      </w:r>
    </w:p>
    <w:p>
      <w:pPr>
        <w:pStyle w:val="BookText"/>
      </w:pPr>
      <w:r>
        <w:rPr>
          <w:rFonts w:ascii="IRNazanin" w:hAnsi="IRNazanin" w:eastAsia="IRNazanin" w:cs="IRNazanin"/>
          <w:lang w:bidi="fa-IR"/>
          <w:color w:val="111111"/>
          <w:sz w:val="28"/>
          <w:szCs w:val="28"/>
          <w:rtl/>
        </w:rPr>
        <w:t xml:space="preserve">ص: 990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24" w:name="pg14419_167706"/>
    <w:bookmarkEnd w:id="424"/>
    <w:p>
      <w:pPr>
        <w:pStyle w:val="Heading5"/>
      </w:pPr>
      <w:bookmarkStart w:id="1362" w:name="_Toc802"/>
      <w:r>
        <w:t>3 - العصابة المشهورة بأنهم لا یروون الا عن الثقات</w:t>
      </w:r>
      <w:bookmarkEnd w:id="1362"/>
    </w:p>
    <w:p>
      <w:pPr>
        <w:pStyle w:val="Heading6"/>
      </w:pPr>
      <w:bookmarkStart w:id="1363" w:name="_Toc803"/>
      <w:r>
        <w:t>اشارة</w:t>
      </w:r>
      <w:bookmarkEnd w:id="13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عیسی.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 فضال کلهم.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بشیر البجلی.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اسماعیل بن میمون الزعفرانی.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الحسن الطاطری.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علی النجاشی صاحب الفهرس.</w:t>
      </w:r>
    </w:p>
    <w:p>
      <w:pPr>
        <w:pStyle w:val="BookText"/>
      </w:pPr>
      <w:r>
        <w:rPr>
          <w:rFonts w:ascii="IRNazanin" w:hAnsi="IRNazanin" w:eastAsia="IRNazanin" w:cs="IRNazanin"/>
          <w:lang w:bidi="fa-IR"/>
          <w:color w:val="111111"/>
          <w:sz w:val="28"/>
          <w:szCs w:val="28"/>
          <w:rtl/>
        </w:rPr>
        <w:t xml:space="preserve">[شماره صفحه واقعی : 273]</w:t>
      </w:r>
    </w:p>
    <w:p>
      <w:pPr>
        <w:pStyle w:val="BookText"/>
      </w:pPr>
      <w:r>
        <w:rPr>
          <w:rFonts w:ascii="IRNazanin" w:hAnsi="IRNazanin" w:eastAsia="IRNazanin" w:cs="IRNazanin"/>
          <w:lang w:bidi="fa-IR"/>
          <w:color w:val="111111"/>
          <w:sz w:val="28"/>
          <w:szCs w:val="28"/>
          <w:rtl/>
        </w:rPr>
        <w:t xml:space="preserve">ص: 991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274]</w:t>
      </w:r>
    </w:p>
    <w:p>
      <w:pPr>
        <w:pStyle w:val="BookText"/>
      </w:pPr>
      <w:r>
        <w:rPr>
          <w:rFonts w:ascii="IRNazanin" w:hAnsi="IRNazanin" w:eastAsia="IRNazanin" w:cs="IRNazanin"/>
          <w:lang w:bidi="fa-IR"/>
          <w:color w:val="111111"/>
          <w:sz w:val="28"/>
          <w:szCs w:val="28"/>
          <w:rtl/>
        </w:rPr>
        <w:t xml:space="preserve">ص: 992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425" w:name="pg14419_167708"/>
    <w:bookmarkEnd w:id="425"/>
    <w:p>
      <w:pPr>
        <w:pStyle w:val="BookText"/>
      </w:pPr>
      <w:r>
        <w:rPr>
          <w:rFonts w:ascii="IRNazanin" w:hAnsi="IRNazanin" w:eastAsia="IRNazanin" w:cs="IRNazanin"/>
          <w:lang w:bidi="fa-IR"/>
          <w:color w:val="111111"/>
          <w:sz w:val="28"/>
          <w:szCs w:val="28"/>
          <w:rtl/>
        </w:rPr>
        <w:t xml:space="preserve">قد عرفت حقیقة الحال فی ابن أبی عمیر و صفوان بن یحیی و أحمد بن محمّد بن أبی نصر البزنطی. هلمّ معی ندرس حال الباقین ممّن قیل فی حقّهم إنّهم لا یروون إلاّ عن ثقة، و هم عبارة عن عدّة من أجلاّء الأصحاب منهم:</w:t>
      </w:r>
    </w:p>
    <w:p>
      <w:pPr>
        <w:pStyle w:val="Heading6"/>
      </w:pPr>
      <w:bookmarkStart w:id="1364" w:name="_Toc804"/>
      <w:r>
        <w:t>ألف - احمد بن محمد بن عیسی القمی</w:t>
      </w:r>
      <w:bookmarkEnd w:id="1364"/>
    </w:p>
    <w:p>
      <w:pPr>
        <w:pStyle w:val="BookText"/>
      </w:pPr>
      <w:r>
        <w:rPr>
          <w:rFonts w:ascii="IRNazanin" w:hAnsi="IRNazanin" w:eastAsia="IRNazanin" w:cs="IRNazanin"/>
          <w:lang w:bidi="fa-IR"/>
          <w:color w:val="111111"/>
          <w:sz w:val="28"/>
          <w:szCs w:val="28"/>
          <w:rtl/>
        </w:rPr>
        <w:t xml:space="preserve">لا شکّ أنّ أحمد بن محمّد بن عیسی ثقة جلیل وثّقه النّجاشی و الشّیخ، و نقل العلاّمة فی خلاصته</w:t>
      </w:r>
      <w:r>
        <w:rPr>
          <w:rStyle w:val="FootnoteReference"/>
        </w:rPr>
        <w:footnoteReference w:id="3977"/>
      </w:r>
      <w:r>
        <w:rPr>
          <w:rFonts w:ascii="IRNazanin" w:hAnsi="IRNazanin" w:eastAsia="IRNazanin" w:cs="IRNazanin"/>
          <w:lang w:bidi="fa-IR"/>
          <w:color w:val="111111"/>
          <w:sz w:val="28"/>
          <w:szCs w:val="28"/>
          <w:rtl/>
        </w:rPr>
        <w:t xml:space="preserve">أنّه أخرج أحمد بن محمّد بن خالد البرقی القمّی من قم لأنّه کان یروی عن الضّعاف، لکنّه أعاده إلیها، معتذرا إلیه، و لمّا توفّی مشی أحمد بن محمّد بن عیسی فی جنازته حافیا حاسرا لیبرء نفسه ممّا قذفه به و هذا یدلّ علی أنّ أحمد بن محمّد بن عیسی ما کان یروی عن الّعاف و إلاّ لما أخرج سمیّه و معاصره من قم، فیعدّ هذا دلیلا علی أنّه لا یروی إلاّ عن ثقة.</w:t>
      </w:r>
    </w:p>
    <w:p>
      <w:pPr>
        <w:pStyle w:val="BookText"/>
      </w:pPr>
      <w:r>
        <w:rPr>
          <w:rFonts w:ascii="IRNazanin" w:hAnsi="IRNazanin" w:eastAsia="IRNazanin" w:cs="IRNazanin"/>
          <w:lang w:bidi="fa-IR"/>
          <w:color w:val="111111"/>
          <w:sz w:val="28"/>
          <w:szCs w:val="28"/>
          <w:rtl/>
        </w:rPr>
        <w:t xml:space="preserve">و الظّاهر بطلان هذا الاستنتاج، لأنّه لم یخرج البرقیّ من قم لأجل روایته عن ضعیف أو ضعیفین أو ضعاف معدودة، بل لأجل أنّه کان یکثر الروایة عن</w:t>
      </w:r>
    </w:p>
    <w:p>
      <w:pPr>
        <w:pStyle w:val="BookText"/>
      </w:pPr>
      <w:r>
        <w:rPr>
          <w:rFonts w:ascii="IRNazanin" w:hAnsi="IRNazanin" w:eastAsia="IRNazanin" w:cs="IRNazanin"/>
          <w:lang w:bidi="fa-IR"/>
          <w:color w:val="111111"/>
          <w:sz w:val="28"/>
          <w:szCs w:val="28"/>
          <w:rtl/>
        </w:rPr>
        <w:t xml:space="preserve">[شماره صفحه واقعی : 275]</w:t>
      </w:r>
    </w:p>
    <w:p>
      <w:pPr>
        <w:pStyle w:val="BookText"/>
      </w:pPr>
      <w:r>
        <w:rPr>
          <w:rFonts w:ascii="IRNazanin" w:hAnsi="IRNazanin" w:eastAsia="IRNazanin" w:cs="IRNazanin"/>
          <w:lang w:bidi="fa-IR"/>
          <w:color w:val="111111"/>
          <w:sz w:val="28"/>
          <w:szCs w:val="28"/>
          <w:rtl/>
        </w:rPr>
        <w:t xml:space="preserve">ص: 993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الضعاف و یعتمد علیهم. قال الشیخ فی ترجمته: «و کان ثقة فی نفسه غیر أنّه أکثر الروایة عن الضعفاء و اعتمد المراسیل»</w:t>
      </w:r>
      <w:r>
        <w:rPr>
          <w:rStyle w:val="FootnoteReference"/>
        </w:rPr>
        <w:footnoteReference w:id="3978"/>
      </w:r>
      <w:r>
        <w:rPr>
          <w:rFonts w:ascii="IRNazanin" w:hAnsi="IRNazanin" w:eastAsia="IRNazanin" w:cs="IRNazanin"/>
          <w:lang w:bidi="fa-IR"/>
          <w:color w:val="111111"/>
          <w:sz w:val="28"/>
          <w:szCs w:val="28"/>
          <w:rtl/>
        </w:rPr>
        <w:t xml:space="preserve">و قال العلاّمة فی «الخلاصة»:</w:t>
      </w:r>
    </w:p>
    <w:p>
      <w:pPr>
        <w:pStyle w:val="BookText"/>
      </w:pPr>
      <w:r>
        <w:rPr>
          <w:rFonts w:ascii="IRNazanin" w:hAnsi="IRNazanin" w:eastAsia="IRNazanin" w:cs="IRNazanin"/>
          <w:lang w:bidi="fa-IR"/>
          <w:color w:val="111111"/>
          <w:sz w:val="28"/>
          <w:szCs w:val="28"/>
          <w:rtl/>
        </w:rPr>
        <w:t xml:space="preserve">«أصله کوفیّ ثقة غیر أنّه أکثر الروایة عن الضعفاء و اعتمد المراسیل، قال ابن الغضائری: طعن علیه القمیون و لیس الطعن فیه، إنّما الطّعن فیمن یروی عنه فإنّه کان لا یبالی عمّن أخذ علی طریقة أهل الأخبار».</w:t>
      </w:r>
    </w:p>
    <w:p>
      <w:pPr>
        <w:pStyle w:val="BookText"/>
      </w:pPr>
      <w:r>
        <w:rPr>
          <w:rFonts w:ascii="IRNazanin" w:hAnsi="IRNazanin" w:eastAsia="IRNazanin" w:cs="IRNazanin"/>
          <w:lang w:bidi="fa-IR"/>
          <w:color w:val="111111"/>
          <w:sz w:val="28"/>
          <w:szCs w:val="28"/>
          <w:rtl/>
        </w:rPr>
        <w:t xml:space="preserve">و المتحصّل من ذلک أنّ أحمد بن محمّد بن عیسی أخذ علی البرقی إکثار الروایة من الضّعاف، و هو یدلّ علی عدم إکثاره منها لا أنّه لا یروی عن ضعیف قطّ.</w:t>
      </w:r>
    </w:p>
    <w:p>
      <w:pPr>
        <w:pStyle w:val="BookText"/>
      </w:pPr>
      <w:r>
        <w:rPr>
          <w:rFonts w:ascii="IRNazanin" w:hAnsi="IRNazanin" w:eastAsia="IRNazanin" w:cs="IRNazanin"/>
          <w:lang w:bidi="fa-IR"/>
          <w:color w:val="111111"/>
          <w:sz w:val="28"/>
          <w:szCs w:val="28"/>
          <w:rtl/>
        </w:rPr>
        <w:t xml:space="preserve">أضف إلی ذلک أنّ أحمد بن محمّد بن عیسی بنفسه روی عن عدّة من الضعفاء نظراء:</w:t>
      </w:r>
    </w:p>
    <w:p>
      <w:pPr>
        <w:pStyle w:val="BookText"/>
      </w:pPr>
      <w:r>
        <w:rPr>
          <w:rFonts w:ascii="IRNazanin" w:hAnsi="IRNazanin" w:eastAsia="IRNazanin" w:cs="IRNazanin"/>
          <w:lang w:bidi="fa-IR"/>
          <w:color w:val="111111"/>
          <w:sz w:val="28"/>
          <w:szCs w:val="28"/>
          <w:rtl/>
        </w:rPr>
        <w:t xml:space="preserve">1 - محمّد بن سنان: روی الکلینی عن محمّد بن یحیی، عن أحمد بن محمّد بن عیسی، عن محمّد بن سنان، عن إسماعیل بن جابر، عن أبی عبد اللّه - علیه السلام - قال: العلماء أمناء، و الأتقیاء حصون</w:t>
      </w:r>
      <w:r>
        <w:rPr>
          <w:rStyle w:val="FootnoteReference"/>
        </w:rPr>
        <w:footnoteReference w:id="3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سنان هذا ممّن ضعّفه النجاشی و قال: «قال أبو العبّاس أحمد بن محمّد بن سعید: إنّه روی عن الرضا - علیه السلام - قال: و له مسائل عنه معروفة، و هو رجل ضعیف جدّا لا یعوّل علیه و لا یلتفت إلی ما تفرّد به، و قد ذکره أبو عمرو فی رجاله، قال أبو الحسن علیّ بن محمّد بن قتیبة النیشابوری قال: قال أبو محمّد الفضل بن شاذان: لا احلّ لکم أن ترووا أحادیث محمّد بن سنان»</w:t>
      </w:r>
      <w:r>
        <w:rPr>
          <w:rStyle w:val="FootnoteReference"/>
        </w:rPr>
        <w:footnoteReference w:id="3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علیّ بن حدید: روی الکلینیّ عن محمّد بن یحیی، عن أحمد بن</w:t>
      </w:r>
    </w:p>
    <w:p>
      <w:pPr>
        <w:pStyle w:val="BookText"/>
      </w:pPr>
      <w:r>
        <w:rPr>
          <w:rFonts w:ascii="IRNazanin" w:hAnsi="IRNazanin" w:eastAsia="IRNazanin" w:cs="IRNazanin"/>
          <w:lang w:bidi="fa-IR"/>
          <w:color w:val="111111"/>
          <w:sz w:val="28"/>
          <w:szCs w:val="28"/>
          <w:rtl/>
        </w:rPr>
        <w:t xml:space="preserve">[شماره صفحه واقعی : 276]</w:t>
      </w:r>
    </w:p>
    <w:p>
      <w:pPr>
        <w:pStyle w:val="BookText"/>
      </w:pPr>
      <w:r>
        <w:rPr>
          <w:rFonts w:ascii="IRNazanin" w:hAnsi="IRNazanin" w:eastAsia="IRNazanin" w:cs="IRNazanin"/>
          <w:lang w:bidi="fa-IR"/>
          <w:color w:val="111111"/>
          <w:sz w:val="28"/>
          <w:szCs w:val="28"/>
          <w:rtl/>
        </w:rPr>
        <w:t xml:space="preserve">ص: 994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عن علیّ بن حدید، عن مرازم، عن أبی عبد اللّه - علیه السلام - قال: إنّ اللّه تبارک و تعالی أنزل فی القرآن تبیان کل شیء</w:t>
      </w:r>
      <w:r>
        <w:rPr>
          <w:rStyle w:val="FootnoteReference"/>
        </w:rPr>
        <w:footnoteReference w:id="3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مضی أنّ علیّ بن حدید فی الضعاف.</w:t>
      </w:r>
    </w:p>
    <w:p>
      <w:pPr>
        <w:pStyle w:val="BookText"/>
      </w:pPr>
      <w:r>
        <w:rPr>
          <w:rFonts w:ascii="IRNazanin" w:hAnsi="IRNazanin" w:eastAsia="IRNazanin" w:cs="IRNazanin"/>
          <w:lang w:bidi="fa-IR"/>
          <w:color w:val="111111"/>
          <w:sz w:val="28"/>
          <w:szCs w:val="28"/>
          <w:rtl/>
        </w:rPr>
        <w:t xml:space="preserve">3 - إسماعیل بن سهل: روی الکلینی عن محمّد بن یحیی، عن أحمد بن محمّد بن عیسی، عن اسماعیل بن سهل، عن حمّاد، عن ربعیّ، عن أبی عبد اللّه - علیه السلام - قال: قال أمیر المؤمنین - علیه السلام -: إنّ الندم علی الشرّ یدعو إلی ترکه</w:t>
      </w:r>
      <w:r>
        <w:rPr>
          <w:rStyle w:val="FootnoteReference"/>
        </w:rPr>
        <w:footnoteReference w:id="3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إسماعیل بن سهل هذا ضعّفه النّجاشی. قال: «إسماعیل بن سهل الدهقان ضعّفه أصحابنا، له کتاب»</w:t>
      </w:r>
      <w:r>
        <w:rPr>
          <w:rStyle w:val="FootnoteReference"/>
        </w:rPr>
        <w:footnoteReference w:id="3983"/>
      </w:r>
      <w:r>
        <w:rPr>
          <w:rFonts w:ascii="IRNazanin" w:hAnsi="IRNazanin" w:eastAsia="IRNazanin" w:cs="IRNazanin"/>
          <w:lang w:bidi="fa-IR"/>
          <w:color w:val="111111"/>
          <w:sz w:val="28"/>
          <w:szCs w:val="28"/>
          <w:rtl/>
        </w:rPr>
        <w:t xml:space="preserve">و قال العلاّمة فی القسم الثانی من الخلاصة و ابن داود مثله</w:t>
      </w:r>
      <w:r>
        <w:rPr>
          <w:rStyle w:val="FootnoteReference"/>
        </w:rPr>
        <w:footnoteReference w:id="3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بکر بن صالح: روی الکلینی عن محمّد بن یحیی، عن أحمد بن محمّد بن عیسی، عن بکر بن صالح، عن الحسن بن علی، عن عبد اللّه بن إبراهیم، عن علیّ بن أبی علیّ اللهبی، عن أبی عبد اللّه - علیه السلام - قال:</w:t>
      </w:r>
    </w:p>
    <w:p>
      <w:pPr>
        <w:pStyle w:val="BookText"/>
      </w:pPr>
      <w:r>
        <w:rPr>
          <w:rFonts w:ascii="IRNazanin" w:hAnsi="IRNazanin" w:eastAsia="IRNazanin" w:cs="IRNazanin"/>
          <w:lang w:bidi="fa-IR"/>
          <w:color w:val="111111"/>
          <w:sz w:val="28"/>
          <w:szCs w:val="28"/>
          <w:rtl/>
        </w:rPr>
        <w:t xml:space="preserve">إنّ اللّه تبارک و تعالی لیعطی العبد من الثّواب علی حسن الخلق کما یعطی المجاهد فی سبیل اللّه یغدو علیه و یروح</w:t>
      </w:r>
      <w:r>
        <w:rPr>
          <w:rStyle w:val="FootnoteReference"/>
        </w:rPr>
        <w:footnoteReference w:id="3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بکر بن صالح هذا ممّن ضعّفه النّجاشی. قال: «مولی بنی ضبّة روی عن أبی الحسن موسی - علیه السلام -، ضعیف له کتاب نوادر»</w:t>
      </w:r>
      <w:r>
        <w:rPr>
          <w:rStyle w:val="FootnoteReference"/>
        </w:rPr>
        <w:footnoteReference w:id="3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277]</w:t>
      </w:r>
    </w:p>
    <w:p>
      <w:pPr>
        <w:pStyle w:val="BookText"/>
      </w:pPr>
      <w:r>
        <w:rPr>
          <w:rFonts w:ascii="IRNazanin" w:hAnsi="IRNazanin" w:eastAsia="IRNazanin" w:cs="IRNazanin"/>
          <w:lang w:bidi="fa-IR"/>
          <w:color w:val="111111"/>
          <w:sz w:val="28"/>
          <w:szCs w:val="28"/>
          <w:rtl/>
        </w:rPr>
        <w:t xml:space="preserve">ص: 995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426" w:name="pg14419_167711"/>
    <w:bookmarkEnd w:id="426"/>
    <w:p>
      <w:pPr>
        <w:pStyle w:val="BookText"/>
      </w:pPr>
      <w:r>
        <w:rPr>
          <w:rFonts w:ascii="IRNazanin" w:hAnsi="IRNazanin" w:eastAsia="IRNazanin" w:cs="IRNazanin"/>
          <w:lang w:bidi="fa-IR"/>
          <w:color w:val="111111"/>
          <w:sz w:val="28"/>
          <w:szCs w:val="28"/>
          <w:rtl/>
        </w:rPr>
        <w:t xml:space="preserve">و قال العلاّمة فی القسم الثانی من الخلاصة: «بکر بن صالح الرازی مولی بن ضبّة و روی عن أبی الحسن الکاظم - علیه السلام -، ضعیف جدّا کثیر التفرّد بالغرائب»</w:t>
      </w:r>
      <w:r>
        <w:rPr>
          <w:rStyle w:val="FootnoteReference"/>
        </w:rPr>
        <w:footnoteReference w:id="3987"/>
      </w:r>
      <w:r>
        <w:rPr>
          <w:rFonts w:ascii="Times New Roman" w:hAnsi="Times New Roman" w:eastAsia="Times New Roman" w:cs="Times New Roman"/>
          <w:lang w:val="en-US" w:bidi="en-US"/>
          <w:color w:val="111111"/>
          <w:sz w:val="28"/>
          <w:szCs w:val="28"/>
          <w:rtl/>
        </w:rPr>
        <w:t xml:space="preserve">.</w:t>
      </w:r>
    </w:p>
    <w:p>
      <w:pPr>
        <w:pStyle w:val="Heading6"/>
      </w:pPr>
      <w:bookmarkStart w:id="1365" w:name="_Toc805"/>
      <w:r>
        <w:t>ب - بنو فضال</w:t>
      </w:r>
      <w:bookmarkEnd w:id="1365"/>
    </w:p>
    <w:p>
      <w:pPr>
        <w:pStyle w:val="BookText"/>
      </w:pPr>
      <w:r>
        <w:rPr>
          <w:rFonts w:ascii="IRNazanin" w:hAnsi="IRNazanin" w:eastAsia="IRNazanin" w:cs="IRNazanin"/>
          <w:lang w:bidi="fa-IR"/>
          <w:color w:val="111111"/>
          <w:sz w:val="28"/>
          <w:szCs w:val="28"/>
          <w:rtl/>
        </w:rPr>
        <w:t xml:space="preserve">قد استدلّ علی وثاقة کلّ من روی عنه بنو فضّال بالحدیث التالی: روی الشیخ فی کتاب «الغیبة» عن أبی محمّد المحمّدی قال: و قال أبو الحسین بن تمام: حدّثنی عبد اللّه الکوفی خادم الشیخ الحسین بن روح - رضی اللّه عنه - قال: سئل الشیخ - یعنی أبا القاسم رضی اللّه عنه - عن کتب ابن أبی العزاقر</w:t>
      </w:r>
      <w:r>
        <w:rPr>
          <w:rStyle w:val="FootnoteReference"/>
        </w:rPr>
        <w:footnoteReference w:id="3988"/>
      </w:r>
      <w:r>
        <w:rPr>
          <w:rFonts w:ascii="IRNazanin" w:hAnsi="IRNazanin" w:eastAsia="IRNazanin" w:cs="IRNazanin"/>
          <w:lang w:bidi="fa-IR"/>
          <w:color w:val="111111"/>
          <w:sz w:val="28"/>
          <w:szCs w:val="28"/>
          <w:rtl/>
        </w:rPr>
        <w:t xml:space="preserve">بعد ما ذمّ و خرجت فیه اللّعنة، فقیل له: فکیف نعمل بکتبه و بیوتنا منها ملأی؟ فقال: أقول فیها ما قاله أبو محمّد الحسن بن علی - علیه السلام - و قد سئل عن کتب بنی فضّال، فقالوا: کیف نعمل بکتبهم و بیوتنا منها ملأی؟ فقال - صلوات اللّه علیه -: خذوا بما رووا و ذروا ما رأوا</w:t>
      </w:r>
      <w:r>
        <w:rPr>
          <w:rStyle w:val="FootnoteReference"/>
        </w:rPr>
        <w:footnoteReference w:id="3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ممّا استند إلیه الشیخ الأنصاری - رحمه اللّه - فی کتاب صلاته عند ما تعرّض لروایة داود بن فرقد و قال: «روی الشیخ عن داود بن فرقد، عن بعض أصحابنا، عن أبی عبد اللّه - علیه السلام - قال: إذا زالت الشّمس فقد دخل وقت الظهر حتّی یمضی بمقدار ما یصلّی المصلّی أربع رکعات، فإذا مضی مقدار ذلک فقد دخل وقت الظّهر و العصر... الخ - ثمّ قال: و هذه الروایة و إن کانت مرسلة إلاّ أنّ سندها إلی الحسن بن فضّال صحیح و بنو فضّال ممّن أمروا بالأخذ بکتبهم و روایاتهم»</w:t>
      </w:r>
      <w:r>
        <w:rPr>
          <w:rStyle w:val="FootnoteReference"/>
        </w:rPr>
        <w:footnoteReference w:id="3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278]</w:t>
      </w:r>
    </w:p>
    <w:p>
      <w:pPr>
        <w:pStyle w:val="BookText"/>
      </w:pPr>
      <w:r>
        <w:rPr>
          <w:rFonts w:ascii="IRNazanin" w:hAnsi="IRNazanin" w:eastAsia="IRNazanin" w:cs="IRNazanin"/>
          <w:lang w:bidi="fa-IR"/>
          <w:color w:val="111111"/>
          <w:sz w:val="28"/>
          <w:szCs w:val="28"/>
          <w:rtl/>
        </w:rPr>
        <w:t xml:space="preserve">ص: 996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427" w:name="pg14419_167712"/>
    <w:bookmarkEnd w:id="427"/>
    <w:p>
      <w:pPr>
        <w:pStyle w:val="BookText"/>
      </w:pPr>
      <w:r>
        <w:rPr>
          <w:rFonts w:ascii="IRNazanin" w:hAnsi="IRNazanin" w:eastAsia="IRNazanin" w:cs="IRNazanin"/>
          <w:lang w:bidi="fa-IR"/>
          <w:color w:val="111111"/>
          <w:sz w:val="28"/>
          <w:szCs w:val="28"/>
          <w:rtl/>
        </w:rPr>
        <w:t xml:space="preserve">غیر أنّ الاستدلال بهذا الحدیث علی فرض صحّة سنده قاصر، لأنّ المقصود من الجملة الواردة فی حقّ بنی فضّال هو أنّ فساد العقیدة بعد الاستقامة لا یضرّ بحجیّة الروایة المتقدّمة علی الفساد، لا أنّه یؤخذ بکلّ روایاتهم و مراسیلهم و مسانیدهم من غیر أن یتفحّص عمّن یروون عنه، بل المراد أنّه یجری علی بنی فضّال الحکم الّذی کان یجری علی سائر الرواة، فکما أنّه یجب التفتیش عنهم حتّی تتبیّن الثقة منهم عن غیرها فهکذا بنو فضّال.</w:t>
      </w:r>
    </w:p>
    <w:p>
      <w:pPr>
        <w:pStyle w:val="Heading6"/>
      </w:pPr>
      <w:bookmarkStart w:id="1366" w:name="_Toc806"/>
      <w:r>
        <w:t>ج - جعفر بن بشیر</w:t>
      </w:r>
      <w:bookmarkEnd w:id="1366"/>
    </w:p>
    <w:p>
      <w:pPr>
        <w:pStyle w:val="BookText"/>
      </w:pPr>
      <w:r>
        <w:rPr>
          <w:rFonts w:ascii="IRNazanin" w:hAnsi="IRNazanin" w:eastAsia="IRNazanin" w:cs="IRNazanin"/>
          <w:lang w:bidi="fa-IR"/>
          <w:color w:val="111111"/>
          <w:sz w:val="28"/>
          <w:szCs w:val="28"/>
          <w:rtl/>
        </w:rPr>
        <w:t xml:space="preserve">قد استدلّ المحدّث النوری فی مستدرکه</w:t>
      </w:r>
      <w:r>
        <w:rPr>
          <w:rStyle w:val="FootnoteReference"/>
        </w:rPr>
        <w:footnoteReference w:id="3991"/>
      </w:r>
      <w:r>
        <w:rPr>
          <w:rFonts w:ascii="IRNazanin" w:hAnsi="IRNazanin" w:eastAsia="IRNazanin" w:cs="IRNazanin"/>
          <w:lang w:bidi="fa-IR"/>
          <w:color w:val="111111"/>
          <w:sz w:val="28"/>
          <w:szCs w:val="28"/>
          <w:rtl/>
        </w:rPr>
        <w:t xml:space="preserve">علی وثاقة کلّ من روی جعفر بن بشیر عنهم و من رووا عنه بما ذکره النّجاشی فی رجاله حیث قال: «جعفر بن بشیر البجلی الوشاء من زهّاد أصحابنا و عبّادهم و نسّاکهم و کان ثقة و له مسجد بالکوفة - إلی أن قال: مات جعفر - رحمه اللّه - بالأبواء سنة 208. کان أبو العباس بن نوح یقول: کان یلقّب فقحة العلم</w:t>
      </w:r>
      <w:r>
        <w:rPr>
          <w:rStyle w:val="FootnoteReference"/>
        </w:rPr>
        <w:footnoteReference w:id="3992"/>
      </w:r>
      <w:r>
        <w:rPr>
          <w:rFonts w:ascii="IRNazanin" w:hAnsi="IRNazanin" w:eastAsia="IRNazanin" w:cs="IRNazanin"/>
          <w:lang w:bidi="fa-IR"/>
          <w:color w:val="111111"/>
          <w:sz w:val="28"/>
          <w:szCs w:val="28"/>
          <w:rtl/>
        </w:rPr>
        <w:t xml:space="preserve">روی عن الثقات و رووا عنه، له کتاب المشیخة»</w:t>
      </w:r>
      <w:r>
        <w:rPr>
          <w:rStyle w:val="FootnoteReference"/>
        </w:rPr>
        <w:footnoteReference w:id="3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الظاهر أنّ العبارة غیر ظاهرة فی الحصر، بل المراد أنّ جعفر بن بشیر یروی عن الثقات کما تروی الثقات عنه، و أمّا إنّه لا یروی عنه إلاّ الثقات و هو لا یروی إلاّ عنهم، فلا تفیده العبارة، کیف و من المستبعد عادة أن لا تروی عنه إلاّ ثقة و هو خارج عن اختیاره، و أقصی ما تفیده العبارة أنّ القضیّة غالبیة.</w:t>
      </w:r>
    </w:p>
    <w:p>
      <w:pPr>
        <w:pStyle w:val="BookText"/>
      </w:pPr>
      <w:r>
        <w:rPr>
          <w:rFonts w:ascii="IRNazanin" w:hAnsi="IRNazanin" w:eastAsia="IRNazanin" w:cs="IRNazanin"/>
          <w:lang w:bidi="fa-IR"/>
          <w:color w:val="111111"/>
          <w:sz w:val="28"/>
          <w:szCs w:val="28"/>
          <w:rtl/>
        </w:rPr>
        <w:t xml:space="preserve">کیف و قد روی جعفر بن بشیر عن الضعیف أیضا.</w:t>
      </w:r>
    </w:p>
    <w:p>
      <w:pPr>
        <w:pStyle w:val="BookText"/>
      </w:pPr>
      <w:r>
        <w:rPr>
          <w:rFonts w:ascii="IRNazanin" w:hAnsi="IRNazanin" w:eastAsia="IRNazanin" w:cs="IRNazanin"/>
          <w:lang w:bidi="fa-IR"/>
          <w:color w:val="111111"/>
          <w:sz w:val="28"/>
          <w:szCs w:val="28"/>
          <w:rtl/>
        </w:rPr>
        <w:t xml:space="preserve">[شماره صفحه واقعی : 279]</w:t>
      </w:r>
    </w:p>
    <w:p>
      <w:pPr>
        <w:pStyle w:val="BookText"/>
      </w:pPr>
      <w:r>
        <w:rPr>
          <w:rFonts w:ascii="IRNazanin" w:hAnsi="IRNazanin" w:eastAsia="IRNazanin" w:cs="IRNazanin"/>
          <w:lang w:bidi="fa-IR"/>
          <w:color w:val="111111"/>
          <w:sz w:val="28"/>
          <w:szCs w:val="28"/>
          <w:rtl/>
        </w:rPr>
        <w:t xml:space="preserve">ص: 997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428" w:name="pg14419_167713"/>
    <w:bookmarkEnd w:id="428"/>
    <w:p>
      <w:pPr>
        <w:pStyle w:val="BookText"/>
      </w:pPr>
      <w:r>
        <w:rPr>
          <w:rFonts w:ascii="IRNazanin" w:hAnsi="IRNazanin" w:eastAsia="IRNazanin" w:cs="IRNazanin"/>
          <w:lang w:bidi="fa-IR"/>
          <w:color w:val="111111"/>
          <w:sz w:val="28"/>
          <w:szCs w:val="28"/>
          <w:rtl/>
        </w:rPr>
        <w:t xml:space="preserve">روی الشیخ عن محمّد بن علیّ بن محبوب، عن محمّد بن الحسین، عن جعفر بن بشیر، عن صالح بن الحکم قال: سألت أبا عبد اللّه - علیه السلام - عن الصّلاة فی السفینة... إلی آخره.</w:t>
      </w:r>
      <w:r>
        <w:rPr>
          <w:rStyle w:val="FootnoteReference"/>
        </w:rPr>
        <w:footnoteReference w:id="3994"/>
      </w:r>
    </w:p>
    <w:p>
      <w:pPr>
        <w:pStyle w:val="BookText"/>
      </w:pPr>
      <w:r>
        <w:rPr>
          <w:rFonts w:ascii="IRNazanin" w:hAnsi="IRNazanin" w:eastAsia="IRNazanin" w:cs="IRNazanin"/>
          <w:lang w:bidi="fa-IR"/>
          <w:color w:val="111111"/>
          <w:sz w:val="28"/>
          <w:szCs w:val="28"/>
          <w:rtl/>
        </w:rPr>
        <w:t xml:space="preserve">و صالح بن الحکم ممن ضعّفه النجاشی و قال: «صالح بن الحکم النیلی الأحول، ضعیف»</w:t>
      </w:r>
      <w:r>
        <w:rPr>
          <w:rStyle w:val="FootnoteReference"/>
        </w:rPr>
        <w:footnoteReference w:id="3995"/>
      </w:r>
      <w:r>
        <w:rPr>
          <w:rFonts w:ascii="Times New Roman" w:hAnsi="Times New Roman" w:eastAsia="Times New Roman" w:cs="Times New Roman"/>
          <w:lang w:val="en-US" w:bidi="en-US"/>
          <w:color w:val="111111"/>
          <w:sz w:val="28"/>
          <w:szCs w:val="28"/>
          <w:rtl/>
        </w:rPr>
        <w:t xml:space="preserve">.</w:t>
      </w:r>
    </w:p>
    <w:p>
      <w:pPr>
        <w:pStyle w:val="Heading6"/>
      </w:pPr>
      <w:bookmarkStart w:id="1367" w:name="_Toc807"/>
      <w:r>
        <w:t>د - محمد بن اسماعیل بن میمون الزعفرانی</w:t>
      </w:r>
      <w:bookmarkEnd w:id="1367"/>
    </w:p>
    <w:p>
      <w:pPr>
        <w:pStyle w:val="BookText"/>
      </w:pPr>
      <w:r>
        <w:rPr>
          <w:rFonts w:ascii="IRNazanin" w:hAnsi="IRNazanin" w:eastAsia="IRNazanin" w:cs="IRNazanin"/>
          <w:lang w:bidi="fa-IR"/>
          <w:color w:val="111111"/>
          <w:sz w:val="28"/>
          <w:szCs w:val="28"/>
          <w:rtl/>
        </w:rPr>
        <w:t xml:space="preserve">و قد قیل</w:t>
      </w:r>
      <w:r>
        <w:rPr>
          <w:rStyle w:val="FootnoteReference"/>
        </w:rPr>
        <w:footnoteReference w:id="3996"/>
      </w:r>
      <w:r>
        <w:rPr>
          <w:rFonts w:ascii="IRNazanin" w:hAnsi="IRNazanin" w:eastAsia="IRNazanin" w:cs="IRNazanin"/>
          <w:lang w:bidi="fa-IR"/>
          <w:color w:val="111111"/>
          <w:sz w:val="28"/>
          <w:szCs w:val="28"/>
          <w:rtl/>
        </w:rPr>
        <w:t xml:space="preserve">فی حقّه ما قیل فی حقّ جعفر بن بشیر مستدلاّ بما ذکره النجاشی فی حقّه أیضا حیث قال: «محمّد بن إسماعیل بن میمون الزعفرانی أبو عبد اللّه ثقة عین روی عن الثقات و رووا عنه و لقی أصحاب أبی عبد اللّه - علیه السلام -»</w:t>
      </w:r>
      <w:r>
        <w:rPr>
          <w:rStyle w:val="FootnoteReference"/>
        </w:rPr>
        <w:footnoteReference w:id="3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هذه العبارة ما ذکرناه فی حقّ المتقدّم علیه.</w:t>
      </w:r>
    </w:p>
    <w:p>
      <w:pPr>
        <w:pStyle w:val="Heading6"/>
      </w:pPr>
      <w:bookmarkStart w:id="1368" w:name="_Toc808"/>
      <w:r>
        <w:t>ه - علی بن الحسن الطاطری</w:t>
      </w:r>
      <w:bookmarkEnd w:id="1368"/>
    </w:p>
    <w:p>
      <w:pPr>
        <w:pStyle w:val="BookText"/>
      </w:pPr>
      <w:r>
        <w:rPr>
          <w:rFonts w:ascii="IRNazanin" w:hAnsi="IRNazanin" w:eastAsia="IRNazanin" w:cs="IRNazanin"/>
          <w:lang w:bidi="fa-IR"/>
          <w:color w:val="111111"/>
          <w:sz w:val="28"/>
          <w:szCs w:val="28"/>
          <w:rtl/>
        </w:rPr>
        <w:t xml:space="preserve">قال الشیخ فی ترجمة الرجل: «کان واقفیا شدید العناد فی مذهبه، صعب العصبیّة علی من خالفه من الامامیة و له کتب کثیرة فی نصرة مذهبه و له کتب فی الفقه رواها عن الرجال الموثوق بهم و بروایتهم فلأجل ذلک ذکرناها»</w:t>
      </w:r>
      <w:r>
        <w:rPr>
          <w:rStyle w:val="FootnoteReference"/>
        </w:rPr>
        <w:footnoteReference w:id="3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بذیل کلام الشیخ من أنّ کلّ من روی علیّ بن الحسن الطاطری عنه فهو ثقة، لأنّ الشیخ شهد علی أنّه روی کتبه عن الرجال الموثوق بهم</w:t>
      </w:r>
    </w:p>
    <w:p>
      <w:pPr>
        <w:pStyle w:val="BookText"/>
      </w:pPr>
      <w:r>
        <w:rPr>
          <w:rFonts w:ascii="IRNazanin" w:hAnsi="IRNazanin" w:eastAsia="IRNazanin" w:cs="IRNazanin"/>
          <w:lang w:bidi="fa-IR"/>
          <w:color w:val="111111"/>
          <w:sz w:val="28"/>
          <w:szCs w:val="28"/>
          <w:rtl/>
        </w:rPr>
        <w:t xml:space="preserve">[شماره صفحه واقعی : 280]</w:t>
      </w:r>
    </w:p>
    <w:p>
      <w:pPr>
        <w:pStyle w:val="BookText"/>
      </w:pPr>
      <w:r>
        <w:rPr>
          <w:rFonts w:ascii="IRNazanin" w:hAnsi="IRNazanin" w:eastAsia="IRNazanin" w:cs="IRNazanin"/>
          <w:lang w:bidi="fa-IR"/>
          <w:color w:val="111111"/>
          <w:sz w:val="28"/>
          <w:szCs w:val="28"/>
          <w:rtl/>
        </w:rPr>
        <w:t xml:space="preserve">ص: 998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429" w:name="pg14419_167714"/>
    <w:bookmarkEnd w:id="429"/>
    <w:p>
      <w:pPr>
        <w:pStyle w:val="BookText"/>
      </w:pPr>
      <w:r>
        <w:rPr>
          <w:rFonts w:ascii="IRNazanin" w:hAnsi="IRNazanin" w:eastAsia="IRNazanin" w:cs="IRNazanin"/>
          <w:lang w:bidi="fa-IR"/>
          <w:color w:val="111111"/>
          <w:sz w:val="28"/>
          <w:szCs w:val="28"/>
          <w:rtl/>
        </w:rPr>
        <w:t xml:space="preserve">و بروایتهم، و لکن غایة ما یستفاد من هذه العبارة أنّ الطاطری لا یروی فی کتبه إلاّ عن ثقة، و أمّا إنّه لا یروی مطلقا إلاّ عن ثقة فلا یدلّ علیه.</w:t>
      </w:r>
    </w:p>
    <w:p>
      <w:pPr>
        <w:pStyle w:val="BookText"/>
      </w:pPr>
      <w:r>
        <w:rPr>
          <w:rFonts w:ascii="IRNazanin" w:hAnsi="IRNazanin" w:eastAsia="IRNazanin" w:cs="IRNazanin"/>
          <w:lang w:bidi="fa-IR"/>
          <w:color w:val="111111"/>
          <w:sz w:val="28"/>
          <w:szCs w:val="28"/>
          <w:rtl/>
        </w:rPr>
        <w:t xml:space="preserve">و علی ذلک کلّما بدأ الشیخ سند الحدیث باسم الطاطری فهو دلیل علی أنّ الروایة مأخوذة من کتبه الفقهیة فعندئذ فالسند صحیح إلی آخره، و هذا غیر القول بأنّه لا یروی إلاّ عن ثقة، حتّی یحکم بصحّة کلّ سند وقع فیه الطاطری إلی أن ینتهی إلی المعصوم، علی أنّ من المحتمل أن یکون کلام - الشیخ محمولا علی الغالب، فلاحظ کتابه و اطمأنّ بوثاقة کثیر من رواة کتابه، فقال فی حقّه ما قال، و اللّه العالم.</w:t>
      </w:r>
    </w:p>
    <w:p>
      <w:pPr>
        <w:pStyle w:val="BookText"/>
      </w:pPr>
      <w:r>
        <w:rPr>
          <w:rFonts w:ascii="IRNazanin" w:hAnsi="IRNazanin" w:eastAsia="IRNazanin" w:cs="IRNazanin"/>
          <w:lang w:bidi="fa-IR"/>
          <w:color w:val="111111"/>
          <w:sz w:val="28"/>
          <w:szCs w:val="28"/>
          <w:rtl/>
        </w:rPr>
        <w:t xml:space="preserve">نعم هذه التوثیقات فی حقّ هؤلاء الرجال، قرائن ظنّیة علی وثاقة کلّ من یروون عنه و لو انضمّت إلیه القرائن الاخر ربّما حصل الاطمئنان علی وثاقة المرویّ عنه، فلاحظ.</w:t>
      </w:r>
    </w:p>
    <w:p>
      <w:pPr>
        <w:pStyle w:val="Heading6"/>
      </w:pPr>
      <w:bookmarkStart w:id="1369" w:name="_Toc809"/>
      <w:r>
        <w:t>و - أحمد بن علیّ النجاشی صاحب الفهرس</w:t>
      </w:r>
      <w:bookmarkEnd w:id="1369"/>
    </w:p>
    <w:p>
      <w:pPr>
        <w:pStyle w:val="Heading6"/>
      </w:pPr>
      <w:bookmarkStart w:id="1370" w:name="_Toc810"/>
      <w:r>
        <w:t>اشارة</w:t>
      </w:r>
      <w:bookmarkEnd w:id="1370"/>
    </w:p>
    <w:p>
      <w:pPr>
        <w:pStyle w:val="BookText"/>
      </w:pPr>
      <w:r>
        <w:rPr>
          <w:rFonts w:ascii="IRNazanin" w:hAnsi="IRNazanin" w:eastAsia="IRNazanin" w:cs="IRNazanin"/>
          <w:lang w:bidi="fa-IR"/>
          <w:color w:val="111111"/>
          <w:sz w:val="28"/>
          <w:szCs w:val="28"/>
          <w:rtl/>
        </w:rPr>
        <w:t xml:space="preserve">إنّ للشیخ أبی العباس أحمد بن علیّ بن أحمد بن العبّاس بن محمّد بن عبد اللّه بن إبراهیم بن محمّد بن عبد اللّه النجاشی مشایخ معروفة سنشیر إلیهم، و جدّه النجاشی هو الّذی ولی علی الأهواز و کتب إلی أبی عبد اللّه - علیه السلام - یسأله فکتب الإمام إلیه رسالة معروفة بالرسالة الأهوازیة الّتی نقلها السید محی الدین فی أربعینه و الشهید الثانی فی کشف الریبة مسندا الیه</w:t>
      </w:r>
      <w:r>
        <w:rPr>
          <w:rStyle w:val="FootnoteReference"/>
        </w:rPr>
        <w:footnoteReference w:id="3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ترجمة النجاشی عند البحث عن الاصول الرجالیة.</w:t>
      </w:r>
    </w:p>
    <w:p>
      <w:pPr>
        <w:pStyle w:val="BookText"/>
      </w:pPr>
      <w:r>
        <w:rPr>
          <w:rFonts w:ascii="IRNazanin" w:hAnsi="IRNazanin" w:eastAsia="IRNazanin" w:cs="IRNazanin"/>
          <w:lang w:bidi="fa-IR"/>
          <w:color w:val="111111"/>
          <w:sz w:val="28"/>
          <w:szCs w:val="28"/>
          <w:rtl/>
        </w:rPr>
        <w:t xml:space="preserve">و یظهر من الشیخ النجاشی أنّ کلّ مشایخه ثقات، بل یظهر جلالة قدرهم و علوّ رتبتهم فضلا عن دخولهم فی زمرة الثقات، و هذا ظاهر لمن لاحظ کلماته</w:t>
      </w:r>
    </w:p>
    <w:p>
      <w:pPr>
        <w:pStyle w:val="BookText"/>
      </w:pPr>
      <w:r>
        <w:rPr>
          <w:rFonts w:ascii="IRNazanin" w:hAnsi="IRNazanin" w:eastAsia="IRNazanin" w:cs="IRNazanin"/>
          <w:lang w:bidi="fa-IR"/>
          <w:color w:val="111111"/>
          <w:sz w:val="28"/>
          <w:szCs w:val="28"/>
          <w:rtl/>
        </w:rPr>
        <w:t xml:space="preserve">[شماره صفحه واقعی : 281]</w:t>
      </w:r>
    </w:p>
    <w:p>
      <w:pPr>
        <w:pStyle w:val="BookText"/>
      </w:pPr>
      <w:r>
        <w:rPr>
          <w:rFonts w:ascii="IRNazanin" w:hAnsi="IRNazanin" w:eastAsia="IRNazanin" w:cs="IRNazanin"/>
          <w:lang w:bidi="fa-IR"/>
          <w:color w:val="111111"/>
          <w:sz w:val="28"/>
          <w:szCs w:val="28"/>
          <w:rtl/>
        </w:rPr>
        <w:t xml:space="preserve">ص: 999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أحوال بعض مشایخه، و إلیک بعض ما قال فی حقّ مشایخه:</w:t>
      </w:r>
    </w:p>
    <w:p>
      <w:pPr>
        <w:pStyle w:val="BookText"/>
      </w:pPr>
      <w:r>
        <w:rPr>
          <w:rFonts w:ascii="IRNazanin" w:hAnsi="IRNazanin" w:eastAsia="IRNazanin" w:cs="IRNazanin"/>
          <w:lang w:bidi="fa-IR"/>
          <w:color w:val="111111"/>
          <w:sz w:val="28"/>
          <w:szCs w:val="28"/>
          <w:rtl/>
        </w:rPr>
        <w:t xml:space="preserve">1 - قال فی ترجمة جعفر بن محمّد بن مالک بن عیسی بن سابور:</w:t>
      </w:r>
    </w:p>
    <w:p>
      <w:pPr>
        <w:pStyle w:val="BookText"/>
      </w:pPr>
      <w:r>
        <w:rPr>
          <w:rFonts w:ascii="IRNazanin" w:hAnsi="IRNazanin" w:eastAsia="IRNazanin" w:cs="IRNazanin"/>
          <w:lang w:bidi="fa-IR"/>
          <w:color w:val="111111"/>
          <w:sz w:val="28"/>
          <w:szCs w:val="28"/>
          <w:rtl/>
        </w:rPr>
        <w:t xml:space="preserve">«کوفیّ کان ضعیفا فی الحدیث. قال أحمد بن الحسین: کان یضع الحدیث وضعا، و یروی عن المجاهیل، و سمعت من قال: کان أیضا فاسد المذهب و الروایة، و لا أدری کیف روی عنه شیخنا النبیل الثقة أبو علیّ ابن همام و شیخنا الجلیل الثقة أبو غالب الزراری - رحمهما اللّه - و لیس هذا موضع ذکره»</w:t>
      </w:r>
      <w:r>
        <w:rPr>
          <w:rStyle w:val="FootnoteReference"/>
        </w:rPr>
        <w:footnoteReference w:id="4000"/>
      </w:r>
      <w:r>
        <w:rPr>
          <w:rFonts w:ascii="IRNazanin" w:hAnsi="IRNazanin" w:eastAsia="IRNazanin" w:cs="IRNazanin"/>
          <w:lang w:bidi="fa-IR"/>
          <w:color w:val="111111"/>
          <w:sz w:val="28"/>
          <w:szCs w:val="28"/>
          <w:rtl/>
        </w:rPr>
        <w:t xml:space="preserve">و تعجّبه من روایات شیخیه عن هذا الرجل قرینة علی أنّه لم یکن یجوّز لنفسه الروایة عن غیر الثّقة فی الحدیث، و الاعتماد فی النقل علی المنحرف الضعیف، و لکنّ التعجب من النقل عن واضح الحدیث لا یدلّ إلاّ علی التحرّز عن مثله لا عن کلّ ضعیف کما هو المطلوب، و غایة ما یمکن أن یقال إنّه کان محترزا عن مثله لا عمّن دونه من الضعفاء.</w:t>
      </w:r>
    </w:p>
    <w:p>
      <w:pPr>
        <w:pStyle w:val="BookText"/>
      </w:pPr>
      <w:r>
        <w:rPr>
          <w:rFonts w:ascii="IRNazanin" w:hAnsi="IRNazanin" w:eastAsia="IRNazanin" w:cs="IRNazanin"/>
          <w:lang w:bidi="fa-IR"/>
          <w:color w:val="111111"/>
          <w:sz w:val="28"/>
          <w:szCs w:val="28"/>
          <w:rtl/>
        </w:rPr>
        <w:t xml:space="preserve">2 - و قال فی ترجمة أحمد بن محمّد بن عبید اللّه بن الحسن بن عیاش الجوهری: «کان سمع الحدیث فأکثر و اضطرب فی آخر عمره - و ذکر مصنّفاته ثمّ قال: رأیت هذا الشیخ و کان صدیقا لی و لوالدی و سمعت عنه شیئا کثیرا و رأیت شیوخنا یضعفونه، فلم أرو عنه شیئا و تجنّبته و کان من أهل العلم و الأدب القوی و طیّب الشعر و حسن الخطّ - رحمه اللّه و سامحه - و مات سنة 401»</w:t>
      </w:r>
      <w:r>
        <w:rPr>
          <w:rStyle w:val="FootnoteReference"/>
        </w:rPr>
        <w:footnoteReference w:id="4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 قال فی ترجمة إسحاق بن الحسن بن بکران: «ابو الحسین العقرائی التمّار کثیر السماع ضعیف فی مذهبه، رأیته بالکوفة و هو مجاور، و کان یروی کتاب الکلینی عنه، و کان فی هذا الوقت علوا فلم أسمع منه شیئا، له کتاب الرد علی الغلاة، و کتاب نفی السهو عن النّبی، و کتاب عدد</w:t>
      </w:r>
    </w:p>
    <w:p>
      <w:pPr>
        <w:pStyle w:val="BookText"/>
      </w:pPr>
      <w:r>
        <w:rPr>
          <w:rFonts w:ascii="IRNazanin" w:hAnsi="IRNazanin" w:eastAsia="IRNazanin" w:cs="IRNazanin"/>
          <w:lang w:bidi="fa-IR"/>
          <w:color w:val="111111"/>
          <w:sz w:val="28"/>
          <w:szCs w:val="28"/>
          <w:rtl/>
        </w:rPr>
        <w:t xml:space="preserve">[شماره صفحه واقعی : 282]</w:t>
      </w:r>
    </w:p>
    <w:p>
      <w:pPr>
        <w:pStyle w:val="BookText"/>
      </w:pPr>
      <w:r>
        <w:rPr>
          <w:rFonts w:ascii="IRNazanin" w:hAnsi="IRNazanin" w:eastAsia="IRNazanin" w:cs="IRNazanin"/>
          <w:lang w:bidi="fa-IR"/>
          <w:color w:val="111111"/>
          <w:sz w:val="28"/>
          <w:szCs w:val="28"/>
          <w:rtl/>
        </w:rPr>
        <w:t xml:space="preserve">ص: 1000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 قال فی ترجمة أبی المفضّل محمد بن عبد اللّه بن محمّد بن عبید اللّه بن البهلول: «کان سافر فی طلب الحدیث عمره، أصله کوفیّ و کان فی أوّل أمره ثبتا، ثمّ خلط و رأیت جلّ أصحابنا یغمزونه، له کتب - إلی أن قال: رأیت هذا الشیخ و سمعت منه کثیرا ثمّ توقّفت عن الروایة عنه إلاّ بواسطة بینی و بینه»</w:t>
      </w:r>
      <w:r>
        <w:rPr>
          <w:rStyle w:val="FootnoteReference"/>
        </w:rPr>
        <w:footnoteReference w:id="4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استثناء ما ترویه الواسطة لأجل أنّها کانت تروی عنه حال الاستقامة و الثّبت، و الاعتماد علی الواسطة بناء علی أنّ عدالته تمنع عن روایته عنه ما لیس کذلک، کذا وجّهه السیّد العلاّمة الطباطبائی، و وجّهه المحدّث النوری، بأنّ نقله بالواسطة کان مجرّد تورّع و احتیاط عن اتّهامه بالروایة عن المتّهمین و وقوعه فیه کما وقعوا فیه</w:t>
      </w:r>
      <w:r>
        <w:rPr>
          <w:rStyle w:val="FootnoteReference"/>
        </w:rPr>
        <w:footnoteReference w:id="4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 قال فی ترجمة هبة اللّه بن أحمد بن محمّد الکاتب أبو نصر المعروف بابن برنّیة: «کان یذکر أنّ امّه امّ کلثوم بنت أبی جعفر محمّد بن عثمان العمری سمع حدیثا کثیرا و کان یتعاطی الکلام و یحضر مجلس أبی الحسین ابن الشبیه العلوی الزیدی المذهب، فعمل له کتابا و ذکر أنّ الائمّة ثلاثة عشر مع زید بن علیّ بن الحسین، و احتجّ بحدیث فی کتاب سلیم بن قیس الهلالیّ أنّ الائمّة اثنا عشر من ولد أمیر المؤمنین - علیه السلام -. له کتاب فی الإمامة، و کتاب فی اخبار أبی عمرو و أبی جعفر العمریین، و رأیت أبا العبّاس ابن نوح قد عوّل علیه فی الحکایة فی کتابه أخبار الوکلاء. و کان هذا الرجل کثیر الزیارات و آخر زیارة حضرها معنا یوم الغدیر سنة أربعمائة بمشهد أمیر المؤمنین</w:t>
      </w:r>
    </w:p>
    <w:p>
      <w:pPr>
        <w:pStyle w:val="BookText"/>
      </w:pPr>
      <w:r>
        <w:rPr>
          <w:rFonts w:ascii="IRNazanin" w:hAnsi="IRNazanin" w:eastAsia="IRNazanin" w:cs="IRNazanin"/>
          <w:lang w:bidi="fa-IR"/>
          <w:color w:val="111111"/>
          <w:sz w:val="28"/>
          <w:szCs w:val="28"/>
          <w:rtl/>
        </w:rPr>
        <w:t xml:space="preserve">[شماره صفحه واقعی : 283]</w:t>
      </w:r>
    </w:p>
    <w:p>
      <w:pPr>
        <w:pStyle w:val="BookText"/>
      </w:pPr>
      <w:r>
        <w:rPr>
          <w:rFonts w:ascii="IRNazanin" w:hAnsi="IRNazanin" w:eastAsia="IRNazanin" w:cs="IRNazanin"/>
          <w:lang w:bidi="fa-IR"/>
          <w:color w:val="111111"/>
          <w:sz w:val="28"/>
          <w:szCs w:val="28"/>
          <w:rtl/>
        </w:rPr>
        <w:t xml:space="preserve">ص: 1001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4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المحدّث النوری: «و لم یعتمد علیه فی کتابه، و لا أدخله فی طرقه الی الاصول و الکتب لمجرّد تألیفه الکتاب المذکور. قال السید العلامة الطباطبائی بعد ما نقل ما ذکرناه: و یستفاد من ذلک کلّه غایة احتراز النجاشی و تجنّبه عن الضعفاء و المتّهمین، و منه یظهر اعتماده علی جمیع من روی عنه من المشایخ، و وثوقه بهم، و سلامة مذاهبهم و روایاتهم عن الضّعف و الغمز، و أنّ ما قیل فی أبی العبّاس ابن نوح</w:t>
      </w:r>
      <w:r>
        <w:rPr>
          <w:rStyle w:val="FootnoteReference"/>
        </w:rPr>
        <w:footnoteReference w:id="4006"/>
      </w:r>
      <w:r>
        <w:rPr>
          <w:rFonts w:ascii="IRNazanin" w:hAnsi="IRNazanin" w:eastAsia="IRNazanin" w:cs="IRNazanin"/>
          <w:lang w:bidi="fa-IR"/>
          <w:color w:val="111111"/>
          <w:sz w:val="28"/>
          <w:szCs w:val="28"/>
          <w:rtl/>
        </w:rPr>
        <w:t xml:space="preserve">من المذاهب الفاسدة فی الاصول لا أصل له، و هذا أصل نافع فی الباب یجب أن یحفظ و یلحظ»</w:t>
      </w:r>
      <w:r>
        <w:rPr>
          <w:rStyle w:val="FootnoteReference"/>
        </w:rPr>
        <w:footnoteReference w:id="4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نقل فی ترجمة عبید اللّه بن أبی زید أحمد المعروف بأبی طالب الأنباری، عن شیخه الحسین بن عبید اللّه قال: «قدم أبو طالب بغداد و اجتهدت أن یمکنّنی أصحابنا من لقائه فأسمع منه فلم یفعلوا ذلک»</w:t>
      </w:r>
      <w:r>
        <w:rPr>
          <w:rStyle w:val="FootnoteReference"/>
        </w:rPr>
        <w:footnoteReference w:id="4008"/>
      </w:r>
      <w:r>
        <w:rPr>
          <w:rFonts w:ascii="IRNazanin" w:hAnsi="IRNazanin" w:eastAsia="IRNazanin" w:cs="IRNazanin"/>
          <w:lang w:bidi="fa-IR"/>
          <w:color w:val="111111"/>
          <w:sz w:val="28"/>
          <w:szCs w:val="28"/>
          <w:rtl/>
        </w:rPr>
        <w:t xml:space="preserve">و قال المتتبّع المحدّث النوری: «إنّ ذلک یدلّ علی امتناع علماء ذلک الوقت عن الروایة عن الضّعفاء و عدم تمکینهم الناس من الأخذ عنهم، و إلاّ لم یکن فی روایة الثقتین الجلیلین عن ابن سابور</w:t>
      </w:r>
      <w:r>
        <w:rPr>
          <w:rStyle w:val="FootnoteReference"/>
        </w:rPr>
        <w:footnoteReference w:id="4009"/>
      </w:r>
      <w:r>
        <w:rPr>
          <w:rFonts w:ascii="IRNazanin" w:hAnsi="IRNazanin" w:eastAsia="IRNazanin" w:cs="IRNazanin"/>
          <w:lang w:bidi="fa-IR"/>
          <w:color w:val="111111"/>
          <w:sz w:val="28"/>
          <w:szCs w:val="28"/>
          <w:rtl/>
        </w:rPr>
        <w:t xml:space="preserve">غرابة و لا للمنع من لقاء الأنباری وجه، و یشهد لذلک قولهم</w:t>
      </w:r>
      <w:r>
        <w:rPr>
          <w:rStyle w:val="FootnoteReference"/>
        </w:rPr>
        <w:footnoteReference w:id="4010"/>
      </w:r>
      <w:r>
        <w:rPr>
          <w:rFonts w:ascii="IRNazanin" w:hAnsi="IRNazanin" w:eastAsia="IRNazanin" w:cs="IRNazanin"/>
          <w:lang w:bidi="fa-IR"/>
          <w:color w:val="111111"/>
          <w:sz w:val="28"/>
          <w:szCs w:val="28"/>
          <w:rtl/>
        </w:rPr>
        <w:t xml:space="preserve">فی مقام التضعیف: «یعتمد المراسیل و یروی عن الضعفاء و المجاهیل» فإنّ هذا الکلام من قائله فی قوّة التوثیق لکلّ من یروی عنه و ینبّه علیه أیضا قولهم7 ضعّفه أصحابنا أو غمز علیه أصحابنا أو بعض</w:t>
      </w:r>
    </w:p>
    <w:p>
      <w:pPr>
        <w:pStyle w:val="BookText"/>
      </w:pPr>
      <w:r>
        <w:rPr>
          <w:rFonts w:ascii="IRNazanin" w:hAnsi="IRNazanin" w:eastAsia="IRNazanin" w:cs="IRNazanin"/>
          <w:lang w:bidi="fa-IR"/>
          <w:color w:val="111111"/>
          <w:sz w:val="28"/>
          <w:szCs w:val="28"/>
          <w:rtl/>
        </w:rPr>
        <w:t xml:space="preserve">[شماره صفحه واقعی : 284]</w:t>
      </w:r>
    </w:p>
    <w:p>
      <w:pPr>
        <w:pStyle w:val="BookText"/>
      </w:pPr>
      <w:r>
        <w:rPr>
          <w:rFonts w:ascii="IRNazanin" w:hAnsi="IRNazanin" w:eastAsia="IRNazanin" w:cs="IRNazanin"/>
          <w:lang w:bidi="fa-IR"/>
          <w:color w:val="111111"/>
          <w:sz w:val="28"/>
          <w:szCs w:val="28"/>
          <w:rtl/>
        </w:rPr>
        <w:t xml:space="preserve">ص: 1002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430" w:name="pg14419_167718"/>
    <w:bookmarkEnd w:id="430"/>
    <w:p>
      <w:pPr>
        <w:pStyle w:val="BookText"/>
      </w:pPr>
      <w:r>
        <w:rPr>
          <w:rFonts w:ascii="IRNazanin" w:hAnsi="IRNazanin" w:eastAsia="IRNazanin" w:cs="IRNazanin"/>
          <w:lang w:bidi="fa-IR"/>
          <w:color w:val="111111"/>
          <w:sz w:val="28"/>
          <w:szCs w:val="28"/>
          <w:rtl/>
        </w:rPr>
        <w:t xml:space="preserve">أصحابنا من دون تعیین، إذ لولا الوثوق بالکلّ لما حسن هذا الاطلاق، بل وجب تعیین المضعّف و الغامز أو التنبیه علی أنّه من الثقات.</w:t>
      </w:r>
    </w:p>
    <w:p>
      <w:pPr>
        <w:pStyle w:val="BookText"/>
      </w:pPr>
      <w:r>
        <w:rPr>
          <w:rFonts w:ascii="IRNazanin" w:hAnsi="IRNazanin" w:eastAsia="IRNazanin" w:cs="IRNazanin"/>
          <w:lang w:bidi="fa-IR"/>
          <w:color w:val="111111"/>
          <w:sz w:val="28"/>
          <w:szCs w:val="28"/>
          <w:rtl/>
        </w:rPr>
        <w:t xml:space="preserve">و یدلّ علی ذلک اعتذارهم عن الروایة عن الطاطریین و بنی فضّال و أمثالهم من الفطحیّة و الواقفة و غیرهم، بعمل الأصحاب بروایاتهم، لکونهم ثقات فی النقل، و عن ذکر ابن عقدة (مع أنّه من الزیدیة) باختلاطه بأصحابنا و عظم محلّه و ثقته و أمانته و کذا اعتذار النجاشی عن ذکره لمن لا یعتمد علیه، بالتزامه لذکر من صنّف من أصحابنا أو المنتمین إلیهم، ذکر ذلک فی ترجمة محمّد بن عبد الملک و المفضّل بن عمر»</w:t>
      </w:r>
      <w:r>
        <w:rPr>
          <w:rStyle w:val="FootnoteReference"/>
        </w:rPr>
        <w:footnoteReference w:id="4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الکلمات من الشیخ النجاشی یعرفنا بطریقته و أنّه کان ملتزما بأن لا یروی إلاّ عن ثقة، و لأجل ذلک یمکن أن یقال، بل یجب أن یقال: إنّ عامة مشایخه ثقات إلاّ من صرّح بضعفه.</w:t>
      </w:r>
    </w:p>
    <w:p>
      <w:pPr>
        <w:pStyle w:val="BookText"/>
      </w:pPr>
      <w:r>
        <w:rPr>
          <w:rFonts w:ascii="IRNazanin" w:hAnsi="IRNazanin" w:eastAsia="IRNazanin" w:cs="IRNazanin"/>
          <w:lang w:bidi="fa-IR"/>
          <w:color w:val="111111"/>
          <w:sz w:val="28"/>
          <w:szCs w:val="28"/>
          <w:rtl/>
        </w:rPr>
        <w:t xml:space="preserve">و قد استخرج المحدّث النوری مشایخه فی المستدرک فبلغ اثنین و ثلاثین و نقله العلاّمة المامقانی فی خاتمة التنقیح</w:t>
      </w:r>
      <w:r>
        <w:rPr>
          <w:rStyle w:val="FootnoteReference"/>
        </w:rPr>
        <w:footnoteReference w:id="4012"/>
      </w:r>
      <w:r>
        <w:rPr>
          <w:rFonts w:ascii="IRNazanin" w:hAnsi="IRNazanin" w:eastAsia="IRNazanin" w:cs="IRNazanin"/>
          <w:lang w:bidi="fa-IR"/>
          <w:color w:val="111111"/>
          <w:sz w:val="28"/>
          <w:szCs w:val="28"/>
          <w:rtl/>
        </w:rPr>
        <w:t xml:space="preserve">و نحن نذکر مشایخه علی ما جمعه و استخرجه المحدّث النوری - شکر اللّه سعیه -.</w:t>
      </w:r>
    </w:p>
    <w:p>
      <w:pPr>
        <w:pStyle w:val="Heading6"/>
      </w:pPr>
      <w:bookmarkStart w:id="1371" w:name="_Toc811"/>
      <w:r>
        <w:t>مشایخ النجاشی کما استخرجهم النوری</w:t>
      </w:r>
      <w:bookmarkEnd w:id="1371"/>
    </w:p>
    <w:p>
      <w:pPr>
        <w:pStyle w:val="BookText"/>
      </w:pPr>
      <w:r>
        <w:rPr>
          <w:rFonts w:ascii="IRNazanin" w:hAnsi="IRNazanin" w:eastAsia="IRNazanin" w:cs="IRNazanin"/>
          <w:lang w:bidi="fa-IR"/>
          <w:color w:val="111111"/>
          <w:sz w:val="28"/>
          <w:szCs w:val="28"/>
          <w:rtl/>
        </w:rPr>
        <w:t xml:space="preserve">1 - الشیخ المفید و هو المراد بقوله: شیخنا أبو عبد اللّه.</w:t>
      </w:r>
    </w:p>
    <w:p>
      <w:pPr>
        <w:pStyle w:val="BookText"/>
      </w:pPr>
      <w:r>
        <w:rPr>
          <w:rFonts w:ascii="IRNazanin" w:hAnsi="IRNazanin" w:eastAsia="IRNazanin" w:cs="IRNazanin"/>
          <w:lang w:bidi="fa-IR"/>
          <w:color w:val="111111"/>
          <w:sz w:val="28"/>
          <w:szCs w:val="28"/>
          <w:rtl/>
        </w:rPr>
        <w:t xml:space="preserve">2 - أبو الفرج الکاتب محمّد بن علیّ بن یعقوب بن اسحاق بن أبی قرّة القنائی، الّذی وثّقه فی الکتاب و أثنی علیه.</w:t>
      </w:r>
    </w:p>
    <w:p>
      <w:pPr>
        <w:pStyle w:val="BookText"/>
      </w:pPr>
      <w:r>
        <w:rPr>
          <w:rFonts w:ascii="IRNazanin" w:hAnsi="IRNazanin" w:eastAsia="IRNazanin" w:cs="IRNazanin"/>
          <w:lang w:bidi="fa-IR"/>
          <w:color w:val="111111"/>
          <w:sz w:val="28"/>
          <w:szCs w:val="28"/>
          <w:rtl/>
        </w:rPr>
        <w:t xml:space="preserve">3 - أبو عبد اللّه محمّد بن علیّ بن شاذان القزوینی، الّذی أکثر روایاته عن أحمد بن محمّد بن یحیی العطّار.</w:t>
      </w:r>
    </w:p>
    <w:p>
      <w:pPr>
        <w:pStyle w:val="BookText"/>
      </w:pPr>
      <w:r>
        <w:rPr>
          <w:rFonts w:ascii="IRNazanin" w:hAnsi="IRNazanin" w:eastAsia="IRNazanin" w:cs="IRNazanin"/>
          <w:lang w:bidi="fa-IR"/>
          <w:color w:val="111111"/>
          <w:sz w:val="28"/>
          <w:szCs w:val="28"/>
          <w:rtl/>
        </w:rPr>
        <w:t xml:space="preserve">[شماره صفحه واقعی : 285]</w:t>
      </w:r>
    </w:p>
    <w:p>
      <w:pPr>
        <w:pStyle w:val="BookText"/>
      </w:pPr>
      <w:r>
        <w:rPr>
          <w:rFonts w:ascii="IRNazanin" w:hAnsi="IRNazanin" w:eastAsia="IRNazanin" w:cs="IRNazanin"/>
          <w:lang w:bidi="fa-IR"/>
          <w:color w:val="111111"/>
          <w:sz w:val="28"/>
          <w:szCs w:val="28"/>
          <w:rtl/>
        </w:rPr>
        <w:t xml:space="preserve">ص: 1003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أبو الحسن محمّد بن أحمد بن علیّ بن الحسن بن شاذان الفامی القمّی.</w:t>
      </w:r>
    </w:p>
    <w:p>
      <w:pPr>
        <w:pStyle w:val="BookText"/>
      </w:pPr>
      <w:r>
        <w:rPr>
          <w:rFonts w:ascii="IRNazanin" w:hAnsi="IRNazanin" w:eastAsia="IRNazanin" w:cs="IRNazanin"/>
          <w:lang w:bidi="fa-IR"/>
          <w:color w:val="111111"/>
          <w:sz w:val="28"/>
          <w:szCs w:val="28"/>
          <w:rtl/>
        </w:rPr>
        <w:t xml:space="preserve">5 - القاضی أبو الحسین محمّد بن عثمان بن الحسن النصیبی.</w:t>
      </w:r>
    </w:p>
    <w:p>
      <w:pPr>
        <w:pStyle w:val="BookText"/>
      </w:pPr>
      <w:r>
        <w:rPr>
          <w:rFonts w:ascii="IRNazanin" w:hAnsi="IRNazanin" w:eastAsia="IRNazanin" w:cs="IRNazanin"/>
          <w:lang w:bidi="fa-IR"/>
          <w:color w:val="111111"/>
          <w:sz w:val="28"/>
          <w:szCs w:val="28"/>
          <w:rtl/>
        </w:rPr>
        <w:t xml:space="preserve">6 - محمّد بن جعفر الأدیب و قد یعبّر عنه ب «المؤدّب» و «القمّی» و «التمیمی» و «النحوی».</w:t>
      </w:r>
    </w:p>
    <w:p>
      <w:pPr>
        <w:pStyle w:val="BookText"/>
      </w:pPr>
      <w:r>
        <w:rPr>
          <w:rFonts w:ascii="IRNazanin" w:hAnsi="IRNazanin" w:eastAsia="IRNazanin" w:cs="IRNazanin"/>
          <w:lang w:bidi="fa-IR"/>
          <w:color w:val="111111"/>
          <w:sz w:val="28"/>
          <w:szCs w:val="28"/>
          <w:rtl/>
        </w:rPr>
        <w:t xml:space="preserve">7 - أبو العباس أحمد بن علیّ بن العباس بن نوح السیرافی الّذی صرح بأنّه شیخه و مستنده و من استفاد منه.</w:t>
      </w:r>
    </w:p>
    <w:p>
      <w:pPr>
        <w:pStyle w:val="BookText"/>
      </w:pPr>
      <w:r>
        <w:rPr>
          <w:rFonts w:ascii="IRNazanin" w:hAnsi="IRNazanin" w:eastAsia="IRNazanin" w:cs="IRNazanin"/>
          <w:lang w:bidi="fa-IR"/>
          <w:color w:val="111111"/>
          <w:sz w:val="28"/>
          <w:szCs w:val="28"/>
          <w:rtl/>
        </w:rPr>
        <w:t xml:space="preserve">8 - أبو الحسن أحمد بن محمّد بن عمران بن موسی بن الجرّاح المعروف بابن الجندی.</w:t>
      </w:r>
    </w:p>
    <w:p>
      <w:pPr>
        <w:pStyle w:val="BookText"/>
      </w:pPr>
      <w:r>
        <w:rPr>
          <w:rFonts w:ascii="IRNazanin" w:hAnsi="IRNazanin" w:eastAsia="IRNazanin" w:cs="IRNazanin"/>
          <w:lang w:bidi="fa-IR"/>
          <w:color w:val="111111"/>
          <w:sz w:val="28"/>
          <w:szCs w:val="28"/>
          <w:rtl/>
        </w:rPr>
        <w:t xml:space="preserve">9 - أبو عبد اللّه أحمد بن عبد الواحد بن أحمد البزاز.</w:t>
      </w:r>
    </w:p>
    <w:p>
      <w:pPr>
        <w:pStyle w:val="BookText"/>
      </w:pPr>
      <w:r>
        <w:rPr>
          <w:rFonts w:ascii="IRNazanin" w:hAnsi="IRNazanin" w:eastAsia="IRNazanin" w:cs="IRNazanin"/>
          <w:lang w:bidi="fa-IR"/>
          <w:color w:val="111111"/>
          <w:sz w:val="28"/>
          <w:szCs w:val="28"/>
          <w:rtl/>
        </w:rPr>
        <w:t xml:space="preserve">10 - أبو الحسین أحمد بن الحسین بن عبید اللّه الغضائری المعروف.</w:t>
      </w:r>
    </w:p>
    <w:p>
      <w:pPr>
        <w:pStyle w:val="BookText"/>
      </w:pPr>
      <w:r>
        <w:rPr>
          <w:rFonts w:ascii="IRNazanin" w:hAnsi="IRNazanin" w:eastAsia="IRNazanin" w:cs="IRNazanin"/>
          <w:lang w:bidi="fa-IR"/>
          <w:color w:val="111111"/>
          <w:sz w:val="28"/>
          <w:szCs w:val="28"/>
          <w:rtl/>
        </w:rPr>
        <w:t xml:space="preserve">11 - أحمد بن محمد بن عبد اللّه الجعفی، الّذی یروی غالبا عن أحمد ابن محمّد بن عقدة الحافظ.</w:t>
      </w:r>
    </w:p>
    <w:p>
      <w:pPr>
        <w:pStyle w:val="BookText"/>
      </w:pPr>
      <w:r>
        <w:rPr>
          <w:rFonts w:ascii="IRNazanin" w:hAnsi="IRNazanin" w:eastAsia="IRNazanin" w:cs="IRNazanin"/>
          <w:lang w:bidi="fa-IR"/>
          <w:color w:val="111111"/>
          <w:sz w:val="28"/>
          <w:szCs w:val="28"/>
          <w:rtl/>
        </w:rPr>
        <w:t xml:space="preserve">12 - أبو الحسن أحمد بن محمّد بن موسی الأهوازی المعروف بابن الصّلت الذی هو من مشایخ الشیخ.</w:t>
      </w:r>
    </w:p>
    <w:p>
      <w:pPr>
        <w:pStyle w:val="BookText"/>
      </w:pPr>
      <w:r>
        <w:rPr>
          <w:rFonts w:ascii="IRNazanin" w:hAnsi="IRNazanin" w:eastAsia="IRNazanin" w:cs="IRNazanin"/>
          <w:lang w:bidi="fa-IR"/>
          <w:color w:val="111111"/>
          <w:sz w:val="28"/>
          <w:szCs w:val="28"/>
          <w:rtl/>
        </w:rPr>
        <w:t xml:space="preserve">13 - والده علیّ بن أحمد بن علیّ بن العباس النجاشی.</w:t>
      </w:r>
    </w:p>
    <w:p>
      <w:pPr>
        <w:pStyle w:val="BookText"/>
      </w:pPr>
      <w:r>
        <w:rPr>
          <w:rFonts w:ascii="IRNazanin" w:hAnsi="IRNazanin" w:eastAsia="IRNazanin" w:cs="IRNazanin"/>
          <w:lang w:bidi="fa-IR"/>
          <w:color w:val="111111"/>
          <w:sz w:val="28"/>
          <w:szCs w:val="28"/>
          <w:rtl/>
        </w:rPr>
        <w:t xml:space="preserve">14 - أبو الحسین علیّ بن احمد بن أبی جید القمی.</w:t>
      </w:r>
    </w:p>
    <w:p>
      <w:pPr>
        <w:pStyle w:val="BookText"/>
      </w:pPr>
      <w:r>
        <w:rPr>
          <w:rFonts w:ascii="IRNazanin" w:hAnsi="IRNazanin" w:eastAsia="IRNazanin" w:cs="IRNazanin"/>
          <w:lang w:bidi="fa-IR"/>
          <w:color w:val="111111"/>
          <w:sz w:val="28"/>
          <w:szCs w:val="28"/>
          <w:rtl/>
        </w:rPr>
        <w:t xml:space="preserve">15 - أبو القاسم علیّ بن شبل بن أسد الملقّب بالوکیل و هو من مشایخ الشیخ.</w:t>
      </w:r>
    </w:p>
    <w:p>
      <w:pPr>
        <w:pStyle w:val="BookText"/>
      </w:pPr>
      <w:r>
        <w:rPr>
          <w:rFonts w:ascii="IRNazanin" w:hAnsi="IRNazanin" w:eastAsia="IRNazanin" w:cs="IRNazanin"/>
          <w:lang w:bidi="fa-IR"/>
          <w:color w:val="111111"/>
          <w:sz w:val="28"/>
          <w:szCs w:val="28"/>
          <w:rtl/>
        </w:rPr>
        <w:t xml:space="preserve">16 - القاضی أبو الحسن علیّ بن محمّد بن یوسف.</w:t>
      </w:r>
    </w:p>
    <w:p>
      <w:pPr>
        <w:pStyle w:val="BookText"/>
      </w:pPr>
      <w:r>
        <w:rPr>
          <w:rFonts w:ascii="IRNazanin" w:hAnsi="IRNazanin" w:eastAsia="IRNazanin" w:cs="IRNazanin"/>
          <w:lang w:bidi="fa-IR"/>
          <w:color w:val="111111"/>
          <w:sz w:val="28"/>
          <w:szCs w:val="28"/>
          <w:rtl/>
        </w:rPr>
        <w:t xml:space="preserve">17 - الحسن بن أحمد بن إبراهیم.</w:t>
      </w:r>
    </w:p>
    <w:p>
      <w:pPr>
        <w:pStyle w:val="BookText"/>
      </w:pPr>
      <w:r>
        <w:rPr>
          <w:rFonts w:ascii="IRNazanin" w:hAnsi="IRNazanin" w:eastAsia="IRNazanin" w:cs="IRNazanin"/>
          <w:lang w:bidi="fa-IR"/>
          <w:color w:val="111111"/>
          <w:sz w:val="28"/>
          <w:szCs w:val="28"/>
          <w:rtl/>
        </w:rPr>
        <w:t xml:space="preserve">[شماره صفحه واقعی : 286]</w:t>
      </w:r>
    </w:p>
    <w:p>
      <w:pPr>
        <w:pStyle w:val="BookText"/>
      </w:pPr>
      <w:r>
        <w:rPr>
          <w:rFonts w:ascii="IRNazanin" w:hAnsi="IRNazanin" w:eastAsia="IRNazanin" w:cs="IRNazanin"/>
          <w:lang w:bidi="fa-IR"/>
          <w:color w:val="111111"/>
          <w:sz w:val="28"/>
          <w:szCs w:val="28"/>
          <w:rtl/>
        </w:rPr>
        <w:t xml:space="preserve">ص: 1004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أبو محمّد الحسن بن أحمد بن الهیثم العجلی الذی قال فیه «أنّه من وجوه أصحابنا».</w:t>
      </w:r>
    </w:p>
    <w:p>
      <w:pPr>
        <w:pStyle w:val="BookText"/>
      </w:pPr>
      <w:r>
        <w:rPr>
          <w:rFonts w:ascii="IRNazanin" w:hAnsi="IRNazanin" w:eastAsia="IRNazanin" w:cs="IRNazanin"/>
          <w:lang w:bidi="fa-IR"/>
          <w:color w:val="111111"/>
          <w:sz w:val="28"/>
          <w:szCs w:val="28"/>
          <w:rtl/>
        </w:rPr>
        <w:t xml:space="preserve">19 - أبو عبد اللّه الحسین بن عبید اللّه بن ابراهیم الغضائری، الذی هو من أجلاّء شیوخ الشیخ.</w:t>
      </w:r>
    </w:p>
    <w:p>
      <w:pPr>
        <w:pStyle w:val="BookText"/>
      </w:pPr>
      <w:r>
        <w:rPr>
          <w:rFonts w:ascii="IRNazanin" w:hAnsi="IRNazanin" w:eastAsia="IRNazanin" w:cs="IRNazanin"/>
          <w:lang w:bidi="fa-IR"/>
          <w:color w:val="111111"/>
          <w:sz w:val="28"/>
          <w:szCs w:val="28"/>
          <w:rtl/>
        </w:rPr>
        <w:t xml:space="preserve">20 - أبو عبد اللّه الحسین بن جعفر بن محمّد المخزومی الخزّاز المعروف بابن الخمری.</w:t>
      </w:r>
    </w:p>
    <w:p>
      <w:pPr>
        <w:pStyle w:val="BookText"/>
      </w:pPr>
      <w:r>
        <w:rPr>
          <w:rFonts w:ascii="IRNazanin" w:hAnsi="IRNazanin" w:eastAsia="IRNazanin" w:cs="IRNazanin"/>
          <w:lang w:bidi="fa-IR"/>
          <w:color w:val="111111"/>
          <w:sz w:val="28"/>
          <w:szCs w:val="28"/>
          <w:rtl/>
        </w:rPr>
        <w:t xml:space="preserve">21 - أبو عبد اللّه الحسین بن أحمد بن موسی بن هدیة.</w:t>
      </w:r>
    </w:p>
    <w:p>
      <w:pPr>
        <w:pStyle w:val="BookText"/>
      </w:pPr>
      <w:r>
        <w:rPr>
          <w:rFonts w:ascii="IRNazanin" w:hAnsi="IRNazanin" w:eastAsia="IRNazanin" w:cs="IRNazanin"/>
          <w:lang w:bidi="fa-IR"/>
          <w:color w:val="111111"/>
          <w:sz w:val="28"/>
          <w:szCs w:val="28"/>
          <w:rtl/>
        </w:rPr>
        <w:t xml:space="preserve">22 - القاضی أبو إسحاق إبراهیم بن مخلّد بن جعفر.</w:t>
      </w:r>
    </w:p>
    <w:p>
      <w:pPr>
        <w:pStyle w:val="BookText"/>
      </w:pPr>
      <w:r>
        <w:rPr>
          <w:rFonts w:ascii="IRNazanin" w:hAnsi="IRNazanin" w:eastAsia="IRNazanin" w:cs="IRNazanin"/>
          <w:lang w:bidi="fa-IR"/>
          <w:color w:val="111111"/>
          <w:sz w:val="28"/>
          <w:szCs w:val="28"/>
          <w:rtl/>
        </w:rPr>
        <w:t xml:space="preserve">23 - أبو الحسن أسد بن إبراهیم بن کلیب السلمی الحرّانی.</w:t>
      </w:r>
    </w:p>
    <w:p>
      <w:pPr>
        <w:pStyle w:val="BookText"/>
      </w:pPr>
      <w:r>
        <w:rPr>
          <w:rFonts w:ascii="IRNazanin" w:hAnsi="IRNazanin" w:eastAsia="IRNazanin" w:cs="IRNazanin"/>
          <w:lang w:bidi="fa-IR"/>
          <w:color w:val="111111"/>
          <w:sz w:val="28"/>
          <w:szCs w:val="28"/>
          <w:rtl/>
        </w:rPr>
        <w:t xml:space="preserve">24 - أبو الخیر الموصلی سلامة بن ذکا و هو من رجال التلّعکبری.</w:t>
      </w:r>
    </w:p>
    <w:p>
      <w:pPr>
        <w:pStyle w:val="BookText"/>
      </w:pPr>
      <w:r>
        <w:rPr>
          <w:rFonts w:ascii="IRNazanin" w:hAnsi="IRNazanin" w:eastAsia="IRNazanin" w:cs="IRNazanin"/>
          <w:lang w:bidi="fa-IR"/>
          <w:color w:val="111111"/>
          <w:sz w:val="28"/>
          <w:szCs w:val="28"/>
          <w:rtl/>
        </w:rPr>
        <w:t xml:space="preserve">25 - أبو الحسن العبّاس بن عمر بن العبّاس بن محمّد بن عبد الملک بن أبی مروان الکلوذانی المعروف بابن المروان، الّذی أکثر روایاته عن علیّ ابن بابویه.</w:t>
      </w:r>
    </w:p>
    <w:p>
      <w:pPr>
        <w:pStyle w:val="BookText"/>
      </w:pPr>
      <w:r>
        <w:rPr>
          <w:rFonts w:ascii="IRNazanin" w:hAnsi="IRNazanin" w:eastAsia="IRNazanin" w:cs="IRNazanin"/>
          <w:lang w:bidi="fa-IR"/>
          <w:color w:val="111111"/>
          <w:sz w:val="28"/>
          <w:szCs w:val="28"/>
          <w:rtl/>
        </w:rPr>
        <w:t xml:space="preserve">26 - أبو أحمد عبد السّلام بن الحسین بن محمّد بن عبد اللّه البصری.</w:t>
      </w:r>
    </w:p>
    <w:p>
      <w:pPr>
        <w:pStyle w:val="BookText"/>
      </w:pPr>
      <w:r>
        <w:rPr>
          <w:rFonts w:ascii="Amiri" w:hAnsi="Amiri" w:eastAsia="Amiri" w:cs="Amiri"/>
          <w:lang w:bidi="ar-SA"/>
          <w:color w:val="111111"/>
          <w:sz w:val="28"/>
          <w:szCs w:val="28"/>
          <w:rtl/>
        </w:rPr>
        <w:t xml:space="preserve">27 - أبو محمّد عبد اللّه بن محمّد بن محمّد بن عبد اللّه الدعجلی.</w:t>
      </w:r>
    </w:p>
    <w:p>
      <w:pPr>
        <w:pStyle w:val="BookText"/>
      </w:pPr>
      <w:r>
        <w:rPr>
          <w:rFonts w:ascii="IRNazanin" w:hAnsi="IRNazanin" w:eastAsia="IRNazanin" w:cs="IRNazanin"/>
          <w:lang w:bidi="fa-IR"/>
          <w:color w:val="111111"/>
          <w:sz w:val="28"/>
          <w:szCs w:val="28"/>
          <w:rtl/>
        </w:rPr>
        <w:t xml:space="preserve">28 - عثمان بن حاتم بن منتاب التغلبی.</w:t>
      </w:r>
    </w:p>
    <w:p>
      <w:pPr>
        <w:pStyle w:val="BookText"/>
      </w:pPr>
      <w:r>
        <w:rPr>
          <w:rFonts w:ascii="IRNazanin" w:hAnsi="IRNazanin" w:eastAsia="IRNazanin" w:cs="IRNazanin"/>
          <w:lang w:bidi="fa-IR"/>
          <w:color w:val="111111"/>
          <w:sz w:val="28"/>
          <w:szCs w:val="28"/>
          <w:rtl/>
        </w:rPr>
        <w:t xml:space="preserve">29 - أبو محمد هرون بن موسی التلّعکبری.</w:t>
      </w:r>
    </w:p>
    <w:p>
      <w:pPr>
        <w:pStyle w:val="BookText"/>
      </w:pPr>
      <w:r>
        <w:rPr>
          <w:rFonts w:ascii="IRNazanin" w:hAnsi="IRNazanin" w:eastAsia="IRNazanin" w:cs="IRNazanin"/>
          <w:lang w:bidi="fa-IR"/>
          <w:color w:val="111111"/>
          <w:sz w:val="28"/>
          <w:szCs w:val="28"/>
          <w:rtl/>
        </w:rPr>
        <w:t xml:space="preserve">30 - أبو جعفر أو أبو الحسین محمّد هرون التلّعکبری.</w:t>
      </w:r>
    </w:p>
    <w:p>
      <w:pPr>
        <w:pStyle w:val="BookText"/>
      </w:pPr>
      <w:r>
        <w:rPr>
          <w:rFonts w:ascii="IRNazanin" w:hAnsi="IRNazanin" w:eastAsia="IRNazanin" w:cs="IRNazanin"/>
          <w:lang w:bidi="fa-IR"/>
          <w:color w:val="111111"/>
          <w:sz w:val="28"/>
          <w:szCs w:val="28"/>
          <w:rtl/>
        </w:rPr>
        <w:t xml:space="preserve">31 - أبو الحسین أحمد بن محمّد بن علیّ الکوفی الکاتب الّذی روی</w:t>
      </w:r>
    </w:p>
    <w:p>
      <w:pPr>
        <w:pStyle w:val="BookText"/>
      </w:pPr>
      <w:r>
        <w:rPr>
          <w:rFonts w:ascii="IRNazanin" w:hAnsi="IRNazanin" w:eastAsia="IRNazanin" w:cs="IRNazanin"/>
          <w:lang w:bidi="fa-IR"/>
          <w:color w:val="111111"/>
          <w:sz w:val="28"/>
          <w:szCs w:val="28"/>
          <w:rtl/>
        </w:rPr>
        <w:t xml:space="preserve">[شماره صفحه واقعی : 287]</w:t>
      </w:r>
    </w:p>
    <w:p>
      <w:pPr>
        <w:pStyle w:val="BookText"/>
      </w:pPr>
      <w:r>
        <w:rPr>
          <w:rFonts w:ascii="IRNazanin" w:hAnsi="IRNazanin" w:eastAsia="IRNazanin" w:cs="IRNazanin"/>
          <w:lang w:bidi="fa-IR"/>
          <w:color w:val="111111"/>
          <w:sz w:val="28"/>
          <w:szCs w:val="28"/>
          <w:rtl/>
        </w:rPr>
        <w:t xml:space="preserve">ص: 1005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السید الأجلّ المرتضی.</w:t>
      </w:r>
    </w:p>
    <w:p>
      <w:pPr>
        <w:pStyle w:val="BookText"/>
      </w:pPr>
      <w:r>
        <w:rPr>
          <w:rFonts w:ascii="IRNazanin" w:hAnsi="IRNazanin" w:eastAsia="IRNazanin" w:cs="IRNazanin"/>
          <w:lang w:bidi="fa-IR"/>
          <w:color w:val="111111"/>
          <w:sz w:val="28"/>
          <w:szCs w:val="28"/>
          <w:rtl/>
        </w:rPr>
        <w:t xml:space="preserve">32 - أبو محمّد الحسن بن محمّد بن یحیی بن داود الفحّام</w:t>
      </w:r>
      <w:r>
        <w:rPr>
          <w:rStyle w:val="FootnoteReference"/>
        </w:rPr>
        <w:footnoteReference w:id="4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w:t>
      </w:r>
    </w:p>
    <w:p>
      <w:pPr>
        <w:pStyle w:val="BookText"/>
      </w:pPr>
      <w:r>
        <w:rPr>
          <w:rFonts w:ascii="IRNazanin" w:hAnsi="IRNazanin" w:eastAsia="IRNazanin" w:cs="IRNazanin"/>
          <w:lang w:bidi="fa-IR"/>
          <w:color w:val="111111"/>
          <w:sz w:val="28"/>
          <w:szCs w:val="28"/>
          <w:rtl/>
        </w:rPr>
        <w:t xml:space="preserve">ص: 1006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431" w:name="pg14419_167722"/>
    <w:bookmarkEnd w:id="431"/>
    <w:p>
      <w:pPr>
        <w:pStyle w:val="Heading5"/>
      </w:pPr>
      <w:bookmarkStart w:id="1372" w:name="_Toc812"/>
      <w:r>
        <w:t>4 - کل من یروی عنه محمد بن أحمد بن یحیی بلا واسطة فی «نوادر الحکمة»</w:t>
      </w:r>
      <w:bookmarkEnd w:id="1372"/>
    </w:p>
    <w:p>
      <w:pPr>
        <w:pStyle w:val="Heading6"/>
      </w:pPr>
      <w:bookmarkStart w:id="1373" w:name="_Toc813"/>
      <w:r>
        <w:t>اشارة</w:t>
      </w:r>
      <w:bookmarkEnd w:id="1373"/>
    </w:p>
    <w:p>
      <w:pPr>
        <w:pStyle w:val="BookText"/>
      </w:pPr>
      <w:r>
        <w:rPr>
          <w:rFonts w:ascii="IRNazanin" w:hAnsi="IRNazanin" w:eastAsia="IRNazanin" w:cs="IRNazanin"/>
          <w:lang w:bidi="fa-IR"/>
          <w:color w:val="111111"/>
          <w:sz w:val="28"/>
          <w:szCs w:val="28"/>
          <w:rtl/>
        </w:rPr>
        <w:t xml:space="preserve">[شماره صفحه واقعی : 289]</w:t>
      </w:r>
    </w:p>
    <w:p>
      <w:pPr>
        <w:pStyle w:val="BookText"/>
      </w:pPr>
      <w:r>
        <w:rPr>
          <w:rFonts w:ascii="IRNazanin" w:hAnsi="IRNazanin" w:eastAsia="IRNazanin" w:cs="IRNazanin"/>
          <w:lang w:bidi="fa-IR"/>
          <w:color w:val="111111"/>
          <w:sz w:val="28"/>
          <w:szCs w:val="28"/>
          <w:rtl/>
        </w:rPr>
        <w:t xml:space="preserve">ص: 1007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290]</w:t>
      </w:r>
    </w:p>
    <w:p>
      <w:pPr>
        <w:pStyle w:val="BookText"/>
      </w:pPr>
      <w:r>
        <w:rPr>
          <w:rFonts w:ascii="IRNazanin" w:hAnsi="IRNazanin" w:eastAsia="IRNazanin" w:cs="IRNazanin"/>
          <w:lang w:bidi="fa-IR"/>
          <w:color w:val="111111"/>
          <w:sz w:val="28"/>
          <w:szCs w:val="28"/>
          <w:rtl/>
        </w:rPr>
        <w:t xml:space="preserve">ص: 1008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لتوضیح هذا النوع من التوثیق نقدّم مقدّمة و هی: أنّ محمّد بن أحمد بن یحیی بن عمران الأشعری القمّی الّذی یعدّ من أجلاّء الأصحاب، قد ألّف کتابا أسماه «نوادر الحکمة» و هو یشتمل علی کتب أوّلها کتاب التّوحید و آخرها کتاب القضایا و الأحکام کما ذکره الشیخ فی الفهرس</w:t>
      </w:r>
      <w:r>
        <w:rPr>
          <w:rStyle w:val="FootnoteReference"/>
        </w:rPr>
        <w:footnoteReference w:id="4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النجاشی یصف الکتاب بقوله: «لمحمّد بن أحمد بن یحیی کتب منها کتاب «نوادر الحکمة» و هو کتاب حسن کبیر یعرفه القمیون ب «دبّة شبیب» قال: و شبیب فامیّ کان بقم له دبّة ذات بیوت، یعطی منها ما یطلب منه من دهن فشبّهوا هذا الکتاب بذلک».</w:t>
      </w:r>
    </w:p>
    <w:p>
      <w:pPr>
        <w:pStyle w:val="BookText"/>
      </w:pPr>
      <w:r>
        <w:rPr>
          <w:rFonts w:ascii="IRNazanin" w:hAnsi="IRNazanin" w:eastAsia="IRNazanin" w:cs="IRNazanin"/>
          <w:lang w:bidi="fa-IR"/>
          <w:color w:val="111111"/>
          <w:sz w:val="28"/>
          <w:szCs w:val="28"/>
          <w:rtl/>
        </w:rPr>
        <w:t xml:space="preserve">و یعرّف شخصیّته بقوله: «محمّد بن أحمد بن یحیی الأشعری القمّی کان ثقة فی الحدیث، إلاّ أنّ أصحابنا قالوا: کان یروی عن الضّعفاء، و یعتمد المراسیل، و لا یبالی عمّن أخذ، و ما علیه فی نفسه مطعن فی شیء و کان محمّد بن الحسن بن الولید</w:t>
      </w:r>
      <w:r>
        <w:rPr>
          <w:rStyle w:val="FootnoteReference"/>
        </w:rPr>
        <w:footnoteReference w:id="4015"/>
      </w:r>
      <w:r>
        <w:rPr>
          <w:rFonts w:ascii="IRNazanin" w:hAnsi="IRNazanin" w:eastAsia="IRNazanin" w:cs="IRNazanin"/>
          <w:lang w:bidi="fa-IR"/>
          <w:color w:val="111111"/>
          <w:sz w:val="28"/>
          <w:szCs w:val="28"/>
          <w:rtl/>
        </w:rPr>
        <w:t xml:space="preserve">یستثنی من روایة محمّد بن أحمد بن یحیی ما</w:t>
      </w:r>
    </w:p>
    <w:p>
      <w:pPr>
        <w:pStyle w:val="BookText"/>
      </w:pPr>
      <w:r>
        <w:rPr>
          <w:rFonts w:ascii="IRNazanin" w:hAnsi="IRNazanin" w:eastAsia="IRNazanin" w:cs="IRNazanin"/>
          <w:lang w:bidi="fa-IR"/>
          <w:color w:val="111111"/>
          <w:sz w:val="28"/>
          <w:szCs w:val="28"/>
          <w:rtl/>
        </w:rPr>
        <w:t xml:space="preserve">[شماره صفحه واقعی : 291]</w:t>
      </w:r>
    </w:p>
    <w:p>
      <w:pPr>
        <w:pStyle w:val="BookText"/>
      </w:pPr>
      <w:r>
        <w:rPr>
          <w:rFonts w:ascii="IRNazanin" w:hAnsi="IRNazanin" w:eastAsia="IRNazanin" w:cs="IRNazanin"/>
          <w:lang w:bidi="fa-IR"/>
          <w:color w:val="111111"/>
          <w:sz w:val="28"/>
          <w:szCs w:val="28"/>
          <w:rtl/>
        </w:rPr>
        <w:t xml:space="preserve">ص: 1009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432" w:name="pg14419_167725"/>
    <w:bookmarkEnd w:id="432"/>
    <w:p>
      <w:pPr>
        <w:pStyle w:val="BookText"/>
      </w:pPr>
      <w:r>
        <w:rPr>
          <w:rFonts w:ascii="IRNazanin" w:hAnsi="IRNazanin" w:eastAsia="IRNazanin" w:cs="IRNazanin"/>
          <w:lang w:bidi="fa-IR"/>
          <w:color w:val="111111"/>
          <w:sz w:val="28"/>
          <w:szCs w:val="28"/>
          <w:rtl/>
        </w:rPr>
        <w:t xml:space="preserve">رواه عن 1 - محمّد بن موسی الهمدانی، 2 - أو ما رواه عن رجل. 3 - أو یقول بعض أصحابنا 4 - او عن محمّد بن یحیی المعاذی 5 - أو عن أبی عبد اللّه الرّازی الجامورانی 6 - أو عن أبی عبد اللّه السیّاری 7 - أو عن یوسف بن السخت 8 - أو عن وهب بن منبّه 9 - أو عن أبی علیّ النیشابوری 10 - أو عن أبی یحیی الواسطی 11 - أو عن محمّد بن علی أبی سمینة 12 - أو یقول فی حدیث أو کتاب و لم أروه 13 - أو عن سهل بن زیاد الآدمی 14 - أو عن محمّد بن عیسی بن عبید بإسناد منقطع 15 - أو عن أحمد بن هلال 16 - أو محمّد بن علیّ الهمدانی 17 - أو عبد اللّه بن محمّد الشامی 18 - أو عبد اللّه بن أحمد الرازی 19 - أو أحمد بن الحسین بن سعید 20 - أو أحمد بن بشیر الرقّی 21 - أو عن محمّد بن هارون 22 - أو عن ممویة بن معروف 23 - أو عن محمّد بن عبد اللّه بن مهران 24 - أو ما ینفرد به الحسن بن الحسین اللّؤلؤی 25 - و ما یرویه عن جعفر بن محمد بن مالک 26 - أو یوسف بن الحارث 27 - أو عبد اللّه بن محمّد الدمشقی</w:t>
      </w:r>
      <w:r>
        <w:rPr>
          <w:rStyle w:val="FootnoteReference"/>
        </w:rPr>
        <w:footnoteReference w:id="4016"/>
      </w:r>
      <w:r>
        <w:rPr>
          <w:rFonts w:ascii="Times New Roman" w:hAnsi="Times New Roman" w:eastAsia="Times New Roman" w:cs="Times New Roman"/>
          <w:lang w:val="en-US" w:bidi="en-US"/>
          <w:color w:val="111111"/>
          <w:sz w:val="28"/>
          <w:szCs w:val="28"/>
          <w:rtl/>
        </w:rPr>
        <w:t xml:space="preserve">.</w:t>
      </w:r>
    </w:p>
    <w:p>
      <w:pPr>
        <w:pStyle w:val="Heading6"/>
      </w:pPr>
      <w:bookmarkStart w:id="1374" w:name="_Toc814"/>
      <w:r>
        <w:t>طبقته فی الحدیث</w:t>
      </w:r>
      <w:bookmarkEnd w:id="1374"/>
    </w:p>
    <w:p>
      <w:pPr>
        <w:pStyle w:val="BookText"/>
      </w:pPr>
      <w:r>
        <w:rPr>
          <w:rFonts w:ascii="IRNazanin" w:hAnsi="IRNazanin" w:eastAsia="IRNazanin" w:cs="IRNazanin"/>
          <w:lang w:bidi="fa-IR"/>
          <w:color w:val="111111"/>
          <w:sz w:val="28"/>
          <w:szCs w:val="28"/>
          <w:rtl/>
        </w:rPr>
        <w:t xml:space="preserve">یروی هو عن مشایخ کثیرة، منهم ابن أبی عمیر (المتوفّی عام 217) و أحمد بن أبی نصر البزنطی (المتوفّی عام 221) و أحمد بن خالد البرقی (المتوفّی عام 274 او 280).</w:t>
      </w:r>
    </w:p>
    <w:p>
      <w:pPr>
        <w:pStyle w:val="BookText"/>
      </w:pPr>
      <w:r>
        <w:rPr>
          <w:rFonts w:ascii="IRNazanin" w:hAnsi="IRNazanin" w:eastAsia="IRNazanin" w:cs="IRNazanin"/>
          <w:lang w:bidi="fa-IR"/>
          <w:color w:val="111111"/>
          <w:sz w:val="28"/>
          <w:szCs w:val="28"/>
          <w:rtl/>
        </w:rPr>
        <w:t xml:space="preserve">و یروی عنه أحمد بن إدریس الأشعری (المتوفّی عام 306) و سعد بن عبد اللّه القمّی (المتوفّی عام 299 أو 301).</w:t>
      </w:r>
    </w:p>
    <w:p>
      <w:pPr>
        <w:pStyle w:val="BookText"/>
      </w:pPr>
      <w:r>
        <w:rPr>
          <w:rFonts w:ascii="IRNazanin" w:hAnsi="IRNazanin" w:eastAsia="IRNazanin" w:cs="IRNazanin"/>
          <w:lang w:bidi="fa-IR"/>
          <w:color w:val="111111"/>
          <w:sz w:val="28"/>
          <w:szCs w:val="28"/>
          <w:rtl/>
        </w:rPr>
        <w:t xml:space="preserve">[شماره صفحه واقعی : 292]</w:t>
      </w:r>
    </w:p>
    <w:p>
      <w:pPr>
        <w:pStyle w:val="BookText"/>
      </w:pPr>
      <w:r>
        <w:rPr>
          <w:rFonts w:ascii="IRNazanin" w:hAnsi="IRNazanin" w:eastAsia="IRNazanin" w:cs="IRNazanin"/>
          <w:lang w:bidi="fa-IR"/>
          <w:color w:val="111111"/>
          <w:sz w:val="28"/>
          <w:szCs w:val="28"/>
          <w:rtl/>
        </w:rPr>
        <w:t xml:space="preserve">ص: 1010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433" w:name="pg14419_167726"/>
    <w:bookmarkEnd w:id="433"/>
    <w:p>
      <w:pPr>
        <w:pStyle w:val="BookText"/>
      </w:pPr>
      <w:r>
        <w:rPr>
          <w:rFonts w:ascii="IRNazanin" w:hAnsi="IRNazanin" w:eastAsia="IRNazanin" w:cs="IRNazanin"/>
          <w:lang w:bidi="fa-IR"/>
          <w:color w:val="111111"/>
          <w:sz w:val="28"/>
          <w:szCs w:val="28"/>
          <w:rtl/>
        </w:rPr>
        <w:t xml:space="preserve">و الرجل من أساتذة الحدیث فی النصف الثانی من القرن الثالث.</w:t>
      </w:r>
    </w:p>
    <w:p>
      <w:pPr>
        <w:pStyle w:val="BookText"/>
      </w:pPr>
      <w:r>
        <w:rPr>
          <w:rFonts w:ascii="IRNazanin" w:hAnsi="IRNazanin" w:eastAsia="IRNazanin" w:cs="IRNazanin"/>
          <w:lang w:bidi="fa-IR"/>
          <w:color w:val="111111"/>
          <w:sz w:val="28"/>
          <w:szCs w:val="28"/>
          <w:rtl/>
        </w:rPr>
        <w:t xml:space="preserve">و زاد الشیخ فی الفهرس: 28 - جعفر بن محمّد الکوفی 29 - و الهیثم بن عدی.</w:t>
      </w:r>
    </w:p>
    <w:p>
      <w:pPr>
        <w:pStyle w:val="BookText"/>
      </w:pPr>
      <w:r>
        <w:rPr>
          <w:rFonts w:ascii="IRNazanin" w:hAnsi="IRNazanin" w:eastAsia="IRNazanin" w:cs="IRNazanin"/>
          <w:lang w:bidi="fa-IR"/>
          <w:color w:val="111111"/>
          <w:sz w:val="28"/>
          <w:szCs w:val="28"/>
          <w:rtl/>
        </w:rPr>
        <w:t xml:space="preserve">غیر أنّ أبا العباس بن نوح قال: «و قد أصاب شیخنا أبو جعفر محمّد بن الحسن بن الولید فی ذلک کلّه و تبعه أبو جعفر بن بابویه - رحمه اللّه - علی ذلک إلاّ فی محمّد بن عیسی بن عبید فلا أدری ما رایه فیه</w:t>
      </w:r>
      <w:r>
        <w:rPr>
          <w:rStyle w:val="FootnoteReference"/>
        </w:rPr>
        <w:footnoteReference w:id="4017"/>
      </w:r>
      <w:r>
        <w:rPr>
          <w:rFonts w:ascii="IRNazanin" w:hAnsi="IRNazanin" w:eastAsia="IRNazanin" w:cs="IRNazanin"/>
          <w:lang w:bidi="fa-IR"/>
          <w:color w:val="111111"/>
          <w:sz w:val="28"/>
          <w:szCs w:val="28"/>
          <w:rtl/>
        </w:rPr>
        <w:t xml:space="preserve">لأنّه کان علی ظاهر العدالة و الثقة»</w:t>
      </w:r>
      <w:r>
        <w:rPr>
          <w:rStyle w:val="FootnoteReference"/>
        </w:rPr>
        <w:footnoteReference w:id="4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فاستدلّوا بأنّ فی استثناء المذکورین و بالأخصّ بالنظر إلی ما ذکره ابن نوح فی حقّ محمّد بن عیسی بن عبید الّذی یدلّ علی التزامهم بإحراز العدالة فی الراوی، شهادة علی عدالة کلّ من روی عنه محمّد بن أحمد بن یحیی و لم تستثن روایته</w:t>
      </w:r>
      <w:r>
        <w:rPr>
          <w:rStyle w:val="FootnoteReference"/>
        </w:rPr>
        <w:footnoteReference w:id="4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باختصار قالوا باعتبار کلّ من یروی عنه محمّد بن أحمد بن یحیی إذا لم یکن ممّن استثناه ابن الولید من روایات محمّد بن أحمد عنه، فإنّ اقتصار ابن الولید علی ما ذکره من موارد الاستثناء یکشف عن اعتماده علی جمیع روایات محمّد بن أحمد غیر الموارد المذکورة. و التصحیح و الاستثناء راجعان إلی مشایخه بلا واسطة لا کلّ من جاء اسمه فی أسناد ذلک الکتاب منتهیا إلی الإمام.</w:t>
      </w:r>
    </w:p>
    <w:p>
      <w:pPr>
        <w:pStyle w:val="Heading6"/>
      </w:pPr>
      <w:bookmarkStart w:id="1375" w:name="_Toc815"/>
      <w:r>
        <w:t>نظرنا فی الموضوع</w:t>
      </w:r>
      <w:bookmarkEnd w:id="1375"/>
    </w:p>
    <w:p>
      <w:pPr>
        <w:pStyle w:val="BookText"/>
      </w:pPr>
      <w:r>
        <w:rPr>
          <w:rFonts w:ascii="IRNazanin" w:hAnsi="IRNazanin" w:eastAsia="IRNazanin" w:cs="IRNazanin"/>
          <w:lang w:bidi="fa-IR"/>
          <w:color w:val="111111"/>
          <w:sz w:val="28"/>
          <w:szCs w:val="28"/>
          <w:rtl/>
        </w:rPr>
        <w:t xml:space="preserve">یستفاد من هذه الکلمات أنّ مشایخه فی الحدیث المذکورین فی رجال</w:t>
      </w:r>
    </w:p>
    <w:p>
      <w:pPr>
        <w:pStyle w:val="BookText"/>
      </w:pPr>
      <w:r>
        <w:rPr>
          <w:rFonts w:ascii="IRNazanin" w:hAnsi="IRNazanin" w:eastAsia="IRNazanin" w:cs="IRNazanin"/>
          <w:lang w:bidi="fa-IR"/>
          <w:color w:val="111111"/>
          <w:sz w:val="28"/>
          <w:szCs w:val="28"/>
          <w:rtl/>
        </w:rPr>
        <w:t xml:space="preserve">[شماره صفحه واقعی : 293]</w:t>
      </w:r>
    </w:p>
    <w:p>
      <w:pPr>
        <w:pStyle w:val="BookText"/>
      </w:pPr>
      <w:r>
        <w:rPr>
          <w:rFonts w:ascii="IRNazanin" w:hAnsi="IRNazanin" w:eastAsia="IRNazanin" w:cs="IRNazanin"/>
          <w:lang w:bidi="fa-IR"/>
          <w:color w:val="111111"/>
          <w:sz w:val="28"/>
          <w:szCs w:val="28"/>
          <w:rtl/>
        </w:rPr>
        <w:t xml:space="preserve">ص: 1011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الحکمة غیر من استثنی، محکوم بالوثاقة و العدالة عند هؤلاء الثلاثة (أعنی ابن الولید و ابن نوح و الصّدوق لأجل اعتماد الأخیر علی تعدیل ابن الولید و جرحه فی عامّة الموارد) و توثیقاتهم حجّة ما لم تعارض بتضعیف آخر.</w:t>
      </w:r>
    </w:p>
    <w:p>
      <w:pPr>
        <w:pStyle w:val="BookText"/>
      </w:pPr>
      <w:r>
        <w:rPr>
          <w:rFonts w:ascii="IRNazanin" w:hAnsi="IRNazanin" w:eastAsia="IRNazanin" w:cs="IRNazanin"/>
          <w:lang w:bidi="fa-IR"/>
          <w:color w:val="111111"/>
          <w:sz w:val="28"/>
          <w:szCs w:val="28"/>
          <w:rtl/>
        </w:rPr>
        <w:t xml:space="preserve">و ربّما یورد علیه بأنّ اعتماد ابن الولید أو غیره من الأعلام المتقدّمین، فضلا عن المتأخّرین، علی روایة شخص و الحکم بصحّتها لا یکشف عن وثاقة الراوی أو حسنه، و ذلک لاحتمال أنّ الحاکم بالصحّة یعتمد علی أصالة العدالة، و یری حجیّة کلّ روایة یرویها مؤمن لم یظهر منه فسق، و هذا لا یفید من یعتبر وثاقة الراوی أو حسنه فی حجّیة خبره</w:t>
      </w:r>
      <w:r>
        <w:rPr>
          <w:rStyle w:val="FootnoteReference"/>
        </w:rPr>
        <w:footnoteReference w:id="4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ما ذکره من الاحتمال لا یوافق ما نقله النّجاشی فی فهرسه عن ابن نوح، فإنّه قد اعترض علی ابن الولید فی استثناء محمّد بن عیسی بن عبید حیث قال: «لا أدری ما رابه فیه - أی ما هو السبب الّذی أوقعه فی الشکّ فیه - لأنّه کان علی ظاهر العدالة و الثقة» و المتبادر من العبارة أنّ الباقین ممّن قد احرزت عدالتهم و وثاقتهم، لا أنّ عدالتهم کانت محرزة بأصالة العدالة.</w:t>
      </w:r>
    </w:p>
    <w:p>
      <w:pPr>
        <w:pStyle w:val="BookText"/>
      </w:pPr>
      <w:r>
        <w:rPr>
          <w:rFonts w:ascii="IRNazanin" w:hAnsi="IRNazanin" w:eastAsia="IRNazanin" w:cs="IRNazanin"/>
          <w:lang w:bidi="fa-IR"/>
          <w:color w:val="111111"/>
          <w:sz w:val="28"/>
          <w:szCs w:val="28"/>
          <w:rtl/>
        </w:rPr>
        <w:t xml:space="preserve">و أضعف من ذلک ما ذکره «لعلّه کان یری حجیّة کلّ روایة یرویها مؤمن لم یظهر منه فسق» فإنّ هذا الاحتمال لا یناسب العبارة.</w:t>
      </w:r>
    </w:p>
    <w:p>
      <w:pPr>
        <w:pStyle w:val="BookText"/>
      </w:pPr>
      <w:r>
        <w:rPr>
          <w:rFonts w:ascii="IRNazanin" w:hAnsi="IRNazanin" w:eastAsia="IRNazanin" w:cs="IRNazanin"/>
          <w:lang w:bidi="fa-IR"/>
          <w:color w:val="111111"/>
          <w:sz w:val="28"/>
          <w:szCs w:val="28"/>
          <w:rtl/>
        </w:rPr>
        <w:t xml:space="preserve">و یوضح هذا النظر ما ذکره الصّدوق فی مورد من الفقیه حیث قال: «کان شیخنا محمّد بن الحسن لا یصحّح خبر صلاة یوم غدیر خمّ و الثواب المذکور فیه لمن صامه، و یقول إنّه من طریق محمّد بن موسی الهمدانی و کان کذّابا غیر ثقة، و کلّ ما لم یصحّحه ذلک الشیخ - قدس اللّه روحه - و لم یحکم بصحّته من الأخبار فهو عندنا متروک غیر صحیح».</w:t>
      </w:r>
    </w:p>
    <w:p>
      <w:pPr>
        <w:pStyle w:val="BookText"/>
      </w:pPr>
      <w:r>
        <w:rPr>
          <w:rFonts w:ascii="IRNazanin" w:hAnsi="IRNazanin" w:eastAsia="IRNazanin" w:cs="IRNazanin"/>
          <w:lang w:bidi="fa-IR"/>
          <w:color w:val="111111"/>
          <w:sz w:val="28"/>
          <w:szCs w:val="28"/>
          <w:rtl/>
        </w:rPr>
        <w:t xml:space="preserve">و قال أیضا: «کان شیخنا محمّد بن الحسن بن أحمد بن الولید - رضی</w:t>
      </w:r>
    </w:p>
    <w:p>
      <w:pPr>
        <w:pStyle w:val="BookText"/>
      </w:pPr>
      <w:r>
        <w:rPr>
          <w:rFonts w:ascii="IRNazanin" w:hAnsi="IRNazanin" w:eastAsia="IRNazanin" w:cs="IRNazanin"/>
          <w:lang w:bidi="fa-IR"/>
          <w:color w:val="111111"/>
          <w:sz w:val="28"/>
          <w:szCs w:val="28"/>
          <w:rtl/>
        </w:rPr>
        <w:t xml:space="preserve">[شماره صفحه واقعی : 294]</w:t>
      </w:r>
    </w:p>
    <w:p>
      <w:pPr>
        <w:pStyle w:val="BookText"/>
      </w:pPr>
      <w:r>
        <w:rPr>
          <w:rFonts w:ascii="IRNazanin" w:hAnsi="IRNazanin" w:eastAsia="IRNazanin" w:cs="IRNazanin"/>
          <w:lang w:bidi="fa-IR"/>
          <w:color w:val="111111"/>
          <w:sz w:val="28"/>
          <w:szCs w:val="28"/>
          <w:rtl/>
        </w:rPr>
        <w:t xml:space="preserve">ص: 1012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 سیّیء الرأی فی محمّد بن عبد اللّه المسمعی، راوی هذا الحدیث، و إنّی قد أخرجت هذا الخبر فی هذا الکتاب، لأنّه کان فی کتاب الرحمة و قد قرأته علیه فلم ینکره و رواه لی»</w:t>
      </w:r>
      <w:r>
        <w:rPr>
          <w:rStyle w:val="FootnoteReference"/>
        </w:rPr>
        <w:footnoteReference w:id="4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التعابیر تشعر بأنّ توصیف الباقین بالوثاقة، و المستثنین بالضعف کان بالاحراز لا بالاعتماد علی أصالة العدالة فی کلّ راو أو علی القول بحجّیة قول کلّ من لم یظهر منه فسق.</w:t>
      </w:r>
    </w:p>
    <w:p>
      <w:pPr>
        <w:pStyle w:val="BookText"/>
      </w:pPr>
      <w:r>
        <w:rPr>
          <w:rFonts w:ascii="IRNazanin" w:hAnsi="IRNazanin" w:eastAsia="IRNazanin" w:cs="IRNazanin"/>
          <w:lang w:bidi="fa-IR"/>
          <w:color w:val="111111"/>
          <w:sz w:val="28"/>
          <w:szCs w:val="28"/>
          <w:rtl/>
        </w:rPr>
        <w:t xml:space="preserve">أضف إلیه أنّه لو کان المناط فی صحّة الروایة هذین الأصلین، لما احتاج الصدوق فی إحراز حال الراوی إلی توثیق أو تضعیف شیخه ابن الولید، لأنّ نسبة الأصل إلی الاستاذ و التلمیذ سواسیة.</w:t>
      </w:r>
    </w:p>
    <w:p>
      <w:pPr>
        <w:pStyle w:val="BookText"/>
      </w:pPr>
      <w:r>
        <w:rPr>
          <w:rFonts w:ascii="IRNazanin" w:hAnsi="IRNazanin" w:eastAsia="IRNazanin" w:cs="IRNazanin"/>
          <w:lang w:bidi="fa-IR"/>
          <w:color w:val="111111"/>
          <w:sz w:val="28"/>
          <w:szCs w:val="28"/>
          <w:rtl/>
        </w:rPr>
        <w:t xml:space="preserve">هذا و إنّ العلاّمة المامقانی نقل عن الحاوی: أنّ استثناء اولئک الجمع لا یقتضی الطعن فیهم، لأنّ رد الروایة أعمّ من الطعن لا سیّما محمّد بن عیسی حیث قبل روایته باسناد غیر منقطع</w:t>
      </w:r>
      <w:r>
        <w:rPr>
          <w:rStyle w:val="FootnoteReference"/>
        </w:rPr>
        <w:footnoteReference w:id="4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خلافه، و لأجل کون الاستثناء دلیلا علی الطّعن تعجب ابن نوح استثناء محمّد بن عیسی بن عبید، مع کونه ظاهر العدالة و الوثاقة نعم لم یردّ روایة محمّد بن عیسی مطلقا إلاّ فیما إذا کانت أسنادها منقطعة.</w:t>
      </w:r>
    </w:p>
    <w:p>
      <w:pPr>
        <w:pStyle w:val="BookText"/>
      </w:pPr>
      <w:r>
        <w:rPr>
          <w:rFonts w:ascii="IRNazanin" w:hAnsi="IRNazanin" w:eastAsia="IRNazanin" w:cs="IRNazanin"/>
          <w:lang w:bidi="fa-IR"/>
          <w:color w:val="111111"/>
          <w:sz w:val="28"/>
          <w:szCs w:val="28"/>
          <w:rtl/>
        </w:rPr>
        <w:t xml:space="preserve">هذا و إنّ صاحب «قاموس الرجال» فسّر «انقطاع الاسناد» بما إذا کان متفرّدا بالروایة و لم یشارکه فیها غیره، و استشهد علی ذلک بقول ابن الولید فی موضع آخر، قال فی کتب یونس: «ما لم یتفرّد محمّد بن عیسی بروایتها عنه، صحیحة و لیس محمّد بن عیسی متفرّدا بهذا الشرط بل روایات الحسن</w:t>
      </w:r>
    </w:p>
    <w:p>
      <w:pPr>
        <w:pStyle w:val="BookText"/>
      </w:pPr>
      <w:r>
        <w:rPr>
          <w:rFonts w:ascii="IRNazanin" w:hAnsi="IRNazanin" w:eastAsia="IRNazanin" w:cs="IRNazanin"/>
          <w:lang w:bidi="fa-IR"/>
          <w:color w:val="111111"/>
          <w:sz w:val="28"/>
          <w:szCs w:val="28"/>
          <w:rtl/>
        </w:rPr>
        <w:t xml:space="preserve">[شماره صفحه واقعی : 295]</w:t>
      </w:r>
    </w:p>
    <w:p>
      <w:pPr>
        <w:pStyle w:val="BookText"/>
      </w:pPr>
      <w:r>
        <w:rPr>
          <w:rFonts w:ascii="IRNazanin" w:hAnsi="IRNazanin" w:eastAsia="IRNazanin" w:cs="IRNazanin"/>
          <w:lang w:bidi="fa-IR"/>
          <w:color w:val="111111"/>
          <w:sz w:val="28"/>
          <w:szCs w:val="28"/>
          <w:rtl/>
        </w:rPr>
        <w:t xml:space="preserve">ص: 1013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اللؤلؤی و محمّد بن اورمة کذلک»</w:t>
      </w:r>
      <w:r>
        <w:rPr>
          <w:rStyle w:val="FootnoteReference"/>
        </w:rPr>
        <w:footnoteReference w:id="4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التوجیه ممّا یأباه ظاهر العبارة أعنی قوله: «منقطع الاسناد» و الظّاهر هو انقطاع الاسناد بین محمّد بن أحمد بن یحیی و محمّد بن عیسی و لأجل ذلک یروی النجاشی کتب محمّد بن عیسی بن عبید عن أحمد بن محمّد بن یحیی، عن الحمیری، عن محمّد بن عیسی بن عبید</w:t>
      </w:r>
      <w:r>
        <w:rPr>
          <w:rStyle w:val="FootnoteReference"/>
        </w:rPr>
        <w:footnoteReference w:id="4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أضاف الشیخ إلی «منقطع الاسناد» قوله «یتفرّد به» و هذا یدلّ علی تغایرهما. و علی کلّ تقدیر فبعض اولئک المستثنین کالحسن اللؤلؤی ممّن وثّقه النّجاشی، و لا بدّ من إعمال قواعد التعارض فی التّوثیق و التّضعیف.</w:t>
      </w:r>
    </w:p>
    <w:p>
      <w:pPr>
        <w:pStyle w:val="BookText"/>
      </w:pPr>
      <w:r>
        <w:rPr>
          <w:rFonts w:ascii="IRNazanin" w:hAnsi="IRNazanin" w:eastAsia="IRNazanin" w:cs="IRNazanin"/>
          <w:lang w:bidi="fa-IR"/>
          <w:color w:val="111111"/>
          <w:sz w:val="28"/>
          <w:szCs w:val="28"/>
          <w:rtl/>
        </w:rPr>
        <w:t xml:space="preserve">و علی کلّ تقدیر فکون الرجل من مشایخ مؤلّف کتاب «نوادر الحکمة» یورث الظنّ أو الاطمئنان بوثاقته إذا لم یکن أحد هؤلاء المستثنین، فلاحظ.</w:t>
      </w:r>
    </w:p>
    <w:p>
      <w:pPr>
        <w:pStyle w:val="BookText"/>
      </w:pPr>
      <w:r>
        <w:rPr>
          <w:rFonts w:ascii="IRNazanin" w:hAnsi="IRNazanin" w:eastAsia="IRNazanin" w:cs="IRNazanin"/>
          <w:lang w:bidi="fa-IR"/>
          <w:color w:val="111111"/>
          <w:sz w:val="28"/>
          <w:szCs w:val="28"/>
          <w:rtl/>
        </w:rPr>
        <w:t xml:space="preserve">[شماره صفحه واقعی : 296]</w:t>
      </w:r>
    </w:p>
    <w:p>
      <w:pPr>
        <w:pStyle w:val="BookText"/>
      </w:pPr>
      <w:r>
        <w:rPr>
          <w:rFonts w:ascii="IRNazanin" w:hAnsi="IRNazanin" w:eastAsia="IRNazanin" w:cs="IRNazanin"/>
          <w:lang w:bidi="fa-IR"/>
          <w:color w:val="111111"/>
          <w:sz w:val="28"/>
          <w:szCs w:val="28"/>
          <w:rtl/>
        </w:rPr>
        <w:t xml:space="preserve">ص: 1014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434" w:name="pg14419_167730"/>
    <w:bookmarkEnd w:id="434"/>
    <w:p>
      <w:pPr>
        <w:pStyle w:val="Heading5"/>
      </w:pPr>
      <w:bookmarkStart w:id="1376" w:name="_Toc816"/>
      <w:r>
        <w:t>5 - ما وقع فی اسناد کتاب «کامل الزیارة»</w:t>
      </w:r>
      <w:bookmarkEnd w:id="1376"/>
    </w:p>
    <w:p>
      <w:pPr>
        <w:pStyle w:val="BookText"/>
      </w:pPr>
      <w:r>
        <w:rPr>
          <w:rFonts w:ascii="IRNazanin" w:hAnsi="IRNazanin" w:eastAsia="IRNazanin" w:cs="IRNazanin"/>
          <w:lang w:bidi="fa-IR"/>
          <w:color w:val="111111"/>
          <w:sz w:val="28"/>
          <w:szCs w:val="28"/>
          <w:rtl/>
        </w:rPr>
        <w:t xml:space="preserve">[شماره صفحه واقعی : 297]</w:t>
      </w:r>
    </w:p>
    <w:p>
      <w:pPr>
        <w:pStyle w:val="BookText"/>
      </w:pPr>
      <w:r>
        <w:rPr>
          <w:rFonts w:ascii="IRNazanin" w:hAnsi="IRNazanin" w:eastAsia="IRNazanin" w:cs="IRNazanin"/>
          <w:lang w:bidi="fa-IR"/>
          <w:color w:val="111111"/>
          <w:sz w:val="28"/>
          <w:szCs w:val="28"/>
          <w:rtl/>
        </w:rPr>
        <w:t xml:space="preserve">ص: 1015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298]</w:t>
      </w:r>
    </w:p>
    <w:p>
      <w:pPr>
        <w:pStyle w:val="BookText"/>
      </w:pPr>
      <w:r>
        <w:rPr>
          <w:rFonts w:ascii="IRNazanin" w:hAnsi="IRNazanin" w:eastAsia="IRNazanin" w:cs="IRNazanin"/>
          <w:lang w:bidi="fa-IR"/>
          <w:color w:val="111111"/>
          <w:sz w:val="28"/>
          <w:szCs w:val="28"/>
          <w:rtl/>
        </w:rPr>
        <w:t xml:space="preserve">ص: 1016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شکّ أنّ مؤلّف کامل الزیارات (و هو الشیخ الأقدم و الفقیه المقدّم الشیخ أبو القاسم جعفر بن محمّد بن قولویه المتوفّی سنة 367 أو 369 علی احتمال و المدفون بالکاظمیّة فی الرواق الشریف، و فی محاذاة تلمیذه الشیخ المفید) أحد أجلاّء الأصحاب فی الحدیث و الفقه، و وصفه النجاشی</w:t>
      </w:r>
      <w:r>
        <w:rPr>
          <w:rStyle w:val="FootnoteReference"/>
        </w:rPr>
        <w:footnoteReference w:id="4025"/>
      </w:r>
      <w:r>
        <w:rPr>
          <w:rFonts w:ascii="IRNazanin" w:hAnsi="IRNazanin" w:eastAsia="IRNazanin" w:cs="IRNazanin"/>
          <w:lang w:bidi="fa-IR"/>
          <w:color w:val="111111"/>
          <w:sz w:val="28"/>
          <w:szCs w:val="28"/>
          <w:rtl/>
        </w:rPr>
        <w:t xml:space="preserve">فی فهرسه بأنّه من ثقات أصحابنا و أجلاّئهم فی الفقه و الحدیث، و توارد علیه النصّ بالوثاقة فی فهرس الشیخ</w:t>
      </w:r>
      <w:r>
        <w:rPr>
          <w:rStyle w:val="FootnoteReference"/>
        </w:rPr>
        <w:footnoteReference w:id="4026"/>
      </w:r>
      <w:r>
        <w:rPr>
          <w:rFonts w:ascii="IRNazanin" w:hAnsi="IRNazanin" w:eastAsia="IRNazanin" w:cs="IRNazanin"/>
          <w:lang w:bidi="fa-IR"/>
          <w:color w:val="111111"/>
          <w:sz w:val="28"/>
          <w:szCs w:val="28"/>
          <w:rtl/>
        </w:rPr>
        <w:t xml:space="preserve">و الوجیزة، و البحار، و بلغة الرجال، للشیخ سلیمان الماحوزی، و المشترکات للشیخ فخر الدین الطریحی، و المشترکات للکاظمی، و الوسائل، و منتهی المقال للشیخ أبی علی، فی ترجمة أخیه، و السید رضی الدین ابن طاوس و غیرهم من الأعلام</w:t>
      </w:r>
      <w:r>
        <w:rPr>
          <w:rStyle w:val="FootnoteReference"/>
        </w:rPr>
        <w:footnoteReference w:id="4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w:t>
      </w:r>
    </w:p>
    <w:p>
      <w:pPr>
        <w:pStyle w:val="BookText"/>
      </w:pPr>
      <w:r>
        <w:rPr>
          <w:rFonts w:ascii="IRNazanin" w:hAnsi="IRNazanin" w:eastAsia="IRNazanin" w:cs="IRNazanin"/>
          <w:lang w:bidi="fa-IR"/>
          <w:color w:val="111111"/>
          <w:sz w:val="28"/>
          <w:szCs w:val="28"/>
          <w:rtl/>
        </w:rPr>
        <w:t xml:space="preserve">ص: 1017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کتابه هذا من أهمّ کتب الطّائفة و اصولها المعتمد علیها فی الحدیث، أخذ منه الشیخ فی التّهذیب و غیره من المحدّثین، و هو من مصادر الشیخ الحر العاملی فی وسائله، و عدّة فیه من الکتب المعتمدة الّتی شهد بصحّتها مؤلّفوها و قامت القرائن علی ثبوتها، و علم بصحّة نسبتها إلیه، و ذکره النجاشی فی فهرسه بعنوان کتاب «الزیارات» کما ذکره الشیخ فی الفهرس بعنوان «جامع الزیارات» و عبّر عنه فی بقیّة الکتب باسم «کامل الزیارة».</w:t>
      </w:r>
    </w:p>
    <w:p>
      <w:pPr>
        <w:pStyle w:val="BookText"/>
      </w:pPr>
      <w:r>
        <w:rPr>
          <w:rFonts w:ascii="IRNazanin" w:hAnsi="IRNazanin" w:eastAsia="IRNazanin" w:cs="IRNazanin"/>
          <w:lang w:bidi="fa-IR"/>
          <w:color w:val="111111"/>
          <w:sz w:val="28"/>
          <w:szCs w:val="28"/>
          <w:rtl/>
        </w:rPr>
        <w:t xml:space="preserve">و هو - قدّس سره - ذکر فی مقدّمة کتابه ما دعاه إلی تصنیف کتابه فی هذا الموضوع، ثمّ قال: «و لم اخرج فیه حدیثا روی عن غیرهم إذا کان فیما روینا عنهم من حدیثهم - صلوات اللّه علیهم - کفایة عن حدیث غیرهم، و قد علمنا أنّا لا نحیط بجمیع ما روی عنهم فی هذا المعنی و لا فی غیره، و لکن ما وقع لنا من جهة الثّقات من أصحابنا - رحمهم اللّه برحمته - و لا أخرجت فیه حدیثا روی عن الشذاذ من الرجال یؤثر ذلک عنهم عن المذکورین، غیر المعروفین بالروایة، المشهورین بالحدیث و العلم، و سمّیته کتاب «کامل الزیارات» و فضلها و ثواب ذلک»</w:t>
      </w:r>
      <w:r>
        <w:rPr>
          <w:rStyle w:val="FootnoteReference"/>
        </w:rPr>
        <w:footnoteReference w:id="4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یستظهر من هذه العبارة أنّ جمیع الرواة المذکورین فی أسناد أحادیث ذلک الکتاب ممّن روی عنهم إلی أن یصل إلی الإمام من الثقات عند المؤلف، فلو اکتفینا بشهادة الواحد فی الموضوعات یعدّ کلّ من جاء فی أسناد هذا الکتاب من الثقات بشهادة الثقة العدل ابن قولویه.</w:t>
      </w:r>
    </w:p>
    <w:p>
      <w:pPr>
        <w:pStyle w:val="BookText"/>
      </w:pPr>
      <w:r>
        <w:rPr>
          <w:rFonts w:ascii="IRNazanin" w:hAnsi="IRNazanin" w:eastAsia="IRNazanin" w:cs="IRNazanin"/>
          <w:lang w:bidi="fa-IR"/>
          <w:color w:val="111111"/>
          <w:sz w:val="28"/>
          <w:szCs w:val="28"/>
          <w:rtl/>
        </w:rPr>
        <w:t xml:space="preserve">و قد وضع الشیخ الفاضل محمّد رضا عرفانیان فهرسا فی هذا الموضوع فاستخرج أسامی کلّ من ورد فیها فبلغت 388 شخصا.</w:t>
      </w:r>
    </w:p>
    <w:p>
      <w:pPr>
        <w:pStyle w:val="BookText"/>
      </w:pPr>
      <w:r>
        <w:rPr>
          <w:rFonts w:ascii="IRNazanin" w:hAnsi="IRNazanin" w:eastAsia="IRNazanin" w:cs="IRNazanin"/>
          <w:lang w:bidi="fa-IR"/>
          <w:color w:val="111111"/>
          <w:sz w:val="28"/>
          <w:szCs w:val="28"/>
          <w:rtl/>
        </w:rPr>
        <w:t xml:space="preserve">و قد أشار بما ذکرنا الشیخ الحرّ العاملی فی الفائدة السادسة من خاتمة الکتاب و قال: «و قد شهد علیّ بن إبراهیم أیضا بثبوت أحادیث تفسیره، و أنّها</w:t>
      </w:r>
    </w:p>
    <w:p>
      <w:pPr>
        <w:pStyle w:val="BookText"/>
      </w:pPr>
      <w:r>
        <w:rPr>
          <w:rFonts w:ascii="IRNazanin" w:hAnsi="IRNazanin" w:eastAsia="IRNazanin" w:cs="IRNazanin"/>
          <w:lang w:bidi="fa-IR"/>
          <w:color w:val="111111"/>
          <w:sz w:val="28"/>
          <w:szCs w:val="28"/>
          <w:rtl/>
        </w:rPr>
        <w:t xml:space="preserve">[شماره صفحه واقعی : 300]</w:t>
      </w:r>
    </w:p>
    <w:p>
      <w:pPr>
        <w:pStyle w:val="BookText"/>
      </w:pPr>
      <w:r>
        <w:rPr>
          <w:rFonts w:ascii="IRNazanin" w:hAnsi="IRNazanin" w:eastAsia="IRNazanin" w:cs="IRNazanin"/>
          <w:lang w:bidi="fa-IR"/>
          <w:color w:val="111111"/>
          <w:sz w:val="28"/>
          <w:szCs w:val="28"/>
          <w:rtl/>
        </w:rPr>
        <w:t xml:space="preserve">ص: 1018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مرویّة عن الثقات عن الأئمّة و کذلک جعفر بن محمّد بن قولویه فإنّه صرّح بما هو أبلغ من ذلک فی أوّل مزاره»</w:t>
      </w:r>
      <w:r>
        <w:rPr>
          <w:rStyle w:val="FootnoteReference"/>
        </w:rPr>
        <w:footnoteReference w:id="4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صاحب معجم رجال الحدیث إلی أنّ هذه العبارة واضحة الدّلالة علی أنّه لا یروی فی کتابه روایة عن المعصوم إلاّ و قد وصلت إلیه من جهة الثقات من أصحابنا، ثمّ أیّد کلامه بما نقلناه عن صاحب الوسائل، ثمّ قال:</w:t>
      </w:r>
    </w:p>
    <w:p>
      <w:pPr>
        <w:pStyle w:val="BookText"/>
      </w:pPr>
      <w:r>
        <w:rPr>
          <w:rFonts w:ascii="IRNazanin" w:hAnsi="IRNazanin" w:eastAsia="IRNazanin" w:cs="IRNazanin"/>
          <w:lang w:bidi="fa-IR"/>
          <w:color w:val="111111"/>
          <w:sz w:val="28"/>
          <w:szCs w:val="28"/>
          <w:rtl/>
        </w:rPr>
        <w:t xml:space="preserve">«ما ذکره صاحب الوسائل متین فیحکم بوثاقة من شهد علیّ بن إبراهیم أو جعفر ابن محمّد بن قولویه بوثاقته، اللّهم إلاّ أن یبتلی بمعارض»</w:t>
      </w:r>
      <w:r>
        <w:rPr>
          <w:rStyle w:val="FootnoteReference"/>
        </w:rPr>
        <w:footnoteReference w:id="4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رواة تفسیر القمّی فسیوافیک الکلام فی نفس الکتاب، و أنّه لم یثبت أنّ مجموع التفسیر من تألیفه، و أمّا ادعاء دلالة العبارة المذکورة فی مقدّمة «کامل الزیارات» علی أنّه لا یروی فی کتابه روایة عن المعصوم إلاّ و قد وصلت إلیه من جهة الثقات من أصحابنا - رحمهم اللّه - فغیر تامّ.</w:t>
      </w:r>
    </w:p>
    <w:p>
      <w:pPr>
        <w:pStyle w:val="BookText"/>
      </w:pPr>
      <w:r>
        <w:rPr>
          <w:rFonts w:ascii="IRNazanin" w:hAnsi="IRNazanin" w:eastAsia="IRNazanin" w:cs="IRNazanin"/>
          <w:lang w:bidi="fa-IR"/>
          <w:color w:val="111111"/>
          <w:sz w:val="28"/>
          <w:szCs w:val="28"/>
          <w:rtl/>
        </w:rPr>
        <w:t xml:space="preserve">و الحقّ ما استظهره المحدّث المتتبّع النوری، فقد استظهر منه أنّه نصّ علی توثیق کلّ من صدّر بهم سند أحادیث کتابه، لا کلّ من ورد فی أسناد الروایات، و بالجملة یدلّ علی توثیق کلّ مشایخه لا توثیق کلّ من ورد فی أسناد هذا الکتاب و قد صرّح بذلک فی موردین:</w:t>
      </w:r>
    </w:p>
    <w:p>
      <w:pPr>
        <w:pStyle w:val="BookText"/>
      </w:pPr>
      <w:r>
        <w:rPr>
          <w:rFonts w:ascii="IRNazanin" w:hAnsi="IRNazanin" w:eastAsia="IRNazanin" w:cs="IRNazanin"/>
          <w:lang w:bidi="fa-IR"/>
          <w:color w:val="111111"/>
          <w:sz w:val="28"/>
          <w:szCs w:val="28"/>
          <w:rtl/>
        </w:rPr>
        <w:t xml:space="preserve">الأوّل: فی الفائدة الثالثة من خاتمة کتابه المستدرک (ج 3، ص 522-523) قال: إنّ المهمّ فی ترجمة هذا الشیخ العظیم استقصاء مشایخه فی هذا الکتاب الشریف، فإنّ فیه فائدة عظیمة لم تکن فی من قدّمنا من مشایخ الأجلّة، فإنّه - رحمه اللّه - قال فی أوّل الکتاب: - و قال بعد نقل عبارته فی مقدّمة الکتاب علی النّحو الذی نقلناه -: «فتراه نصّا علی توثیق کلّ من روی عنه فیه، بل کونه من المشهورین فی الحدیث و العلم، و لا فرق فی</w:t>
      </w:r>
    </w:p>
    <w:p>
      <w:pPr>
        <w:pStyle w:val="BookText"/>
      </w:pPr>
      <w:r>
        <w:rPr>
          <w:rFonts w:ascii="IRNazanin" w:hAnsi="IRNazanin" w:eastAsia="IRNazanin" w:cs="IRNazanin"/>
          <w:lang w:bidi="fa-IR"/>
          <w:color w:val="111111"/>
          <w:sz w:val="28"/>
          <w:szCs w:val="28"/>
          <w:rtl/>
        </w:rPr>
        <w:t xml:space="preserve">[شماره صفحه واقعی : 301]</w:t>
      </w:r>
    </w:p>
    <w:p>
      <w:pPr>
        <w:pStyle w:val="BookText"/>
      </w:pPr>
      <w:r>
        <w:rPr>
          <w:rFonts w:ascii="IRNazanin" w:hAnsi="IRNazanin" w:eastAsia="IRNazanin" w:cs="IRNazanin"/>
          <w:lang w:bidi="fa-IR"/>
          <w:color w:val="111111"/>
          <w:sz w:val="28"/>
          <w:szCs w:val="28"/>
          <w:rtl/>
        </w:rPr>
        <w:t xml:space="preserve">ص: 1019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التوثیق بین النصّ علی أحد بخصوصه أو توثیق جمع محصورین بعنوان خاصّ، و کفی بمثل هذا الشیخ مزکیّا و معدّلا».</w:t>
      </w:r>
    </w:p>
    <w:p>
      <w:pPr>
        <w:pStyle w:val="BookText"/>
      </w:pPr>
      <w:r>
        <w:rPr>
          <w:rFonts w:ascii="IRNazanin" w:hAnsi="IRNazanin" w:eastAsia="IRNazanin" w:cs="IRNazanin"/>
          <w:lang w:bidi="fa-IR"/>
          <w:color w:val="111111"/>
          <w:sz w:val="28"/>
          <w:szCs w:val="28"/>
          <w:rtl/>
        </w:rPr>
        <w:t xml:space="preserve">الثانی: فی الفائدة العاشرة (ج 3، ص 777) و قال: «من جملة الأمارات الکلّیة علی الوثاقة کونها من مشایخ جعفر بن قولویه فی کتابه کامل الزیارات».</w:t>
      </w:r>
    </w:p>
    <w:p>
      <w:pPr>
        <w:pStyle w:val="BookText"/>
      </w:pPr>
      <w:r>
        <w:rPr>
          <w:rFonts w:ascii="IRNazanin" w:hAnsi="IRNazanin" w:eastAsia="IRNazanin" w:cs="IRNazanin"/>
          <w:lang w:bidi="fa-IR"/>
          <w:color w:val="111111"/>
          <w:sz w:val="28"/>
          <w:szCs w:val="28"/>
          <w:rtl/>
        </w:rPr>
        <w:t xml:space="preserve">و علی أیّ تقدیر فیدلّ علی المختار امور:</w:t>
      </w:r>
    </w:p>
    <w:p>
      <w:pPr>
        <w:pStyle w:val="BookText"/>
      </w:pPr>
      <w:r>
        <w:rPr>
          <w:rFonts w:ascii="IRNazanin" w:hAnsi="IRNazanin" w:eastAsia="IRNazanin" w:cs="IRNazanin"/>
          <w:lang w:bidi="fa-IR"/>
          <w:color w:val="111111"/>
          <w:sz w:val="28"/>
          <w:szCs w:val="28"/>
          <w:rtl/>
        </w:rPr>
        <w:t xml:space="preserve">1 - إنّه استرحم لجمیع مشایخه حیث قال: «من أصحابنا - رحمهم اللّه برحمته -» و مع ذلک نری أنّه روی فیه عمّن لا یستحقّ ذلک الاسترحام، فقد روی فی هذا الکتاب عن عشرات من الواقفة و الفطحیّة و هل یصحّ لشیخ مثل ابن قولویه أن یسترحمهم؟</w:t>
      </w:r>
    </w:p>
    <w:p>
      <w:pPr>
        <w:pStyle w:val="BookText"/>
      </w:pPr>
      <w:r>
        <w:rPr>
          <w:rFonts w:ascii="IRNazanin" w:hAnsi="IRNazanin" w:eastAsia="IRNazanin" w:cs="IRNazanin"/>
          <w:lang w:bidi="fa-IR"/>
          <w:color w:val="111111"/>
          <w:sz w:val="28"/>
          <w:szCs w:val="28"/>
          <w:rtl/>
        </w:rPr>
        <w:t xml:space="preserve">2 - روی فی الباب الثامن فی فضل الصّلاة فی مسجد الکوفة عن لیث بن أبی سلیم و هو عامی بلا اشکال</w:t>
      </w:r>
      <w:r>
        <w:rPr>
          <w:rStyle w:val="FootnoteReference"/>
        </w:rPr>
        <w:footnoteReference w:id="4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عن علیّ بن أبی حمزة البطائنی المختلف فیه، فقد روی عنه فی هذا الکتاب فی الصفحات التالیة: 63-84-108-119-246 - 248-294.</w:t>
      </w:r>
    </w:p>
    <w:p>
      <w:pPr>
        <w:pStyle w:val="BookText"/>
      </w:pPr>
      <w:r>
        <w:rPr>
          <w:rFonts w:ascii="IRNazanin" w:hAnsi="IRNazanin" w:eastAsia="IRNazanin" w:cs="IRNazanin"/>
          <w:lang w:bidi="fa-IR"/>
          <w:color w:val="111111"/>
          <w:sz w:val="28"/>
          <w:szCs w:val="28"/>
          <w:rtl/>
        </w:rPr>
        <w:t xml:space="preserve">کما روی عن حسن بن علیّ بن أبی حمزة البطائنی فی الصفحات التالیة 49-100.</w:t>
      </w:r>
    </w:p>
    <w:p>
      <w:pPr>
        <w:pStyle w:val="BookText"/>
      </w:pPr>
      <w:r>
        <w:rPr>
          <w:rFonts w:ascii="IRNazanin" w:hAnsi="IRNazanin" w:eastAsia="IRNazanin" w:cs="IRNazanin"/>
          <w:lang w:bidi="fa-IR"/>
          <w:color w:val="111111"/>
          <w:sz w:val="28"/>
          <w:szCs w:val="28"/>
          <w:rtl/>
        </w:rPr>
        <w:t xml:space="preserve">کما روی عن عمر بن سعد فی الصفحات التالیة 71-72-90 - 93.</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302]</w:t>
      </w:r>
    </w:p>
    <w:p>
      <w:pPr>
        <w:pStyle w:val="BookText"/>
      </w:pPr>
      <w:r>
        <w:rPr>
          <w:rFonts w:ascii="IRNazanin" w:hAnsi="IRNazanin" w:eastAsia="IRNazanin" w:cs="IRNazanin"/>
          <w:lang w:bidi="fa-IR"/>
          <w:color w:val="111111"/>
          <w:sz w:val="28"/>
          <w:szCs w:val="28"/>
          <w:rtl/>
        </w:rPr>
        <w:t xml:space="preserve">ص: 1020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روی فیه عن بعض امّهات المؤمنین الّتی لا یرکن إلی حدیثها (الصفحة 31، الباب الثامن، الحدیث 16).</w:t>
      </w:r>
    </w:p>
    <w:p>
      <w:pPr>
        <w:pStyle w:val="BookText"/>
      </w:pPr>
      <w:r>
        <w:rPr>
          <w:rFonts w:ascii="IRNazanin" w:hAnsi="IRNazanin" w:eastAsia="IRNazanin" w:cs="IRNazanin"/>
          <w:lang w:bidi="fa-IR"/>
          <w:color w:val="111111"/>
          <w:sz w:val="28"/>
          <w:szCs w:val="28"/>
          <w:rtl/>
        </w:rPr>
        <w:t xml:space="preserve">3 - القدماء من المشایخ کانوا ملتزمین بأن لا یأخذوا الحدیث إلاّ ممّن صلحت حاله و ثبتت وثاقته، و العنایة بحال الشیخ کانت أکثر من عنایتهم بمن یروی عنه الشّیخ، قد عرفت التزام النّجاشی بأن لا یروی إلاّ عن شیخ ثقة، لا أن یکون جمیع من ورد فی سند الروایة ثقات.</w:t>
      </w:r>
    </w:p>
    <w:p>
      <w:pPr>
        <w:pStyle w:val="BookText"/>
      </w:pPr>
      <w:r>
        <w:rPr>
          <w:rFonts w:ascii="IRNazanin" w:hAnsi="IRNazanin" w:eastAsia="IRNazanin" w:cs="IRNazanin"/>
          <w:lang w:bidi="fa-IR"/>
          <w:color w:val="111111"/>
          <w:sz w:val="28"/>
          <w:szCs w:val="28"/>
          <w:rtl/>
        </w:rPr>
        <w:t xml:space="preserve">و لأجل ذلک کانت الروایة بلا واسطة عن المجاهیل و الضعفاء عیبا، و کانت من أسباب الجرح، و لم یکن نقل الروایة المشتملة علی المجهول و الضعیف جرحا.</w:t>
      </w:r>
    </w:p>
    <w:p>
      <w:pPr>
        <w:pStyle w:val="BookText"/>
      </w:pPr>
      <w:r>
        <w:rPr>
          <w:rFonts w:ascii="IRNazanin" w:hAnsi="IRNazanin" w:eastAsia="IRNazanin" w:cs="IRNazanin"/>
          <w:lang w:bidi="fa-IR"/>
          <w:color w:val="111111"/>
          <w:sz w:val="28"/>
          <w:szCs w:val="28"/>
          <w:rtl/>
        </w:rPr>
        <w:t xml:space="preserve">کلّ ذلک یؤیّد ما استظهره المتتبع النوری - رحمه اللّه -.</w:t>
      </w:r>
    </w:p>
    <w:p>
      <w:pPr>
        <w:pStyle w:val="BookText"/>
      </w:pPr>
      <w:r>
        <w:rPr>
          <w:rFonts w:ascii="IRNazanin" w:hAnsi="IRNazanin" w:eastAsia="IRNazanin" w:cs="IRNazanin"/>
          <w:lang w:bidi="fa-IR"/>
          <w:color w:val="111111"/>
          <w:sz w:val="28"/>
          <w:szCs w:val="28"/>
          <w:rtl/>
        </w:rPr>
        <w:t xml:space="preserve">ثمّ إنّ أکثر أحادیث الکتاب یرویه المؤلّف عن أبیه محمّد بن جعفر. قال النجاشی: «کان أبوه من خیار أصحاب سعد</w:t>
      </w:r>
      <w:r>
        <w:rPr>
          <w:rStyle w:val="FootnoteReference"/>
        </w:rPr>
        <w:footnoteReference w:id="4033"/>
      </w:r>
      <w:r>
        <w:rPr>
          <w:rFonts w:ascii="IRNazanin" w:hAnsi="IRNazanin" w:eastAsia="IRNazanin" w:cs="IRNazanin"/>
          <w:lang w:bidi="fa-IR"/>
          <w:color w:val="111111"/>
          <w:sz w:val="28"/>
          <w:szCs w:val="28"/>
          <w:rtl/>
        </w:rPr>
        <w:t xml:space="preserve">و أصحاب سعد أکثرهم ثقات کعلیّ بن الحسین بن بابویه (والد الصدوق) و محمّد بن الحسن بن الولید (شیخ الصدوق) و حمزة بن القاسم و محمّد بن یحیی العطّار القمی».</w:t>
      </w:r>
    </w:p>
    <w:p>
      <w:pPr>
        <w:pStyle w:val="BookText"/>
      </w:pPr>
      <w:r>
        <w:rPr>
          <w:rFonts w:ascii="IRNazanin" w:hAnsi="IRNazanin" w:eastAsia="IRNazanin" w:cs="IRNazanin"/>
          <w:lang w:bidi="fa-IR"/>
          <w:color w:val="111111"/>
          <w:sz w:val="28"/>
          <w:szCs w:val="28"/>
          <w:rtl/>
        </w:rPr>
        <w:t xml:space="preserve">و الوالد هو المدفون بقم فی مقبرة «شیخان» فلاحظ.</w:t>
      </w:r>
    </w:p>
    <w:p>
      <w:pPr>
        <w:pStyle w:val="BookText"/>
      </w:pPr>
      <w:r>
        <w:rPr>
          <w:rFonts w:ascii="IRNazanin" w:hAnsi="IRNazanin" w:eastAsia="IRNazanin" w:cs="IRNazanin"/>
          <w:lang w:bidi="fa-IR"/>
          <w:color w:val="111111"/>
          <w:sz w:val="28"/>
          <w:szCs w:val="28"/>
          <w:rtl/>
        </w:rPr>
        <w:t xml:space="preserve">و أمّا اخو المؤلف فهو أبو الحسین علیّ بن محمّد بن جعفر، و نقل عنه فی الکتاب کثیرا. قال النجاشی: «روی الحدیث و مات حدث السنّ لم یسمع منه، له کتاب فضل العلم و آدابه، أخبرنا محمّد و الحسین بن هدیّة، قالا:</w:t>
      </w:r>
    </w:p>
    <w:p>
      <w:pPr>
        <w:pStyle w:val="BookText"/>
      </w:pPr>
      <w:r>
        <w:rPr>
          <w:rFonts w:ascii="IRNazanin" w:hAnsi="IRNazanin" w:eastAsia="IRNazanin" w:cs="IRNazanin"/>
          <w:lang w:bidi="fa-IR"/>
          <w:color w:val="111111"/>
          <w:sz w:val="28"/>
          <w:szCs w:val="28"/>
          <w:rtl/>
        </w:rPr>
        <w:t xml:space="preserve">حدّثنا جعفر بن محمّد بن قولویه، قال: حدّثنا أخی به»</w:t>
      </w:r>
      <w:r>
        <w:rPr>
          <w:rStyle w:val="FootnoteReference"/>
        </w:rPr>
        <w:footnoteReference w:id="4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303]</w:t>
      </w:r>
    </w:p>
    <w:p>
      <w:pPr>
        <w:pStyle w:val="BookText"/>
      </w:pPr>
      <w:r>
        <w:rPr>
          <w:rFonts w:ascii="IRNazanin" w:hAnsi="IRNazanin" w:eastAsia="IRNazanin" w:cs="IRNazanin"/>
          <w:lang w:bidi="fa-IR"/>
          <w:color w:val="111111"/>
          <w:sz w:val="28"/>
          <w:szCs w:val="28"/>
          <w:rtl/>
        </w:rPr>
        <w:t xml:space="preserve">ص: 1021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 الحقّ ما استظهره المحدّث النوری، و أنّ العبارة لا تدلّ إلاّ علی وثاقة مشایخه فعلینا بیان مشایخه الّتی لا تتجاوز 32 شیخا حسب ما أنهاهم المحدّث النوری و إلیک أسماؤهم:</w:t>
      </w:r>
    </w:p>
    <w:p>
      <w:pPr>
        <w:pStyle w:val="BookText"/>
      </w:pPr>
      <w:r>
        <w:rPr>
          <w:rFonts w:ascii="IRNazanin" w:hAnsi="IRNazanin" w:eastAsia="IRNazanin" w:cs="IRNazanin"/>
          <w:lang w:bidi="fa-IR"/>
          <w:color w:val="111111"/>
          <w:sz w:val="28"/>
          <w:szCs w:val="28"/>
          <w:rtl/>
        </w:rPr>
        <w:t xml:space="preserve">1 - والده محمّد بن قولویه الّذی هو من خیار أصحاب سعد بن عبد اللّه (المتوفّی عام 299).</w:t>
      </w:r>
    </w:p>
    <w:p>
      <w:pPr>
        <w:pStyle w:val="BookText"/>
      </w:pPr>
      <w:r>
        <w:rPr>
          <w:rFonts w:ascii="IRNazanin" w:hAnsi="IRNazanin" w:eastAsia="IRNazanin" w:cs="IRNazanin"/>
          <w:lang w:bidi="fa-IR"/>
          <w:color w:val="111111"/>
          <w:sz w:val="28"/>
          <w:szCs w:val="28"/>
          <w:rtl/>
        </w:rPr>
        <w:t xml:space="preserve">2 - أبو عبد الرّحمن محمّد بن أحمد بن الحسین الزعفرانی نزیل بغداد.</w:t>
      </w:r>
    </w:p>
    <w:p>
      <w:pPr>
        <w:pStyle w:val="BookText"/>
      </w:pPr>
      <w:r>
        <w:rPr>
          <w:rFonts w:ascii="IRNazanin" w:hAnsi="IRNazanin" w:eastAsia="IRNazanin" w:cs="IRNazanin"/>
          <w:lang w:bidi="fa-IR"/>
          <w:color w:val="111111"/>
          <w:sz w:val="28"/>
          <w:szCs w:val="28"/>
          <w:rtl/>
        </w:rPr>
        <w:t xml:space="preserve">3 - أبو الفضل محمّد بن أحمد بن إبراهیم بن سلیمان الجعفی الکوفی، المعروف بالصابونی صاحب کتاب الفاخر فی الفقه.</w:t>
      </w:r>
    </w:p>
    <w:p>
      <w:pPr>
        <w:pStyle w:val="BookText"/>
      </w:pPr>
      <w:r>
        <w:rPr>
          <w:rFonts w:ascii="IRNazanin" w:hAnsi="IRNazanin" w:eastAsia="IRNazanin" w:cs="IRNazanin"/>
          <w:lang w:bidi="fa-IR"/>
          <w:color w:val="111111"/>
          <w:sz w:val="28"/>
          <w:szCs w:val="28"/>
          <w:rtl/>
        </w:rPr>
        <w:t xml:space="preserve">4 - ثقة الاسلام الکلینی.</w:t>
      </w:r>
    </w:p>
    <w:p>
      <w:pPr>
        <w:pStyle w:val="BookText"/>
      </w:pPr>
      <w:r>
        <w:rPr>
          <w:rFonts w:ascii="IRNazanin" w:hAnsi="IRNazanin" w:eastAsia="IRNazanin" w:cs="IRNazanin"/>
          <w:lang w:bidi="fa-IR"/>
          <w:color w:val="111111"/>
          <w:sz w:val="28"/>
          <w:szCs w:val="28"/>
          <w:rtl/>
        </w:rPr>
        <w:t xml:space="preserve">5 - محمّد بن الحسن بن الولید.</w:t>
      </w:r>
    </w:p>
    <w:p>
      <w:pPr>
        <w:pStyle w:val="BookText"/>
      </w:pPr>
      <w:r>
        <w:rPr>
          <w:rFonts w:ascii="IRNazanin" w:hAnsi="IRNazanin" w:eastAsia="IRNazanin" w:cs="IRNazanin"/>
          <w:lang w:bidi="fa-IR"/>
          <w:color w:val="111111"/>
          <w:sz w:val="28"/>
          <w:szCs w:val="28"/>
          <w:rtl/>
        </w:rPr>
        <w:t xml:space="preserve">6 - محمّد بن الحسن بن علی بن مهزیار.</w:t>
      </w:r>
    </w:p>
    <w:p>
      <w:pPr>
        <w:pStyle w:val="BookText"/>
      </w:pPr>
      <w:r>
        <w:rPr>
          <w:rFonts w:ascii="IRNazanin" w:hAnsi="IRNazanin" w:eastAsia="IRNazanin" w:cs="IRNazanin"/>
          <w:lang w:bidi="fa-IR"/>
          <w:color w:val="111111"/>
          <w:sz w:val="28"/>
          <w:szCs w:val="28"/>
          <w:rtl/>
        </w:rPr>
        <w:t xml:space="preserve">7 - أبو العباس محمّد بن جعفر بن محمّد بن الحسن القرشی الرزاز (المتولّد عام 233، المتوفّی سنة 316).</w:t>
      </w:r>
    </w:p>
    <w:p>
      <w:pPr>
        <w:pStyle w:val="BookText"/>
      </w:pPr>
      <w:r>
        <w:rPr>
          <w:rFonts w:ascii="IRNazanin" w:hAnsi="IRNazanin" w:eastAsia="IRNazanin" w:cs="IRNazanin"/>
          <w:lang w:bidi="fa-IR"/>
          <w:color w:val="111111"/>
          <w:sz w:val="28"/>
          <w:szCs w:val="28"/>
          <w:rtl/>
        </w:rPr>
        <w:t xml:space="preserve">8 - محمّد بن عبد اللّه بن جعفر الحمیری القمی.</w:t>
      </w:r>
    </w:p>
    <w:p>
      <w:pPr>
        <w:pStyle w:val="BookText"/>
      </w:pPr>
      <w:r>
        <w:rPr>
          <w:rFonts w:ascii="IRNazanin" w:hAnsi="IRNazanin" w:eastAsia="IRNazanin" w:cs="IRNazanin"/>
          <w:lang w:bidi="fa-IR"/>
          <w:color w:val="111111"/>
          <w:sz w:val="28"/>
          <w:szCs w:val="28"/>
          <w:rtl/>
        </w:rPr>
        <w:t xml:space="preserve">9 - الحسن بن عبد اللّه بن محمّد بن عیسی یروی عنه، عن أبیه، عن الحسن بن محبوب.</w:t>
      </w:r>
    </w:p>
    <w:p>
      <w:pPr>
        <w:pStyle w:val="BookText"/>
      </w:pPr>
      <w:r>
        <w:rPr>
          <w:rFonts w:ascii="IRNazanin" w:hAnsi="IRNazanin" w:eastAsia="IRNazanin" w:cs="IRNazanin"/>
          <w:lang w:bidi="fa-IR"/>
          <w:color w:val="111111"/>
          <w:sz w:val="28"/>
          <w:szCs w:val="28"/>
          <w:rtl/>
        </w:rPr>
        <w:t xml:space="preserve">10 - أبو الحسن علی بن الحسین بن موسی بن بابویه.</w:t>
      </w:r>
    </w:p>
    <w:p>
      <w:pPr>
        <w:pStyle w:val="BookText"/>
      </w:pPr>
      <w:r>
        <w:rPr>
          <w:rFonts w:ascii="IRNazanin" w:hAnsi="IRNazanin" w:eastAsia="IRNazanin" w:cs="IRNazanin"/>
          <w:lang w:bidi="fa-IR"/>
          <w:color w:val="111111"/>
          <w:sz w:val="28"/>
          <w:szCs w:val="28"/>
          <w:rtl/>
        </w:rPr>
        <w:t xml:space="preserve">11 - أخوه علیّ بن محمّد بن قولویه.</w:t>
      </w:r>
    </w:p>
    <w:p>
      <w:pPr>
        <w:pStyle w:val="BookText"/>
      </w:pPr>
      <w:r>
        <w:rPr>
          <w:rFonts w:ascii="IRNazanin" w:hAnsi="IRNazanin" w:eastAsia="IRNazanin" w:cs="IRNazanin"/>
          <w:lang w:bidi="fa-IR"/>
          <w:color w:val="111111"/>
          <w:sz w:val="28"/>
          <w:szCs w:val="28"/>
          <w:rtl/>
        </w:rPr>
        <w:t xml:space="preserve">12 - أبو القاسم جعفر بن محمّد بن إبراهیم بن عبد اللّه بن موسی بن جعفر الموسوی العلوی.</w:t>
      </w:r>
    </w:p>
    <w:p>
      <w:pPr>
        <w:pStyle w:val="BookText"/>
      </w:pPr>
      <w:r>
        <w:rPr>
          <w:rFonts w:ascii="IRNazanin" w:hAnsi="IRNazanin" w:eastAsia="IRNazanin" w:cs="IRNazanin"/>
          <w:lang w:bidi="fa-IR"/>
          <w:color w:val="111111"/>
          <w:sz w:val="28"/>
          <w:szCs w:val="28"/>
          <w:rtl/>
        </w:rPr>
        <w:t xml:space="preserve">13 - أبو علی أحمد بن علیّ بن مهدی بن صدقة الرقّی بن هاشم بن</w:t>
      </w:r>
    </w:p>
    <w:p>
      <w:pPr>
        <w:pStyle w:val="BookText"/>
      </w:pPr>
      <w:r>
        <w:rPr>
          <w:rFonts w:ascii="IRNazanin" w:hAnsi="IRNazanin" w:eastAsia="IRNazanin" w:cs="IRNazanin"/>
          <w:lang w:bidi="fa-IR"/>
          <w:color w:val="111111"/>
          <w:sz w:val="28"/>
          <w:szCs w:val="28"/>
          <w:rtl/>
        </w:rPr>
        <w:t xml:space="preserve">[شماره صفحه واقعی : 304]</w:t>
      </w:r>
    </w:p>
    <w:p>
      <w:pPr>
        <w:pStyle w:val="BookText"/>
      </w:pPr>
      <w:r>
        <w:rPr>
          <w:rFonts w:ascii="IRNazanin" w:hAnsi="IRNazanin" w:eastAsia="IRNazanin" w:cs="IRNazanin"/>
          <w:lang w:bidi="fa-IR"/>
          <w:color w:val="111111"/>
          <w:sz w:val="28"/>
          <w:szCs w:val="28"/>
          <w:rtl/>
        </w:rPr>
        <w:t xml:space="preserve">ص: 1022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 بن محمّد بن علیّ الرقی الأنصاری.</w:t>
      </w:r>
    </w:p>
    <w:p>
      <w:pPr>
        <w:pStyle w:val="BookText"/>
      </w:pPr>
      <w:r>
        <w:rPr>
          <w:rFonts w:ascii="IRNazanin" w:hAnsi="IRNazanin" w:eastAsia="IRNazanin" w:cs="IRNazanin"/>
          <w:lang w:bidi="fa-IR"/>
          <w:color w:val="111111"/>
          <w:sz w:val="28"/>
          <w:szCs w:val="28"/>
          <w:rtl/>
        </w:rPr>
        <w:t xml:space="preserve">14 - محمّد بن عبد المؤمن المؤدّب القمی الثقة صاحب النوادر.</w:t>
      </w:r>
    </w:p>
    <w:p>
      <w:pPr>
        <w:pStyle w:val="BookText"/>
      </w:pPr>
      <w:r>
        <w:rPr>
          <w:rFonts w:ascii="IRNazanin" w:hAnsi="IRNazanin" w:eastAsia="IRNazanin" w:cs="IRNazanin"/>
          <w:lang w:bidi="fa-IR"/>
          <w:color w:val="111111"/>
          <w:sz w:val="28"/>
          <w:szCs w:val="28"/>
          <w:rtl/>
        </w:rPr>
        <w:t xml:space="preserve">15 - أبو الحسن علیّ بن حاتم بن أبی حاتم القزوینی.</w:t>
      </w:r>
    </w:p>
    <w:p>
      <w:pPr>
        <w:pStyle w:val="BookText"/>
      </w:pPr>
      <w:r>
        <w:rPr>
          <w:rFonts w:ascii="IRNazanin" w:hAnsi="IRNazanin" w:eastAsia="IRNazanin" w:cs="IRNazanin"/>
          <w:lang w:bidi="fa-IR"/>
          <w:color w:val="111111"/>
          <w:sz w:val="28"/>
          <w:szCs w:val="28"/>
          <w:rtl/>
        </w:rPr>
        <w:t xml:space="preserve">16 - علیّ بن محمّد بن یعقوب بن إسحاق بن عمّار الصیرفی (المتوفی سنة 332).</w:t>
      </w:r>
    </w:p>
    <w:p>
      <w:pPr>
        <w:pStyle w:val="BookText"/>
      </w:pPr>
      <w:r>
        <w:rPr>
          <w:rFonts w:ascii="IRNazanin" w:hAnsi="IRNazanin" w:eastAsia="IRNazanin" w:cs="IRNazanin"/>
          <w:lang w:bidi="fa-IR"/>
          <w:color w:val="111111"/>
          <w:sz w:val="28"/>
          <w:szCs w:val="28"/>
          <w:rtl/>
        </w:rPr>
        <w:t xml:space="preserve">17 - أبو الحسن علیّ بن الحسین السعد آبادی القمّی الّذی یروی عنه الکلینی.</w:t>
      </w:r>
    </w:p>
    <w:p>
      <w:pPr>
        <w:pStyle w:val="BookText"/>
      </w:pPr>
      <w:r>
        <w:rPr>
          <w:rFonts w:ascii="IRNazanin" w:hAnsi="IRNazanin" w:eastAsia="IRNazanin" w:cs="IRNazanin"/>
          <w:lang w:bidi="fa-IR"/>
          <w:color w:val="111111"/>
          <w:sz w:val="28"/>
          <w:szCs w:val="28"/>
          <w:rtl/>
        </w:rPr>
        <w:t xml:space="preserve">18 - أبو علی محمّد بن همّام بن سهیل الکاتب البغدادی، شیخ الطائفة و وجهها المولود بدعاء العسکری - علیه السلام - (المتوفّی سنة 332).</w:t>
      </w:r>
    </w:p>
    <w:p>
      <w:pPr>
        <w:pStyle w:val="BookText"/>
      </w:pPr>
      <w:r>
        <w:rPr>
          <w:rFonts w:ascii="IRNazanin" w:hAnsi="IRNazanin" w:eastAsia="IRNazanin" w:cs="IRNazanin"/>
          <w:lang w:bidi="fa-IR"/>
          <w:color w:val="111111"/>
          <w:sz w:val="28"/>
          <w:szCs w:val="28"/>
          <w:rtl/>
        </w:rPr>
        <w:t xml:space="preserve">19 - أبو محمّد هارون بن موسی بن أحمد بن سعید بن سعد التلعکبری الشیبانی (المتوفّی سنة 385).</w:t>
      </w:r>
    </w:p>
    <w:p>
      <w:pPr>
        <w:pStyle w:val="BookText"/>
      </w:pPr>
      <w:r>
        <w:rPr>
          <w:rFonts w:ascii="IRNazanin" w:hAnsi="IRNazanin" w:eastAsia="IRNazanin" w:cs="IRNazanin"/>
          <w:lang w:bidi="fa-IR"/>
          <w:color w:val="111111"/>
          <w:sz w:val="28"/>
          <w:szCs w:val="28"/>
          <w:rtl/>
        </w:rPr>
        <w:t xml:space="preserve">20 - القاسم بن محمّد بن علیّ بن إبراهیم الهمدانی وکیل الناحیة المقدسة بهمدان.</w:t>
      </w:r>
    </w:p>
    <w:p>
      <w:pPr>
        <w:pStyle w:val="BookText"/>
      </w:pPr>
      <w:r>
        <w:rPr>
          <w:rFonts w:ascii="IRNazanin" w:hAnsi="IRNazanin" w:eastAsia="IRNazanin" w:cs="IRNazanin"/>
          <w:lang w:bidi="fa-IR"/>
          <w:color w:val="111111"/>
          <w:sz w:val="28"/>
          <w:szCs w:val="28"/>
          <w:rtl/>
        </w:rPr>
        <w:t xml:space="preserve">21 - الحسن بن زبرقان الطبری.</w:t>
      </w:r>
    </w:p>
    <w:p>
      <w:pPr>
        <w:pStyle w:val="BookText"/>
      </w:pPr>
      <w:r>
        <w:rPr>
          <w:rFonts w:ascii="IRNazanin" w:hAnsi="IRNazanin" w:eastAsia="IRNazanin" w:cs="IRNazanin"/>
          <w:lang w:bidi="fa-IR"/>
          <w:color w:val="111111"/>
          <w:sz w:val="28"/>
          <w:szCs w:val="28"/>
          <w:rtl/>
        </w:rPr>
        <w:t xml:space="preserve">22 - أبو عبد اللّه الحسین بن محمّد بن عامر بن عمران بن أبی بکر الأشعریّ القمی، الّذی أکثر الکلینی من الروایة عنه.</w:t>
      </w:r>
    </w:p>
    <w:p>
      <w:pPr>
        <w:pStyle w:val="BookText"/>
      </w:pPr>
      <w:r>
        <w:rPr>
          <w:rFonts w:ascii="IRNazanin" w:hAnsi="IRNazanin" w:eastAsia="IRNazanin" w:cs="IRNazanin"/>
          <w:lang w:bidi="fa-IR"/>
          <w:color w:val="111111"/>
          <w:sz w:val="28"/>
          <w:szCs w:val="28"/>
          <w:rtl/>
        </w:rPr>
        <w:t xml:space="preserve">23 - أبو علی أحمد بن إدریس بن أحمد الأشعری القمّی (المتوفّی سنة 306).</w:t>
      </w:r>
    </w:p>
    <w:p>
      <w:pPr>
        <w:pStyle w:val="BookText"/>
      </w:pPr>
      <w:r>
        <w:rPr>
          <w:rFonts w:ascii="IRNazanin" w:hAnsi="IRNazanin" w:eastAsia="IRNazanin" w:cs="IRNazanin"/>
          <w:lang w:bidi="fa-IR"/>
          <w:color w:val="111111"/>
          <w:sz w:val="28"/>
          <w:szCs w:val="28"/>
          <w:rtl/>
        </w:rPr>
        <w:t xml:space="preserve">24 - أبو عیسی عبید اللّه بن فضل بن محمّد بن هلال الطائی البصری، و فی بعض النسخ «عبد اللّه».</w:t>
      </w:r>
    </w:p>
    <w:p>
      <w:pPr>
        <w:pStyle w:val="BookText"/>
      </w:pPr>
      <w:r>
        <w:rPr>
          <w:rFonts w:ascii="IRNazanin" w:hAnsi="IRNazanin" w:eastAsia="IRNazanin" w:cs="IRNazanin"/>
          <w:lang w:bidi="fa-IR"/>
          <w:color w:val="111111"/>
          <w:sz w:val="28"/>
          <w:szCs w:val="28"/>
          <w:rtl/>
        </w:rPr>
        <w:t xml:space="preserve">25 - حکیم بن داود بن حکیم یروی عن سلمة بن خطاب.</w:t>
      </w:r>
    </w:p>
    <w:p>
      <w:pPr>
        <w:pStyle w:val="BookText"/>
      </w:pPr>
      <w:r>
        <w:rPr>
          <w:rFonts w:ascii="IRNazanin" w:hAnsi="IRNazanin" w:eastAsia="IRNazanin" w:cs="IRNazanin"/>
          <w:lang w:bidi="fa-IR"/>
          <w:color w:val="111111"/>
          <w:sz w:val="28"/>
          <w:szCs w:val="28"/>
          <w:rtl/>
        </w:rPr>
        <w:t xml:space="preserve">[شماره صفحه واقعی : 305]</w:t>
      </w:r>
    </w:p>
    <w:p>
      <w:pPr>
        <w:pStyle w:val="BookText"/>
      </w:pPr>
      <w:r>
        <w:rPr>
          <w:rFonts w:ascii="IRNazanin" w:hAnsi="IRNazanin" w:eastAsia="IRNazanin" w:cs="IRNazanin"/>
          <w:lang w:bidi="fa-IR"/>
          <w:color w:val="111111"/>
          <w:sz w:val="28"/>
          <w:szCs w:val="28"/>
          <w:rtl/>
        </w:rPr>
        <w:t xml:space="preserve">ص: 1023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محمّد بن الحسین و فی بعض المواضع، الحسن بن مث الجوهری.</w:t>
      </w:r>
    </w:p>
    <w:p>
      <w:pPr>
        <w:pStyle w:val="BookText"/>
      </w:pPr>
      <w:r>
        <w:rPr>
          <w:rFonts w:ascii="IRNazanin" w:hAnsi="IRNazanin" w:eastAsia="IRNazanin" w:cs="IRNazanin"/>
          <w:lang w:bidi="fa-IR"/>
          <w:color w:val="111111"/>
          <w:sz w:val="28"/>
          <w:szCs w:val="28"/>
          <w:rtl/>
        </w:rPr>
        <w:t xml:space="preserve">27 - محمّد بن أحمد بن علی بن یعقوب.</w:t>
      </w:r>
    </w:p>
    <w:p>
      <w:pPr>
        <w:pStyle w:val="BookText"/>
      </w:pPr>
      <w:r>
        <w:rPr>
          <w:rFonts w:ascii="IRNazanin" w:hAnsi="IRNazanin" w:eastAsia="IRNazanin" w:cs="IRNazanin"/>
          <w:lang w:bidi="fa-IR"/>
          <w:color w:val="111111"/>
          <w:sz w:val="28"/>
          <w:szCs w:val="28"/>
          <w:rtl/>
        </w:rPr>
        <w:t xml:space="preserve">28 - أبو عبد اللّه محمّد بن أحمد بن یعقوب بن اسحاق بن عمار.</w:t>
      </w:r>
    </w:p>
    <w:p>
      <w:pPr>
        <w:pStyle w:val="BookText"/>
      </w:pPr>
      <w:r>
        <w:rPr>
          <w:rFonts w:ascii="IRNazanin" w:hAnsi="IRNazanin" w:eastAsia="IRNazanin" w:cs="IRNazanin"/>
          <w:lang w:bidi="fa-IR"/>
          <w:color w:val="111111"/>
          <w:sz w:val="28"/>
          <w:szCs w:val="28"/>
          <w:rtl/>
        </w:rPr>
        <w:t xml:space="preserve">29 - أبو عبد اللّه محمّد بن أحمد بن یعقوب.</w:t>
      </w:r>
    </w:p>
    <w:p>
      <w:pPr>
        <w:pStyle w:val="BookText"/>
      </w:pPr>
      <w:r>
        <w:rPr>
          <w:rFonts w:ascii="IRNazanin" w:hAnsi="IRNazanin" w:eastAsia="IRNazanin" w:cs="IRNazanin"/>
          <w:lang w:bidi="fa-IR"/>
          <w:color w:val="111111"/>
          <w:sz w:val="28"/>
          <w:szCs w:val="28"/>
          <w:rtl/>
        </w:rPr>
        <w:t xml:space="preserve">و احتمل المحدّث النوری اتّحاده مع سابقه بل اتحاد الثلاثة الواردة فی الأرقام 27، 28، 29.</w:t>
      </w:r>
    </w:p>
    <w:p>
      <w:pPr>
        <w:pStyle w:val="BookText"/>
      </w:pPr>
      <w:r>
        <w:rPr>
          <w:rFonts w:ascii="IRNazanin" w:hAnsi="IRNazanin" w:eastAsia="IRNazanin" w:cs="IRNazanin"/>
          <w:lang w:bidi="fa-IR"/>
          <w:color w:val="111111"/>
          <w:sz w:val="28"/>
          <w:szCs w:val="28"/>
          <w:rtl/>
        </w:rPr>
        <w:t xml:space="preserve">30 - أبو عبد اللّه الحسین بن علیّ الزعفرانی.</w:t>
      </w:r>
    </w:p>
    <w:p>
      <w:pPr>
        <w:pStyle w:val="BookText"/>
      </w:pPr>
      <w:r>
        <w:rPr>
          <w:rFonts w:ascii="IRNazanin" w:hAnsi="IRNazanin" w:eastAsia="IRNazanin" w:cs="IRNazanin"/>
          <w:lang w:bidi="fa-IR"/>
          <w:color w:val="111111"/>
          <w:sz w:val="28"/>
          <w:szCs w:val="28"/>
          <w:rtl/>
        </w:rPr>
        <w:t xml:space="preserve">31 - أبو الحسین أحمد بن عبد اللّه بن علی الناقد.</w:t>
      </w:r>
    </w:p>
    <w:p>
      <w:pPr>
        <w:pStyle w:val="BookText"/>
      </w:pPr>
      <w:r>
        <w:rPr>
          <w:rFonts w:ascii="IRNazanin" w:hAnsi="IRNazanin" w:eastAsia="IRNazanin" w:cs="IRNazanin"/>
          <w:lang w:bidi="fa-IR"/>
          <w:color w:val="111111"/>
          <w:sz w:val="28"/>
          <w:szCs w:val="28"/>
          <w:rtl/>
        </w:rPr>
        <w:t xml:space="preserve">32 - أبو الحسن محمّد بن عبد اللّه بن علی</w:t>
      </w:r>
      <w:r>
        <w:rPr>
          <w:rStyle w:val="FootnoteReference"/>
        </w:rPr>
        <w:footnoteReference w:id="4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306]</w:t>
      </w:r>
    </w:p>
    <w:p>
      <w:pPr>
        <w:pStyle w:val="BookText"/>
      </w:pPr>
      <w:r>
        <w:rPr>
          <w:rFonts w:ascii="IRNazanin" w:hAnsi="IRNazanin" w:eastAsia="IRNazanin" w:cs="IRNazanin"/>
          <w:lang w:bidi="fa-IR"/>
          <w:color w:val="111111"/>
          <w:sz w:val="28"/>
          <w:szCs w:val="28"/>
          <w:rtl/>
        </w:rPr>
        <w:t xml:space="preserve">ص: 1024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435" w:name="pg14419_167740"/>
    <w:bookmarkEnd w:id="435"/>
    <w:p>
      <w:pPr>
        <w:pStyle w:val="Heading5"/>
      </w:pPr>
      <w:bookmarkStart w:id="1377" w:name="_Toc817"/>
      <w:r>
        <w:t>6 - ما ورد فی اسناد تفسیر القمی</w:t>
      </w:r>
      <w:bookmarkEnd w:id="1377"/>
    </w:p>
    <w:p>
      <w:pPr>
        <w:pStyle w:val="Heading6"/>
      </w:pPr>
      <w:bookmarkStart w:id="1378" w:name="_Toc818"/>
      <w:r>
        <w:t>اشارة</w:t>
      </w:r>
      <w:bookmarkEnd w:id="1378"/>
    </w:p>
    <w:p>
      <w:pPr>
        <w:pStyle w:val="BookText"/>
      </w:pPr>
      <w:r>
        <w:rPr>
          <w:rFonts w:ascii="IRNazanin" w:hAnsi="IRNazanin" w:eastAsia="IRNazanin" w:cs="IRNazanin"/>
          <w:lang w:bidi="fa-IR"/>
          <w:color w:val="111111"/>
          <w:sz w:val="28"/>
          <w:szCs w:val="28"/>
          <w:rtl/>
        </w:rPr>
        <w:t xml:space="preserve">[شماره صفحه واقعی : 307]</w:t>
      </w:r>
    </w:p>
    <w:p>
      <w:pPr>
        <w:pStyle w:val="BookText"/>
      </w:pPr>
      <w:r>
        <w:rPr>
          <w:rFonts w:ascii="IRNazanin" w:hAnsi="IRNazanin" w:eastAsia="IRNazanin" w:cs="IRNazanin"/>
          <w:lang w:bidi="fa-IR"/>
          <w:color w:val="111111"/>
          <w:sz w:val="28"/>
          <w:szCs w:val="28"/>
          <w:rtl/>
        </w:rPr>
        <w:t xml:space="preserve">ص: 1025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308]</w:t>
      </w:r>
    </w:p>
    <w:p>
      <w:pPr>
        <w:pStyle w:val="BookText"/>
      </w:pPr>
      <w:r>
        <w:rPr>
          <w:rFonts w:ascii="IRNazanin" w:hAnsi="IRNazanin" w:eastAsia="IRNazanin" w:cs="IRNazanin"/>
          <w:lang w:bidi="fa-IR"/>
          <w:color w:val="111111"/>
          <w:sz w:val="28"/>
          <w:szCs w:val="28"/>
          <w:rtl/>
        </w:rPr>
        <w:t xml:space="preserve">ص: 1026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یستظهر أنّ کلّ من وقع فی أسناد روایات تفسیر علی بن إبراهیم المنتهیة إلی المعصومین - علیهم السلام - ثقة، لأنّ علیّ بن إبراهیم شهد بوثاقته، و إلیک عبارة القمّی فی دیباجة تفسیره قال: «نحن ذاکرون و مخبرون بما ینتهی إلینا و رواه مشایخنا و ثقاتنا عن الّذین فرض اللّه طاعتهم، و أوجب رعایتهم، و لا یقبل العمل إلاّ بهم»</w:t>
      </w:r>
      <w:r>
        <w:rPr>
          <w:rStyle w:val="FootnoteReference"/>
        </w:rPr>
        <w:footnoteReference w:id="4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الوسائل: «قد شهد علیّ بن إبراهیم أیضا بثبوت أحادیث تفسیره، و أنّها مرویّة عن الثقات عن الأئمّة»</w:t>
      </w:r>
      <w:r>
        <w:rPr>
          <w:rStyle w:val="FootnoteReference"/>
        </w:rPr>
        <w:footnoteReference w:id="4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معجم رجال الحدیث معترفا بصحّة استفادة صاحب الوسائل: «إنّ علیّ بن إبراهیم یرید بما ذکره، إثبات صحّة تفسیره و أنّ روایاته ثابتة و صادرة من المعصومین - علیهم السلام - و أنّها انتهت إلیه بوساطة المشایخ و الثّقات من الشیعة، و علی ذلک فلا موجب لتخصیص التوثیق بمشایخه الّذین یروی عنهم علیّ بن إبراهیم بلا واسطة، کما زعمه بعضهم»</w:t>
      </w:r>
      <w:r>
        <w:rPr>
          <w:rStyle w:val="FootnoteReference"/>
        </w:rPr>
        <w:footnoteReference w:id="4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309]</w:t>
      </w:r>
    </w:p>
    <w:p>
      <w:pPr>
        <w:pStyle w:val="BookText"/>
      </w:pPr>
      <w:r>
        <w:rPr>
          <w:rFonts w:ascii="IRNazanin" w:hAnsi="IRNazanin" w:eastAsia="IRNazanin" w:cs="IRNazanin"/>
          <w:lang w:bidi="fa-IR"/>
          <w:color w:val="111111"/>
          <w:sz w:val="28"/>
          <w:szCs w:val="28"/>
          <w:rtl/>
        </w:rPr>
        <w:t xml:space="preserve">ص: 1027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436" w:name="pg14419_167743"/>
    <w:bookmarkEnd w:id="436"/>
    <w:p>
      <w:pPr>
        <w:pStyle w:val="BookText"/>
      </w:pPr>
      <w:r>
        <w:rPr>
          <w:rFonts w:ascii="IRNazanin" w:hAnsi="IRNazanin" w:eastAsia="IRNazanin" w:cs="IRNazanin"/>
          <w:lang w:bidi="fa-IR"/>
          <w:color w:val="111111"/>
          <w:sz w:val="28"/>
          <w:szCs w:val="28"/>
          <w:rtl/>
        </w:rPr>
        <w:t xml:space="preserve">و تحقیق الحقّ یستدعی بیان امور:</w:t>
      </w:r>
    </w:p>
    <w:p>
      <w:pPr>
        <w:pStyle w:val="Heading6"/>
      </w:pPr>
      <w:bookmarkStart w:id="1379" w:name="_Toc819"/>
      <w:r>
        <w:t>1 - ترجمة القمی</w:t>
      </w:r>
      <w:bookmarkEnd w:id="1379"/>
    </w:p>
    <w:p>
      <w:pPr>
        <w:pStyle w:val="BookText"/>
      </w:pPr>
      <w:r>
        <w:rPr>
          <w:rFonts w:ascii="IRNazanin" w:hAnsi="IRNazanin" w:eastAsia="IRNazanin" w:cs="IRNazanin"/>
          <w:lang w:bidi="fa-IR"/>
          <w:color w:val="111111"/>
          <w:sz w:val="28"/>
          <w:szCs w:val="28"/>
          <w:rtl/>
        </w:rPr>
        <w:t xml:space="preserve">إنّ علیّ بن إبراهیم بن هاشم أحد مشایخ الشیعة فی أواخر القرن الثّالث و أوائل القرن الرابع، و کفی فی عظمته أنّه من مشایخ الکلینی، و قد أکثر فی الکافی الروایة عنه، حتّی بلغ روایته عنه سبعة آلاف و ثمانیة و ستّین موردا</w:t>
      </w:r>
      <w:r>
        <w:rPr>
          <w:rStyle w:val="FootnoteReference"/>
        </w:rPr>
        <w:footnoteReference w:id="4039"/>
      </w:r>
      <w:r>
        <w:rPr>
          <w:rFonts w:ascii="IRNazanin" w:hAnsi="IRNazanin" w:eastAsia="IRNazanin" w:cs="IRNazanin"/>
          <w:lang w:bidi="fa-IR"/>
          <w:color w:val="111111"/>
          <w:sz w:val="28"/>
          <w:szCs w:val="28"/>
          <w:rtl/>
        </w:rPr>
        <w:t xml:space="preserve">و قد وقع فی أسناد کثیر من الروایات تبلغ سبعة آلاف و مائة و اربعین موردا</w:t>
      </w:r>
      <w:r>
        <w:rPr>
          <w:rStyle w:val="FootnoteReference"/>
        </w:rPr>
        <w:footnoteReference w:id="4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عرّفه النجاشی بقوله: «علیّ بن إبراهیم، أبو الحسن القمّی، ثقة فی الحدیث، ثبت معتمد صحیح المذهب سمع فأکثر و صنّف کتبا»</w:t>
      </w:r>
      <w:r>
        <w:rPr>
          <w:rStyle w:val="FootnoteReference"/>
        </w:rPr>
        <w:footnoteReference w:id="4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الطوسی فی الفهرس: «علیّ بن إبراهیم بن هاشم القمّی، له کتب: منها کتاب التفسیر، و کتاب الناسخ و المنسوخ»</w:t>
      </w:r>
      <w:r>
        <w:rPr>
          <w:rStyle w:val="FootnoteReference"/>
        </w:rPr>
        <w:footnoteReference w:id="4042"/>
      </w:r>
      <w:r>
        <w:rPr>
          <w:rFonts w:ascii="Times New Roman" w:hAnsi="Times New Roman" w:eastAsia="Times New Roman" w:cs="Times New Roman"/>
          <w:lang w:val="en-US" w:bidi="en-US"/>
          <w:color w:val="111111"/>
          <w:sz w:val="28"/>
          <w:szCs w:val="28"/>
          <w:rtl/>
        </w:rPr>
        <w:t xml:space="preserve">.</w:t>
      </w:r>
    </w:p>
    <w:p>
      <w:pPr>
        <w:pStyle w:val="Heading6"/>
      </w:pPr>
      <w:bookmarkStart w:id="1380" w:name="_Toc820"/>
      <w:r>
        <w:t>2 - مشایخه</w:t>
      </w:r>
      <w:bookmarkEnd w:id="1380"/>
    </w:p>
    <w:p>
      <w:pPr>
        <w:pStyle w:val="BookText"/>
      </w:pPr>
      <w:r>
        <w:rPr>
          <w:rFonts w:ascii="IRNazanin" w:hAnsi="IRNazanin" w:eastAsia="IRNazanin" w:cs="IRNazanin"/>
          <w:lang w:bidi="fa-IR"/>
          <w:color w:val="111111"/>
          <w:sz w:val="28"/>
          <w:szCs w:val="28"/>
          <w:rtl/>
        </w:rPr>
        <w:t xml:space="preserve">1 - إبراهیم بن هاشم و روایاته عنه تبلغ ستّة آلاف و مائتین و أربعة عشر موردا.</w:t>
      </w:r>
    </w:p>
    <w:p>
      <w:pPr>
        <w:pStyle w:val="BookText"/>
      </w:pPr>
      <w:r>
        <w:rPr>
          <w:rFonts w:ascii="IRNazanin" w:hAnsi="IRNazanin" w:eastAsia="IRNazanin" w:cs="IRNazanin"/>
          <w:lang w:bidi="fa-IR"/>
          <w:color w:val="111111"/>
          <w:sz w:val="28"/>
          <w:szCs w:val="28"/>
          <w:rtl/>
        </w:rPr>
        <w:t xml:space="preserve">2 - صالح بن السندی و روایاته عنه تبلغ ثلاثة و ستّین موردا.</w:t>
      </w:r>
    </w:p>
    <w:p>
      <w:pPr>
        <w:pStyle w:val="BookText"/>
      </w:pPr>
      <w:r>
        <w:rPr>
          <w:rFonts w:ascii="IRNazanin" w:hAnsi="IRNazanin" w:eastAsia="IRNazanin" w:cs="IRNazanin"/>
          <w:lang w:bidi="fa-IR"/>
          <w:color w:val="111111"/>
          <w:sz w:val="28"/>
          <w:szCs w:val="28"/>
          <w:rtl/>
        </w:rPr>
        <w:t xml:space="preserve">3 - محمّد بن عیسی و روایاته عنه تبلغ أربعمائة و ستّة و ثمانین موردا.</w:t>
      </w:r>
    </w:p>
    <w:p>
      <w:pPr>
        <w:pStyle w:val="BookText"/>
      </w:pPr>
      <w:r>
        <w:rPr>
          <w:rFonts w:ascii="IRNazanin" w:hAnsi="IRNazanin" w:eastAsia="IRNazanin" w:cs="IRNazanin"/>
          <w:lang w:bidi="fa-IR"/>
          <w:color w:val="111111"/>
          <w:sz w:val="28"/>
          <w:szCs w:val="28"/>
          <w:rtl/>
        </w:rPr>
        <w:t xml:space="preserve">4 - محمد بن عیسی بن عبید الیقطینی و روایاته عنه تبلغ اثنین و ثمانین موردا.</w:t>
      </w:r>
    </w:p>
    <w:p>
      <w:pPr>
        <w:pStyle w:val="BookText"/>
      </w:pPr>
      <w:r>
        <w:rPr>
          <w:rFonts w:ascii="IRNazanin" w:hAnsi="IRNazanin" w:eastAsia="IRNazanin" w:cs="IRNazanin"/>
          <w:lang w:bidi="fa-IR"/>
          <w:color w:val="111111"/>
          <w:sz w:val="28"/>
          <w:szCs w:val="28"/>
          <w:rtl/>
        </w:rPr>
        <w:t xml:space="preserve">5 - هارون بن مسلم و روایاته عنه تبلغ ثلاثة و ثمانین موردا.</w:t>
      </w:r>
    </w:p>
    <w:p>
      <w:pPr>
        <w:pStyle w:val="BookText"/>
      </w:pPr>
      <w:r>
        <w:rPr>
          <w:rFonts w:ascii="IRNazanin" w:hAnsi="IRNazanin" w:eastAsia="IRNazanin" w:cs="IRNazanin"/>
          <w:lang w:bidi="fa-IR"/>
          <w:color w:val="111111"/>
          <w:sz w:val="28"/>
          <w:szCs w:val="28"/>
          <w:rtl/>
        </w:rPr>
        <w:t xml:space="preserve">[شماره صفحه واقعی : 310]</w:t>
      </w:r>
    </w:p>
    <w:p>
      <w:pPr>
        <w:pStyle w:val="BookText"/>
      </w:pPr>
      <w:r>
        <w:rPr>
          <w:rFonts w:ascii="IRNazanin" w:hAnsi="IRNazanin" w:eastAsia="IRNazanin" w:cs="IRNazanin"/>
          <w:lang w:bidi="fa-IR"/>
          <w:color w:val="111111"/>
          <w:sz w:val="28"/>
          <w:szCs w:val="28"/>
          <w:rtl/>
        </w:rPr>
        <w:t xml:space="preserve">ص: 1028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437" w:name="pg14419_167744"/>
    <w:bookmarkEnd w:id="437"/>
    <w:p>
      <w:pPr>
        <w:pStyle w:val="BookText"/>
      </w:pPr>
      <w:r>
        <w:rPr>
          <w:rFonts w:ascii="IRNazanin" w:hAnsi="IRNazanin" w:eastAsia="IRNazanin" w:cs="IRNazanin"/>
          <w:lang w:bidi="fa-IR"/>
          <w:color w:val="111111"/>
          <w:sz w:val="28"/>
          <w:szCs w:val="28"/>
          <w:rtl/>
        </w:rPr>
        <w:t xml:space="preserve">إلی غیر ذلک من المشایخ الّتی أنهاها صاحب معجم رجال الحدیث فی الجزء 11، الصفحة 195.</w:t>
      </w:r>
    </w:p>
    <w:p>
      <w:pPr>
        <w:pStyle w:val="Heading6"/>
      </w:pPr>
      <w:bookmarkStart w:id="1381" w:name="_Toc821"/>
      <w:r>
        <w:t>3 - طبقته فی الرجال</w:t>
      </w:r>
      <w:bookmarkEnd w:id="1381"/>
    </w:p>
    <w:p>
      <w:pPr>
        <w:pStyle w:val="BookText"/>
      </w:pPr>
      <w:r>
        <w:rPr>
          <w:rFonts w:ascii="IRNazanin" w:hAnsi="IRNazanin" w:eastAsia="IRNazanin" w:cs="IRNazanin"/>
          <w:lang w:bidi="fa-IR"/>
          <w:color w:val="111111"/>
          <w:sz w:val="28"/>
          <w:szCs w:val="28"/>
          <w:rtl/>
        </w:rPr>
        <w:t xml:space="preserve">کان فی عصر أبی محمّد الحسن العسکری - علیه السلام - و بقی إلی سنة 307 فإنّه روی الصّدوق فی عیون أخبار الرضا - علیه السلام - عن حمزة بن محمّد بن أحمد بن جعفر، قال: أخبرنا علیّ بن إبراهیم بن هاشم سنة 307</w:t>
      </w:r>
      <w:r>
        <w:rPr>
          <w:rStyle w:val="FootnoteReference"/>
        </w:rPr>
        <w:footnoteReference w:id="4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حمزة بن محمّد ترجمه الشیخ فی باب من لم یرو عنهم، بقوله:</w:t>
      </w:r>
    </w:p>
    <w:p>
      <w:pPr>
        <w:pStyle w:val="BookText"/>
      </w:pPr>
      <w:r>
        <w:rPr>
          <w:rFonts w:ascii="IRNazanin" w:hAnsi="IRNazanin" w:eastAsia="IRNazanin" w:cs="IRNazanin"/>
          <w:lang w:bidi="fa-IR"/>
          <w:color w:val="111111"/>
          <w:sz w:val="28"/>
          <w:szCs w:val="28"/>
          <w:rtl/>
        </w:rPr>
        <w:t xml:space="preserve">«حمزة بن محمّد القزوینی العلویّ، یروی عن علیّ بن إبراهیم و نظرائه و روی عنه محمّد بن علیّ بن الحسین بن بابویه»</w:t>
      </w:r>
      <w:r>
        <w:rPr>
          <w:rStyle w:val="FootnoteReference"/>
        </w:rPr>
        <w:footnoteReference w:id="4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أسانید «الأمالی» و «کمال الدین» هکذا: حدّثنا حمزة بن محمّد - إلی قوله: «بقم فی رجب 339 قال: أخبرنا علیّ بن إبراهیم بن هاشم فیما کتبه إلیّ فی سنة سبع و ثلاثمائة».</w:t>
      </w:r>
    </w:p>
    <w:p>
      <w:pPr>
        <w:pStyle w:val="Heading6"/>
      </w:pPr>
      <w:bookmarkStart w:id="1382" w:name="_Toc822"/>
      <w:r>
        <w:t>4 - تعریف للتفسیر</w:t>
      </w:r>
      <w:bookmarkEnd w:id="1382"/>
    </w:p>
    <w:p>
      <w:pPr>
        <w:pStyle w:val="BookText"/>
      </w:pPr>
      <w:r>
        <w:rPr>
          <w:rFonts w:ascii="IRNazanin" w:hAnsi="IRNazanin" w:eastAsia="IRNazanin" w:cs="IRNazanin"/>
          <w:lang w:bidi="fa-IR"/>
          <w:color w:val="111111"/>
          <w:sz w:val="28"/>
          <w:szCs w:val="28"/>
          <w:rtl/>
        </w:rPr>
        <w:t xml:space="preserve">التفسیر المنسوب إلی القمّی تفسیر روائی، و ربّما جاءت فیها أنظار عن نفس علیّ بن ابراهیم بقوله: قال علیّ بن إبراهیم...</w:t>
      </w:r>
    </w:p>
    <w:p>
      <w:pPr>
        <w:pStyle w:val="BookText"/>
      </w:pPr>
      <w:r>
        <w:rPr>
          <w:rFonts w:ascii="IRNazanin" w:hAnsi="IRNazanin" w:eastAsia="IRNazanin" w:cs="IRNazanin"/>
          <w:lang w:bidi="fa-IR"/>
          <w:color w:val="111111"/>
          <w:sz w:val="28"/>
          <w:szCs w:val="28"/>
          <w:rtl/>
        </w:rPr>
        <w:t xml:space="preserve">أورد فی أوّل تفسیره مختصرا من الروایات المبسوطة المسندة المرویّة عن الإمام الصادق - علیه السلام - عن جدّه أمیر المؤمنین - علیه السلام - فی بیان أنواع علوم القرآن.</w:t>
      </w:r>
    </w:p>
    <w:p>
      <w:pPr>
        <w:pStyle w:val="BookText"/>
      </w:pPr>
      <w:r>
        <w:rPr>
          <w:rFonts w:ascii="IRNazanin" w:hAnsi="IRNazanin" w:eastAsia="IRNazanin" w:cs="IRNazanin"/>
          <w:lang w:bidi="fa-IR"/>
          <w:color w:val="111111"/>
          <w:sz w:val="28"/>
          <w:szCs w:val="28"/>
          <w:rtl/>
        </w:rPr>
        <w:t xml:space="preserve">ثمّ إنّ محمّد بن إبراهیم بن جعفر الکاتب النعمانی، تلمیذ ثقة الاسلام</w:t>
      </w:r>
    </w:p>
    <w:p>
      <w:pPr>
        <w:pStyle w:val="BookText"/>
      </w:pPr>
      <w:r>
        <w:rPr>
          <w:rFonts w:ascii="IRNazanin" w:hAnsi="IRNazanin" w:eastAsia="IRNazanin" w:cs="IRNazanin"/>
          <w:lang w:bidi="fa-IR"/>
          <w:color w:val="111111"/>
          <w:sz w:val="28"/>
          <w:szCs w:val="28"/>
          <w:rtl/>
        </w:rPr>
        <w:t xml:space="preserve">[شماره صفحه واقعی : 311]</w:t>
      </w:r>
    </w:p>
    <w:p>
      <w:pPr>
        <w:pStyle w:val="BookText"/>
      </w:pPr>
      <w:r>
        <w:rPr>
          <w:rFonts w:ascii="IRNazanin" w:hAnsi="IRNazanin" w:eastAsia="IRNazanin" w:cs="IRNazanin"/>
          <w:lang w:bidi="fa-IR"/>
          <w:color w:val="111111"/>
          <w:sz w:val="28"/>
          <w:szCs w:val="28"/>
          <w:rtl/>
        </w:rPr>
        <w:t xml:space="preserve">ص: 1029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438" w:name="pg14419_167745"/>
    <w:bookmarkEnd w:id="438"/>
    <w:p>
      <w:pPr>
        <w:pStyle w:val="BookText"/>
      </w:pPr>
      <w:r>
        <w:rPr>
          <w:rFonts w:ascii="IRNazanin" w:hAnsi="IRNazanin" w:eastAsia="IRNazanin" w:cs="IRNazanin"/>
          <w:lang w:bidi="fa-IR"/>
          <w:color w:val="111111"/>
          <w:sz w:val="28"/>
          <w:szCs w:val="28"/>
          <w:rtl/>
        </w:rPr>
        <w:t xml:space="preserve">الکلینیّ، مؤلّف کتاب «الغیبة» رواها باسناده إلی الإمام، و جعلها مقدّمة تفسیره، و قد دوّنت تلک المقدّمة مفردة مع خطبة مختصرة و سمّیت «المحکم و المتشابه» و طبع فی ایران، و ربما ینسب إلی السیّد المرتضی، و طبع تلک المقدّمة مع تفسیر القمّی تارة، و مستقلّة اخری، و أوردها بتمامها العلامة المجلسیّ فی مجلّد القرآن من «البحار»</w:t>
      </w:r>
      <w:r>
        <w:rPr>
          <w:rStyle w:val="FootnoteReference"/>
        </w:rPr>
        <w:footnoteReference w:id="4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ابتدأ القمّی بنقل تلک الروایات مع حذف السند بقوله: «فأمّا الناسخ و المنسوخ فإنّ عدّة النساء کانت فی الجاهلیّة...»</w:t>
      </w:r>
      <w:r>
        <w:rPr>
          <w:rStyle w:val="FootnoteReference"/>
        </w:rPr>
        <w:footnoteReference w:id="4046"/>
      </w:r>
      <w:r>
        <w:rPr>
          <w:rFonts w:ascii="Times New Roman" w:hAnsi="Times New Roman" w:eastAsia="Times New Roman" w:cs="Times New Roman"/>
          <w:lang w:val="en-US" w:bidi="en-US"/>
          <w:color w:val="111111"/>
          <w:sz w:val="28"/>
          <w:szCs w:val="28"/>
          <w:rtl/>
        </w:rPr>
        <w:t xml:space="preserve">.</w:t>
      </w:r>
    </w:p>
    <w:p>
      <w:pPr>
        <w:pStyle w:val="Heading6"/>
      </w:pPr>
      <w:bookmarkStart w:id="1383" w:name="_Toc823"/>
      <w:r>
        <w:t>5 - الراوی للتفسیر أو من املی علیه</w:t>
      </w:r>
      <w:bookmarkEnd w:id="1383"/>
    </w:p>
    <w:p>
      <w:pPr>
        <w:pStyle w:val="BookText"/>
      </w:pPr>
      <w:r>
        <w:rPr>
          <w:rFonts w:ascii="IRNazanin" w:hAnsi="IRNazanin" w:eastAsia="IRNazanin" w:cs="IRNazanin"/>
          <w:lang w:bidi="fa-IR"/>
          <w:color w:val="111111"/>
          <w:sz w:val="28"/>
          <w:szCs w:val="28"/>
          <w:rtl/>
        </w:rPr>
        <w:t xml:space="preserve">یروی التفسیر عن علیّ بن إبراهیم، تلمیذه أبو الفضل العبّاس بن محمّد بن القاسم بن حمزة بن موسی بن جعفر - علیه السلام -.</w:t>
      </w:r>
    </w:p>
    <w:p>
      <w:pPr>
        <w:pStyle w:val="BookText"/>
      </w:pPr>
      <w:r>
        <w:rPr>
          <w:rFonts w:ascii="IRNazanin" w:hAnsi="IRNazanin" w:eastAsia="IRNazanin" w:cs="IRNazanin"/>
          <w:lang w:bidi="fa-IR"/>
          <w:color w:val="111111"/>
          <w:sz w:val="28"/>
          <w:szCs w:val="28"/>
          <w:rtl/>
        </w:rPr>
        <w:t xml:space="preserve">و مع الأسف، إنّه لم یوجد لراوی التفسیر (العبّاس بن محمد) ذکر فی الاصول الرجالیّة، بل المذکور فیها ترجمة والده المعروف ب «محمّد الأعرابی» و جدّه «القاسم» فقط. فقد ترجم والده الشیخ الطوسی فی رجاله فی أصحاب الإمام الهادی - علیه السلام - بعنوان محمّد بن القاسم بن حمزة بن موسی العلوی</w:t>
      </w:r>
      <w:r>
        <w:rPr>
          <w:rStyle w:val="FootnoteReference"/>
        </w:rPr>
        <w:footnoteReference w:id="4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الطّهرانی: «و ترجم أبو عمرو الکشّی جدّه بعنوان «القاسم بن حمزة بن موسی بن جعفر» و ذکر أنّه یروی عن أبی بصیر، و یروی عنه أبو عبد اللّه محمّد بن خالد البرقی»</w:t>
      </w:r>
      <w:r>
        <w:rPr>
          <w:rStyle w:val="FootnoteReference"/>
        </w:rPr>
        <w:footnoteReference w:id="4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312]</w:t>
      </w:r>
    </w:p>
    <w:p>
      <w:pPr>
        <w:pStyle w:val="BookText"/>
      </w:pPr>
      <w:r>
        <w:rPr>
          <w:rFonts w:ascii="IRNazanin" w:hAnsi="IRNazanin" w:eastAsia="IRNazanin" w:cs="IRNazanin"/>
          <w:lang w:bidi="fa-IR"/>
          <w:color w:val="111111"/>
          <w:sz w:val="28"/>
          <w:szCs w:val="28"/>
          <w:rtl/>
        </w:rPr>
        <w:t xml:space="preserve">ص: 1030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439" w:name="pg14419_167746"/>
    <w:bookmarkEnd w:id="439"/>
    <w:p>
      <w:pPr>
        <w:pStyle w:val="BookText"/>
      </w:pPr>
      <w:r>
        <w:rPr>
          <w:rFonts w:ascii="IRNazanin" w:hAnsi="IRNazanin" w:eastAsia="IRNazanin" w:cs="IRNazanin"/>
          <w:lang w:bidi="fa-IR"/>
          <w:color w:val="111111"/>
          <w:sz w:val="28"/>
          <w:szCs w:val="28"/>
          <w:rtl/>
        </w:rPr>
        <w:t xml:space="preserve">و أمّا العبّاس فقد ترجم فی کتب الانساب، فهو مسلّم عند النسّابین و هم ذاکرون له و لأعمامه و لاخوانه و لأحفاده عند تعرّضهم لحمزة بن الإمام موسی بن جعفر الکاظم - علیه السلام -.</w:t>
      </w:r>
    </w:p>
    <w:p>
      <w:pPr>
        <w:pStyle w:val="BookText"/>
      </w:pPr>
      <w:r>
        <w:rPr>
          <w:rFonts w:ascii="IRNazanin" w:hAnsi="IRNazanin" w:eastAsia="IRNazanin" w:cs="IRNazanin"/>
          <w:lang w:bidi="fa-IR"/>
          <w:color w:val="111111"/>
          <w:sz w:val="28"/>
          <w:szCs w:val="28"/>
          <w:rtl/>
        </w:rPr>
        <w:t xml:space="preserve">فقد ذکر شیخنا المجیز الطهرانی أنّه رأی ترجمته فی المجدی، و عمدة الطالب ص 218 من طبع لکنهو، و بحر الأنساب، و المشجّر الکشّاف، و النسب المسطر المؤلف فی حدود 600، فعند ما ذکر عقب محمّد الأعرابی بن القاسم بن حمزة بن موسی - علیه السلام -، ذکروا أنّ محمّدا هذا أعقب من خمسة بنین موسی، و أحمد المجدور، و عبد اللّه، و الحسین أبی زبیة، و العبّاس، و ذکروا من ولد العبّاس، ابنه جعفر بن العبّاس، ثمّ ابن جعفر زیدا الملقّب ب «زید سیاه»...</w:t>
      </w:r>
    </w:p>
    <w:p>
      <w:pPr>
        <w:pStyle w:val="BookText"/>
      </w:pPr>
      <w:r>
        <w:rPr>
          <w:rFonts w:ascii="IRNazanin" w:hAnsi="IRNazanin" w:eastAsia="IRNazanin" w:cs="IRNazanin"/>
          <w:lang w:bidi="fa-IR"/>
          <w:color w:val="111111"/>
          <w:sz w:val="28"/>
          <w:szCs w:val="28"/>
          <w:rtl/>
        </w:rPr>
        <w:t xml:space="preserve">و ذکر مؤلف «النسب المسطر» (المؤلّف بین 593-600) أعقاب العباس. قال: «و أمّا العبّاس بطبرستان ابن محمّد الأعرابی فله أولاد بها منهم جعفر و زید و الحسن و لهم أعقاب، و یظهر من «النسب المسطر» أنّه نزل بطبرستان و لأولاده الثلاثة أعقاب بها و کانت طبرستان فی ذلک الأوان مرکز الزیدیة»</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Heading6"/>
      </w:pPr>
      <w:bookmarkStart w:id="1384" w:name="_Toc824"/>
      <w:r>
        <w:t>6 - التفسیر لیس للقمی وحده</w:t>
      </w:r>
      <w:bookmarkEnd w:id="1384"/>
    </w:p>
    <w:p>
      <w:pPr>
        <w:pStyle w:val="BookText"/>
      </w:pPr>
      <w:r>
        <w:rPr>
          <w:rFonts w:ascii="IRNazanin" w:hAnsi="IRNazanin" w:eastAsia="IRNazanin" w:cs="IRNazanin"/>
          <w:lang w:bidi="fa-IR"/>
          <w:color w:val="111111"/>
          <w:sz w:val="28"/>
          <w:szCs w:val="28"/>
          <w:rtl/>
        </w:rPr>
        <w:t xml:space="preserve">إنّ التّفسیر المتداول المطبوع کرارا</w:t>
      </w:r>
      <w:r>
        <w:rPr>
          <w:rStyle w:val="FootnoteReference"/>
        </w:rPr>
        <w:footnoteReference w:id="4050"/>
      </w:r>
      <w:r>
        <w:rPr>
          <w:rFonts w:ascii="IRNazanin" w:hAnsi="IRNazanin" w:eastAsia="IRNazanin" w:cs="IRNazanin"/>
          <w:lang w:bidi="fa-IR"/>
          <w:color w:val="111111"/>
          <w:sz w:val="28"/>
          <w:szCs w:val="28"/>
          <w:rtl/>
        </w:rPr>
        <w:t xml:space="preserve">لیس لعلیّ بن إبراهیم وحده، و إنّما هو ملفّق مما أملاه علیّ بن إبراهیم علی تلمیذه أبی الفضل العبّاس، و ما رواه التلمیذ بسنده الخاصّ عن أبی الجارود من الإمام الباقر - علیه السلام -.</w:t>
      </w:r>
    </w:p>
    <w:p>
      <w:pPr>
        <w:pStyle w:val="BookText"/>
      </w:pPr>
      <w:r>
        <w:rPr>
          <w:rFonts w:ascii="IRNazanin" w:hAnsi="IRNazanin" w:eastAsia="IRNazanin" w:cs="IRNazanin"/>
          <w:lang w:bidi="fa-IR"/>
          <w:color w:val="111111"/>
          <w:sz w:val="28"/>
          <w:szCs w:val="28"/>
          <w:rtl/>
        </w:rPr>
        <w:t xml:space="preserve">[شماره صفحه واقعی : 313]</w:t>
      </w:r>
    </w:p>
    <w:p>
      <w:pPr>
        <w:pStyle w:val="BookText"/>
      </w:pPr>
      <w:r>
        <w:rPr>
          <w:rFonts w:ascii="IRNazanin" w:hAnsi="IRNazanin" w:eastAsia="IRNazanin" w:cs="IRNazanin"/>
          <w:lang w:bidi="fa-IR"/>
          <w:color w:val="111111"/>
          <w:sz w:val="28"/>
          <w:szCs w:val="28"/>
          <w:rtl/>
        </w:rPr>
        <w:t xml:space="preserve">ص: 1031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إلیک التعرّف علی أبی الجارود و تفسیره:</w:t>
      </w:r>
    </w:p>
    <w:p>
      <w:pPr>
        <w:pStyle w:val="BookText"/>
      </w:pPr>
      <w:r>
        <w:rPr>
          <w:rFonts w:ascii="IRNazanin" w:hAnsi="IRNazanin" w:eastAsia="IRNazanin" w:cs="IRNazanin"/>
          <w:lang w:bidi="fa-IR"/>
          <w:color w:val="111111"/>
          <w:sz w:val="28"/>
          <w:szCs w:val="28"/>
          <w:rtl/>
        </w:rPr>
        <w:t xml:space="preserve">أمّا ابو الجارود؛ فقد عرّفه النجاشی بقوله: «زیاد بن المنذر، أبو الجارود الهمدانی الخارفی الأعمی،... کوفیّ، کان من أصحاب أبی جعفر - علیه السلام -. و روی عن أبی عبد اللّه - علیه السلام - و تغیّر لما خرج زید - رضی اللّه عنه - و قال أبو العبّاس ابن نوح: هو ثقفی، سمع عطیّة، و روی عن أبی جعفر، و روی عنه مروان بن معاویة و علی بن هاشم بن البرید یتکلّمون فیه، قاله البخاری»</w:t>
      </w:r>
      <w:r>
        <w:rPr>
          <w:rStyle w:val="FootnoteReference"/>
        </w:rPr>
        <w:footnoteReference w:id="4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رجاله فی أصحاب الباقر - علیه السلام -: «زیاد بن المنذر أبو الجارود الهمدانیّ، الحوفیّ الکوفیّ تابعیّ زیدیّ أعمی، إلیه تنسب الجارودیّة منهم».</w:t>
      </w:r>
    </w:p>
    <w:p>
      <w:pPr>
        <w:pStyle w:val="BookText"/>
      </w:pPr>
      <w:r>
        <w:rPr>
          <w:rFonts w:ascii="IRNazanin" w:hAnsi="IRNazanin" w:eastAsia="IRNazanin" w:cs="IRNazanin"/>
          <w:lang w:bidi="fa-IR"/>
          <w:color w:val="111111"/>
          <w:sz w:val="28"/>
          <w:szCs w:val="28"/>
          <w:rtl/>
        </w:rPr>
        <w:t xml:space="preserve">و الظّاهر أنّ الرجل کان إمامیّا، لکنّه رجع عند ما خرج زید بن علی فمال إلیه و صار زیدیّا. و نقل الکشّی روایات فی ذمّه</w:t>
      </w:r>
      <w:r>
        <w:rPr>
          <w:rStyle w:val="FootnoteReference"/>
        </w:rPr>
        <w:footnoteReference w:id="4052"/>
      </w:r>
      <w:r>
        <w:rPr>
          <w:rFonts w:ascii="IRNazanin" w:hAnsi="IRNazanin" w:eastAsia="IRNazanin" w:cs="IRNazanin"/>
          <w:lang w:bidi="fa-IR"/>
          <w:color w:val="111111"/>
          <w:sz w:val="28"/>
          <w:szCs w:val="28"/>
          <w:rtl/>
        </w:rPr>
        <w:t xml:space="preserve">، غیر أنّ الظاهر من الروایات الّتی نقلها الصدوق، رجوعه إلی المذهب الحقّ</w:t>
      </w:r>
      <w:r>
        <w:rPr>
          <w:rStyle w:val="FootnoteReference"/>
        </w:rPr>
        <w:footnoteReference w:id="4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تفسیره فقد ذکره النّجاشی و الشیخ و ذکرا سندهما الیه، و إلیک نصّهما: فقال الأوّل: «له کتاب تفسیر القرآن، رواه عن أبی جعفر - علیه السلام -.</w:t>
      </w:r>
    </w:p>
    <w:p>
      <w:pPr>
        <w:pStyle w:val="BookText"/>
      </w:pPr>
      <w:r>
        <w:rPr>
          <w:rFonts w:ascii="IRNazanin" w:hAnsi="IRNazanin" w:eastAsia="IRNazanin" w:cs="IRNazanin"/>
          <w:lang w:bidi="fa-IR"/>
          <w:color w:val="111111"/>
          <w:sz w:val="28"/>
          <w:szCs w:val="28"/>
          <w:rtl/>
        </w:rPr>
        <w:t xml:space="preserve">أخبرنا عدّة من أصحابنا، عن أحمد بن محمّد بن سعید قال: حدّثنا جعفر بن عبد اللّه المحمّدی، قال: حدّثنا أبو سهل کثیر بن عیّاش القطّان، قال: حدّثنا أبو الجارود بالتفسیر»</w:t>
      </w:r>
      <w:r>
        <w:rPr>
          <w:rStyle w:val="FootnoteReference"/>
        </w:rPr>
        <w:footnoteReference w:id="4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314]</w:t>
      </w:r>
    </w:p>
    <w:p>
      <w:pPr>
        <w:pStyle w:val="BookText"/>
      </w:pPr>
      <w:r>
        <w:rPr>
          <w:rFonts w:ascii="IRNazanin" w:hAnsi="IRNazanin" w:eastAsia="IRNazanin" w:cs="IRNazanin"/>
          <w:lang w:bidi="fa-IR"/>
          <w:color w:val="111111"/>
          <w:sz w:val="28"/>
          <w:szCs w:val="28"/>
          <w:rtl/>
        </w:rPr>
        <w:t xml:space="preserve">ص: 1032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فالنّجاشی یروی التّفسیر بواسطة عدّة من أصحابنا، عن أحمد بن محمّد بن سعید المعروف بابن عقدة و هو أیضا زیدیّ.</w:t>
      </w:r>
    </w:p>
    <w:p>
      <w:pPr>
        <w:pStyle w:val="BookText"/>
      </w:pPr>
      <w:r>
        <w:rPr>
          <w:rFonts w:ascii="IRNazanin" w:hAnsi="IRNazanin" w:eastAsia="IRNazanin" w:cs="IRNazanin"/>
          <w:lang w:bidi="fa-IR"/>
          <w:color w:val="111111"/>
          <w:sz w:val="28"/>
          <w:szCs w:val="28"/>
          <w:rtl/>
        </w:rPr>
        <w:t xml:space="preserve">کما أنّ الشیخ یروی التّفسیر عن ابن عقدة بواسطتین. قال: «و أخبرنا بالتّفسیر أحمد بن عبدون، عن أبی بکر الدّوری، عن ابن عقدة، عن أبی عبد اللّه جعفر بن عبد اللّه المحمّدی، عن کثیر بن عیّاش القطّان و کان ضعیفا و خرج أیّام أبی السّرایا معه فأصابته جراحة، عن زیاد بن المنذر أبی الجارود، عن أبی جعفر الباقر - علیه السلام -»</w:t>
      </w:r>
      <w:r>
        <w:rPr>
          <w:rStyle w:val="FootnoteReference"/>
        </w:rPr>
        <w:footnoteReference w:id="4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فاعلم أنّ أبا الفضل الراوی لهذا التفسیر قد روی فی هذا التفسیر روایات عن عدّة من مشایخه.</w:t>
      </w:r>
    </w:p>
    <w:p>
      <w:pPr>
        <w:pStyle w:val="BookText"/>
      </w:pPr>
      <w:r>
        <w:rPr>
          <w:rFonts w:ascii="IRNazanin" w:hAnsi="IRNazanin" w:eastAsia="IRNazanin" w:cs="IRNazanin"/>
          <w:lang w:bidi="fa-IR"/>
          <w:color w:val="111111"/>
          <w:sz w:val="28"/>
          <w:szCs w:val="28"/>
          <w:rtl/>
        </w:rPr>
        <w:t xml:space="preserve">1 - علیّ بن إبراهیم، فقد خصّ سورة الفاتحة و البقرة و شطرا قلیلا من سورة آل عمران بما رواها عن علیّ بن ابراهیم عن مشایخه.</w:t>
      </w:r>
    </w:p>
    <w:p>
      <w:pPr>
        <w:pStyle w:val="BookText"/>
      </w:pPr>
      <w:r>
        <w:rPr>
          <w:rFonts w:ascii="IRNazanin" w:hAnsi="IRNazanin" w:eastAsia="IRNazanin" w:cs="IRNazanin"/>
          <w:lang w:bidi="fa-IR"/>
          <w:color w:val="111111"/>
          <w:sz w:val="28"/>
          <w:szCs w:val="28"/>
          <w:rtl/>
        </w:rPr>
        <w:t xml:space="preserve">قال قبل الشروع فی تفسیر الفاتحة: «حدّثنا أبو الفضل العبّاس بن محمّد بن القاسم بن حمزة بن موسی بن جعفر - علیه السلام -، قال: حدّثنا أبو الحسن علیّ بن ابراهیم، قال: حدّثنی أبی - رحمه اللّه -، عن محمّد بن أبی عمیر، عن حمّاد بن عیسی، عن أبی عبد اللّه - علیه السلام -».</w:t>
      </w:r>
    </w:p>
    <w:p>
      <w:pPr>
        <w:pStyle w:val="BookText"/>
      </w:pPr>
      <w:r>
        <w:rPr>
          <w:rFonts w:ascii="Amiri" w:hAnsi="Amiri" w:eastAsia="Amiri" w:cs="Amiri"/>
          <w:lang w:bidi="ar-SA"/>
          <w:color w:val="111111"/>
          <w:sz w:val="28"/>
          <w:szCs w:val="28"/>
          <w:rtl/>
        </w:rPr>
        <w:t xml:space="preserve">ثمّ ذکر عدّة طرق لعلیّ بن إبراهیم</w:t>
      </w:r>
      <w:r>
        <w:rPr>
          <w:rStyle w:val="FootnoteReference"/>
        </w:rPr>
        <w:footnoteReference w:id="4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ساق الکلام بهذا الوصف إلی الآیة 45 من سورة آل عمران، و لمّا وصل إلی تفسیر تلک الآیة، أی قوله سبحانه: إِذْ قالَتِ الْمَلائِکَةُ یا مَرْیَمُ إِنَّ اللّهَ یُبَشِّرُکِ بِکَلِمَةٍ مِنْهُ اسْمُهُ الْمَسِیحُ عِیسَی ابْنُ مَرْیَمَ وَجِیهاً فِی الدُّنْیا وَ الْآخِرَةِ وَ مِنَ الْمُقَرَّبِینَ أدخل فی التفسیر ما أملاه الإمام الباقر - علیه السلام - لزیاد بن</w:t>
      </w:r>
    </w:p>
    <w:p>
      <w:pPr>
        <w:pStyle w:val="BookText"/>
      </w:pPr>
      <w:r>
        <w:rPr>
          <w:rFonts w:ascii="IRNazanin" w:hAnsi="IRNazanin" w:eastAsia="IRNazanin" w:cs="IRNazanin"/>
          <w:lang w:bidi="fa-IR"/>
          <w:color w:val="111111"/>
          <w:sz w:val="28"/>
          <w:szCs w:val="28"/>
          <w:rtl/>
        </w:rPr>
        <w:t xml:space="preserve">[شماره صفحه واقعی : 315]</w:t>
      </w:r>
    </w:p>
    <w:p>
      <w:pPr>
        <w:pStyle w:val="BookText"/>
      </w:pPr>
      <w:r>
        <w:rPr>
          <w:rFonts w:ascii="IRNazanin" w:hAnsi="IRNazanin" w:eastAsia="IRNazanin" w:cs="IRNazanin"/>
          <w:lang w:bidi="fa-IR"/>
          <w:color w:val="111111"/>
          <w:sz w:val="28"/>
          <w:szCs w:val="28"/>
          <w:rtl/>
        </w:rPr>
        <w:t xml:space="preserve">ص: 1033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المنذر أبی الجارود فی تفسیر القرآن، و قال بعد ذکر الآیة: «حدّثنا أحمد بن محمّد الهمدانی (المراد به أحمد بن محمد بن سعید المعروف بابن عقدة و هو زیدیّ من قبیلة همدان الیمن) قال: حدّثنا جعفر بن عبد اللّه (المراد المحمّدی) قال: حدّثنا کثیر بن عیّاش، عن زیاد بن المنذر أبی الجارود، عن أبی جعفر محمد بن علی - علیه السلام -»</w:t>
      </w:r>
      <w:r>
        <w:rPr>
          <w:rStyle w:val="FootnoteReference"/>
        </w:rPr>
        <w:footnoteReference w:id="4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السند بنفسه نفس السند الّذی یروی به النّجاشی و الشیخ تفسیر أبی الجارود، و لمّا کان الشیخ و النّجاشی متأخّرین من جامع التفسیر، نقل النجاشی عن أحمد بن محمّد الهمدانی (ابن عقدة) بواسطة عدّة من أصحابنا، و نقل الشیخ عنه أیضا بواسطة شخصین و هما: أحمد بن عبدون و أبی بکر الدوری عن ابن عقدة.</w:t>
      </w:r>
    </w:p>
    <w:p>
      <w:pPr>
        <w:pStyle w:val="BookText"/>
      </w:pPr>
      <w:r>
        <w:rPr>
          <w:rFonts w:ascii="IRNazanin" w:hAnsi="IRNazanin" w:eastAsia="IRNazanin" w:cs="IRNazanin"/>
          <w:lang w:bidi="fa-IR"/>
          <w:color w:val="111111"/>
          <w:sz w:val="28"/>
          <w:szCs w:val="28"/>
          <w:rtl/>
        </w:rPr>
        <w:t xml:space="preserve">و بهذا تبیّن أنّ التفسیر ملفّق من تفسیر علیّ بن إبراهیم و تفسیر أبی الجارود، و لکلّ من التفسیرین سند خاصّ، یعرفه کلّ من راجع هذا التفسیر، ثمّ إنّه بعد هذا ینقل عن علیّ بن إبراهیم کما ینقل عن مشایخه الاخر إلی آخر التفسیر.</w:t>
      </w:r>
    </w:p>
    <w:p>
      <w:pPr>
        <w:pStyle w:val="BookText"/>
      </w:pPr>
      <w:r>
        <w:rPr>
          <w:rFonts w:ascii="IRNazanin" w:hAnsi="IRNazanin" w:eastAsia="IRNazanin" w:cs="IRNazanin"/>
          <w:lang w:bidi="fa-IR"/>
          <w:color w:val="111111"/>
          <w:sz w:val="28"/>
          <w:szCs w:val="28"/>
          <w:rtl/>
        </w:rPr>
        <w:t xml:space="preserve">و بعد هذا التلفیق، کیف یمکن الاعتماد علی ما ذکر فی دیباجة الکتاب لو ثبت کون الدیباجة لعلیّ بن إبراهیم نفسه؟</w:t>
      </w:r>
    </w:p>
    <w:p>
      <w:pPr>
        <w:pStyle w:val="BookText"/>
      </w:pPr>
      <w:r>
        <w:rPr>
          <w:rFonts w:ascii="IRNazanin" w:hAnsi="IRNazanin" w:eastAsia="IRNazanin" w:cs="IRNazanin"/>
          <w:lang w:bidi="fa-IR"/>
          <w:color w:val="111111"/>
          <w:sz w:val="28"/>
          <w:szCs w:val="28"/>
          <w:rtl/>
        </w:rPr>
        <w:t xml:space="preserve">فعلی ذلک فلو أخذنا بهذا التوثیق الجماعی، یجب أن یفرق بین ما روی الجامع عن نفس علیّ بن ابراهیم، و ما روی عن غیره من مشایخه، فإنّ شهادة القمّی یکون حجّة فی ما یرویه نفسه، لا ما یرویه تلمیذه من مشایخه.</w:t>
      </w:r>
    </w:p>
    <w:p>
      <w:pPr>
        <w:pStyle w:val="BookText"/>
      </w:pPr>
      <w:r>
        <w:rPr>
          <w:rFonts w:ascii="IRNazanin" w:hAnsi="IRNazanin" w:eastAsia="IRNazanin" w:cs="IRNazanin"/>
          <w:lang w:bidi="fa-IR"/>
          <w:color w:val="111111"/>
          <w:sz w:val="28"/>
          <w:szCs w:val="28"/>
          <w:rtl/>
        </w:rPr>
        <w:t xml:space="preserve">ثمّ إنّ الاعتماد علی هذا التفسیر بعد هذا الاختلاط مشکل جدّا، خصوصا مع ما فیه من الشذوذ فی المتون.</w:t>
      </w:r>
    </w:p>
    <w:p>
      <w:pPr>
        <w:pStyle w:val="BookText"/>
      </w:pPr>
      <w:r>
        <w:rPr>
          <w:rFonts w:ascii="IRNazanin" w:hAnsi="IRNazanin" w:eastAsia="IRNazanin" w:cs="IRNazanin"/>
          <w:lang w:bidi="fa-IR"/>
          <w:color w:val="111111"/>
          <w:sz w:val="28"/>
          <w:szCs w:val="28"/>
          <w:rtl/>
        </w:rPr>
        <w:t xml:space="preserve">[شماره صفحه واقعی : 316]</w:t>
      </w:r>
    </w:p>
    <w:p>
      <w:pPr>
        <w:pStyle w:val="BookText"/>
      </w:pPr>
      <w:r>
        <w:rPr>
          <w:rFonts w:ascii="IRNazanin" w:hAnsi="IRNazanin" w:eastAsia="IRNazanin" w:cs="IRNazanin"/>
          <w:lang w:bidi="fa-IR"/>
          <w:color w:val="111111"/>
          <w:sz w:val="28"/>
          <w:szCs w:val="28"/>
          <w:rtl/>
        </w:rPr>
        <w:t xml:space="preserve">ص: 1034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ذهب بعض أهل التّحقیق إلی أنّ النسخة المطبوعة تختلف عمّا نقل عن ذلک التّفسیر فی بعض الکتب، و عند ذلک لا یبقی اعتماد علی هذا التوثیق الضمنی أیضا، فلا یبقی اعتماد لا علی السّند و لا علی المتن.</w:t>
      </w:r>
    </w:p>
    <w:p>
      <w:pPr>
        <w:pStyle w:val="BookText"/>
      </w:pPr>
      <w:r>
        <w:rPr>
          <w:rFonts w:ascii="IRNazanin" w:hAnsi="IRNazanin" w:eastAsia="IRNazanin" w:cs="IRNazanin"/>
          <w:lang w:bidi="fa-IR"/>
          <w:color w:val="111111"/>
          <w:sz w:val="28"/>
          <w:szCs w:val="28"/>
          <w:rtl/>
        </w:rPr>
        <w:t xml:space="preserve">ثمّ إنّ فی الهدف من التلفیق بین التفسیرین احتمالا ذکره شیخنا المجیز الطهرانی، و هو أنّ طبرستان فی ذلک الأوان کانت مرکز الزیدیة، فینقدح فی النفس احتمال أنّ نزول العباس (جامع التفسیر) إلیها، إنّما کان لترویج الحقّ بها، و رأی من الترویج، السعی فی جلب الرغبات إلی هذا التّفسیر (الکتاب الدینی المرویّ عن أهل البیت - علیهم السلام -) الموقوف ترویجه عند جمیع أهلها علی إدخال بعض ما یرویه أبو الجارود عن الإمام الباقر - علیه السلام - فی تفسیره، المرغوب عند الفرقة العظیمة من الزیدیة الذین کانوا یسمّون بالجارودیة، نسبة إلیه»</w:t>
      </w:r>
      <w:r>
        <w:rPr>
          <w:rStyle w:val="FootnoteReference"/>
        </w:rPr>
        <w:footnoteReference w:id="4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مؤلف التفسیر کما روی فیه عن علیّ بن ابراهیم، روی عن عدّة مشایخ اخر استخرجها المتتبّع الطهرانی فی تعلیقته علی کتابه القیّم «الذریعة إلی تصانیف الشیعة» و إلیک بیان بعضها:</w:t>
      </w:r>
    </w:p>
    <w:p>
      <w:pPr>
        <w:pStyle w:val="BookText"/>
      </w:pPr>
      <w:r>
        <w:rPr>
          <w:rFonts w:ascii="IRNazanin" w:hAnsi="IRNazanin" w:eastAsia="IRNazanin" w:cs="IRNazanin"/>
          <w:lang w:bidi="fa-IR"/>
          <w:color w:val="111111"/>
          <w:sz w:val="28"/>
          <w:szCs w:val="28"/>
          <w:rtl/>
        </w:rPr>
        <w:t xml:space="preserve">2 - محمّد بن جعفر الرزاز: قال (راوی التفسیر): حدّثنا محمد بن جعفر الرزاز، عن یحیی بن زکریّا، عن علیّ بن حسان، عن عبد الرحمن بن کثیر، عن أبی عبد اللّه - علیه السلام - فی قوله تعالی: ما أَصابَ مِنْ مُصِیبَةٍ... </w:t>
      </w:r>
      <w:r>
        <w:rPr>
          <w:rStyle w:val="FootnoteReference"/>
        </w:rPr>
        <w:footnoteReference w:id="4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جعفر بن محمّد بن الحسن الرزّاز هو شیخ أبی غالب الزراری (المتوفّی عام 368) و شیخ ابن قولویه المعروف (المتوفّی عام 367 أو 369) فلا یمکن أن یکون القائل بقوله: «حدّثنا» هو علیّ بن إبراهیم.</w:t>
      </w:r>
    </w:p>
    <w:p>
      <w:pPr>
        <w:pStyle w:val="BookText"/>
      </w:pPr>
      <w:r>
        <w:rPr>
          <w:rFonts w:ascii="IRNazanin" w:hAnsi="IRNazanin" w:eastAsia="IRNazanin" w:cs="IRNazanin"/>
          <w:lang w:bidi="fa-IR"/>
          <w:color w:val="111111"/>
          <w:sz w:val="28"/>
          <w:szCs w:val="28"/>
          <w:rtl/>
        </w:rPr>
        <w:t xml:space="preserve">[شماره صفحه واقعی : 317]</w:t>
      </w:r>
    </w:p>
    <w:p>
      <w:pPr>
        <w:pStyle w:val="BookText"/>
      </w:pPr>
      <w:r>
        <w:rPr>
          <w:rFonts w:ascii="IRNazanin" w:hAnsi="IRNazanin" w:eastAsia="IRNazanin" w:cs="IRNazanin"/>
          <w:lang w:bidi="fa-IR"/>
          <w:color w:val="111111"/>
          <w:sz w:val="28"/>
          <w:szCs w:val="28"/>
          <w:rtl/>
        </w:rPr>
        <w:t xml:space="preserve">ص: 1035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الرزّاز یروی عن مشایخ کثیرین.</w:t>
      </w:r>
    </w:p>
    <w:p>
      <w:pPr>
        <w:pStyle w:val="BookText"/>
      </w:pPr>
      <w:r>
        <w:rPr>
          <w:rFonts w:ascii="IRNazanin" w:hAnsi="IRNazanin" w:eastAsia="IRNazanin" w:cs="IRNazanin"/>
          <w:lang w:bidi="fa-IR"/>
          <w:color w:val="111111"/>
          <w:sz w:val="28"/>
          <w:szCs w:val="28"/>
          <w:rtl/>
        </w:rPr>
        <w:t xml:space="preserve">منهم خاله محمّد بن الحسین بن أبی الخطّاب (المتوفّی عام 262).</w:t>
      </w:r>
    </w:p>
    <w:p>
      <w:pPr>
        <w:pStyle w:val="BookText"/>
      </w:pPr>
      <w:r>
        <w:rPr>
          <w:rFonts w:ascii="IRNazanin" w:hAnsi="IRNazanin" w:eastAsia="IRNazanin" w:cs="IRNazanin"/>
          <w:lang w:bidi="fa-IR"/>
          <w:color w:val="111111"/>
          <w:sz w:val="28"/>
          <w:szCs w:val="28"/>
          <w:rtl/>
        </w:rPr>
        <w:t xml:space="preserve">و منهم أبو جعفر محمّد بن أحمد بن یحیی بن عمران الأشعری صاحب «نوادر الحکمة» فقد صرّح النّجاشی بروایة الرزّاز عنه.</w:t>
      </w:r>
    </w:p>
    <w:p>
      <w:pPr>
        <w:pStyle w:val="BookText"/>
      </w:pPr>
      <w:r>
        <w:rPr>
          <w:rFonts w:ascii="Amiri" w:hAnsi="Amiri" w:eastAsia="Amiri" w:cs="Amiri"/>
          <w:lang w:bidi="ar-SA"/>
          <w:color w:val="111111"/>
          <w:sz w:val="28"/>
          <w:szCs w:val="28"/>
          <w:rtl/>
        </w:rPr>
        <w:t xml:space="preserve">3 - أبو عبد اللّه الحسین بن محمّد بن عامر الأشعری: قال (راوی التفسیر): أخبرنا الحسین بن محمّد بن عامر الأشعری، عن المعلّی بن محمّد البصری عن ابن أبی عمیر، عن أبی جعفر الثّانی - علیه السلام - فی قوله تعالی: یا أَیُّهَا الَّذِینَ آمَنُوا أَوْفُوا بِالْعُقُودِ </w:t>
      </w:r>
      <w:r>
        <w:rPr>
          <w:rStyle w:val="FootnoteReference"/>
        </w:rPr>
        <w:footnoteReference w:id="4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الحسین بن محمّد بن عامر یروی تفسیر المعلّی البصری عنه، و قد أکثر الکلینی من الروایة عنه فی الکافی، و یروی عنه علیّ بن بابویه (المتوفّی عام 329) و ابن الولید (المتوفّی عام 343) و ابن قولویه (المتوفّی عام 369).</w:t>
      </w:r>
    </w:p>
    <w:p>
      <w:pPr>
        <w:pStyle w:val="BookText"/>
      </w:pPr>
      <w:r>
        <w:rPr>
          <w:rFonts w:ascii="IRNazanin" w:hAnsi="IRNazanin" w:eastAsia="IRNazanin" w:cs="IRNazanin"/>
          <w:lang w:bidi="fa-IR"/>
          <w:color w:val="111111"/>
          <w:sz w:val="28"/>
          <w:szCs w:val="28"/>
          <w:rtl/>
        </w:rPr>
        <w:t xml:space="preserve">4 - أبو علی محمّد بن أبی بکر همّام بن سهیل: قال (راوی التفسیر):</w:t>
      </w:r>
    </w:p>
    <w:p>
      <w:pPr>
        <w:pStyle w:val="BookText"/>
      </w:pPr>
      <w:r>
        <w:rPr>
          <w:rFonts w:ascii="Amiri" w:hAnsi="Amiri" w:eastAsia="Amiri" w:cs="Amiri"/>
          <w:lang w:bidi="ar-SA"/>
          <w:color w:val="111111"/>
          <w:sz w:val="28"/>
          <w:szCs w:val="28"/>
          <w:rtl/>
        </w:rPr>
        <w:t xml:space="preserve">حدّثنا محمد بن همّام، قال: حدّثنا جعفر بن محمّد بن مالک، قال: حدّثنا القاسم بن ربیع، عن محمّد بن سنان، عن عمّار بن مروان، عن منخل، عن جابر، عن أبی جعفر - علیه السلام - فی قوله تعالی: فِی بُیُوتٍ أَذِنَ اللّهُ أَنْ تُرْفَعَ وَ یُذْکَرَ فِیهَا اسْمُهُ </w:t>
      </w:r>
      <w:r>
        <w:rPr>
          <w:rStyle w:val="FootnoteReference"/>
        </w:rPr>
        <w:footnoteReference w:id="4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علی محمّد بن همّام بن سهیل الکاتب الاسکافی (المتوفّی عام 336، کما ضبطه تلمیذه التلّعکبری) یروی عنه ابن قولویه فی کامل الزیارات و أبو عبد اللّه محمّد بن إبراهیم النعمانی، تلمیذ الکلینی فی کتاب «الغیبة».</w:t>
      </w:r>
    </w:p>
    <w:p>
      <w:pPr>
        <w:pStyle w:val="BookText"/>
      </w:pPr>
      <w:r>
        <w:rPr>
          <w:rFonts w:ascii="IRNazanin" w:hAnsi="IRNazanin" w:eastAsia="IRNazanin" w:cs="IRNazanin"/>
          <w:lang w:bidi="fa-IR"/>
          <w:color w:val="111111"/>
          <w:sz w:val="28"/>
          <w:szCs w:val="28"/>
          <w:rtl/>
        </w:rPr>
        <w:t xml:space="preserve">[شماره صفحه واقعی : 318]</w:t>
      </w:r>
    </w:p>
    <w:p>
      <w:pPr>
        <w:pStyle w:val="BookText"/>
      </w:pPr>
      <w:r>
        <w:rPr>
          <w:rFonts w:ascii="IRNazanin" w:hAnsi="IRNazanin" w:eastAsia="IRNazanin" w:cs="IRNazanin"/>
          <w:lang w:bidi="fa-IR"/>
          <w:color w:val="111111"/>
          <w:sz w:val="28"/>
          <w:szCs w:val="28"/>
          <w:rtl/>
        </w:rPr>
        <w:t xml:space="preserve">ص: 1036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 شیخنا المجیز الطهرانی ثلّة ممّن روی عنه جامع التفسیر، و إلیک أسماء بعضهم علی وجه الاجمال.</w:t>
      </w:r>
    </w:p>
    <w:p>
      <w:pPr>
        <w:pStyle w:val="BookText"/>
      </w:pPr>
      <w:r>
        <w:rPr>
          <w:rFonts w:ascii="IRNazanin" w:hAnsi="IRNazanin" w:eastAsia="IRNazanin" w:cs="IRNazanin"/>
          <w:lang w:bidi="fa-IR"/>
          <w:color w:val="111111"/>
          <w:sz w:val="28"/>
          <w:szCs w:val="28"/>
          <w:rtl/>
        </w:rPr>
        <w:t xml:space="preserve">1 - أبو الحسن علیّ بن الحسین السعد آبادی القمّی الراوی عن أحمد بن أبی عبد اللّه البرقی.</w:t>
      </w:r>
    </w:p>
    <w:p>
      <w:pPr>
        <w:pStyle w:val="BookText"/>
      </w:pPr>
      <w:r>
        <w:rPr>
          <w:rFonts w:ascii="IRNazanin" w:hAnsi="IRNazanin" w:eastAsia="IRNazanin" w:cs="IRNazanin"/>
          <w:lang w:bidi="fa-IR"/>
          <w:color w:val="111111"/>
          <w:sz w:val="28"/>
          <w:szCs w:val="28"/>
          <w:rtl/>
        </w:rPr>
        <w:t xml:space="preserve">2 - الشیخ أبو علی أحمد بن إدریس بن أحمد الأشعری القمّی (المتوفّی 306).</w:t>
      </w:r>
    </w:p>
    <w:p>
      <w:pPr>
        <w:pStyle w:val="BookText"/>
      </w:pPr>
      <w:r>
        <w:rPr>
          <w:rFonts w:ascii="IRNazanin" w:hAnsi="IRNazanin" w:eastAsia="IRNazanin" w:cs="IRNazanin"/>
          <w:lang w:bidi="fa-IR"/>
          <w:color w:val="111111"/>
          <w:sz w:val="28"/>
          <w:szCs w:val="28"/>
          <w:rtl/>
        </w:rPr>
        <w:t xml:space="preserve">3 - الشیخ أبو عبد اللّه محمّد بن أحمد بن ثابت، الراوی عن الحسن بن محمّد بن سماعة (المتوفّی عام 263).</w:t>
      </w:r>
    </w:p>
    <w:p>
      <w:pPr>
        <w:pStyle w:val="BookText"/>
      </w:pPr>
      <w:r>
        <w:rPr>
          <w:rFonts w:ascii="IRNazanin" w:hAnsi="IRNazanin" w:eastAsia="IRNazanin" w:cs="IRNazanin"/>
          <w:lang w:bidi="fa-IR"/>
          <w:color w:val="111111"/>
          <w:sz w:val="28"/>
          <w:szCs w:val="28"/>
          <w:rtl/>
        </w:rPr>
        <w:t xml:space="preserve">4 - أبو جعفر محمّد بن عبد اللّه بن جعفر الحمیری القمی، الراوی عن أبیه کتاب «قرب الاسناد».</w:t>
      </w:r>
    </w:p>
    <w:p>
      <w:pPr>
        <w:pStyle w:val="BookText"/>
      </w:pPr>
      <w:r>
        <w:rPr>
          <w:rFonts w:ascii="IRNazanin" w:hAnsi="IRNazanin" w:eastAsia="IRNazanin" w:cs="IRNazanin"/>
          <w:lang w:bidi="fa-IR"/>
          <w:color w:val="111111"/>
          <w:sz w:val="28"/>
          <w:szCs w:val="28"/>
          <w:rtl/>
        </w:rPr>
        <w:t xml:space="preserve">5 - محمّد بن أبی عبد اللّه، و هو أبو الحسین محمّد بن عون الأسدی (المتوفّی 312) و هو من مشایخ الکلینی.</w:t>
      </w:r>
    </w:p>
    <w:p>
      <w:pPr>
        <w:pStyle w:val="BookText"/>
      </w:pPr>
      <w:r>
        <w:rPr>
          <w:rFonts w:ascii="IRNazanin" w:hAnsi="IRNazanin" w:eastAsia="IRNazanin" w:cs="IRNazanin"/>
          <w:lang w:bidi="fa-IR"/>
          <w:color w:val="111111"/>
          <w:sz w:val="28"/>
          <w:szCs w:val="28"/>
          <w:rtl/>
        </w:rPr>
        <w:t xml:space="preserve">6 - حمید بن زیاد النینوائی (المتوفّی 310) و هو أیضا من مشایخ الکلینی.</w:t>
      </w:r>
    </w:p>
    <w:p>
      <w:pPr>
        <w:pStyle w:val="BookText"/>
      </w:pPr>
      <w:r>
        <w:rPr>
          <w:rFonts w:ascii="IRNazanin" w:hAnsi="IRNazanin" w:eastAsia="IRNazanin" w:cs="IRNazanin"/>
          <w:lang w:bidi="fa-IR"/>
          <w:color w:val="111111"/>
          <w:sz w:val="28"/>
          <w:szCs w:val="28"/>
          <w:rtl/>
        </w:rPr>
        <w:t xml:space="preserve">7 - الحسن بن علیّ بن مهزیار، عن أبیه علیّ.</w:t>
      </w:r>
    </w:p>
    <w:p>
      <w:pPr>
        <w:pStyle w:val="BookText"/>
      </w:pPr>
      <w:r>
        <w:rPr>
          <w:rFonts w:ascii="IRNazanin" w:hAnsi="IRNazanin" w:eastAsia="IRNazanin" w:cs="IRNazanin"/>
          <w:lang w:bidi="fa-IR"/>
          <w:color w:val="111111"/>
          <w:sz w:val="28"/>
          <w:szCs w:val="28"/>
          <w:rtl/>
        </w:rPr>
        <w:t xml:space="preserve">8 - أبو القاسم الحسنی الراوی لتفسیر الفرات عن مؤلّفه، و فرات و علیّ بن إبراهیم کانا متعاصرین.</w:t>
      </w:r>
    </w:p>
    <w:p>
      <w:pPr>
        <w:pStyle w:val="BookText"/>
      </w:pPr>
      <w:r>
        <w:rPr>
          <w:rFonts w:ascii="IRNazanin" w:hAnsi="IRNazanin" w:eastAsia="IRNazanin" w:cs="IRNazanin"/>
          <w:lang w:bidi="fa-IR"/>
          <w:color w:val="111111"/>
          <w:sz w:val="28"/>
          <w:szCs w:val="28"/>
          <w:rtl/>
        </w:rPr>
        <w:t xml:space="preserve">إلی غیر ذلک من المشایخ الّذین یروی عنهم فی هذا التفسیر، مع أنّه لم یوجد روایة علیّ بن إبراهیم عن أحد من هؤلاء فی جمیع روایاته المرویّة عنه فی الکافی و غیره</w:t>
      </w:r>
      <w:r>
        <w:rPr>
          <w:rStyle w:val="FootnoteReference"/>
        </w:rPr>
        <w:footnoteReference w:id="4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319]</w:t>
      </w:r>
    </w:p>
    <w:p>
      <w:pPr>
        <w:pStyle w:val="BookText"/>
      </w:pPr>
      <w:r>
        <w:rPr>
          <w:rFonts w:ascii="IRNazanin" w:hAnsi="IRNazanin" w:eastAsia="IRNazanin" w:cs="IRNazanin"/>
          <w:lang w:bidi="fa-IR"/>
          <w:color w:val="111111"/>
          <w:sz w:val="28"/>
          <w:szCs w:val="28"/>
          <w:rtl/>
        </w:rPr>
        <w:t xml:space="preserve">ص: 1037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عندئذ لا یصحّ القول بأنّ کلّ ما ورد فی أسناد تفسیر علیّ بن ابراهیم القمی ثقات بتوثیق المؤلّف فی دیباجة الکتاب، لما عرفت أنّ التفسیر ملفّق ممّا رواه جامع التفسیر عن علیّ بن إبراهیم، عن مشایخه إلی المعصومین - علیهم السلام - و ممّا رواه عن عدّة من مشایخه عن مشایخهم إلی المعصومین - علیهم السلام -.</w:t>
      </w:r>
    </w:p>
    <w:p>
      <w:pPr>
        <w:pStyle w:val="BookText"/>
      </w:pPr>
      <w:r>
        <w:rPr>
          <w:rFonts w:ascii="IRNazanin" w:hAnsi="IRNazanin" w:eastAsia="IRNazanin" w:cs="IRNazanin"/>
          <w:lang w:bidi="fa-IR"/>
          <w:color w:val="111111"/>
          <w:sz w:val="28"/>
          <w:szCs w:val="28"/>
          <w:rtl/>
        </w:rPr>
        <w:t xml:space="preserve">أضف إلی ذلک أنّه لا یمکن القول بأنّ مراد القمّی من عبارته: «رواه مشایخنا و ثقاتنا» کلّ من وقع فی سنده إلی أن ینتهی إلی الإمام، بل الظّاهر کون المراد خصوص مشایخه بلا واسطة، و یعرب عنه عطف «و ثقاتنا» علی «مشایخنا» الظّاهر فی الأساتذة بلا واسطة، و لمّا کان النّقل عن الضّعیف بلا واسطة من وجوه الضّعف، دون النّقل عن الثقة إذا روی عن غیرها خصّ مشایخه بالوثاقة لیدفع عن نفسه سهم النقد و الاعتراض، کما ذکرنا فی مشایخ ابن قولویه، و إلاّ فقد ورد فی أسناد القمّی من لا یصحّ الاعتماد علیه من امّهات المؤمنین فلاحظ.</w:t>
      </w:r>
    </w:p>
    <w:p>
      <w:pPr>
        <w:pStyle w:val="BookText"/>
      </w:pPr>
      <w:r>
        <w:rPr>
          <w:rFonts w:ascii="IRNazanin" w:hAnsi="IRNazanin" w:eastAsia="IRNazanin" w:cs="IRNazanin"/>
          <w:lang w:bidi="fa-IR"/>
          <w:color w:val="111111"/>
          <w:sz w:val="28"/>
          <w:szCs w:val="28"/>
          <w:rtl/>
        </w:rPr>
        <w:t xml:space="preserve">[شماره صفحه واقعی : 320]</w:t>
      </w:r>
    </w:p>
    <w:p>
      <w:pPr>
        <w:pStyle w:val="BookText"/>
      </w:pPr>
      <w:r>
        <w:rPr>
          <w:rFonts w:ascii="IRNazanin" w:hAnsi="IRNazanin" w:eastAsia="IRNazanin" w:cs="IRNazanin"/>
          <w:lang w:bidi="fa-IR"/>
          <w:color w:val="111111"/>
          <w:sz w:val="28"/>
          <w:szCs w:val="28"/>
          <w:rtl/>
        </w:rPr>
        <w:t xml:space="preserve">ص: 1038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440" w:name="pg14419_167754"/>
    <w:bookmarkEnd w:id="440"/>
    <w:p>
      <w:pPr>
        <w:pStyle w:val="Heading5"/>
      </w:pPr>
      <w:bookmarkStart w:id="1385" w:name="_Toc825"/>
      <w:r>
        <w:t>7 - اصحاب الصادق علیه السلام فی رجال الشیخ</w:t>
      </w:r>
      <w:bookmarkEnd w:id="1385"/>
    </w:p>
    <w:p>
      <w:pPr>
        <w:pStyle w:val="Heading6"/>
      </w:pPr>
      <w:bookmarkStart w:id="1386" w:name="_Toc826"/>
      <w:r>
        <w:t>اشارة</w:t>
      </w:r>
      <w:bookmarkEnd w:id="1386"/>
    </w:p>
    <w:p>
      <w:pPr>
        <w:pStyle w:val="BookText"/>
      </w:pPr>
      <w:r>
        <w:rPr>
          <w:rFonts w:ascii="IRNazanin" w:hAnsi="IRNazanin" w:eastAsia="IRNazanin" w:cs="IRNazanin"/>
          <w:lang w:bidi="fa-IR"/>
          <w:color w:val="111111"/>
          <w:sz w:val="28"/>
          <w:szCs w:val="28"/>
          <w:rtl/>
        </w:rPr>
        <w:t xml:space="preserve">[شماره صفحه واقعی : 321]</w:t>
      </w:r>
    </w:p>
    <w:p>
      <w:pPr>
        <w:pStyle w:val="BookText"/>
      </w:pPr>
      <w:r>
        <w:rPr>
          <w:rFonts w:ascii="IRNazanin" w:hAnsi="IRNazanin" w:eastAsia="IRNazanin" w:cs="IRNazanin"/>
          <w:lang w:bidi="fa-IR"/>
          <w:color w:val="111111"/>
          <w:sz w:val="28"/>
          <w:szCs w:val="28"/>
          <w:rtl/>
        </w:rPr>
        <w:t xml:space="preserve">ص: 1039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322]</w:t>
      </w:r>
    </w:p>
    <w:p>
      <w:pPr>
        <w:pStyle w:val="BookText"/>
      </w:pPr>
      <w:r>
        <w:rPr>
          <w:rFonts w:ascii="IRNazanin" w:hAnsi="IRNazanin" w:eastAsia="IRNazanin" w:cs="IRNazanin"/>
          <w:lang w:bidi="fa-IR"/>
          <w:color w:val="111111"/>
          <w:sz w:val="28"/>
          <w:szCs w:val="28"/>
          <w:rtl/>
        </w:rPr>
        <w:t xml:space="preserve">ص: 1040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إنّ جمیع من ذکره الشیخ فی رجاله من أصحاب الصادق - علیه السلام - ثقات، و قد استدلّ علیه بما ذکره الشیخ المفید فی إرشاده، و هذا لفظه: «نقل الناس عن الصّادق - علیه السلام - من العلوم ما سارت به الرکبان، و انتشر ذکره فی البلدان، و لم ینقل عن أحد من أهل بیته العلماء، ما نقل عنه، و لا لقی أحد منهم من أهل الآثار، و نقلة الاخبار، و لا نقلوا عنهم کما نقلوا عن أبی عبد اللّه، فإنّ أصحاب الحدیث قد جمعوا أسماء الرواة عنه من الثقات علی اختلافهم فی الآراء و المقالات فکانوا أربعة آلاف رجل»</w:t>
      </w:r>
      <w:r>
        <w:rPr>
          <w:rStyle w:val="FootnoteReference"/>
        </w:rPr>
        <w:footnoteReference w:id="4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شهر آشوب فی مناقبه: «نقل عن الصادق - علیه السلام - من العلوم ما لم ینقل عن أحد، و قد جمع أصحاب الحدیث أسماء الرواة من الثقات علی اختلافهم فی الآراء و المقالات فکانوا أربعة آلاف رجل»</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محمّد بن علی الفتّال فی «روضة الواعظین»: «قد جمع أصحاب الحدیث أسماء الرواة عن الصادق - علیه السلام - من الثقات علی اختلافهم فی الآراء و المقالات و کانوا أربعة آلاف»</w:t>
      </w:r>
      <w:r>
        <w:rPr>
          <w:rStyle w:val="FootnoteReference"/>
        </w:rPr>
        <w:footnoteReference w:id="4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323]</w:t>
      </w:r>
    </w:p>
    <w:p>
      <w:pPr>
        <w:pStyle w:val="BookText"/>
      </w:pPr>
      <w:r>
        <w:rPr>
          <w:rFonts w:ascii="IRNazanin" w:hAnsi="IRNazanin" w:eastAsia="IRNazanin" w:cs="IRNazanin"/>
          <w:lang w:bidi="fa-IR"/>
          <w:color w:val="111111"/>
          <w:sz w:val="28"/>
          <w:szCs w:val="28"/>
          <w:rtl/>
        </w:rPr>
        <w:t xml:space="preserve">ص: 1041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هؤلاء الأثبات الثلاثة وصفوا تلک الصفوة بالثقات و إن کان کلام الشیخ و النجاشی خالیا عن ذلک الوصف کما سیوافیک.</w:t>
      </w:r>
    </w:p>
    <w:p>
      <w:pPr>
        <w:pStyle w:val="BookText"/>
      </w:pPr>
      <w:r>
        <w:rPr>
          <w:rFonts w:ascii="IRNazanin" w:hAnsi="IRNazanin" w:eastAsia="IRNazanin" w:cs="IRNazanin"/>
          <w:lang w:bidi="fa-IR"/>
          <w:color w:val="111111"/>
          <w:sz w:val="28"/>
          <w:szCs w:val="28"/>
          <w:rtl/>
        </w:rPr>
        <w:t xml:space="preserve">و قد ذکر أهل الرجال أنّ أحمد بن محمّد بن سعید الحافظ المکنّی ب «أبی العباس» المعروف ب «ابن عقدة» قد ضبط أصحاب الصادق - علیه السلام - فی کتاب رجاله. قال النجاشی فی ترجمته؛ «له کتاب الرجال و هو کتاب من روی عن جعفر بن محمد - علیه السلام -»</w:t>
      </w:r>
      <w:r>
        <w:rPr>
          <w:rStyle w:val="FootnoteReference"/>
        </w:rPr>
        <w:footnoteReference w:id="4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الشیخ فی فهرسه، حیث قال: «له کتاب الرجال و هو کتاب من روی عن جعفر بن محمد - علیه السلام -»</w:t>
      </w:r>
      <w:r>
        <w:rPr>
          <w:rStyle w:val="FootnoteReference"/>
        </w:rPr>
        <w:footnoteReference w:id="4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فی کلام النجاشی و الشیخ توصیف رجاله بالوثاقة.</w:t>
      </w:r>
    </w:p>
    <w:p>
      <w:pPr>
        <w:pStyle w:val="BookText"/>
      </w:pPr>
      <w:r>
        <w:rPr>
          <w:rFonts w:ascii="IRNazanin" w:hAnsi="IRNazanin" w:eastAsia="IRNazanin" w:cs="IRNazanin"/>
          <w:lang w:bidi="fa-IR"/>
          <w:color w:val="111111"/>
          <w:sz w:val="28"/>
          <w:szCs w:val="28"/>
          <w:rtl/>
        </w:rPr>
        <w:t xml:space="preserve">و علی کلّ تقدیر، فما ذکره الشیخ المفید لو کان ناظرا إلی ما جمعه ابن عقدة من أصحاب الصادق - علیه السلام -، یکون ما ذکره نفسه و من تبعه کابن شهر آشوب و الفتّال شهادة منهم علی وثاقة أربعة آلاف رجل من أصحاب الصادق - علیه السلام -. هذا من جانب.</w:t>
      </w:r>
    </w:p>
    <w:p>
      <w:pPr>
        <w:pStyle w:val="BookText"/>
      </w:pPr>
      <w:r>
        <w:rPr>
          <w:rFonts w:ascii="IRNazanin" w:hAnsi="IRNazanin" w:eastAsia="IRNazanin" w:cs="IRNazanin"/>
          <w:lang w:bidi="fa-IR"/>
          <w:color w:val="111111"/>
          <w:sz w:val="28"/>
          <w:szCs w:val="28"/>
          <w:rtl/>
        </w:rPr>
        <w:t xml:space="preserve">و من جانب آخر إنّ الشیخ قد أخرج أسماء هؤلاء الرواة فی رجاله مع غیرهم. قال فی دیباجة رجاله: «و لم أجد لأصحابنا کتابا جامعا فی هذا المعنی (أسماء الرجال الّذین رووا عن النبی - صلی اللّه علیه و آله - و عن الأئمّة من بعده إلی زمن القائم - عجّل اللّه تعالی فرجه الشریف - و من تأخّر عنهم) إلاّ مختصرات، قد ذکر کلّ انسان منهم طرفا، إلاّ ما ذکره ابن عقدة، فإنّه قد بلغ الغایة فی ذلک، و لم یذکر رجاله باقی الأئمّة - علیهم السلام -، و أنا أذکر ما ذکره، و اورد من بعد ذلک من لم یذکره»</w:t>
      </w:r>
      <w:r>
        <w:rPr>
          <w:rStyle w:val="FootnoteReference"/>
        </w:rPr>
        <w:footnoteReference w:id="4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324]</w:t>
      </w:r>
    </w:p>
    <w:p>
      <w:pPr>
        <w:pStyle w:val="BookText"/>
      </w:pPr>
      <w:r>
        <w:rPr>
          <w:rFonts w:ascii="IRNazanin" w:hAnsi="IRNazanin" w:eastAsia="IRNazanin" w:cs="IRNazanin"/>
          <w:lang w:bidi="fa-IR"/>
          <w:color w:val="111111"/>
          <w:sz w:val="28"/>
          <w:szCs w:val="28"/>
          <w:rtl/>
        </w:rPr>
        <w:t xml:space="preserve">ص: 1042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فبملاحظة هذین الأمرین تصبح النتیجة هی أنّ ما ذکره الشیخ من أسماء الرواة من أصحاب الصادق - علیه السلام - کلّهم ثقات حسب توثیق الشیخ المفید و من تبعه.</w:t>
      </w:r>
    </w:p>
    <w:p>
      <w:pPr>
        <w:pStyle w:val="BookText"/>
      </w:pPr>
      <w:r>
        <w:rPr>
          <w:rFonts w:ascii="IRNazanin" w:hAnsi="IRNazanin" w:eastAsia="IRNazanin" w:cs="IRNazanin"/>
          <w:lang w:bidi="fa-IR"/>
          <w:color w:val="111111"/>
          <w:sz w:val="28"/>
          <w:szCs w:val="28"/>
          <w:rtl/>
        </w:rPr>
        <w:t xml:space="preserve">ثمّ إنّ جماعة من المتأخّرین تبعوا الشیخ المفید و اقتفوا أثره فی ما ذکره، و إلیک نقل بعض کلماتهم:</w:t>
      </w:r>
    </w:p>
    <w:p>
      <w:pPr>
        <w:pStyle w:val="BookText"/>
      </w:pPr>
      <w:r>
        <w:rPr>
          <w:rFonts w:ascii="IRNazanin" w:hAnsi="IRNazanin" w:eastAsia="IRNazanin" w:cs="IRNazanin"/>
          <w:lang w:bidi="fa-IR"/>
          <w:color w:val="111111"/>
          <w:sz w:val="28"/>
          <w:szCs w:val="28"/>
          <w:rtl/>
        </w:rPr>
        <w:t xml:space="preserve">قال علم الدین المرتضی علیّ بن جلال الدین عبد الحمید النسابة، الّذی هو من علمائنا فی أوائل القرن الثامن فی کتابه «الأنوار المضیئة»:</w:t>
      </w:r>
    </w:p>
    <w:p>
      <w:pPr>
        <w:pStyle w:val="BookText"/>
      </w:pPr>
      <w:r>
        <w:rPr>
          <w:rFonts w:ascii="IRNazanin" w:hAnsi="IRNazanin" w:eastAsia="IRNazanin" w:cs="IRNazanin"/>
          <w:lang w:bidi="fa-IR"/>
          <w:color w:val="111111"/>
          <w:sz w:val="28"/>
          <w:szCs w:val="28"/>
          <w:rtl/>
        </w:rPr>
        <w:t xml:space="preserve">«و ممّا اشتهر بین العامّة و الخاصّة أنّ أصحاب الحدیث جمعوا أسماء الرواة عنه - علیه السلام - من الثقات علی اختلافهم فی الآراء و المقالات فکانوا أربعة آلاف»</w:t>
      </w:r>
      <w:r>
        <w:rPr>
          <w:rStyle w:val="FootnoteReference"/>
        </w:rPr>
        <w:footnoteReference w:id="4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الطبرسی فی الباب الخامس من کتابه «إعلام الوری بأعلام الهدی» فی ذکر مناقب الصادق - علیه السلام -: «و لم ینقل عن أحد من سائر العلوم ما نقل عنه، فإنّ أصحاب الحدیث قد جمعوا أسامی الرواة عنه من الثقات علی اختلافهم فی المقالات و الدیانات، فکانوا أربعة آلاف رجل»</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بعض المتأخّرین اکتفوا بذکر عدد الرواة عن الصادق - علیه السلام - من دون توصیفهم بکونهم من الثقات.</w:t>
      </w:r>
    </w:p>
    <w:p>
      <w:pPr>
        <w:pStyle w:val="BookText"/>
      </w:pPr>
      <w:r>
        <w:rPr>
          <w:rFonts w:ascii="IRNazanin" w:hAnsi="IRNazanin" w:eastAsia="IRNazanin" w:cs="IRNazanin"/>
          <w:lang w:bidi="fa-IR"/>
          <w:color w:val="111111"/>
          <w:sz w:val="28"/>
          <w:szCs w:val="28"/>
          <w:rtl/>
        </w:rPr>
        <w:t xml:space="preserve">1 - قال المحقّق فی «المعتبر»: «انتشر عنه من العلوم الجمّة ما بهر به العقول - إلی أن قال: و روی عنه من الرجال ما یقارب أربعة آلاف رجل»</w:t>
      </w:r>
      <w:r>
        <w:rPr>
          <w:rStyle w:val="FootnoteReference"/>
        </w:rPr>
        <w:footnoteReference w:id="4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العلاّمة فی «الخلاصة» فی القسم الثانی (فی ترجمة ابن عقدة)</w:t>
      </w:r>
    </w:p>
    <w:p>
      <w:pPr>
        <w:pStyle w:val="BookText"/>
      </w:pPr>
      <w:r>
        <w:rPr>
          <w:rFonts w:ascii="IRNazanin" w:hAnsi="IRNazanin" w:eastAsia="IRNazanin" w:cs="IRNazanin"/>
          <w:lang w:bidi="fa-IR"/>
          <w:color w:val="111111"/>
          <w:sz w:val="28"/>
          <w:szCs w:val="28"/>
          <w:rtl/>
        </w:rPr>
        <w:t xml:space="preserve">[شماره صفحه واقعی : 325]</w:t>
      </w:r>
    </w:p>
    <w:p>
      <w:pPr>
        <w:pStyle w:val="BookText"/>
      </w:pPr>
      <w:r>
        <w:rPr>
          <w:rFonts w:ascii="IRNazanin" w:hAnsi="IRNazanin" w:eastAsia="IRNazanin" w:cs="IRNazanin"/>
          <w:lang w:bidi="fa-IR"/>
          <w:color w:val="111111"/>
          <w:sz w:val="28"/>
          <w:szCs w:val="28"/>
          <w:rtl/>
        </w:rPr>
        <w:t xml:space="preserve">ص: 1043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لفظه: «قال الشیخ الطوسی: سمعت جماعة یحکون عنه أنّه قال: أحفظ مائة و عشرین ألف حدیث بأسانیدها و اذاکر بثلاثمائة ألف حدیث و له کتب ذکرناها فی کتابنا الکبیر. منها کتاب أسماء الرجال الّذین رووا عن الصادق - علیه السلام - أربعة آلاف رجل، و أخرج فیه لکلّ رجل الحدیث الّذی رواه، مات بالکوفة سنة ثلاث و ثلاثین و ثلاثمائة»</w:t>
      </w:r>
      <w:r>
        <w:rPr>
          <w:rStyle w:val="FootnoteReference"/>
        </w:rPr>
        <w:footnoteReference w:id="4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الشیخ فی رجاله یختلف مع ما نقله العلاّمة عنه حیث قال:</w:t>
      </w:r>
    </w:p>
    <w:p>
      <w:pPr>
        <w:pStyle w:val="BookText"/>
      </w:pPr>
      <w:r>
        <w:rPr>
          <w:rFonts w:ascii="IRNazanin" w:hAnsi="IRNazanin" w:eastAsia="IRNazanin" w:cs="IRNazanin"/>
          <w:lang w:bidi="fa-IR"/>
          <w:color w:val="111111"/>
          <w:sz w:val="28"/>
          <w:szCs w:val="28"/>
          <w:rtl/>
        </w:rPr>
        <w:t xml:space="preserve">«سمعت جماعة یحکون أنّه قال: أحفظ مائة و عشرین ألف حدیث بأسانیدها، و اذاکر بثلاثمائة ألف حدیث، روی عنه التّلعکبری من شیوخنا و غیره، و سمعنا من ابن المهدی و من أحمد بن محمّد المعروف بابن الصلت، رویا عنه و أجاز لنا ابن الصّلت عنه بجمیع روایاته، و مولده سنة تسع و أربعین و مائتین، و مات سنة اثنین و ثلاثین و ثلاثمائة»</w:t>
      </w:r>
      <w:r>
        <w:rPr>
          <w:rStyle w:val="FootnoteReference"/>
        </w:rPr>
        <w:footnoteReference w:id="4073"/>
      </w:r>
      <w:r>
        <w:rPr>
          <w:rFonts w:ascii="IRNazanin" w:hAnsi="IRNazanin" w:eastAsia="IRNazanin" w:cs="IRNazanin"/>
          <w:lang w:bidi="fa-IR"/>
          <w:color w:val="111111"/>
          <w:sz w:val="28"/>
          <w:szCs w:val="28"/>
          <w:rtl/>
        </w:rPr>
        <w:t xml:space="preserve">و قد وقفت علی عبارة الشیخ فی الفهرس فلاحظ، و لیس فی عبارة الشیخ فی رجاله و فهرسه ممّا ذکره العلاّمة من عدد الرواة عنه أثر.</w:t>
      </w:r>
    </w:p>
    <w:p>
      <w:pPr>
        <w:pStyle w:val="BookText"/>
      </w:pPr>
      <w:r>
        <w:rPr>
          <w:rFonts w:ascii="IRNazanin" w:hAnsi="IRNazanin" w:eastAsia="IRNazanin" w:cs="IRNazanin"/>
          <w:lang w:bidi="fa-IR"/>
          <w:color w:val="111111"/>
          <w:sz w:val="28"/>
          <w:szCs w:val="28"/>
          <w:rtl/>
        </w:rPr>
        <w:t xml:space="preserve">3 - و قال الشهید فی «الذکری»: «إنّ أبا عبد اللّه جعفر بن محمد - علیه السلام - کتب من أجوبة مسائله أربعمائة مصنّف لأربعمائة مصنّف، و دوّن من رجاله المعروفین أربعة آلاف رجل من أهل العراق و الحجاز و الشام - إلی أن قال: و من رام معرفة رجالهم، و الوقوف علی مصنّفاتهم، فلیطالع کتاب الحافظ بن عقدة و فهرس النجاشی و...»</w:t>
      </w:r>
      <w:r>
        <w:rPr>
          <w:rStyle w:val="FootnoteReference"/>
        </w:rPr>
        <w:footnoteReference w:id="4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 قال الشیخ الکبیر والد الشیخ البهائی مثل ما قاله المحقّق فی «المعتبر» و إلیک نصّه: «و منهم جعفر الصادق - علیه السلام - الّذی اشتهر عنه</w:t>
      </w:r>
    </w:p>
    <w:p>
      <w:pPr>
        <w:pStyle w:val="BookText"/>
      </w:pPr>
      <w:r>
        <w:rPr>
          <w:rFonts w:ascii="IRNazanin" w:hAnsi="IRNazanin" w:eastAsia="IRNazanin" w:cs="IRNazanin"/>
          <w:lang w:bidi="fa-IR"/>
          <w:color w:val="111111"/>
          <w:sz w:val="28"/>
          <w:szCs w:val="28"/>
          <w:rtl/>
        </w:rPr>
        <w:t xml:space="preserve">[شماره صفحه واقعی : 326]</w:t>
      </w:r>
    </w:p>
    <w:p>
      <w:pPr>
        <w:pStyle w:val="BookText"/>
      </w:pPr>
      <w:r>
        <w:rPr>
          <w:rFonts w:ascii="IRNazanin" w:hAnsi="IRNazanin" w:eastAsia="IRNazanin" w:cs="IRNazanin"/>
          <w:lang w:bidi="fa-IR"/>
          <w:color w:val="111111"/>
          <w:sz w:val="28"/>
          <w:szCs w:val="28"/>
          <w:rtl/>
        </w:rPr>
        <w:t xml:space="preserve">ص: 1044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441" w:name="pg14419_167760"/>
    <w:bookmarkEnd w:id="441"/>
    <w:p>
      <w:pPr>
        <w:pStyle w:val="BookText"/>
      </w:pPr>
      <w:r>
        <w:rPr>
          <w:rFonts w:ascii="IRNazanin" w:hAnsi="IRNazanin" w:eastAsia="IRNazanin" w:cs="IRNazanin"/>
          <w:lang w:bidi="fa-IR"/>
          <w:color w:val="111111"/>
          <w:sz w:val="28"/>
          <w:szCs w:val="28"/>
          <w:rtl/>
        </w:rPr>
        <w:t xml:space="preserve">من العلوم ما بهر العقول - إلی أن قال: و دوّن العامّة و الخاصّة ممّن برز و مهر بتعلّمه من العلماء و الفقهاء أربعة آلاف رجل، کزرارة بن أعین و...»</w:t>
      </w:r>
      <w:r>
        <w:rPr>
          <w:rStyle w:val="FootnoteReference"/>
        </w:rPr>
        <w:footnoteReference w:id="4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 قال العلاّمة المجلسی فی شرحه علی الکافی بعد ما نقل ما ذکره العلاّمة فی «الخلاصة»: «و ذکر الأصحاب أخبارا من ابن عقدة فی کتاب الرجال و المسموع من المشایخ أنّه کان کتابا بترتیب کتب الحدیث و الفقه و ذکر أحوال کلّ واحد منهم، و روی عن کتابه خبرا أو خبرین أو أکثر، و کان ضعف الکافی»</w:t>
      </w:r>
      <w:r>
        <w:rPr>
          <w:rStyle w:val="FootnoteReference"/>
        </w:rPr>
        <w:footnoteReference w:id="4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ما ذکره المجلسی یتفاوت مع ما ذکره العلاّمة فی مختلفة، فإنّ الظاهر من عبارة العلاّمة أنّه کان علی حسب ترتیب الکتب الرجالیّة، و أنّه أخرج لکلّ رجل کلّ الأحادیث الّتی رواه عن الصادق - علیه السلام -.</w:t>
      </w:r>
    </w:p>
    <w:p>
      <w:pPr>
        <w:pStyle w:val="BookText"/>
      </w:pPr>
      <w:r>
        <w:rPr>
          <w:rFonts w:ascii="IRNazanin" w:hAnsi="IRNazanin" w:eastAsia="IRNazanin" w:cs="IRNazanin"/>
          <w:lang w:bidi="fa-IR"/>
          <w:color w:val="111111"/>
          <w:sz w:val="28"/>
          <w:szCs w:val="28"/>
          <w:rtl/>
        </w:rPr>
        <w:t xml:space="preserve">هذه هی الکلمات الواردة فی المقام الّتی قد جمعها المتتبّع الخبیر العلاّمة النوری فی الفائدة الثامنة من خاتمة کتاب «مستدرک الوسائل» و قد راجعنا نفس المصادر فنقلناها عنها.</w:t>
      </w:r>
    </w:p>
    <w:p>
      <w:pPr>
        <w:pStyle w:val="Heading6"/>
      </w:pPr>
      <w:bookmarkStart w:id="1387" w:name="_Toc827"/>
      <w:r>
        <w:t>نظرنا فی الموضوع</w:t>
      </w:r>
      <w:bookmarkEnd w:id="1387"/>
    </w:p>
    <w:p>
      <w:pPr>
        <w:pStyle w:val="BookText"/>
      </w:pPr>
      <w:r>
        <w:rPr>
          <w:rFonts w:ascii="IRNazanin" w:hAnsi="IRNazanin" w:eastAsia="IRNazanin" w:cs="IRNazanin"/>
          <w:lang w:bidi="fa-IR"/>
          <w:color w:val="111111"/>
          <w:sz w:val="28"/>
          <w:szCs w:val="28"/>
          <w:rtl/>
        </w:rPr>
        <w:t xml:space="preserve">1 - إنّ أقصی ما یمکن أن یقال: إنّه صدر توثیق من الشیخ المفید فی حقّ أربعة آلاف رجل من أصحاب الصادق - علیه السلام -، و أمّا إنّ مراده هو نفس ما ورد فی رجال ابن عقدة، فأمر مظنون أو محتمل، إذ لم یکن التألیف فی الرجال فی هذه العصور مختصّا بابن عقدة، کیف و المؤلّفون فی علم الرجال من عصر الحسن بن محبوب إلی زمن الشیخ الطوسی أکثر من أن یذکر</w:t>
      </w:r>
      <w:r>
        <w:rPr>
          <w:rStyle w:val="FootnoteReference"/>
        </w:rPr>
        <w:footnoteReference w:id="4077"/>
      </w:r>
      <w:r>
        <w:rPr>
          <w:rFonts w:ascii="IRNazanin" w:hAnsi="IRNazanin" w:eastAsia="IRNazanin" w:cs="IRNazanin"/>
          <w:lang w:bidi="fa-IR"/>
          <w:color w:val="111111"/>
          <w:sz w:val="28"/>
          <w:szCs w:val="28"/>
          <w:rtl/>
        </w:rPr>
        <w:t xml:space="preserve">فلا یصحّ أن یقال إنّ الشیخ المفید ناظر فی عبارته هذه إلی ما کتبه ابن</w:t>
      </w:r>
    </w:p>
    <w:p>
      <w:pPr>
        <w:pStyle w:val="BookText"/>
      </w:pPr>
      <w:r>
        <w:rPr>
          <w:rFonts w:ascii="IRNazanin" w:hAnsi="IRNazanin" w:eastAsia="IRNazanin" w:cs="IRNazanin"/>
          <w:lang w:bidi="fa-IR"/>
          <w:color w:val="111111"/>
          <w:sz w:val="28"/>
          <w:szCs w:val="28"/>
          <w:rtl/>
        </w:rPr>
        <w:t xml:space="preserve">[شماره صفحه واقعی : 327]</w:t>
      </w:r>
    </w:p>
    <w:p>
      <w:pPr>
        <w:pStyle w:val="BookText"/>
      </w:pPr>
      <w:r>
        <w:rPr>
          <w:rFonts w:ascii="IRNazanin" w:hAnsi="IRNazanin" w:eastAsia="IRNazanin" w:cs="IRNazanin"/>
          <w:lang w:bidi="fa-IR"/>
          <w:color w:val="111111"/>
          <w:sz w:val="28"/>
          <w:szCs w:val="28"/>
          <w:rtl/>
        </w:rPr>
        <w:t xml:space="preserve">ص: 1045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عقدة مع وفور کتب الرجال، بل هی ناظرة لما جاء فی الکتب الرجالیّة المؤلّفة فی تلک العصور فی أصحاب الصادقین، بل الأئمّة الطاهرین - علیهم السلام -، و یؤیّد ذلک أنّ الشیخ المفید عبّر بلفظ الجمع و قال: «إن أصحاب الحدیث قد جمعوا أسماء الرواة عنه من الثقات» فتخصیص عبارة الشیخ المفید بما جاء فی رجال ابن عقدة، أمر لا دلیل علیه.</w:t>
      </w:r>
    </w:p>
    <w:p>
      <w:pPr>
        <w:pStyle w:val="BookText"/>
      </w:pPr>
      <w:r>
        <w:rPr>
          <w:rFonts w:ascii="IRNazanin" w:hAnsi="IRNazanin" w:eastAsia="IRNazanin" w:cs="IRNazanin"/>
          <w:lang w:bidi="fa-IR"/>
          <w:color w:val="111111"/>
          <w:sz w:val="28"/>
          <w:szCs w:val="28"/>
          <w:rtl/>
        </w:rPr>
        <w:t xml:space="preserve">و الدّلیل علی أنّ المقصود من أصحاب الحدیث لیس خصوص ابن عقدة، أنّ الشیخ قد التزم فی مقدّمة رجاله أن یأتی بکلّ ما ذکره ابن عقدة فی رجاله مع زیادات لم یذکرها ابن عقدة، و مع ذلک لم یبلغ عدد أصحاب الصادق - علیه السلام - فی رجال الشیخ أربعة آلاف.</w:t>
      </w:r>
    </w:p>
    <w:p>
      <w:pPr>
        <w:pStyle w:val="BookText"/>
      </w:pPr>
      <w:r>
        <w:rPr>
          <w:rFonts w:ascii="IRNazanin" w:hAnsi="IRNazanin" w:eastAsia="IRNazanin" w:cs="IRNazanin"/>
          <w:lang w:bidi="fa-IR"/>
          <w:color w:val="111111"/>
          <w:sz w:val="28"/>
          <w:szCs w:val="28"/>
          <w:rtl/>
        </w:rPr>
        <w:t xml:space="preserve">فلو کان مقصود المفید من أصحاب الحدیث هو خصوص ما ذکره ابن عقدة، یجب أن یبلغ عدد أصحاب الصادق - علیه السلام - فی رجال الشیخ أیضا إلی أربعة آلاف، لما التزم به الشیخ فی مقدّمته، مع أنّ المذکور فی رجاله لا یتجاوز عن ثلاثة آلاف و خمسین رجلا.</w:t>
      </w:r>
    </w:p>
    <w:p>
      <w:pPr>
        <w:pStyle w:val="BookText"/>
      </w:pPr>
      <w:r>
        <w:rPr>
          <w:rFonts w:ascii="IRNazanin" w:hAnsi="IRNazanin" w:eastAsia="IRNazanin" w:cs="IRNazanin"/>
          <w:lang w:bidi="fa-IR"/>
          <w:color w:val="111111"/>
          <w:sz w:val="28"/>
          <w:szCs w:val="28"/>
          <w:rtl/>
        </w:rPr>
        <w:t xml:space="preserve">نعم اعتذر عنه المحدّث النوری بأنّ ما أسقطه الشیخ فی باب أصحاب الصادق - علیه السلام - أثبته فی باب أصحاب أبی جعفر الباقر - علیه السلام - و فی باب أصحاب أبی إبراهیم موسی بن جعفر - علیه السلام -، لأنّ بعض أصحاب الصادق - علیه السلام - أدرک عصر الإمام الباقر - علیه السلام - کما أدرک عصر الإمام الکاظم - علیه السلام -، فاکتفی الشیخ فی رجاله فی الباب المعقود لخصوص أصحاب الصادق - علیه السلام - بذکر من اختصّ بالصّادق و لم یدرک الإمام الباقر، و لا الإمام الکاظم - علیهما السلام -، و لکن «ابن عقدة» جعل المناط کلّ من روی عن الصادق - علیه السلام - و إن کانت له روایة عن غیره</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328]</w:t>
      </w:r>
    </w:p>
    <w:p>
      <w:pPr>
        <w:pStyle w:val="BookText"/>
      </w:pPr>
      <w:r>
        <w:rPr>
          <w:rFonts w:ascii="IRNazanin" w:hAnsi="IRNazanin" w:eastAsia="IRNazanin" w:cs="IRNazanin"/>
          <w:lang w:bidi="fa-IR"/>
          <w:color w:val="111111"/>
          <w:sz w:val="28"/>
          <w:szCs w:val="28"/>
          <w:rtl/>
        </w:rPr>
        <w:t xml:space="preserve">ص: 1046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الاعتذار غیر موجّه، لأنّ أبا العبّاس ابن عقدة قد أفرد لأصحاب کلّ امام قبل الصادق - علیه السلام - کتابا خاصّا. قال الشیخ فی فهرسه: «و له کتاب من روی عن أمیر المؤمنین - علیه السلام - و کتاب من روی عن الحسن و الحسین، و کتاب من روی عن علی بن الحسین - علیهما السلام - و أخباره، کتاب من روی عن أبی جعفر محمد بن علی - علیه السلام - و أخباره، کتاب من روی عن زید بن علی و مسنده، کتاب الرجال و هو کتاب من روی عن جعفر بن محمد - علیه السلام -»</w:t>
      </w:r>
      <w:r>
        <w:rPr>
          <w:rStyle w:val="FootnoteReference"/>
        </w:rPr>
        <w:footnoteReference w:id="4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هذا التّصریح لا یصحّ هذا الاعتذار، نعم لو کان أبو العبّاس ابن عقدة مکتفیا فی التألیف بذکر خصوص أصحاب الإمام الصادق - علیه السلام - أمکن أن یقال إنّ ما أسقطه الشیخ من أصحابه، أدرجه فی أصحاب الإمامین الهمامین، الباقر و الکاظم - علیهما السلام -، و المفروض أنّ ابن عقدة قد أفرد لأصحاب الإمام أبی جعفر - علیه السلام - کتابا خاصّا و إن لم یؤلّف فی أصحاب الإمام الکاظم - علیه السلام - کتابا.</w:t>
      </w:r>
    </w:p>
    <w:p>
      <w:pPr>
        <w:pStyle w:val="BookText"/>
      </w:pPr>
      <w:r>
        <w:rPr>
          <w:rFonts w:ascii="IRNazanin" w:hAnsi="IRNazanin" w:eastAsia="IRNazanin" w:cs="IRNazanin"/>
          <w:lang w:bidi="fa-IR"/>
          <w:color w:val="111111"/>
          <w:sz w:val="28"/>
          <w:szCs w:val="28"/>
          <w:rtl/>
        </w:rPr>
        <w:t xml:space="preserve">3 - إنّ الظّاهر من عبارة المتتبّع، العلاّمة النوری، أنّ ابن عقدة هو الّذی وثّقهم حیث قال: «الّذین وثّقهم ابن عقدة، فإنّه صنّف کتابا فی خصوص رجاله، و أنهاهم إلی أربعة آلاف، و وثّق جمیعهم»</w:t>
      </w:r>
      <w:r>
        <w:rPr>
          <w:rStyle w:val="FootnoteReference"/>
        </w:rPr>
        <w:footnoteReference w:id="4080"/>
      </w:r>
      <w:r>
        <w:rPr>
          <w:rFonts w:ascii="IRNazanin" w:hAnsi="IRNazanin" w:eastAsia="IRNazanin" w:cs="IRNazanin"/>
          <w:lang w:bidi="fa-IR"/>
          <w:color w:val="111111"/>
          <w:sz w:val="28"/>
          <w:szCs w:val="28"/>
          <w:rtl/>
        </w:rPr>
        <w:t xml:space="preserve">مع أنّ العبارات الحاکیة لعمل ابن عقدة لیست فیها أیّة إشارة إلی توثیق ابن عقدة، و إنّما الظاهر من عبائر النجاشی و الشیخ فی رجالهما و فهرسه هو أنّ ابن عقدة جمع أسماء الرواة عنه، لا أنّه وثقهم، و بذلک یسقط البحث الّذی عقده العلاّمة النوری فی توثیق ابن عقدة، فإنّه زیدی، و هل یکون توثیقه حجّة أو لا؟ و قد أطنب الکلام فیه.</w:t>
      </w:r>
    </w:p>
    <w:p>
      <w:pPr>
        <w:pStyle w:val="BookText"/>
      </w:pPr>
      <w:r>
        <w:rPr>
          <w:rFonts w:ascii="IRNazanin" w:hAnsi="IRNazanin" w:eastAsia="IRNazanin" w:cs="IRNazanin"/>
          <w:lang w:bidi="fa-IR"/>
          <w:color w:val="111111"/>
          <w:sz w:val="28"/>
          <w:szCs w:val="28"/>
          <w:rtl/>
        </w:rPr>
        <w:t xml:space="preserve">4 - إنّ المراجع لما نقلناه من المشایخ یقف علی أنّ المصدر الأساسی</w:t>
      </w:r>
    </w:p>
    <w:p>
      <w:pPr>
        <w:pStyle w:val="BookText"/>
      </w:pPr>
      <w:r>
        <w:rPr>
          <w:rFonts w:ascii="IRNazanin" w:hAnsi="IRNazanin" w:eastAsia="IRNazanin" w:cs="IRNazanin"/>
          <w:lang w:bidi="fa-IR"/>
          <w:color w:val="111111"/>
          <w:sz w:val="28"/>
          <w:szCs w:val="28"/>
          <w:rtl/>
        </w:rPr>
        <w:t xml:space="preserve">[شماره صفحه واقعی : 329]</w:t>
      </w:r>
    </w:p>
    <w:p>
      <w:pPr>
        <w:pStyle w:val="BookText"/>
      </w:pPr>
      <w:r>
        <w:rPr>
          <w:rFonts w:ascii="IRNazanin" w:hAnsi="IRNazanin" w:eastAsia="IRNazanin" w:cs="IRNazanin"/>
          <w:lang w:bidi="fa-IR"/>
          <w:color w:val="111111"/>
          <w:sz w:val="28"/>
          <w:szCs w:val="28"/>
          <w:rtl/>
        </w:rPr>
        <w:t xml:space="preserve">ص: 1047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لوثاقة هؤلاء الرواة من أصحاب الصادق - علیه السلام - هو الشیخ المفید، و أمّا البواقی فقد اقتفوا أثره، و تؤیّد ذلک وحدة کثیر من العبارات، علی أنّ عدّة من المشایخ قد اقتفت الشیخ المفید فی عدد الرواة، من غیر تصریح بکونهم ثقات أو لا، کما أوعزنا إلیه.</w:t>
      </w:r>
    </w:p>
    <w:p>
      <w:pPr>
        <w:pStyle w:val="BookText"/>
      </w:pPr>
      <w:r>
        <w:rPr>
          <w:rFonts w:ascii="IRNazanin" w:hAnsi="IRNazanin" w:eastAsia="IRNazanin" w:cs="IRNazanin"/>
          <w:lang w:bidi="fa-IR"/>
          <w:color w:val="111111"/>
          <w:sz w:val="28"/>
          <w:szCs w:val="28"/>
          <w:rtl/>
        </w:rPr>
        <w:t xml:space="preserve">نعم قد أسند الشیخ الحرّ العاملی فی ترجمة «خلید بن أوفی» التوثیق إلی المفید و ابن شهر آشوب و الطّبرسی، من دون إسناده إلی ابن عقدة. قال:</w:t>
      </w:r>
    </w:p>
    <w:p>
      <w:pPr>
        <w:pStyle w:val="BookText"/>
      </w:pPr>
      <w:r>
        <w:rPr>
          <w:rFonts w:ascii="IRNazanin" w:hAnsi="IRNazanin" w:eastAsia="IRNazanin" w:cs="IRNazanin"/>
          <w:lang w:bidi="fa-IR"/>
          <w:color w:val="111111"/>
          <w:sz w:val="28"/>
          <w:szCs w:val="28"/>
          <w:rtl/>
        </w:rPr>
        <w:t xml:space="preserve">«و لو قیل بتوثیقه (خلید) و توثیق أصحاب الصادق - علیه السلام - إلاّ من ثبت ضعفه لم یکن بعیدا، لأنّ المفید فی «الارشاد»، و إبن شهر آشوب فی معالم العلماء»، و الطّبرسی فی «إعلام الوری» قد وثّقوا أربعة آلاف من أصحاب الصادق - علیه السلام - و الموجود منهم فی جمیع کتب الرجال و الحدیث، لا یبلغون ثلاثة آلاف. و ذکر العلاّمة و غیره أنّ ابن عقدة جمع الأربعة آلاف المذکورین فی کتب الرجال»</w:t>
      </w:r>
      <w:r>
        <w:rPr>
          <w:rStyle w:val="FootnoteReference"/>
        </w:rPr>
        <w:footnoteReference w:id="4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الاعتماد علی هذا التوثیق و إن صدر من شیخ الامّة و مفیدها و أیّدته جماعة من الأصحاب، مشکل جدّا، لأنّه إن أراد بذلک أنّ أصحاب الصادق - علیه السلام - کانوا أربعة آلاف و کلّهم کانوا ثقات، فهذا أشبه بما علیه الجمهور من أنّ أصحاب النبی - صلی اللّه علیه و آله - کلّهم کانوا عدولا، و إن أراد أنّ أصحاب الصادق - علیه السلام - کانوا کثیرین، إلاّ أنّ الثقات منهم کانوا أربعة آلاف، فهذا أمر یمکن التسالم علیه لکنّه غیر مفید، إذ لیس لنا طریق إلی معرفة الثّقات منهم، و لیس لنا دلیل علی أنّ ما ذکره الشیخ فی رجاله کلّهم من الثقات.</w:t>
      </w:r>
    </w:p>
    <w:p>
      <w:pPr>
        <w:pStyle w:val="BookText"/>
      </w:pPr>
      <w:r>
        <w:rPr>
          <w:rFonts w:ascii="IRNazanin" w:hAnsi="IRNazanin" w:eastAsia="IRNazanin" w:cs="IRNazanin"/>
          <w:lang w:bidi="fa-IR"/>
          <w:color w:val="111111"/>
          <w:sz w:val="28"/>
          <w:szCs w:val="28"/>
          <w:rtl/>
        </w:rPr>
        <w:t xml:space="preserve">6 - أضف إلی ذلک أنّ الشیخ قد ضعّف عدّة من أصحاب الصادق - علیه السلام -، فقال فی الباب المختصّ بهم: «إبراهیم بن أبی حیّة ضعیف،</w:t>
      </w:r>
    </w:p>
    <w:p>
      <w:pPr>
        <w:pStyle w:val="BookText"/>
      </w:pPr>
      <w:r>
        <w:rPr>
          <w:rFonts w:ascii="IRNazanin" w:hAnsi="IRNazanin" w:eastAsia="IRNazanin" w:cs="IRNazanin"/>
          <w:lang w:bidi="fa-IR"/>
          <w:color w:val="111111"/>
          <w:sz w:val="28"/>
          <w:szCs w:val="28"/>
          <w:rtl/>
        </w:rPr>
        <w:t xml:space="preserve">[شماره صفحه واقعی : 330]</w:t>
      </w:r>
    </w:p>
    <w:p>
      <w:pPr>
        <w:pStyle w:val="BookText"/>
      </w:pPr>
      <w:r>
        <w:rPr>
          <w:rFonts w:ascii="IRNazanin" w:hAnsi="IRNazanin" w:eastAsia="IRNazanin" w:cs="IRNazanin"/>
          <w:lang w:bidi="fa-IR"/>
          <w:color w:val="111111"/>
          <w:sz w:val="28"/>
          <w:szCs w:val="28"/>
          <w:rtl/>
        </w:rPr>
        <w:t xml:space="preserve">ص: 1048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عمر البصری أبو عمر ضعیف الحدیث، عبد الرحمن بن الهلقام ضعیف، عمرو بن جمیع البصری الأزدی ضعیف الحدیث، محمّد بن حجّاج المدنی منکر الحدیث، محمّد بن عبد الملک الأنصاری الکوفی ضعیف، محمّد بن مقلاص الأسدی الکوفی ملعون غال»</w:t>
      </w:r>
      <w:r>
        <w:rPr>
          <w:rStyle w:val="FootnoteReference"/>
        </w:rPr>
        <w:footnoteReference w:id="4082"/>
      </w:r>
      <w:r>
        <w:rPr>
          <w:rFonts w:ascii="IRNazanin" w:hAnsi="IRNazanin" w:eastAsia="IRNazanin" w:cs="IRNazanin"/>
          <w:lang w:bidi="fa-IR"/>
          <w:color w:val="111111"/>
          <w:sz w:val="28"/>
          <w:szCs w:val="28"/>
          <w:rtl/>
        </w:rPr>
        <w:t xml:space="preserve">إلی غیر ذلک من العبارات فی حقّ بعض أصحابه، فکیف یمکن أن یقال: إنّ کلّ ما جاء به رجال الشیخ نفس ما ذکره الشیخ المفید.</w:t>
      </w:r>
    </w:p>
    <w:p>
      <w:pPr>
        <w:pStyle w:val="BookText"/>
      </w:pPr>
      <w:r>
        <w:rPr>
          <w:rFonts w:ascii="IRNazanin" w:hAnsi="IRNazanin" w:eastAsia="IRNazanin" w:cs="IRNazanin"/>
          <w:lang w:bidi="fa-IR"/>
          <w:color w:val="111111"/>
          <w:sz w:val="28"/>
          <w:szCs w:val="28"/>
          <w:rtl/>
        </w:rPr>
        <w:t xml:space="preserve">7 - نعم قد أتعب المتتبّع العلاّمة النوری نفسه الشریفة فی توجیه هذه التصریحات بوجود الضعاف بین أصحاب الصادق - علیه السلام - بما لا یمکن الاعتماد علیه، فقال: «إنّ المراد من الضّعف ما لا ینافی الوثاقة کالروایة عن الضعفاء، أو روایة الضعفاء عنه، أو الاعتماد علی المراسیل، أو الوجادة</w:t>
      </w:r>
      <w:r>
        <w:rPr>
          <w:rStyle w:val="FootnoteReference"/>
        </w:rPr>
        <w:footnoteReference w:id="4083"/>
      </w:r>
      <w:r>
        <w:rPr>
          <w:rFonts w:ascii="IRNazanin" w:hAnsi="IRNazanin" w:eastAsia="IRNazanin" w:cs="IRNazanin"/>
          <w:lang w:bidi="fa-IR"/>
          <w:color w:val="111111"/>
          <w:sz w:val="28"/>
          <w:szCs w:val="28"/>
          <w:rtl/>
        </w:rPr>
        <w:t xml:space="preserve">أو روایة ما ظاهره الغلوّ و الجبر و التشبیه»</w:t>
      </w:r>
      <w:r>
        <w:rPr>
          <w:rStyle w:val="FootnoteReference"/>
        </w:rPr>
        <w:footnoteReference w:id="4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تری أنّ ما ذکره من التوجیه خلاف الظّاهر جدّا، و الروایة عن الضّعفاء و الاعتماد علی المراسیل و إن کانا من أسباب الضّعف عند القدماء، لکنّ الانصاف أنّه إذا ارید الضعف من هذه الناحیة یجب أن یصرّح به، و لو اطلق، فالظّاهر أنّ الضعف راجع إلی نفسه.</w:t>
      </w:r>
    </w:p>
    <w:p>
      <w:pPr>
        <w:pStyle w:val="BookText"/>
      </w:pPr>
      <w:r>
        <w:rPr>
          <w:rFonts w:ascii="IRNazanin" w:hAnsi="IRNazanin" w:eastAsia="IRNazanin" w:cs="IRNazanin"/>
          <w:lang w:bidi="fa-IR"/>
          <w:color w:val="111111"/>
          <w:sz w:val="28"/>
          <w:szCs w:val="28"/>
          <w:rtl/>
        </w:rPr>
        <w:t xml:space="preserve">أضف إلی ذلک أنّه قال فی حقّ بعضهم: «ملعون غال».</w:t>
      </w:r>
    </w:p>
    <w:p>
      <w:pPr>
        <w:pStyle w:val="BookText"/>
      </w:pPr>
      <w:r>
        <w:rPr>
          <w:rFonts w:ascii="IRNazanin" w:hAnsi="IRNazanin" w:eastAsia="IRNazanin" w:cs="IRNazanin"/>
          <w:lang w:bidi="fa-IR"/>
          <w:color w:val="111111"/>
          <w:sz w:val="28"/>
          <w:szCs w:val="28"/>
          <w:rtl/>
        </w:rPr>
        <w:t xml:space="preserve">فقد خرجنا بهذه النتیجة: أنّه لم یثبت التوثیق العمومی لأصحاب الإمام الصادق - علیه السلام - الموجودة فی رجال الشیخ أو ما بأیدینا فی کتب الرجال.</w:t>
      </w:r>
    </w:p>
    <w:p>
      <w:pPr>
        <w:pStyle w:val="BookText"/>
      </w:pPr>
      <w:r>
        <w:rPr>
          <w:rFonts w:ascii="IRNazanin" w:hAnsi="IRNazanin" w:eastAsia="IRNazanin" w:cs="IRNazanin"/>
          <w:lang w:bidi="fa-IR"/>
          <w:color w:val="111111"/>
          <w:sz w:val="28"/>
          <w:szCs w:val="28"/>
          <w:rtl/>
        </w:rPr>
        <w:t xml:space="preserve">[شماره صفحه واقعی : 331]</w:t>
      </w:r>
    </w:p>
    <w:p>
      <w:pPr>
        <w:pStyle w:val="BookText"/>
      </w:pPr>
      <w:r>
        <w:rPr>
          <w:rFonts w:ascii="IRNazanin" w:hAnsi="IRNazanin" w:eastAsia="IRNazanin" w:cs="IRNazanin"/>
          <w:lang w:bidi="fa-IR"/>
          <w:color w:val="111111"/>
          <w:sz w:val="28"/>
          <w:szCs w:val="28"/>
          <w:rtl/>
        </w:rPr>
        <w:t xml:space="preserve">ص: 1049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332]</w:t>
      </w:r>
    </w:p>
    <w:p>
      <w:pPr>
        <w:pStyle w:val="BookText"/>
      </w:pPr>
      <w:r>
        <w:rPr>
          <w:rFonts w:ascii="IRNazanin" w:hAnsi="IRNazanin" w:eastAsia="IRNazanin" w:cs="IRNazanin"/>
          <w:lang w:bidi="fa-IR"/>
          <w:color w:val="111111"/>
          <w:sz w:val="28"/>
          <w:szCs w:val="28"/>
          <w:rtl/>
        </w:rPr>
        <w:t xml:space="preserve">ص: 1050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442" w:name="pg14419_167766"/>
    <w:bookmarkEnd w:id="442"/>
    <w:p>
      <w:pPr>
        <w:pStyle w:val="Heading5"/>
      </w:pPr>
      <w:bookmarkStart w:id="1388" w:name="_Toc828"/>
      <w:r>
        <w:t>8 - هل شیخوخة الاجازة دلیل الوثاقة عند المستجیز؟</w:t>
      </w:r>
      <w:bookmarkEnd w:id="1388"/>
    </w:p>
    <w:p>
      <w:pPr>
        <w:pStyle w:val="Heading6"/>
      </w:pPr>
      <w:bookmarkStart w:id="1389" w:name="_Toc829"/>
      <w:r>
        <w:t>اشارة</w:t>
      </w:r>
      <w:bookmarkEnd w:id="1389"/>
    </w:p>
    <w:p>
      <w:pPr>
        <w:pStyle w:val="BookText"/>
      </w:pPr>
      <w:r>
        <w:rPr>
          <w:rFonts w:ascii="IRNazanin" w:hAnsi="IRNazanin" w:eastAsia="IRNazanin" w:cs="IRNazanin"/>
          <w:lang w:bidi="fa-IR"/>
          <w:color w:val="111111"/>
          <w:sz w:val="28"/>
          <w:szCs w:val="28"/>
          <w:rtl/>
        </w:rPr>
        <w:t xml:space="preserve">[شماره صفحه واقعی : 333]</w:t>
      </w:r>
    </w:p>
    <w:p>
      <w:pPr>
        <w:pStyle w:val="BookText"/>
      </w:pPr>
      <w:r>
        <w:rPr>
          <w:rFonts w:ascii="IRNazanin" w:hAnsi="IRNazanin" w:eastAsia="IRNazanin" w:cs="IRNazanin"/>
          <w:lang w:bidi="fa-IR"/>
          <w:color w:val="111111"/>
          <w:sz w:val="28"/>
          <w:szCs w:val="28"/>
          <w:rtl/>
        </w:rPr>
        <w:t xml:space="preserve">ص: 1051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334]</w:t>
      </w:r>
    </w:p>
    <w:p>
      <w:pPr>
        <w:pStyle w:val="BookText"/>
      </w:pPr>
      <w:r>
        <w:rPr>
          <w:rFonts w:ascii="IRNazanin" w:hAnsi="IRNazanin" w:eastAsia="IRNazanin" w:cs="IRNazanin"/>
          <w:lang w:bidi="fa-IR"/>
          <w:color w:val="111111"/>
          <w:sz w:val="28"/>
          <w:szCs w:val="28"/>
          <w:rtl/>
        </w:rPr>
        <w:t xml:space="preserve">ص: 1052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443" w:name="pg14419_167768"/>
    <w:bookmarkEnd w:id="443"/>
    <w:p>
      <w:pPr>
        <w:pStyle w:val="BookText"/>
      </w:pPr>
      <w:r>
        <w:rPr>
          <w:rFonts w:ascii="IRNazanin" w:hAnsi="IRNazanin" w:eastAsia="IRNazanin" w:cs="IRNazanin"/>
          <w:lang w:bidi="fa-IR"/>
          <w:color w:val="111111"/>
          <w:sz w:val="28"/>
          <w:szCs w:val="28"/>
          <w:rtl/>
        </w:rPr>
        <w:t xml:space="preserve">إنّ قسما من مشایخ الاجازة الّذین یجیزون روایة أصل أو کتاب لغیرهم، غیر موصوفین فی کتب الرجال بالوثاقة، فهل استجازة الثقة عن واحد منهم آیة کونه ثقة أو لا؟ و هذا نظیر ما روی الصّدوق و الشیخ کثیرا من الاصول و الکتب بالاستجازة عن عدّة من المشایخ الذین یعدّون من مشایخهما فی الروایة، فهل استجازة ذینک العلمین أو غیرهما من هؤلاء دلیل علی وثاقتهم مطلقا أو عند المستجیزین خاصّة أو لا یدلّ علی شیء من ذلک؟</w:t>
      </w:r>
    </w:p>
    <w:p>
      <w:pPr>
        <w:pStyle w:val="Heading6"/>
      </w:pPr>
      <w:bookmarkStart w:id="1390" w:name="_Toc830"/>
      <w:r>
        <w:t>توضیحه مع تحقیقه</w:t>
      </w:r>
      <w:bookmarkEnd w:id="1390"/>
    </w:p>
    <w:p>
      <w:pPr>
        <w:pStyle w:val="BookText"/>
      </w:pPr>
      <w:r>
        <w:rPr>
          <w:rFonts w:ascii="IRNazanin" w:hAnsi="IRNazanin" w:eastAsia="IRNazanin" w:cs="IRNazanin"/>
          <w:lang w:bidi="fa-IR"/>
          <w:color w:val="111111"/>
          <w:sz w:val="28"/>
          <w:szCs w:val="28"/>
          <w:rtl/>
        </w:rPr>
        <w:t xml:space="preserve">لو قلنا إنّ روایة الثقة عن شخص آیة کون المرویّ عنه ثقة عند الراوی، فلا کلام فی کلام مشایخ الاجازة لأمثال الصّدوق و الشیخ و غیرهما ثقات، لکن ذلک الأصل ممّا لا أصل له، إلا إذا أکثر الروایة عنه، کما سیوافیک، و قد عقد المحقّق الداماد فصلا خاصّا فی رواشحه، فراجع الراشحة الثلاثة و الثلاثین، الصفحة 104، و الکلام فی المقام علی غیر هذا الأصل. فنقول:</w:t>
      </w:r>
    </w:p>
    <w:p>
      <w:pPr>
        <w:pStyle w:val="BookText"/>
      </w:pPr>
      <w:r>
        <w:rPr>
          <w:rFonts w:ascii="IRNazanin" w:hAnsi="IRNazanin" w:eastAsia="IRNazanin" w:cs="IRNazanin"/>
          <w:lang w:bidi="fa-IR"/>
          <w:color w:val="111111"/>
          <w:sz w:val="28"/>
          <w:szCs w:val="28"/>
          <w:rtl/>
        </w:rPr>
        <w:t xml:space="preserve">إنّ الاجازة علی أقسام:</w:t>
      </w:r>
    </w:p>
    <w:p>
      <w:pPr>
        <w:pStyle w:val="BookText"/>
      </w:pPr>
      <w:r>
        <w:rPr>
          <w:rFonts w:ascii="IRNazanin" w:hAnsi="IRNazanin" w:eastAsia="IRNazanin" w:cs="IRNazanin"/>
          <w:lang w:bidi="fa-IR"/>
          <w:color w:val="111111"/>
          <w:sz w:val="28"/>
          <w:szCs w:val="28"/>
          <w:rtl/>
        </w:rPr>
        <w:t xml:space="preserve">1 - أن یجیز الشیخ کتاب نفسه، فیشترط فی الشیخ المجیز ما یشترط فی سائر الرواة من الوثاقة و الضّبط، و حکم شیخ الاجازة فی هذا المجال حکم</w:t>
      </w:r>
    </w:p>
    <w:p>
      <w:pPr>
        <w:pStyle w:val="BookText"/>
      </w:pPr>
      <w:r>
        <w:rPr>
          <w:rFonts w:ascii="IRNazanin" w:hAnsi="IRNazanin" w:eastAsia="IRNazanin" w:cs="IRNazanin"/>
          <w:lang w:bidi="fa-IR"/>
          <w:color w:val="111111"/>
          <w:sz w:val="28"/>
          <w:szCs w:val="28"/>
          <w:rtl/>
        </w:rPr>
        <w:t xml:space="preserve">[شماره صفحه واقعی : 335]</w:t>
      </w:r>
    </w:p>
    <w:p>
      <w:pPr>
        <w:pStyle w:val="BookText"/>
      </w:pPr>
      <w:r>
        <w:rPr>
          <w:rFonts w:ascii="IRNazanin" w:hAnsi="IRNazanin" w:eastAsia="IRNazanin" w:cs="IRNazanin"/>
          <w:lang w:bidi="fa-IR"/>
          <w:color w:val="111111"/>
          <w:sz w:val="28"/>
          <w:szCs w:val="28"/>
          <w:rtl/>
        </w:rPr>
        <w:t xml:space="preserve">ص: 1053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الرواة الواقعین فی سند الحدیث، فیشترط فیه ما یشترط فیهم، و لا یدلّ استجازة الثقة علی کونه ثقة حتّی عنده، إذ لا تزید الاستجازة علی روایة الثقة عنه، فکما أنّها لا تدلّ علی وثاقة المرویّ عنه، فهکذا الاستجازة، فیجب إحراز وثاقة المجیز من طریق آخر.</w:t>
      </w:r>
    </w:p>
    <w:p>
      <w:pPr>
        <w:pStyle w:val="BookText"/>
      </w:pPr>
      <w:r>
        <w:rPr>
          <w:rFonts w:ascii="IRNazanin" w:hAnsi="IRNazanin" w:eastAsia="IRNazanin" w:cs="IRNazanin"/>
          <w:lang w:bidi="fa-IR"/>
          <w:color w:val="111111"/>
          <w:sz w:val="28"/>
          <w:szCs w:val="28"/>
          <w:rtl/>
        </w:rPr>
        <w:t xml:space="preserve">نعم لو کان جمیع أحادیث کتابه مطابقا لأحادیث کتاب معتبر، یکون أحادیثه مقبولة سواء أکان فی نفسه ثقة أو ضعیفا، و لذا قال ابن الولید استاذ الصدوق فی «محمّد بن اورمة» المطعون فیه بالغلوّ: «إنّ کلّ ما کان فی کتبه ممّا وجد فی کتب الحسین بن سعید و غیره، فإنّه یعتمد علیه و یفتی به، و کلّ ما تفرّد به لم یجز العمل علیه و لا یعتمد»</w:t>
      </w:r>
      <w:r>
        <w:rPr>
          <w:rStyle w:val="FootnoteReference"/>
        </w:rPr>
        <w:footnoteReference w:id="4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تحصیل هذا الشرط ممّا لا یمکن فی هذه العصور، لإندراس المصنّفات و الاصول بعد الشیخ الطوسی، فقد أصبحت تلک الکتب بعد الجوامع الثانویة (الکتب الأربعة) مرغوبة عنها، لعدم إحساس الحاجة إلی کتابتها و استنساخها مع وجود تلک الجوامع، خصوصا بعد کلام الشیخ فی آخر الاستبصار حیث قال: «و أرجو من اللّه تعالی أن تکون هذه الکتب الثلاثة (التهذیب و الاستبصار و النهایة) الّتی سهّل اللّه تعالی الفراغ منها، لا یحتاج معها إلی شیء من الکتب و الاصول، لأنّ الکتاب الکبیر الموسوم ب «تهذیب الأحکام» یشتمل علی جمیع أحادیث الفقه المتّفق علیه و المختلف فیه، و کتاب النهایة یشتمل علی تجرید الفتاوی فی جمیع أبواب الفقه و ذکر جمیع ما روی فیه، علی وجه یصغر حجمه و تکثر فائدته و یصلح للحفظ، و هذا الکتاب یشتمل علی جمیع ما روی من الأخبار المختلفة و بیان وجه التأویل فیها و الجمع</w:t>
      </w:r>
    </w:p>
    <w:p>
      <w:pPr>
        <w:pStyle w:val="BookText"/>
      </w:pPr>
      <w:r>
        <w:rPr>
          <w:rFonts w:ascii="IRNazanin" w:hAnsi="IRNazanin" w:eastAsia="IRNazanin" w:cs="IRNazanin"/>
          <w:lang w:bidi="fa-IR"/>
          <w:color w:val="111111"/>
          <w:sz w:val="28"/>
          <w:szCs w:val="28"/>
          <w:rtl/>
        </w:rPr>
        <w:t xml:space="preserve">[شماره صفحه واقعی : 336]</w:t>
      </w:r>
    </w:p>
    <w:p>
      <w:pPr>
        <w:pStyle w:val="BookText"/>
      </w:pPr>
      <w:r>
        <w:rPr>
          <w:rFonts w:ascii="IRNazanin" w:hAnsi="IRNazanin" w:eastAsia="IRNazanin" w:cs="IRNazanin"/>
          <w:lang w:bidi="fa-IR"/>
          <w:color w:val="111111"/>
          <w:sz w:val="28"/>
          <w:szCs w:val="28"/>
          <w:rtl/>
        </w:rPr>
        <w:t xml:space="preserve">ص: 1054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بینها»</w:t>
      </w:r>
      <w:r>
        <w:rPr>
          <w:rStyle w:val="FootnoteReference"/>
        </w:rPr>
        <w:footnoteReference w:id="4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إذا أجاز کتاب غیره و کان انتساب الکتاب إلی مصنّفه مشهورا فالاجازة لأجل مجرّد اتّصال السند، لا لتحصیل العلم بالنسبة إلی مصنّفه و الاجازات الرائجة بالنسبة إلی الکتب الأربعة و غیرها من المؤلّفات الحدیثیّة المشهورة کلّها من هذا القبیل، فلیست الاجازة إلاّ لأجل تحصیل اتّصال السّند و تصحیح الحکایة عند نقل الحدیث عن شیخ الاجازة بلفظ «حدّثنا» إلی أن یصل إلی أرباب الکتب الأربعة و ینتهی السند إلی المعصوم - علیه السلام -، و فی هذه الصورة لا یحرز وثاقة الشیخ بالاستجازة أیضا، لأنّ نسبة الکتب إلی أربابها ثابتة، و إنّما الغایة من تحصیلها، تصحیح الحکایة و التمکّن من القول ب «حدّثنا» إلی أن ینتهی الأمر إلی الإمام، و یکفی فیه نفس الاجازة سواء کان المجیز ثقة أم لا.</w:t>
      </w:r>
    </w:p>
    <w:p>
      <w:pPr>
        <w:pStyle w:val="BookText"/>
      </w:pPr>
      <w:r>
        <w:rPr>
          <w:rFonts w:ascii="IRNazanin" w:hAnsi="IRNazanin" w:eastAsia="IRNazanin" w:cs="IRNazanin"/>
          <w:lang w:bidi="fa-IR"/>
          <w:color w:val="111111"/>
          <w:sz w:val="28"/>
          <w:szCs w:val="28"/>
          <w:rtl/>
        </w:rPr>
        <w:t xml:space="preserve">ثمّ إنّ الظاهر من الصّدوق بالنسبة إلی الکتب التی أخذ منها الحدیث فی «الفقیه» أنّها کتب مشهورة، علیها المعوّل و إلیها المرجع، و أنّ ما ذکره فی المشیخة فی آخر الکتب، لأجل تحصیل اتّصال السند، لا لتصحیح نسبة الکتاب إلی مؤلّفه، فلا تدلّ استجازته علی وثاقة من روی عنهم فی هذه الکتب.</w:t>
      </w:r>
    </w:p>
    <w:p>
      <w:pPr>
        <w:pStyle w:val="BookText"/>
      </w:pPr>
      <w:r>
        <w:rPr>
          <w:rFonts w:ascii="IRNazanin" w:hAnsi="IRNazanin" w:eastAsia="IRNazanin" w:cs="IRNazanin"/>
          <w:lang w:bidi="fa-IR"/>
          <w:color w:val="111111"/>
          <w:sz w:val="28"/>
          <w:szCs w:val="28"/>
          <w:rtl/>
        </w:rPr>
        <w:t xml:space="preserve">توضیحه، أنّ الشیخ الکلینی ذکر تمام السند فی کتابه «الکافی»، فبدأ الحدیث باسم شیخ الاجازة عن شیخه إلی أن ینتهی إلی الشیخ الّذی أخذ الحدیث عن کتابه، حتّی یصل إلی الإمام، و هذه سیرته فی غالب الروایات الاّ ما شذّ.</w:t>
      </w:r>
    </w:p>
    <w:p>
      <w:pPr>
        <w:pStyle w:val="BookText"/>
      </w:pPr>
      <w:r>
        <w:rPr>
          <w:rFonts w:ascii="IRNazanin" w:hAnsi="IRNazanin" w:eastAsia="IRNazanin" w:cs="IRNazanin"/>
          <w:lang w:bidi="fa-IR"/>
          <w:color w:val="111111"/>
          <w:sz w:val="28"/>
          <w:szCs w:val="28"/>
          <w:rtl/>
        </w:rPr>
        <w:t xml:space="preserve">لکنّ الشیخ الصدوق و کذا الشیخ الطوسی قد بنیا علی حذف أوائل السند و الاکتفاء باسم من اخذ الحدیث من أصله و مصنّفه، حتّی یصل السّند إلی</w:t>
      </w:r>
    </w:p>
    <w:p>
      <w:pPr>
        <w:pStyle w:val="BookText"/>
      </w:pPr>
      <w:r>
        <w:rPr>
          <w:rFonts w:ascii="IRNazanin" w:hAnsi="IRNazanin" w:eastAsia="IRNazanin" w:cs="IRNazanin"/>
          <w:lang w:bidi="fa-IR"/>
          <w:color w:val="111111"/>
          <w:sz w:val="28"/>
          <w:szCs w:val="28"/>
          <w:rtl/>
        </w:rPr>
        <w:t xml:space="preserve">[شماره صفحه واقعی : 337]</w:t>
      </w:r>
    </w:p>
    <w:p>
      <w:pPr>
        <w:pStyle w:val="BookText"/>
      </w:pPr>
      <w:r>
        <w:rPr>
          <w:rFonts w:ascii="IRNazanin" w:hAnsi="IRNazanin" w:eastAsia="IRNazanin" w:cs="IRNazanin"/>
          <w:lang w:bidi="fa-IR"/>
          <w:color w:val="111111"/>
          <w:sz w:val="28"/>
          <w:szCs w:val="28"/>
          <w:rtl/>
        </w:rPr>
        <w:t xml:space="preserve">ص: 1055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ثمّ وضعا فی آخر کتبهم «مشیخة» یعرف بها طریقتهما إلی من أخذا الحدیث من کتابه، فهی المرجع فی اتّصال السند فی أخبار کتابهما، و ربّما أخلاّ بذکر السند إلی بعض أصحاب الکتب فصار معلّقا. هذا هو دأب الشیخین الصدوق و الطوسی.</w:t>
      </w:r>
    </w:p>
    <w:p>
      <w:pPr>
        <w:pStyle w:val="BookText"/>
      </w:pPr>
      <w:r>
        <w:rPr>
          <w:rFonts w:ascii="IRNazanin" w:hAnsi="IRNazanin" w:eastAsia="IRNazanin" w:cs="IRNazanin"/>
          <w:lang w:bidi="fa-IR"/>
          <w:color w:val="111111"/>
          <w:sz w:val="28"/>
          <w:szCs w:val="28"/>
          <w:rtl/>
        </w:rPr>
        <w:t xml:space="preserve">و الظاهر من مقدّمة «الفقیه» أنّ الکتب الّتی أخذ الصدوق منها الأحادیث و بدأ السند بأسامی مؤلّفیها، کتب مشهورة معروفة غیر محتاجة إلی إثبات النّسبة، فوجود السند إلی هذه الکتب و عدمه سواسیة.</w:t>
      </w:r>
    </w:p>
    <w:p>
      <w:pPr>
        <w:pStyle w:val="BookText"/>
      </w:pPr>
      <w:r>
        <w:rPr>
          <w:rFonts w:ascii="IRNazanin" w:hAnsi="IRNazanin" w:eastAsia="IRNazanin" w:cs="IRNazanin"/>
          <w:lang w:bidi="fa-IR"/>
          <w:color w:val="111111"/>
          <w:sz w:val="28"/>
          <w:szCs w:val="28"/>
          <w:rtl/>
        </w:rPr>
        <w:t xml:space="preserve">قال فی مقدّمة الفقیه: «و جمیع ما فیه مستخرج من کتب مشهورة علیها المعوّل و إلیها المرجع مثل کتاب حریز بن عبد اللّه السجستانی، و کتاب عبید اللّه ابن علی الحلبیّ، و کتب علیّ بن مهزیار الأهوازی، و کتب الحسین بن سعید، و نوادر أحمد بن محمّد بن عیسی، و کتاب نوادر الحکمة تصنیف محمّد بن أحمد بن یحیی بن عمران الأشعری، و کتاب الرحمة لسعد بن عبد اللّه، و جامع شیخنا محمّد بن الحسن بن الولید، و نوادر محمّد بن أبی عمیر، و کتب المحاسن لأحمد بن أبی عبد اللّه البرقی، و رسالة أبی إلیّ و غیرها من الاصول و المصنّفات الّتی طرقی إلیها معروفة فی فهرس الکتب الّتی رویتها عن مشایخی و أسلافی»</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من المحدّث الأکبر نصّ علی ثبوت نسبة هذه الکتب إلی مؤلّفیها، و لم یکن هناک أیّة حاجة إلی طریق یدلّ علی النسبة، و أنّ ما أتی به فی المشیخة من الأسماء لمجرّد اتّصال السند، فلو اکتفینا بمثل هذا التنصیص من الصّدوق، لکان البحث عن صحّة طریق الصّدوق و عدمها بالنسبة إلی هذه الکتب و نظائرها بحثا زائدا غیر مفید، اللّهم إلاّ فی الکتب غیر المعروفة التی لم تثبت نسبتها إلی مؤلّفیها، لو نقل عنها فیه، و إلی ذلک کان یمیل السیّد</w:t>
      </w:r>
    </w:p>
    <w:p>
      <w:pPr>
        <w:pStyle w:val="BookText"/>
      </w:pPr>
      <w:r>
        <w:rPr>
          <w:rFonts w:ascii="IRNazanin" w:hAnsi="IRNazanin" w:eastAsia="IRNazanin" w:cs="IRNazanin"/>
          <w:lang w:bidi="fa-IR"/>
          <w:color w:val="111111"/>
          <w:sz w:val="28"/>
          <w:szCs w:val="28"/>
          <w:rtl/>
        </w:rPr>
        <w:t xml:space="preserve">[شماره صفحه واقعی : 338]</w:t>
      </w:r>
    </w:p>
    <w:p>
      <w:pPr>
        <w:pStyle w:val="BookText"/>
      </w:pPr>
      <w:r>
        <w:rPr>
          <w:rFonts w:ascii="IRNazanin" w:hAnsi="IRNazanin" w:eastAsia="IRNazanin" w:cs="IRNazanin"/>
          <w:lang w:bidi="fa-IR"/>
          <w:color w:val="111111"/>
          <w:sz w:val="28"/>
          <w:szCs w:val="28"/>
          <w:rtl/>
        </w:rPr>
        <w:t xml:space="preserve">ص: 1056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البروجردی - قدّس سره - فی درسه الشریف عند ما أفاض البحث فی المشیخة، و بذلک یعلم وجه ما أفاده الشیخ الطوسی من تقدیم روایة السامع علی روایة المستجیز إلاّ فیما إذا روی المستجیز باجازته أصلا معروفا أو مصنّفا مشهورا فیسقط الترجیح</w:t>
      </w:r>
      <w:r>
        <w:rPr>
          <w:rStyle w:val="FootnoteReference"/>
        </w:rPr>
        <w:footnoteReference w:id="4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یمکن أن یقال: إنّ البحث عن طرق الشیخ الطوسی أیضا إلی أصحاب الکتب المعروفة الثابتة نسبتها إلی مؤلفیها، بحث زائد غیر مفید، فلا وجه لعدّ الحدیث ضعیفا أو حسنا لأجل ضعف طریقه أو عدم ثبوت وثاقة مشایخ إجازته إلی هذه الکتب.</w:t>
      </w:r>
    </w:p>
    <w:p>
      <w:pPr>
        <w:pStyle w:val="BookText"/>
      </w:pPr>
      <w:r>
        <w:rPr>
          <w:rFonts w:ascii="IRNazanin" w:hAnsi="IRNazanin" w:eastAsia="IRNazanin" w:cs="IRNazanin"/>
          <w:lang w:bidi="fa-IR"/>
          <w:color w:val="111111"/>
          <w:sz w:val="28"/>
          <w:szCs w:val="28"/>
          <w:rtl/>
        </w:rPr>
        <w:t xml:space="preserve">نعم، الکلام فی تشخیص حال هذه الکتب من حیث ثبوت انتسابها إلی مؤلّفیها و عدمه لولا الإحراز، یدخل فی القسم الثالث الّذی سیوافیک الکلام فیه.</w:t>
      </w:r>
    </w:p>
    <w:p>
      <w:pPr>
        <w:pStyle w:val="BookText"/>
      </w:pPr>
      <w:r>
        <w:rPr>
          <w:rFonts w:ascii="IRNazanin" w:hAnsi="IRNazanin" w:eastAsia="IRNazanin" w:cs="IRNazanin"/>
          <w:lang w:bidi="fa-IR"/>
          <w:color w:val="111111"/>
          <w:sz w:val="28"/>
          <w:szCs w:val="28"/>
          <w:rtl/>
        </w:rPr>
        <w:t xml:space="preserve">قال المحقّق التستری: «لو کنّا نعرف الاصول المشهورة و المصنّفات المعروفة کالقدماء، حکمنا بصحّة کثیر من أحادیث الکافی الّتی حکموا بعدم صحّتها بالاصطلاح الحادث المتأخّر، فإنّ أکثر الوسائط، مشایخ إجازة، و أکثر أحادیثها مأخوذة من مصنّفات أصحاب الائمّة و اصولهم، و ذکر سائر المشایخ لمجرّد اتّصال السلسلة کما هو دیدن أصحاب الحدیث، کالمفید فی إرشاده.</w:t>
      </w:r>
    </w:p>
    <w:p>
      <w:pPr>
        <w:pStyle w:val="BookText"/>
      </w:pPr>
      <w:r>
        <w:rPr>
          <w:rFonts w:ascii="IRNazanin" w:hAnsi="IRNazanin" w:eastAsia="IRNazanin" w:cs="IRNazanin"/>
          <w:lang w:bidi="fa-IR"/>
          <w:color w:val="111111"/>
          <w:sz w:val="28"/>
          <w:szCs w:val="28"/>
          <w:rtl/>
        </w:rPr>
        <w:t xml:space="preserve">عند الأخذ من الکافی، و الصدّوق فی غیر فقیهه، و الشیخ فی الجزئین الأوّلین من استبصاره، لکنّ الأسف ضیاع تلک الاصول و المصنّفات»</w:t>
      </w:r>
      <w:r>
        <w:rPr>
          <w:rStyle w:val="FootnoteReference"/>
        </w:rPr>
        <w:footnoteReference w:id="4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استثناء الفقیه، فلما عرفت من أنّ الصدوق لا یذکر فی بدء السند إلاّ اسم الشخص الّذی أخذ الحدیث عن کتابه، و لا یذکر مشایخ الاجازة إلاّ فی خاتمة الکتاب المسمّاة بالمشیخة، و قد عرفت أنّ البحث عن طرق الصّدوق</w:t>
      </w:r>
    </w:p>
    <w:p>
      <w:pPr>
        <w:pStyle w:val="BookText"/>
      </w:pPr>
      <w:r>
        <w:rPr>
          <w:rFonts w:ascii="IRNazanin" w:hAnsi="IRNazanin" w:eastAsia="IRNazanin" w:cs="IRNazanin"/>
          <w:lang w:bidi="fa-IR"/>
          <w:color w:val="111111"/>
          <w:sz w:val="28"/>
          <w:szCs w:val="28"/>
          <w:rtl/>
        </w:rPr>
        <w:t xml:space="preserve">[شماره صفحه واقعی : 339]</w:t>
      </w:r>
    </w:p>
    <w:p>
      <w:pPr>
        <w:pStyle w:val="BookText"/>
      </w:pPr>
      <w:r>
        <w:rPr>
          <w:rFonts w:ascii="IRNazanin" w:hAnsi="IRNazanin" w:eastAsia="IRNazanin" w:cs="IRNazanin"/>
          <w:lang w:bidi="fa-IR"/>
          <w:color w:val="111111"/>
          <w:sz w:val="28"/>
          <w:szCs w:val="28"/>
          <w:rtl/>
        </w:rPr>
        <w:t xml:space="preserve">ص: 1057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مفید، لأنّ الکتب المنقولة عنها معروفة مشهورة.</w:t>
      </w:r>
    </w:p>
    <w:p>
      <w:pPr>
        <w:pStyle w:val="BookText"/>
      </w:pPr>
      <w:r>
        <w:rPr>
          <w:rFonts w:ascii="IRNazanin" w:hAnsi="IRNazanin" w:eastAsia="IRNazanin" w:cs="IRNazanin"/>
          <w:lang w:bidi="fa-IR"/>
          <w:color w:val="111111"/>
          <w:sz w:val="28"/>
          <w:szCs w:val="28"/>
          <w:rtl/>
        </w:rPr>
        <w:t xml:space="preserve">و أمّا استثناء الجزئین الأوّلین من الاستبصار، فلأنّه سلک فیهما علی غیر النّحو الّذی سلک فی بقیّة الکتاب. قال فی آخر «الاستبصار»: «و کنت سلکت فی أوّل الکتاب إیراد الأحادیث بأسانیدها و علی ذلک اعتمدت فی الجزء الأوّل و الثانی، ثمّ اختصرت فی الجزء الثالث و عوّلت علی الابتداء بذکر الراوی الّذی أخذت الحدیث من کتابه أو أصله، علی أن اورد عند الفراغ من الکتاب جملة من الأسانید یتوصّل بها إلی هذه الکتب و الاصول، حسب ما عملته فی کتاب «تهذیب الأحکام» - إلی أن قال: فما ذکرته عن محمّد بن یعقوب...»</w:t>
      </w:r>
      <w:r>
        <w:rPr>
          <w:rStyle w:val="FootnoteReference"/>
        </w:rPr>
        <w:footnoteReference w:id="4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لو کانت نسبة الکتب الّتی اخذ منها الحدیث إلی مؤلّفیها، مثل نسبة کتاب الکافی إلی مؤلّفه أو أدنی منها، لما دلّت الاستجازة علی وثاقة مجیزها و أیضا لما ضرّ عدم وثاقة شیخ الإجازة فضلا عن کونه مشکوک الوثاقة بالنقل عن هذه الکتب، لما عرفت أنّ نسبة الکتب الّتی أخذ الصدوق عنه الحدیث إلی مؤلّفیها، کمثل نسبة الکافی إلی مؤلّفه أو أقلّ منها بقلیل، و قد عرفت أنّ البحث عن طرق الصّدوق إلی الکتب غیر مفیدة و وافقنا فی ذلک المحقّق التستری حیث قال: «بل یمکن أن یقال بعدم الاحتیاج إلی ما فعل فی طرق الصّدوق، حیث إنّه صرّح فی الفقیه بمعروفیّة طرقه إلی الکتب و أنّ الکتب فی نفسها مشهورة»</w:t>
      </w:r>
      <w:r>
        <w:rPr>
          <w:rStyle w:val="FootnoteReference"/>
        </w:rPr>
        <w:footnoteReference w:id="4091"/>
      </w:r>
      <w:r>
        <w:rPr>
          <w:rFonts w:ascii="IRNazanin" w:hAnsi="IRNazanin" w:eastAsia="IRNazanin" w:cs="IRNazanin"/>
          <w:lang w:bidi="fa-IR"/>
          <w:color w:val="111111"/>
          <w:sz w:val="28"/>
          <w:szCs w:val="28"/>
          <w:rtl/>
        </w:rPr>
        <w:t xml:space="preserve">و قد عرفت منّا ما ذکره السیّد المحقّق البروجردی فی درسه.</w:t>
      </w:r>
    </w:p>
    <w:p>
      <w:pPr>
        <w:pStyle w:val="BookText"/>
      </w:pPr>
      <w:r>
        <w:rPr>
          <w:rFonts w:ascii="IRNazanin" w:hAnsi="IRNazanin" w:eastAsia="IRNazanin" w:cs="IRNazanin"/>
          <w:lang w:bidi="fa-IR"/>
          <w:color w:val="111111"/>
          <w:sz w:val="28"/>
          <w:szCs w:val="28"/>
          <w:rtl/>
        </w:rPr>
        <w:t xml:space="preserve">و أمّا «التهذیبان» فلو کنّا متمکّنین من تشخیص الکتب الثابتة نسبتها إلی مؤلّفیها عن غیرها، لاستغنینا عن کثیر من المباحث الّتی تدور حول مشیخة</w:t>
      </w:r>
    </w:p>
    <w:p>
      <w:pPr>
        <w:pStyle w:val="BookText"/>
      </w:pPr>
      <w:r>
        <w:rPr>
          <w:rFonts w:ascii="IRNazanin" w:hAnsi="IRNazanin" w:eastAsia="IRNazanin" w:cs="IRNazanin"/>
          <w:lang w:bidi="fa-IR"/>
          <w:color w:val="111111"/>
          <w:sz w:val="28"/>
          <w:szCs w:val="28"/>
          <w:rtl/>
        </w:rPr>
        <w:t xml:space="preserve">[شماره صفحه واقعی : 340]</w:t>
      </w:r>
    </w:p>
    <w:p>
      <w:pPr>
        <w:pStyle w:val="BookText"/>
      </w:pPr>
      <w:r>
        <w:rPr>
          <w:rFonts w:ascii="IRNazanin" w:hAnsi="IRNazanin" w:eastAsia="IRNazanin" w:cs="IRNazanin"/>
          <w:lang w:bidi="fa-IR"/>
          <w:color w:val="111111"/>
          <w:sz w:val="28"/>
          <w:szCs w:val="28"/>
          <w:rtl/>
        </w:rPr>
        <w:t xml:space="preserve">ص: 1058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الطوسی حتّی صارت سببا لتقسیم أحادیثهما حسب اختلاف حال المشایخ إلی الصّحیح و الموثّق و الحسن و الضعیف، لأنّ جمیع الوسائط بینه و بین صاحب الکتاب، أو صاحب الاصل، فی الحقیقة مشایخ اجازة لکتاب الغیر و أصله، و لکنّه أمنیّة لا تحصل إلاّ بالسعی الجماعی فی ذاک المجال، و قیام لجنة بالتّحقیق فی المکتبات.</w:t>
      </w:r>
    </w:p>
    <w:p>
      <w:pPr>
        <w:pStyle w:val="BookText"/>
      </w:pPr>
      <w:r>
        <w:rPr>
          <w:rFonts w:ascii="IRNazanin" w:hAnsi="IRNazanin" w:eastAsia="IRNazanin" w:cs="IRNazanin"/>
          <w:lang w:bidi="fa-IR"/>
          <w:color w:val="111111"/>
          <w:sz w:val="28"/>
          <w:szCs w:val="28"/>
          <w:rtl/>
        </w:rPr>
        <w:t xml:space="preserve">3 - إذا أجاز روایة کتاب لم تثبت نسبته إلی مؤلّفه إلاّ بواسطة الشیخ المجیز - و لا شکّ أنّه تشترط وثاقة الشیخ المجیز عند المستجیز، إذ لولاه لما ثبت نسبته إلی المؤلّف، و بدونها لا یثبت الکتاب و لا ما احتواه من السند و المتن و عادت الاجازة أمرا لغوا - فلو کان توثیق المستجیز أو ثبوت وثاقة المجیز عند المستجیز کافیا لنا نأخذ بالروایة.</w:t>
      </w:r>
    </w:p>
    <w:p>
      <w:pPr>
        <w:pStyle w:val="BookText"/>
      </w:pPr>
      <w:r>
        <w:rPr>
          <w:rFonts w:ascii="IRNazanin" w:hAnsi="IRNazanin" w:eastAsia="IRNazanin" w:cs="IRNazanin"/>
          <w:lang w:bidi="fa-IR"/>
          <w:color w:val="111111"/>
          <w:sz w:val="28"/>
          <w:szCs w:val="28"/>
          <w:rtl/>
        </w:rPr>
        <w:t xml:space="preserve">و باختصار، إنّ الهدف الأسمی فی هذا القسم من الاستجازة و الاستمداد من ذکر الطّریق إلی أصحاب هذه الکتب، هو إثبات نسبة هذه الکتب إلی أصحابنا و مؤلّفیها لا غیر، و لا یتحقّق هذا الهدف إلاّ أن یکون الشیوخ المجیزون واحدا بعد واحد، ثقات یعتمد علی قولهم، فلو لم یکن الشیخ ثقة عند المستجیز، لما کان للاستناد إلیه أیّة فائدة.</w:t>
      </w:r>
    </w:p>
    <w:p>
      <w:pPr>
        <w:pStyle w:val="BookText"/>
      </w:pPr>
      <w:r>
        <w:rPr>
          <w:rFonts w:ascii="IRNazanin" w:hAnsi="IRNazanin" w:eastAsia="IRNazanin" w:cs="IRNazanin"/>
          <w:lang w:bidi="fa-IR"/>
          <w:color w:val="111111"/>
          <w:sz w:val="28"/>
          <w:szCs w:val="28"/>
          <w:rtl/>
        </w:rPr>
        <w:t xml:space="preserve">و بالجملة، الفائدة العلیا من ذکر الطّریق فی المشیخة، هو إثبات نسبة هذه الکتب إلی مؤلّفیها إثباتا لا غبار علیه، و هذا الهدف لا یتحقّق عند المستجیز إلاّ بکون شیخ الاجازة ثقة عنده، و إلاّ فلو کان مجهولا أو ضعیفا أو مطعونا بإحدی الطّرق، لما کان لهذه الاستجازة فائدة. و هذا هو ما یعنی به من أنّ شیخوخة الاجازة دلیل علی وثاقة الشیخ عند المستجیز.</w:t>
      </w:r>
    </w:p>
    <w:p>
      <w:pPr>
        <w:pStyle w:val="BookText"/>
      </w:pPr>
      <w:r>
        <w:rPr>
          <w:rFonts w:ascii="IRNazanin" w:hAnsi="IRNazanin" w:eastAsia="IRNazanin" w:cs="IRNazanin"/>
          <w:lang w:bidi="fa-IR"/>
          <w:color w:val="111111"/>
          <w:sz w:val="28"/>
          <w:szCs w:val="28"/>
          <w:rtl/>
        </w:rPr>
        <w:t xml:space="preserve">و ربّما یقال بأنّ الحسن بن محمّد بن یحیی، المعروف بابن أخی طاهر، عرّفه النجاشی بقوله: «روی عن المجاهیل أحادیث منکرة. رأیت</w:t>
      </w:r>
    </w:p>
    <w:p>
      <w:pPr>
        <w:pStyle w:val="BookText"/>
      </w:pPr>
      <w:r>
        <w:rPr>
          <w:rFonts w:ascii="IRNazanin" w:hAnsi="IRNazanin" w:eastAsia="IRNazanin" w:cs="IRNazanin"/>
          <w:lang w:bidi="fa-IR"/>
          <w:color w:val="111111"/>
          <w:sz w:val="28"/>
          <w:szCs w:val="28"/>
          <w:rtl/>
        </w:rPr>
        <w:t xml:space="preserve">[شماره صفحه واقعی : 341]</w:t>
      </w:r>
    </w:p>
    <w:p>
      <w:pPr>
        <w:pStyle w:val="BookText"/>
      </w:pPr>
      <w:r>
        <w:rPr>
          <w:rFonts w:ascii="IRNazanin" w:hAnsi="IRNazanin" w:eastAsia="IRNazanin" w:cs="IRNazanin"/>
          <w:lang w:bidi="fa-IR"/>
          <w:color w:val="111111"/>
          <w:sz w:val="28"/>
          <w:szCs w:val="28"/>
          <w:rtl/>
        </w:rPr>
        <w:t xml:space="preserve">ص: 1059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یضعّفونه و مات فی شهر ربیع الأوّل سنة 358»</w:t>
      </w:r>
      <w:r>
        <w:rPr>
          <w:rStyle w:val="FootnoteReference"/>
        </w:rPr>
        <w:footnoteReference w:id="4092"/>
      </w:r>
      <w:r>
        <w:rPr>
          <w:rFonts w:ascii="IRNazanin" w:hAnsi="IRNazanin" w:eastAsia="IRNazanin" w:cs="IRNazanin"/>
          <w:lang w:bidi="fa-IR"/>
          <w:color w:val="111111"/>
          <w:sz w:val="28"/>
          <w:szCs w:val="28"/>
          <w:rtl/>
        </w:rPr>
        <w:t xml:space="preserve">. مع أنّه من مشایخ الاجازة للتلّعکبری. قال الشیخ فی رجاله: «روی عنه التلّعکبری و سمع منه سنة سبع و عشرین و ثلاثمائة إلی سنة خمس و خمسین و له منه إجازة»</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 لا ینافی ما ذکرنا، لإمکان ثبوت وثاقته عند المستجیز کما لا یخفی، فلو کان ثبوت وثاقته عند المستجیز کافیا لنا، ما لم یدلّ دلیل علی خلافه، نأخذ بالحدیث إذا وقع فی السّند و إلاّ فلا.</w:t>
      </w:r>
    </w:p>
    <w:p>
      <w:pPr>
        <w:pStyle w:val="BookText"/>
      </w:pPr>
      <w:r>
        <w:rPr>
          <w:rFonts w:ascii="IRNazanin" w:hAnsi="IRNazanin" w:eastAsia="IRNazanin" w:cs="IRNazanin"/>
          <w:lang w:bidi="fa-IR"/>
          <w:color w:val="111111"/>
          <w:sz w:val="28"/>
          <w:szCs w:val="28"/>
          <w:rtl/>
        </w:rPr>
        <w:t xml:space="preserve">[شماره صفحه واقعی : 342]</w:t>
      </w:r>
    </w:p>
    <w:p>
      <w:pPr>
        <w:pStyle w:val="BookText"/>
      </w:pPr>
      <w:r>
        <w:rPr>
          <w:rFonts w:ascii="IRNazanin" w:hAnsi="IRNazanin" w:eastAsia="IRNazanin" w:cs="IRNazanin"/>
          <w:lang w:bidi="fa-IR"/>
          <w:color w:val="111111"/>
          <w:sz w:val="28"/>
          <w:szCs w:val="28"/>
          <w:rtl/>
        </w:rPr>
        <w:t xml:space="preserve">ص: 1060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444" w:name="pg14419_167776"/>
    <w:bookmarkEnd w:id="444"/>
    <w:p>
      <w:pPr>
        <w:pStyle w:val="Heading5"/>
      </w:pPr>
      <w:bookmarkStart w:id="1391" w:name="_Toc831"/>
      <w:r>
        <w:t>9 - الوکالة عن الامام علیه السلام</w:t>
      </w:r>
      <w:bookmarkEnd w:id="1391"/>
    </w:p>
    <w:p>
      <w:pPr>
        <w:pStyle w:val="BookText"/>
      </w:pPr>
      <w:r>
        <w:rPr>
          <w:rFonts w:ascii="IRNazanin" w:hAnsi="IRNazanin" w:eastAsia="IRNazanin" w:cs="IRNazanin"/>
          <w:lang w:bidi="fa-IR"/>
          <w:color w:val="111111"/>
          <w:sz w:val="28"/>
          <w:szCs w:val="28"/>
          <w:rtl/>
        </w:rPr>
        <w:t xml:space="preserve">[شماره صفحه واقعی : 343]</w:t>
      </w:r>
    </w:p>
    <w:p>
      <w:pPr>
        <w:pStyle w:val="BookText"/>
      </w:pPr>
      <w:r>
        <w:rPr>
          <w:rFonts w:ascii="IRNazanin" w:hAnsi="IRNazanin" w:eastAsia="IRNazanin" w:cs="IRNazanin"/>
          <w:lang w:bidi="fa-IR"/>
          <w:color w:val="111111"/>
          <w:sz w:val="28"/>
          <w:szCs w:val="28"/>
          <w:rtl/>
        </w:rPr>
        <w:t xml:space="preserve">ص: 1061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344]</w:t>
      </w:r>
    </w:p>
    <w:p>
      <w:pPr>
        <w:pStyle w:val="BookText"/>
      </w:pPr>
      <w:r>
        <w:rPr>
          <w:rFonts w:ascii="IRNazanin" w:hAnsi="IRNazanin" w:eastAsia="IRNazanin" w:cs="IRNazanin"/>
          <w:lang w:bidi="fa-IR"/>
          <w:color w:val="111111"/>
          <w:sz w:val="28"/>
          <w:szCs w:val="28"/>
          <w:rtl/>
        </w:rPr>
        <w:t xml:space="preserve">ص: 1062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تعدّ الوکالة من الإمام، طریقا إلی وثاقة الراوی، لکنّه لا ملازمة بینها و بین وثاقته، نعم لو کان وکیلا فی الامور المالیّة، تکون أمارة علی کونه أمینا فی الامور المالیّة، و أین هو من کونه عادلا، ثقة ضابطا؟ نعم إذا کان الرجل وکیلا من جانب الإمام طیلة سنوات، و لم یرد فیه ذمّ یمکن أن تکون قرینة علی وثاقته و ثبات قدمه، إذ من البعید أن یکون الکاذب وکیلا من جانب الإمام عدّة سنوات و لا یظهر کذبه للامام فیعزله.</w:t>
      </w:r>
    </w:p>
    <w:p>
      <w:pPr>
        <w:pStyle w:val="BookText"/>
      </w:pPr>
      <w:r>
        <w:rPr>
          <w:rFonts w:ascii="IRNazanin" w:hAnsi="IRNazanin" w:eastAsia="IRNazanin" w:cs="IRNazanin"/>
          <w:lang w:bidi="fa-IR"/>
          <w:color w:val="111111"/>
          <w:sz w:val="28"/>
          <w:szCs w:val="28"/>
          <w:rtl/>
        </w:rPr>
        <w:t xml:space="preserve">و ربّما یستدلّ علی وثاقة کلّ من کان وکیلا من قبل المعصومین بما رواه الکلینی عن علیّ بن محمد، عن الحسن بن عبد الحمید، قال: شککت فی أمر «حاجز» فجمعت شیئا، ثمّ صرت إلی العسکر، فخرج إلیّ لیس فینا شکّ و لا فی من یقوم مقامنا، بأمرنا، ردّ ما معک إلی حاجز بن یزید»</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لم تکن الوکالة ملازمة للعدالة، لما کان للذمّ معنی.</w:t>
      </w:r>
    </w:p>
    <w:p>
      <w:pPr>
        <w:pStyle w:val="BookText"/>
      </w:pPr>
      <w:r>
        <w:rPr>
          <w:rFonts w:ascii="IRNazanin" w:hAnsi="IRNazanin" w:eastAsia="IRNazanin" w:cs="IRNazanin"/>
          <w:lang w:bidi="fa-IR"/>
          <w:color w:val="111111"/>
          <w:sz w:val="28"/>
          <w:szCs w:val="28"/>
          <w:rtl/>
        </w:rPr>
        <w:t xml:space="preserve">لکنّ الروایة أخصّ من المدّعی، فإنّ الظاهر أنّ المراد الوکلاء المعروفون الّذین قاموا مقام الائمّة بأمرهم، و هذا غیر کون الرجل وکیلا للامام فی أمر ضیعته أو أمر من الامور.</w:t>
      </w:r>
    </w:p>
    <w:p>
      <w:pPr>
        <w:pStyle w:val="BookText"/>
      </w:pPr>
      <w:r>
        <w:rPr>
          <w:rFonts w:ascii="IRNazanin" w:hAnsi="IRNazanin" w:eastAsia="IRNazanin" w:cs="IRNazanin"/>
          <w:lang w:bidi="fa-IR"/>
          <w:color w:val="111111"/>
          <w:sz w:val="28"/>
          <w:szCs w:val="28"/>
          <w:rtl/>
        </w:rPr>
        <w:t xml:space="preserve">[شماره صفحه واقعی : 345]</w:t>
      </w:r>
    </w:p>
    <w:p>
      <w:pPr>
        <w:pStyle w:val="BookText"/>
      </w:pPr>
      <w:r>
        <w:rPr>
          <w:rFonts w:ascii="IRNazanin" w:hAnsi="IRNazanin" w:eastAsia="IRNazanin" w:cs="IRNazanin"/>
          <w:lang w:bidi="fa-IR"/>
          <w:color w:val="111111"/>
          <w:sz w:val="28"/>
          <w:szCs w:val="28"/>
          <w:rtl/>
        </w:rPr>
        <w:t xml:space="preserve">ص: 1063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346]</w:t>
      </w:r>
    </w:p>
    <w:p>
      <w:pPr>
        <w:pStyle w:val="BookText"/>
      </w:pPr>
      <w:r>
        <w:rPr>
          <w:rFonts w:ascii="IRNazanin" w:hAnsi="IRNazanin" w:eastAsia="IRNazanin" w:cs="IRNazanin"/>
          <w:lang w:bidi="fa-IR"/>
          <w:color w:val="111111"/>
          <w:sz w:val="28"/>
          <w:szCs w:val="28"/>
          <w:rtl/>
        </w:rPr>
        <w:t xml:space="preserve">ص: 1064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445" w:name="pg14419_167780"/>
    <w:bookmarkEnd w:id="445"/>
    <w:p>
      <w:pPr>
        <w:pStyle w:val="Heading5"/>
      </w:pPr>
      <w:bookmarkStart w:id="1392" w:name="_Toc832"/>
      <w:r>
        <w:t>10 - کثرة تخریج الثقة عن شخص</w:t>
      </w:r>
      <w:bookmarkEnd w:id="1392"/>
    </w:p>
    <w:p>
      <w:pPr>
        <w:pStyle w:val="BookText"/>
      </w:pPr>
      <w:r>
        <w:rPr>
          <w:rFonts w:ascii="IRNazanin" w:hAnsi="IRNazanin" w:eastAsia="IRNazanin" w:cs="IRNazanin"/>
          <w:lang w:bidi="fa-IR"/>
          <w:color w:val="111111"/>
          <w:sz w:val="28"/>
          <w:szCs w:val="28"/>
          <w:rtl/>
        </w:rPr>
        <w:t xml:space="preserve">[شماره صفحه واقعی : 347]</w:t>
      </w:r>
    </w:p>
    <w:p>
      <w:pPr>
        <w:pStyle w:val="BookText"/>
      </w:pPr>
      <w:r>
        <w:rPr>
          <w:rFonts w:ascii="IRNazanin" w:hAnsi="IRNazanin" w:eastAsia="IRNazanin" w:cs="IRNazanin"/>
          <w:lang w:bidi="fa-IR"/>
          <w:color w:val="111111"/>
          <w:sz w:val="28"/>
          <w:szCs w:val="28"/>
          <w:rtl/>
        </w:rPr>
        <w:t xml:space="preserve">ص: 1065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348]</w:t>
      </w:r>
    </w:p>
    <w:p>
      <w:pPr>
        <w:pStyle w:val="BookText"/>
      </w:pPr>
      <w:r>
        <w:rPr>
          <w:rFonts w:ascii="IRNazanin" w:hAnsi="IRNazanin" w:eastAsia="IRNazanin" w:cs="IRNazanin"/>
          <w:lang w:bidi="fa-IR"/>
          <w:color w:val="111111"/>
          <w:sz w:val="28"/>
          <w:szCs w:val="28"/>
          <w:rtl/>
        </w:rPr>
        <w:t xml:space="preserve">ص: 1066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نقل الثقة عن شخص لا یدلّ علی کون المرویّ عنه ثقة، لشیوع نقل الثقات من غیرهم، نعم کانت کثرة النقل عن الضّعاف أمرا مرغوبا عنه بین المشایخ و کانت معدودة من جهات الضعف، و لأجل هذا أخرج أحمد بن محمّد بن عیسی القمی، زمیله أحمد بن محمّد بن خالد عن قم، لکثرة النقل عن الضعفاء، و قال العلاّمة فی «الخلاصة»: «إنّه أکثر الروایة عن الضعفاء و اعتمد المراسیل قال ابن الغضائری: طعن علیه القمّیون، و لیس الطعن فیه، إنّما الطعن فیمن یروی عنه، فإنّه کان لا یبالی عمّن أخذ، علی طریقة أهل الاخبار، و کان أحمد بن محمّد بن عیسی أبعده من قم، ثمّ أعاده إلیها و اعتذر إلیه»</w:t>
      </w:r>
      <w:r>
        <w:rPr>
          <w:rStyle w:val="FootnoteReference"/>
        </w:rPr>
        <w:footnoteReference w:id="4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 فی ترجمة سهل بن زیاد: «کان ضعیفا فی الحدیث، غیر معتمد فیه، و کان أحمد بن محمّد بن عیسی یشهد علیه بالغلوّ و الکذب و أخرجه من قم إلی الری و کان یسکنها»</w:t>
      </w:r>
      <w:r>
        <w:rPr>
          <w:rStyle w:val="FootnoteReference"/>
        </w:rPr>
        <w:footnoteReference w:id="4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هذا یمکن أن یقال: إنّ کثرة تخریج الثقة عن شخص دلیل</w:t>
      </w:r>
    </w:p>
    <w:p>
      <w:pPr>
        <w:pStyle w:val="BookText"/>
      </w:pPr>
      <w:r>
        <w:rPr>
          <w:rFonts w:ascii="IRNazanin" w:hAnsi="IRNazanin" w:eastAsia="IRNazanin" w:cs="IRNazanin"/>
          <w:lang w:bidi="fa-IR"/>
          <w:color w:val="111111"/>
          <w:sz w:val="28"/>
          <w:szCs w:val="28"/>
          <w:rtl/>
        </w:rPr>
        <w:t xml:space="preserve">[شماره صفحه واقعی : 349]</w:t>
      </w:r>
    </w:p>
    <w:p>
      <w:pPr>
        <w:pStyle w:val="BookText"/>
      </w:pPr>
      <w:r>
        <w:rPr>
          <w:rFonts w:ascii="IRNazanin" w:hAnsi="IRNazanin" w:eastAsia="IRNazanin" w:cs="IRNazanin"/>
          <w:lang w:bidi="fa-IR"/>
          <w:color w:val="111111"/>
          <w:sz w:val="28"/>
          <w:szCs w:val="28"/>
          <w:rtl/>
        </w:rPr>
        <w:t xml:space="preserve">ص: 1067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وثاقته لوجهین:</w:t>
      </w:r>
    </w:p>
    <w:p>
      <w:pPr>
        <w:pStyle w:val="BookText"/>
      </w:pPr>
      <w:r>
        <w:rPr>
          <w:rFonts w:ascii="IRNazanin" w:hAnsi="IRNazanin" w:eastAsia="IRNazanin" w:cs="IRNazanin"/>
          <w:lang w:bidi="fa-IR"/>
          <w:color w:val="111111"/>
          <w:sz w:val="28"/>
          <w:szCs w:val="28"/>
          <w:rtl/>
        </w:rPr>
        <w:t xml:space="preserve">الأوّل: ما عرفت أنّ کثرة الروایة عن الضّعاف کانت تعدّ من أسباب الضّعف حتی آل أمر أحمد بن محمّد بن خالد، و سهل بن زیاد الآدمی إلی الاقصاء من قم.</w:t>
      </w:r>
    </w:p>
    <w:p>
      <w:pPr>
        <w:pStyle w:val="BookText"/>
      </w:pPr>
      <w:r>
        <w:rPr>
          <w:rFonts w:ascii="IRNazanin" w:hAnsi="IRNazanin" w:eastAsia="IRNazanin" w:cs="IRNazanin"/>
          <w:lang w:bidi="fa-IR"/>
          <w:color w:val="111111"/>
          <w:sz w:val="28"/>
          <w:szCs w:val="28"/>
          <w:rtl/>
        </w:rPr>
        <w:t xml:space="preserve">الثانی: إنّ کثرة النقل عن شخص آیة کون المرویّ عنه ثقة، و إلاّ عاد النقل لغوا و مرغوبا عنه، و هذا بخلاف قلّة النقل، فإنّه - مع کونه أمرا متعارفا - یمکن أن یکون للنقل غایات اخری، غیر الاعتماد و هو تعضید سائر الروایات و النّقول، و هذه منتفیة فیما إذا کثر النقل عن شخص.</w:t>
      </w:r>
    </w:p>
    <w:p>
      <w:pPr>
        <w:pStyle w:val="BookText"/>
      </w:pPr>
      <w:r>
        <w:rPr>
          <w:rFonts w:ascii="IRNazanin" w:hAnsi="IRNazanin" w:eastAsia="IRNazanin" w:cs="IRNazanin"/>
          <w:lang w:bidi="fa-IR"/>
          <w:color w:val="111111"/>
          <w:sz w:val="28"/>
          <w:szCs w:val="28"/>
          <w:rtl/>
        </w:rPr>
        <w:t xml:space="preserve">هذا، و إنّ صاحب المستدرک قد أفرط فی تکثیر أسباب التوثیق و جعل نقل الثقة عن شخص آیة کون المرویّ عنه ثقة، و تمسّک بوجوه غیر نافعة یقف علیها السابر فی کتابه.</w:t>
      </w:r>
    </w:p>
    <w:p>
      <w:pPr>
        <w:pStyle w:val="BookText"/>
      </w:pPr>
      <w:r>
        <w:rPr>
          <w:rFonts w:ascii="IRNazanin" w:hAnsi="IRNazanin" w:eastAsia="IRNazanin" w:cs="IRNazanin"/>
          <w:lang w:bidi="fa-IR"/>
          <w:color w:val="111111"/>
          <w:sz w:val="28"/>
          <w:szCs w:val="28"/>
          <w:rtl/>
        </w:rPr>
        <w:t xml:space="preserve">هذه نهایة الدراسة حول التوثیقات العامّة، فقد عرفت الصّحیح عن السقیم، و أنّ المفید منها قلیل بالنسبة إلی غیره.</w:t>
      </w:r>
    </w:p>
    <w:p>
      <w:pPr>
        <w:pStyle w:val="BookText"/>
      </w:pPr>
      <w:r>
        <w:rPr>
          <w:rFonts w:ascii="IRNazanin" w:hAnsi="IRNazanin" w:eastAsia="IRNazanin" w:cs="IRNazanin"/>
          <w:lang w:bidi="fa-IR"/>
          <w:color w:val="111111"/>
          <w:sz w:val="28"/>
          <w:szCs w:val="28"/>
          <w:rtl/>
        </w:rPr>
        <w:t xml:space="preserve">و بذلک نختم الحدیث حول هذا الموضوع و نخوض فی موضوع آخر، و هو بیان مدی اعتبار الکتب الأربعة من حیث الصحّة و الاعتبار، و هو بحث قیّم لا یستغنی عنه الفقیه، کما أنّه لا یمکن أن یکتفی بما ورد فی هذه الدراسة، بل لا بدّ من مواصلة البحث و الدراسة فی هذا المجال، بدقّة و مزید إمعان.</w:t>
      </w:r>
    </w:p>
    <w:p>
      <w:pPr>
        <w:pStyle w:val="BookText"/>
      </w:pPr>
      <w:r>
        <w:rPr>
          <w:rFonts w:ascii="IRNazanin" w:hAnsi="IRNazanin" w:eastAsia="IRNazanin" w:cs="IRNazanin"/>
          <w:lang w:bidi="fa-IR"/>
          <w:color w:val="111111"/>
          <w:sz w:val="28"/>
          <w:szCs w:val="28"/>
          <w:rtl/>
        </w:rPr>
        <w:t xml:space="preserve">[شماره صفحه واقعی : 350]</w:t>
      </w:r>
    </w:p>
    <w:p>
      <w:pPr>
        <w:pStyle w:val="BookText"/>
      </w:pPr>
      <w:r>
        <w:rPr>
          <w:rFonts w:ascii="IRNazanin" w:hAnsi="IRNazanin" w:eastAsia="IRNazanin" w:cs="IRNazanin"/>
          <w:lang w:bidi="fa-IR"/>
          <w:color w:val="111111"/>
          <w:sz w:val="28"/>
          <w:szCs w:val="28"/>
          <w:rtl/>
        </w:rPr>
        <w:t xml:space="preserve">ص: 1068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446" w:name="pg14419_167784"/>
    <w:bookmarkEnd w:id="446"/>
    <w:p>
      <w:pPr>
        <w:pStyle w:val="Heading4"/>
      </w:pPr>
      <w:bookmarkStart w:id="1393" w:name="_Toc833"/>
      <w:r>
        <w:t>الفصل السابع: دراسة حول الکتب الاربعة</w:t>
      </w:r>
      <w:bookmarkEnd w:id="1393"/>
    </w:p>
    <w:p>
      <w:pPr>
        <w:pStyle w:val="Heading5"/>
      </w:pPr>
      <w:bookmarkStart w:id="1394" w:name="_Toc834"/>
      <w:r>
        <w:t>اشارة</w:t>
      </w:r>
      <w:bookmarkEnd w:id="1394"/>
    </w:p>
    <w:p>
      <w:pPr>
        <w:pStyle w:val="BookText"/>
      </w:pPr>
      <w:r>
        <w:rPr>
          <w:rFonts w:ascii="IRNazanin" w:hAnsi="IRNazanin" w:eastAsia="IRNazanin" w:cs="IRNazanin"/>
          <w:lang w:bidi="fa-IR"/>
          <w:color w:val="111111"/>
          <w:sz w:val="28"/>
          <w:szCs w:val="28"/>
          <w:rtl/>
        </w:rPr>
        <w:t xml:space="preserve">1 - الکافی.</w:t>
      </w:r>
    </w:p>
    <w:p>
      <w:pPr>
        <w:pStyle w:val="BookText"/>
      </w:pPr>
      <w:r>
        <w:rPr>
          <w:rFonts w:ascii="IRNazanin" w:hAnsi="IRNazanin" w:eastAsia="IRNazanin" w:cs="IRNazanin"/>
          <w:lang w:bidi="fa-IR"/>
          <w:color w:val="111111"/>
          <w:sz w:val="28"/>
          <w:szCs w:val="28"/>
          <w:rtl/>
        </w:rPr>
        <w:t xml:space="preserve">2 - من لا یحضره الفقیه.</w:t>
      </w:r>
    </w:p>
    <w:p>
      <w:pPr>
        <w:pStyle w:val="BookText"/>
      </w:pPr>
      <w:r>
        <w:rPr>
          <w:rFonts w:ascii="IRNazanin" w:hAnsi="IRNazanin" w:eastAsia="IRNazanin" w:cs="IRNazanin"/>
          <w:lang w:bidi="fa-IR"/>
          <w:color w:val="111111"/>
          <w:sz w:val="28"/>
          <w:szCs w:val="28"/>
          <w:rtl/>
        </w:rPr>
        <w:t xml:space="preserve">3 - التهذیب و الاستبصار.</w:t>
      </w:r>
    </w:p>
    <w:p>
      <w:pPr>
        <w:pStyle w:val="BookText"/>
      </w:pPr>
      <w:r>
        <w:rPr>
          <w:rFonts w:ascii="IRNazanin" w:hAnsi="IRNazanin" w:eastAsia="IRNazanin" w:cs="IRNazanin"/>
          <w:lang w:bidi="fa-IR"/>
          <w:color w:val="111111"/>
          <w:sz w:val="28"/>
          <w:szCs w:val="28"/>
          <w:rtl/>
        </w:rPr>
        <w:t xml:space="preserve">[شماره صفحه واقعی : 351]</w:t>
      </w:r>
    </w:p>
    <w:p>
      <w:pPr>
        <w:pStyle w:val="BookText"/>
      </w:pPr>
      <w:r>
        <w:rPr>
          <w:rFonts w:ascii="IRNazanin" w:hAnsi="IRNazanin" w:eastAsia="IRNazanin" w:cs="IRNazanin"/>
          <w:lang w:bidi="fa-IR"/>
          <w:color w:val="111111"/>
          <w:sz w:val="28"/>
          <w:szCs w:val="28"/>
          <w:rtl/>
        </w:rPr>
        <w:t xml:space="preserve">ص: 1069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352]</w:t>
      </w:r>
    </w:p>
    <w:p>
      <w:pPr>
        <w:pStyle w:val="BookText"/>
      </w:pPr>
      <w:r>
        <w:rPr>
          <w:rFonts w:ascii="IRNazanin" w:hAnsi="IRNazanin" w:eastAsia="IRNazanin" w:cs="IRNazanin"/>
          <w:lang w:bidi="fa-IR"/>
          <w:color w:val="111111"/>
          <w:sz w:val="28"/>
          <w:szCs w:val="28"/>
          <w:rtl/>
        </w:rPr>
        <w:t xml:space="preserve">ص: 1070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447" w:name="pg14419_167786"/>
    <w:bookmarkEnd w:id="447"/>
    <w:p>
      <w:pPr>
        <w:pStyle w:val="Heading5"/>
      </w:pPr>
      <w:bookmarkStart w:id="1395" w:name="_Toc835"/>
      <w:r>
        <w:t>1 - تقییم احادیث «الکافی»</w:t>
      </w:r>
      <w:bookmarkEnd w:id="1395"/>
    </w:p>
    <w:p>
      <w:pPr>
        <w:pStyle w:val="Heading6"/>
      </w:pPr>
      <w:bookmarkStart w:id="1396" w:name="_Toc836"/>
      <w:r>
        <w:t>اشارة</w:t>
      </w:r>
      <w:bookmarkEnd w:id="1396"/>
    </w:p>
    <w:p>
      <w:pPr>
        <w:pStyle w:val="BookText"/>
      </w:pPr>
      <w:r>
        <w:rPr>
          <w:rFonts w:ascii="IRNazanin" w:hAnsi="IRNazanin" w:eastAsia="IRNazanin" w:cs="IRNazanin"/>
          <w:lang w:bidi="fa-IR"/>
          <w:color w:val="111111"/>
          <w:sz w:val="28"/>
          <w:szCs w:val="28"/>
          <w:rtl/>
        </w:rPr>
        <w:t xml:space="preserve">[شماره صفحه واقعی : 353]</w:t>
      </w:r>
    </w:p>
    <w:p>
      <w:pPr>
        <w:pStyle w:val="BookText"/>
      </w:pPr>
      <w:r>
        <w:rPr>
          <w:rFonts w:ascii="IRNazanin" w:hAnsi="IRNazanin" w:eastAsia="IRNazanin" w:cs="IRNazanin"/>
          <w:lang w:bidi="fa-IR"/>
          <w:color w:val="111111"/>
          <w:sz w:val="28"/>
          <w:szCs w:val="28"/>
          <w:rtl/>
        </w:rPr>
        <w:t xml:space="preserve">ص: 1071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354]</w:t>
      </w:r>
    </w:p>
    <w:p>
      <w:pPr>
        <w:pStyle w:val="BookText"/>
      </w:pPr>
      <w:r>
        <w:rPr>
          <w:rFonts w:ascii="IRNazanin" w:hAnsi="IRNazanin" w:eastAsia="IRNazanin" w:cs="IRNazanin"/>
          <w:lang w:bidi="fa-IR"/>
          <w:color w:val="111111"/>
          <w:sz w:val="28"/>
          <w:szCs w:val="28"/>
          <w:rtl/>
        </w:rPr>
        <w:t xml:space="preserve">ص: 1072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البحث عن کتاب الکافی للشیخ الأجلّ الکلینی یقع علی وجهین:</w:t>
      </w:r>
    </w:p>
    <w:p>
      <w:pPr>
        <w:pStyle w:val="BookText"/>
      </w:pPr>
      <w:r>
        <w:rPr>
          <w:rFonts w:ascii="IRNazanin" w:hAnsi="IRNazanin" w:eastAsia="IRNazanin" w:cs="IRNazanin"/>
          <w:lang w:bidi="fa-IR"/>
          <w:color w:val="111111"/>
          <w:sz w:val="28"/>
          <w:szCs w:val="28"/>
          <w:rtl/>
        </w:rPr>
        <w:t xml:space="preserve">الأوّل: هل کلّ من ورد فی أسناد الکافی ثقة أو لا؟ و هذا هو الّذی استقصینا البحث عنه عند البحث عن أدلّة نفاة الحاجة إلی علم الرّجال و أوضحنا الحال فیه فلا نعود إلیه.</w:t>
      </w:r>
    </w:p>
    <w:p>
      <w:pPr>
        <w:pStyle w:val="BookText"/>
      </w:pPr>
      <w:r>
        <w:rPr>
          <w:rFonts w:ascii="IRNazanin" w:hAnsi="IRNazanin" w:eastAsia="IRNazanin" w:cs="IRNazanin"/>
          <w:lang w:bidi="fa-IR"/>
          <w:color w:val="111111"/>
          <w:sz w:val="28"/>
          <w:szCs w:val="28"/>
          <w:rtl/>
        </w:rPr>
        <w:t xml:space="preserve">الثّانی: هل هناک قرائن تدلّ علی أنّ کلّ ما ورد فیه من الروایات صحیح، بمعنی أنّه معتبر یصحّ العمل به أو لا؟ و هذا ما نبحث عنه فی المقام، و لنقدّم کلمة فی حقّ المؤلف و کتابه.</w:t>
      </w:r>
    </w:p>
    <w:p>
      <w:pPr>
        <w:pStyle w:val="BookText"/>
      </w:pPr>
      <w:r>
        <w:rPr>
          <w:rFonts w:ascii="IRNazanin" w:hAnsi="IRNazanin" w:eastAsia="IRNazanin" w:cs="IRNazanin"/>
          <w:lang w:bidi="fa-IR"/>
          <w:color w:val="111111"/>
          <w:sz w:val="28"/>
          <w:szCs w:val="28"/>
          <w:rtl/>
        </w:rPr>
        <w:t xml:space="preserve">إنّ کتاب الکافی أحد الکتب الأربعة الّتی علیها تدور رحی استنباط مذهب الإمامیّة، فإنّ أدلّة الأحکام و إن کانت أربعة (الکتاب و السنة و العقل و الإجماع) علی ما هو المشهور بین الفقهاء، إلاّ أنّ الناظر فی فروع الدین یعلم أنّ العمدة فی استعلام الفرائض و السنن، و الحلال و الحرام، هو الحدیث و أنّ الحاوی لجلّها، هو الکتب الأربعة، و کتاب الکافی بینها کالشمس بین نجوم السماء، و المؤلّف أغنی من التّوصیف و أشهر من التبجیل.</w:t>
      </w:r>
    </w:p>
    <w:p>
      <w:pPr>
        <w:pStyle w:val="BookText"/>
      </w:pPr>
      <w:r>
        <w:rPr>
          <w:rFonts w:ascii="IRNazanin" w:hAnsi="IRNazanin" w:eastAsia="IRNazanin" w:cs="IRNazanin"/>
          <w:lang w:bidi="fa-IR"/>
          <w:color w:val="111111"/>
          <w:sz w:val="28"/>
          <w:szCs w:val="28"/>
          <w:rtl/>
        </w:rPr>
        <w:t xml:space="preserve">فقد وصف الشیخ المفید فی شرح عقائد الصدوق کتاب الکافی بأنّه أجلّ</w:t>
      </w:r>
    </w:p>
    <w:p>
      <w:pPr>
        <w:pStyle w:val="BookText"/>
      </w:pPr>
      <w:r>
        <w:rPr>
          <w:rFonts w:ascii="IRNazanin" w:hAnsi="IRNazanin" w:eastAsia="IRNazanin" w:cs="IRNazanin"/>
          <w:lang w:bidi="fa-IR"/>
          <w:color w:val="111111"/>
          <w:sz w:val="28"/>
          <w:szCs w:val="28"/>
          <w:rtl/>
        </w:rPr>
        <w:t xml:space="preserve">[شماره صفحه واقعی : 355]</w:t>
      </w:r>
    </w:p>
    <w:p>
      <w:pPr>
        <w:pStyle w:val="BookText"/>
      </w:pPr>
      <w:r>
        <w:rPr>
          <w:rFonts w:ascii="IRNazanin" w:hAnsi="IRNazanin" w:eastAsia="IRNazanin" w:cs="IRNazanin"/>
          <w:lang w:bidi="fa-IR"/>
          <w:color w:val="111111"/>
          <w:sz w:val="28"/>
          <w:szCs w:val="28"/>
          <w:rtl/>
        </w:rPr>
        <w:t xml:space="preserve">ص: 1073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الشیعة و أکثرها فائدة</w:t>
      </w:r>
      <w:r>
        <w:rPr>
          <w:rStyle w:val="FootnoteReference"/>
        </w:rPr>
        <w:footnoteReference w:id="4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الکرکی فی إجازته للقاضی صفی الدین عیسی: «و منها جمیع مصنّفات و مرویّات الشیخ الإمام السعید الحافظ المحدّث الثقة، جامع أحادیث أهل البیت - علیهم السلام - أبی جعفر محمّد بن یعقوب الکلینی، صاحب الکتاب الکبیر فی الحدیث المسمّی بالکافی، الّذی لم یعمل مثله...، و قد جمع هذا الکتاب من الأحادیث الشرعیّة، و الأسرار الربانیّة ما لا یوجد فی غیره، و هذا الشیخ یروی عمّن لا یتناهی کثرة من علماء أهل البیت - علیهم السلام - و رجالهم و محدّثیهم مثل علیّ بن إبراهیم بن هاشم... الخ»</w:t>
      </w:r>
      <w:r>
        <w:rPr>
          <w:rStyle w:val="FootnoteReference"/>
        </w:rPr>
        <w:footnoteReference w:id="4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حسین والد شیخنا البهائی فی الکتاب الموسوم ب «وصول الأخیار»: «أمّا کتاب الکافی، فهو للشّیخ أبی جعفر محمّد بن یعقوب الکلینی، شیخ عصره فی وقته، و وجه العلماء و النبلاء، کان أوثق الناس فی الحدیث و أنقدهم له و أعرفهم به، صنّف کتاب الکافی و هذّبه فی عشرین سنة، و هو یشتمل علی ثلاثین کتابا یحتوی علی ما لا یحتوی علیه غیره»</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المجلسی فی مقدمة شرحه علی الکافی: «و ابتدأت بکتاب الکافی للشیخ الصدوق ثقة الإسلام مقبول طوائف الأنام، ممدوح الخاص و العام، محمّد بن یعقوب الکلینی - حشره اللّه مع الأئمة الکرام - لأنه کان أضبط الأصول و أجمعها و أحسن مؤلفات الغرفة الناجیة و أعظمها»</w:t>
      </w:r>
      <w:r>
        <w:rPr>
          <w:rStyle w:val="FootnoteReference"/>
        </w:rPr>
        <w:footnoteReference w:id="4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کلمات الثناء و الاطراء ممّا لا مجال لذکرها.</w:t>
      </w:r>
    </w:p>
    <w:p>
      <w:pPr>
        <w:pStyle w:val="BookText"/>
      </w:pPr>
      <w:r>
        <w:rPr>
          <w:rFonts w:ascii="IRNazanin" w:hAnsi="IRNazanin" w:eastAsia="IRNazanin" w:cs="IRNazanin"/>
          <w:lang w:bidi="fa-IR"/>
          <w:color w:val="111111"/>
          <w:sz w:val="28"/>
          <w:szCs w:val="28"/>
          <w:rtl/>
        </w:rPr>
        <w:t xml:space="preserve">قال النجاشی فی ترجمة الکلینی: «محمّد بن یعقوب بن إسحاق أبو</w:t>
      </w:r>
    </w:p>
    <w:p>
      <w:pPr>
        <w:pStyle w:val="BookText"/>
      </w:pPr>
      <w:r>
        <w:rPr>
          <w:rFonts w:ascii="IRNazanin" w:hAnsi="IRNazanin" w:eastAsia="IRNazanin" w:cs="IRNazanin"/>
          <w:lang w:bidi="fa-IR"/>
          <w:color w:val="111111"/>
          <w:sz w:val="28"/>
          <w:szCs w:val="28"/>
          <w:rtl/>
        </w:rPr>
        <w:t xml:space="preserve">[شماره صفحه واقعی : 356]</w:t>
      </w:r>
    </w:p>
    <w:p>
      <w:pPr>
        <w:pStyle w:val="BookText"/>
      </w:pPr>
      <w:r>
        <w:rPr>
          <w:rFonts w:ascii="IRNazanin" w:hAnsi="IRNazanin" w:eastAsia="IRNazanin" w:cs="IRNazanin"/>
          <w:lang w:bidi="fa-IR"/>
          <w:color w:val="111111"/>
          <w:sz w:val="28"/>
          <w:szCs w:val="28"/>
          <w:rtl/>
        </w:rPr>
        <w:t xml:space="preserve">ص: 1074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الکلینی - و کان خاله علاّن الکلینی الرازی - شیخ أصحابنا فی وقته بالری و وجههم، و کان أوثق الناس فی الحدیث و أثبتهم. صنّف الکتاب الکبیر المعروف بالکلینی یسمّی الکافی فی عشرین سنة، شرح کتبه: کتاب العقل، کتاب فضل العلم - إلی أن عدّ أحدا و ثلاثین کتابا»</w:t>
      </w:r>
      <w:r>
        <w:rPr>
          <w:rStyle w:val="FootnoteReference"/>
        </w:rPr>
        <w:footnoteReference w:id="4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صاحب «لؤلؤة البحرین» نقل عن بعض مشایخه المتأخّرین:</w:t>
      </w:r>
    </w:p>
    <w:p>
      <w:pPr>
        <w:pStyle w:val="BookText"/>
      </w:pPr>
      <w:r>
        <w:rPr>
          <w:rFonts w:ascii="IRNazanin" w:hAnsi="IRNazanin" w:eastAsia="IRNazanin" w:cs="IRNazanin"/>
          <w:lang w:bidi="fa-IR"/>
          <w:color w:val="111111"/>
          <w:sz w:val="28"/>
          <w:szCs w:val="28"/>
          <w:rtl/>
        </w:rPr>
        <w:t xml:space="preserve">«أمّا الکافی فجمیع أحادیثه حصرت فی ستّة عشر ألف حدیث و مائة و تسعة و تسعین حدیثا، الصحیح منها باصطلاح من تأخر خمسة آلاف و اثنان و سبعون حدیثا و الحسن مائة و أربعة و أربعون حدیثا، و الموثّق مائة حدیث و ألف حدیث و ثمانیة عشر حدیثا، و القوی منها اثنان و ثلاثمائة، و الضعیف منها أربعمائة و تسعة آلاف و خمسة و ثمانون حدیثا»</w:t>
      </w:r>
      <w:r>
        <w:rPr>
          <w:rStyle w:val="FootnoteReference"/>
        </w:rPr>
        <w:footnoteReference w:id="4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المتتبّع المحدّث النوری بعد نقل ذلک الکلام: «الظاهر أنّ المراد من القویّ ما کان بعض رجال سنده أو کلّه، الممدوح من غیر الامامی و لم یکن فیه من یضعف به الحدیث»</w:t>
      </w:r>
      <w:r>
        <w:rPr>
          <w:rStyle w:val="FootnoteReference"/>
        </w:rPr>
        <w:footnoteReference w:id="4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الشهید فی «الذکری»: «إنّ ما فی الکافی یزید علی ما فی مجموع الصحاح الستة للجمهور و عدّة کتب الکافی اثنان و ثلاثون»</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«کشف الظنون» نقلا عن الحافظ بن حجر: «إنّ جمیع أحادیث صحیح البخاری بالمکرّر، سوی المعلّقات و المتابعات، علی ما حرّرته و حقّقته، سبعة آلاف و ثلاثمائة و سبعة و تسعون حدیثا، و الخالص من ذلک بلا تکریر ألفا حدیث و ستمائة و حدیثان، و إذا انضمّ إلیه المتون المعلّقة المرفوعة</w:t>
      </w:r>
    </w:p>
    <w:p>
      <w:pPr>
        <w:pStyle w:val="BookText"/>
      </w:pPr>
      <w:r>
        <w:rPr>
          <w:rFonts w:ascii="IRNazanin" w:hAnsi="IRNazanin" w:eastAsia="IRNazanin" w:cs="IRNazanin"/>
          <w:lang w:bidi="fa-IR"/>
          <w:color w:val="111111"/>
          <w:sz w:val="28"/>
          <w:szCs w:val="28"/>
          <w:rtl/>
        </w:rPr>
        <w:t xml:space="preserve">[شماره صفحه واقعی : 357]</w:t>
      </w:r>
    </w:p>
    <w:p>
      <w:pPr>
        <w:pStyle w:val="BookText"/>
      </w:pPr>
      <w:r>
        <w:rPr>
          <w:rFonts w:ascii="IRNazanin" w:hAnsi="IRNazanin" w:eastAsia="IRNazanin" w:cs="IRNazanin"/>
          <w:lang w:bidi="fa-IR"/>
          <w:color w:val="111111"/>
          <w:sz w:val="28"/>
          <w:szCs w:val="28"/>
          <w:rtl/>
        </w:rPr>
        <w:t xml:space="preserve">ص: 1075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448" w:name="pg14419_167791"/>
    <w:bookmarkEnd w:id="448"/>
    <w:p>
      <w:pPr>
        <w:pStyle w:val="BookText"/>
      </w:pPr>
      <w:r>
        <w:rPr>
          <w:rFonts w:ascii="IRNazanin" w:hAnsi="IRNazanin" w:eastAsia="IRNazanin" w:cs="IRNazanin"/>
          <w:lang w:bidi="fa-IR"/>
          <w:color w:val="111111"/>
          <w:sz w:val="28"/>
          <w:szCs w:val="28"/>
          <w:rtl/>
        </w:rPr>
        <w:t xml:space="preserve">و هی مائة و خمسون حدیثا، صار مجموع الخالص ألفی حدیث و سبعمائة و أحدا و ستّین حدیثا.</w:t>
      </w:r>
    </w:p>
    <w:p>
      <w:pPr>
        <w:pStyle w:val="BookText"/>
      </w:pPr>
      <w:r>
        <w:rPr>
          <w:rFonts w:ascii="IRNazanin" w:hAnsi="IRNazanin" w:eastAsia="IRNazanin" w:cs="IRNazanin"/>
          <w:lang w:bidi="fa-IR"/>
          <w:color w:val="111111"/>
          <w:sz w:val="28"/>
          <w:szCs w:val="28"/>
          <w:rtl/>
        </w:rPr>
        <w:t xml:space="preserve">و روی أیضا عن مسلم أنّ کتابه أربعة آلاف حدیث دون المکرّرات و بالمکرّرات سبعة آلاف و مائتان و خمسة و سبعون حدیثا.</w:t>
      </w:r>
    </w:p>
    <w:p>
      <w:pPr>
        <w:pStyle w:val="BookText"/>
      </w:pPr>
      <w:r>
        <w:rPr>
          <w:rFonts w:ascii="IRNazanin" w:hAnsi="IRNazanin" w:eastAsia="IRNazanin" w:cs="IRNazanin"/>
          <w:lang w:bidi="fa-IR"/>
          <w:color w:val="111111"/>
          <w:sz w:val="28"/>
          <w:szCs w:val="28"/>
          <w:rtl/>
        </w:rPr>
        <w:t xml:space="preserve">و قال أبو داود فی أول سننه: «و جمعت فی کتابی هذا اربعة آلاف حدیث و ثمانیة أحادیث من الصحیح و ما یشبهه و ما یقاربه»</w:t>
      </w:r>
      <w:r>
        <w:rPr>
          <w:rStyle w:val="FootnoteReference"/>
        </w:rPr>
        <w:footnoteReference w:id="4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جمع الامام أبو السعادات مبارک بن محمّد بن الاثیر الجزری (المولود عام 544، و المتوفّی عام 606) جمیع ما فی هذه الصحاح فی کتاب أسماه «جامع الاصول من أحادیث الرسول» فبلغ عدد أحادیثه «9483».</w:t>
      </w:r>
    </w:p>
    <w:p>
      <w:pPr>
        <w:pStyle w:val="BookText"/>
      </w:pPr>
      <w:r>
        <w:rPr>
          <w:rFonts w:ascii="IRNazanin" w:hAnsi="IRNazanin" w:eastAsia="IRNazanin" w:cs="IRNazanin"/>
          <w:lang w:bidi="fa-IR"/>
          <w:color w:val="111111"/>
          <w:sz w:val="28"/>
          <w:szCs w:val="28"/>
          <w:rtl/>
        </w:rPr>
        <w:t xml:space="preserve">قال یاقوت فی معجمه: جمع الجرزی فیه بین البخاری و المسلم و الموطّأ و سنن أبی داود و سنن النسائی و الترمذی، عمله علی حروف المعجم و شرح غریب الأحادیث و معانیها و أحکامها و صنّف رجالها و نبّه علی جمیع ما یحتاج إلیه منها</w:t>
      </w:r>
      <w:r>
        <w:rPr>
          <w:rStyle w:val="FootnoteReference"/>
        </w:rPr>
        <w:footnoteReference w:id="4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حال الکتاب و مکانته و إلیک بیان مدی صحّة روایاته.</w:t>
      </w:r>
    </w:p>
    <w:p>
      <w:pPr>
        <w:pStyle w:val="Heading6"/>
      </w:pPr>
      <w:bookmarkStart w:id="1397" w:name="_Toc837"/>
      <w:r>
        <w:t>الصحیح عند القدماء و المتأخرین</w:t>
      </w:r>
      <w:bookmarkEnd w:id="1397"/>
    </w:p>
    <w:p>
      <w:pPr>
        <w:pStyle w:val="BookText"/>
      </w:pPr>
      <w:r>
        <w:rPr>
          <w:rFonts w:ascii="IRNazanin" w:hAnsi="IRNazanin" w:eastAsia="IRNazanin" w:cs="IRNazanin"/>
          <w:lang w:bidi="fa-IR"/>
          <w:color w:val="111111"/>
          <w:sz w:val="28"/>
          <w:szCs w:val="28"/>
          <w:rtl/>
        </w:rPr>
        <w:t xml:space="preserve">تقسیم الحدیث إلی الأقسام الأربعة المشهورة تقسیم جدید حدث من زمن الرجالی السیّد أحمد بن طاوس استاذ العلاّمة و ابن داود الحلّیین، بعد ما کان التقسیم بین القدماء ثنائیا غیر خارج عن کون الحدیث معتبرا أو غیر معتبر، فما أیّدته القرائن الداخلیّة کوثاقة الراوی، أو الخارجیّة کوجوده فی أصل معتبر</w:t>
      </w:r>
    </w:p>
    <w:p>
      <w:pPr>
        <w:pStyle w:val="BookText"/>
      </w:pPr>
      <w:r>
        <w:rPr>
          <w:rFonts w:ascii="IRNazanin" w:hAnsi="IRNazanin" w:eastAsia="IRNazanin" w:cs="IRNazanin"/>
          <w:lang w:bidi="fa-IR"/>
          <w:color w:val="111111"/>
          <w:sz w:val="28"/>
          <w:szCs w:val="28"/>
          <w:rtl/>
        </w:rPr>
        <w:t xml:space="preserve">[شماره صفحه واقعی : 358]</w:t>
      </w:r>
    </w:p>
    <w:p>
      <w:pPr>
        <w:pStyle w:val="BookText"/>
      </w:pPr>
      <w:r>
        <w:rPr>
          <w:rFonts w:ascii="IRNazanin" w:hAnsi="IRNazanin" w:eastAsia="IRNazanin" w:cs="IRNazanin"/>
          <w:lang w:bidi="fa-IR"/>
          <w:color w:val="111111"/>
          <w:sz w:val="28"/>
          <w:szCs w:val="28"/>
          <w:rtl/>
        </w:rPr>
        <w:t xml:space="preserve">ص: 1076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الانتساب إلی جماعة کزرارة و محمّد بن مسلم و الفضیل بن یسار، فهو صحیح، أی معتبر یجوز الاستناد إلیه، و الفاقد لکلتا المزیّتین غیر صحیح، بمعنی أنّه غیر معتبر لا یمکن الرکون إلیه، و إن امکن أن یکون صادرا عنهم.</w:t>
      </w:r>
    </w:p>
    <w:p>
      <w:pPr>
        <w:pStyle w:val="BookText"/>
      </w:pPr>
      <w:r>
        <w:rPr>
          <w:rFonts w:ascii="IRNazanin" w:hAnsi="IRNazanin" w:eastAsia="IRNazanin" w:cs="IRNazanin"/>
          <w:lang w:bidi="fa-IR"/>
          <w:color w:val="111111"/>
          <w:sz w:val="28"/>
          <w:szCs w:val="28"/>
          <w:rtl/>
        </w:rPr>
        <w:t xml:space="preserve">هذا هو التقسیم المعروف بین القدماء إلی عصر الرجالی المعروف بن طاوس.</w:t>
      </w:r>
    </w:p>
    <w:p>
      <w:pPr>
        <w:pStyle w:val="BookText"/>
      </w:pPr>
      <w:r>
        <w:rPr>
          <w:rFonts w:ascii="IRNazanin" w:hAnsi="IRNazanin" w:eastAsia="IRNazanin" w:cs="IRNazanin"/>
          <w:lang w:bidi="fa-IR"/>
          <w:color w:val="111111"/>
          <w:sz w:val="28"/>
          <w:szCs w:val="28"/>
          <w:rtl/>
        </w:rPr>
        <w:t xml:space="preserve">أمّا بعده، فقد آل الأمر الی التقسیم الرباعی، بتقسیمه إلی صحیح و موثّق و حسن و ضعیف، و أمّا الباعث لهذا التقسیم و رفض التقسیم الدارج بین القدماء، فلیس هنا محلّ ذکره، و لعلّ السبب هو أنّ القرائن المورثة للاطمئنان آل إلی القلّة و الندرة حسب مرور الزمان، و أوجب ضیاع الاصول و المصنّفات المؤلّفة بید أصحابهم الثقات، فالتجأ إلی وضع التقسیم الرباعی الذی یبتنی علی ملاحظة السند و أحوال الراوی، و علی کلّ تقدیر فهناک اصطلاحان للحدیث الصحیح.</w:t>
      </w:r>
    </w:p>
    <w:p>
      <w:pPr>
        <w:pStyle w:val="BookText"/>
      </w:pPr>
      <w:r>
        <w:rPr>
          <w:rFonts w:ascii="IRNazanin" w:hAnsi="IRNazanin" w:eastAsia="IRNazanin" w:cs="IRNazanin"/>
          <w:lang w:bidi="fa-IR"/>
          <w:color w:val="111111"/>
          <w:sz w:val="28"/>
          <w:szCs w:val="28"/>
          <w:rtl/>
        </w:rPr>
        <w:t xml:space="preserve">و الهدف من البحث هنا، هو استعراض صحّة أحادیث الکافی حسب اصطلاح القدماء، أعنی اعتبارها لأجل القرائن الداخلیّة أو الخارجیّة، و ممّن أصرّ بذلک شیخ مشایخنا المحدّث النوری فی الفائدة الرابعة من خاتمة المستدرک، و اعتمد فی ذلک علی وجوه أربعة، أهمّها الوجه الرابع الذی استعرضناه عند البحث عن أدلّة نفاة الحاجة إلی علم الرجال، لأنّه کان وجها عامّا یعمّ الکافی و غیره من سائر الکتب الأربعة، و هو الاعتماد علی ما صرّح به مؤلّفوه علی صحّة ما ورد فیها، و قد عرفت مدی متانة ذلک الوجه، و هنا نستعرض الوجوه الثلاثة الباقیة، فهی حسب اعتقاده تثبت اعتبار أحادیثه و تغنی الباحث عن ملاحظة حال آحاد رجال سند الأحادیث المودعة فیه، و تورث الوثوق و الاطمئنان بصدورها و صحّتها بالمعنی المعروف بین القدماء، و إلیک تلک الوجوه الثّلاثة:</w:t>
      </w:r>
    </w:p>
    <w:p>
      <w:pPr>
        <w:pStyle w:val="BookText"/>
      </w:pPr>
      <w:r>
        <w:rPr>
          <w:rFonts w:ascii="IRNazanin" w:hAnsi="IRNazanin" w:eastAsia="IRNazanin" w:cs="IRNazanin"/>
          <w:lang w:bidi="fa-IR"/>
          <w:color w:val="111111"/>
          <w:sz w:val="28"/>
          <w:szCs w:val="28"/>
          <w:rtl/>
        </w:rPr>
        <w:t xml:space="preserve">[شماره صفحه واقعی : 359]</w:t>
      </w:r>
    </w:p>
    <w:p>
      <w:pPr>
        <w:pStyle w:val="BookText"/>
      </w:pPr>
      <w:r>
        <w:rPr>
          <w:rFonts w:ascii="IRNazanin" w:hAnsi="IRNazanin" w:eastAsia="IRNazanin" w:cs="IRNazanin"/>
          <w:lang w:bidi="fa-IR"/>
          <w:color w:val="111111"/>
          <w:sz w:val="28"/>
          <w:szCs w:val="28"/>
          <w:rtl/>
        </w:rPr>
        <w:t xml:space="preserve">ص: 1077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449" w:name="pg14419_167793"/>
    <w:bookmarkEnd w:id="449"/>
    <w:p>
      <w:pPr>
        <w:pStyle w:val="Heading6"/>
      </w:pPr>
      <w:bookmarkStart w:id="1398" w:name="_Toc838"/>
      <w:r>
        <w:t>الوجه الأوّل: المدائح الواردة حول الکافی</w:t>
      </w:r>
      <w:bookmarkEnd w:id="1398"/>
    </w:p>
    <w:p>
      <w:pPr>
        <w:pStyle w:val="BookText"/>
      </w:pPr>
      <w:r>
        <w:rPr>
          <w:rFonts w:ascii="IRNazanin" w:hAnsi="IRNazanin" w:eastAsia="IRNazanin" w:cs="IRNazanin"/>
          <w:lang w:bidi="fa-IR"/>
          <w:color w:val="111111"/>
          <w:sz w:val="28"/>
          <w:szCs w:val="28"/>
          <w:rtl/>
        </w:rPr>
        <w:t xml:space="preserve">إنّ المدائح الواردة فی حقّ الکتاب، تقتضی غناء الفقیه عن ملاحظة آحاد رواته، و إلیک المدائح إجمالا و إن مرّ تفصیلها فی صدر البحث.</w:t>
      </w:r>
    </w:p>
    <w:p>
      <w:pPr>
        <w:pStyle w:val="BookText"/>
      </w:pPr>
      <w:r>
        <w:rPr>
          <w:rFonts w:ascii="IRNazanin" w:hAnsi="IRNazanin" w:eastAsia="IRNazanin" w:cs="IRNazanin"/>
          <w:lang w:bidi="fa-IR"/>
          <w:color w:val="111111"/>
          <w:sz w:val="28"/>
          <w:szCs w:val="28"/>
          <w:rtl/>
        </w:rPr>
        <w:t xml:space="preserve">1 - وصفه الشیخ المفید فی شرح عقائد الصّدوق بأنّه أجلّ کتب الشیعة و أکثرها فائدة.</w:t>
      </w:r>
    </w:p>
    <w:p>
      <w:pPr>
        <w:pStyle w:val="BookText"/>
      </w:pPr>
      <w:r>
        <w:rPr>
          <w:rFonts w:ascii="IRNazanin" w:hAnsi="IRNazanin" w:eastAsia="IRNazanin" w:cs="IRNazanin"/>
          <w:lang w:bidi="fa-IR"/>
          <w:color w:val="111111"/>
          <w:sz w:val="28"/>
          <w:szCs w:val="28"/>
          <w:rtl/>
        </w:rPr>
        <w:t xml:space="preserve">2 - و عرّفه المحقّق الکرکی فی إجازته للقاضی صفیّ الدّین عیسی بأنّه لم یعمل مثله.</w:t>
      </w:r>
    </w:p>
    <w:p>
      <w:pPr>
        <w:pStyle w:val="BookText"/>
      </w:pPr>
      <w:r>
        <w:rPr>
          <w:rFonts w:ascii="IRNazanin" w:hAnsi="IRNazanin" w:eastAsia="IRNazanin" w:cs="IRNazanin"/>
          <w:lang w:bidi="fa-IR"/>
          <w:color w:val="111111"/>
          <w:sz w:val="28"/>
          <w:szCs w:val="28"/>
          <w:rtl/>
        </w:rPr>
        <w:t xml:space="preserve">3 - و قال الشهید فی إجازته للشیخ زین الدین أبی الحسن علیّ بن الخازن: «لم یعمل للامامیّة مثله».</w:t>
      </w:r>
    </w:p>
    <w:p>
      <w:pPr>
        <w:pStyle w:val="BookText"/>
      </w:pPr>
      <w:r>
        <w:rPr>
          <w:rFonts w:ascii="IRNazanin" w:hAnsi="IRNazanin" w:eastAsia="IRNazanin" w:cs="IRNazanin"/>
          <w:lang w:bidi="fa-IR"/>
          <w:color w:val="111111"/>
          <w:sz w:val="28"/>
          <w:szCs w:val="28"/>
          <w:rtl/>
        </w:rPr>
        <w:t xml:space="preserve">4 - و قال محمّد أمین الدین الاسترآبادی: «و قد سمعنا من مشایخنا و علمائنا أنّه لم یصنّف فی الاسلام کتاب یوازیه أو یدانیه».</w:t>
      </w:r>
    </w:p>
    <w:p>
      <w:pPr>
        <w:pStyle w:val="BookText"/>
      </w:pPr>
      <w:r>
        <w:rPr>
          <w:rFonts w:ascii="IRNazanin" w:hAnsi="IRNazanin" w:eastAsia="IRNazanin" w:cs="IRNazanin"/>
          <w:lang w:bidi="fa-IR"/>
          <w:color w:val="111111"/>
          <w:sz w:val="28"/>
          <w:szCs w:val="28"/>
          <w:rtl/>
        </w:rPr>
        <w:t xml:space="preserve">5 - و وصفه العلاّمة المجلسی بأنّه أضبط الاصول و أجمعها و أحسن مؤلّفات الفرقة الناجیة و أعظمها.</w:t>
      </w:r>
    </w:p>
    <w:p>
      <w:pPr>
        <w:pStyle w:val="BookText"/>
      </w:pPr>
      <w:r>
        <w:rPr>
          <w:rFonts w:ascii="IRNazanin" w:hAnsi="IRNazanin" w:eastAsia="IRNazanin" w:cs="IRNazanin"/>
          <w:lang w:bidi="fa-IR"/>
          <w:color w:val="111111"/>
          <w:sz w:val="28"/>
          <w:szCs w:val="28"/>
          <w:rtl/>
        </w:rPr>
        <w:t xml:space="preserve">و هذه المدائح لا ترجع إلی کبر الکتاب و کثرة أحادیثه، فإنّ مثله و أکبر منه ممّن تقدّم أو تأخّر عنه، کان کثیرا متداولا بینهم، کالمحاسن لأحمد بن محمّد ابن خالد البرقی، و نوادر الحکمة لمحمّد بن أحمد بن یحیی بن عمران الأشعری، و إنّما هی لأجل إتقانه و ضبطه و تثبّته.</w:t>
      </w:r>
    </w:p>
    <w:p>
      <w:pPr>
        <w:pStyle w:val="BookText"/>
      </w:pPr>
      <w:r>
        <w:rPr>
          <w:rFonts w:ascii="IRNazanin" w:hAnsi="IRNazanin" w:eastAsia="IRNazanin" w:cs="IRNazanin"/>
          <w:lang w:bidi="fa-IR"/>
          <w:color w:val="111111"/>
          <w:sz w:val="28"/>
          <w:szCs w:val="28"/>
          <w:rtl/>
        </w:rPr>
        <w:t xml:space="preserve">أقول: لا یخفی أنّه یستفاد من هذه المدائح اعتبار الکتاب بما هو هو، فی مقابل عدم صلاحیّته للمرجعیّة و المصدریّة، لأنّه لازم قولهم «أجلّ الکتب و أکثرها فائدة» أو «إنّه لم یعمل مثله فی الإسلام». أمّا استفادة غنی المستنبط عن ملاحظة آحاد رجال أحادیثه، و أنّ کلّ ما فیه معتبر فلا، إذ لیس معنی اعتبار الکتاب صحّة کلّ واحد من أحادیثه، بحیث یغنی الباحث عن أیّة مراجعة،</w:t>
      </w:r>
    </w:p>
    <w:p>
      <w:pPr>
        <w:pStyle w:val="BookText"/>
      </w:pPr>
      <w:r>
        <w:rPr>
          <w:rFonts w:ascii="IRNazanin" w:hAnsi="IRNazanin" w:eastAsia="IRNazanin" w:cs="IRNazanin"/>
          <w:lang w:bidi="fa-IR"/>
          <w:color w:val="111111"/>
          <w:sz w:val="28"/>
          <w:szCs w:val="28"/>
          <w:rtl/>
        </w:rPr>
        <w:t xml:space="preserve">[شماره صفحه واقعی : 360]</w:t>
      </w:r>
    </w:p>
    <w:p>
      <w:pPr>
        <w:pStyle w:val="BookText"/>
      </w:pPr>
      <w:r>
        <w:rPr>
          <w:rFonts w:ascii="IRNazanin" w:hAnsi="IRNazanin" w:eastAsia="IRNazanin" w:cs="IRNazanin"/>
          <w:lang w:bidi="fa-IR"/>
          <w:color w:val="111111"/>
          <w:sz w:val="28"/>
          <w:szCs w:val="28"/>
          <w:rtl/>
        </w:rPr>
        <w:t xml:space="preserve">ص: 1078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لأجل ذلک لا یتبادر ذلک المعنی من توصیف غیر الکافی بهذه الصفات، کمعاجم اللّغة و التاریخ و السیر، مثلا إذا قیل: «لسان العرب» من أجلّ الکتب فی اللّغة أو إنّ تاریخ الطبری لم یعمل مثله.</w:t>
      </w:r>
    </w:p>
    <w:p>
      <w:pPr>
        <w:pStyle w:val="BookText"/>
      </w:pPr>
      <w:r>
        <w:rPr>
          <w:rFonts w:ascii="IRNazanin" w:hAnsi="IRNazanin" w:eastAsia="IRNazanin" w:cs="IRNazanin"/>
          <w:lang w:bidi="fa-IR"/>
          <w:color w:val="111111"/>
          <w:sz w:val="28"/>
          <w:szCs w:val="28"/>
          <w:rtl/>
        </w:rPr>
        <w:t xml:space="preserve">و قد ذکر - قدّس سره - فی ضمن الوجه الثالث الّذی سیوافیک، ما یمکن أن یکون مؤیّدا لکلامه هذا و قال: «إنّ هناک کتبا لا ینظر إلی أسانید احادیثها، فلا یکون الکافی أجلّ هذه الکتب إلاّ إذا اشتمل علی تلک المزیّة، و إلاّ فلا یصحّ أن یعدّ من أجلّها».</w:t>
      </w:r>
    </w:p>
    <w:p>
      <w:pPr>
        <w:pStyle w:val="BookText"/>
      </w:pPr>
      <w:r>
        <w:rPr>
          <w:rFonts w:ascii="IRNazanin" w:hAnsi="IRNazanin" w:eastAsia="IRNazanin" w:cs="IRNazanin"/>
          <w:lang w:bidi="fa-IR"/>
          <w:color w:val="111111"/>
          <w:sz w:val="28"/>
          <w:szCs w:val="28"/>
          <w:rtl/>
        </w:rPr>
        <w:t xml:space="preserve">أقول: لم أقف علی کتاب یشتمل علی تلک المزیّة، و لو أراد منه الاصول المؤلفة فی عصر الأئمة، فصریح الشیخ فی «العدة» إشتراط صحة الاحتجاج بها بکون راویها ثقة. قال فی بیان ما هو المختار فی باب حجّیة خبر الواحد: «وجدت الفرقة المحقّة مجمعة علی العمل بهذه الأخبار الّتی رووها فی تصانیفهم، و دوّنوها فی اصولهم لا یتناکرون ذلک و لا یتدافعونه، حتّی إنّ واحدا منهم إذا أفتی بشیء لا یعرفونه، سألوه من أین قلت هذا؟ فإذا أحالهم علی کتاب معروف، أو أصل مشهور و کان راویه ثقة لا ینکر حدیثه، سکتوا و سلّموا الأمر فی ذلک و قبلوا قوله»</w:t>
      </w:r>
      <w:r>
        <w:rPr>
          <w:rStyle w:val="FootnoteReference"/>
        </w:rPr>
        <w:footnoteReference w:id="4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صریحة فی أنّ ورود الخبر فی الاصول المدوّنة، لم یکن کافیا فی الاحتجاج ما لم یحرز وثاقة راویه، فاذا کان هذا حال الاصول فغیرها أولی بلزوم المراجعة.</w:t>
      </w:r>
    </w:p>
    <w:p>
      <w:pPr>
        <w:pStyle w:val="BookText"/>
      </w:pPr>
      <w:r>
        <w:rPr>
          <w:rFonts w:ascii="IRNazanin" w:hAnsi="IRNazanin" w:eastAsia="IRNazanin" w:cs="IRNazanin"/>
          <w:lang w:bidi="fa-IR"/>
          <w:color w:val="111111"/>
          <w:sz w:val="28"/>
          <w:szCs w:val="28"/>
          <w:rtl/>
        </w:rPr>
        <w:t xml:space="preserve">و علی فرض وجود ما لا ینظر إلی أسانیده، فالظّاهر أنّ المراد من قولهم «إنّ الکافی أجلّ الکتب» و ما أشبه هذا، تفوّقه علی سائر الکتب الحدیثیّة من جهة الاسلوب و التبویب و الجامعیّة و الضابطیّة، إلی غیر ذلک من المزایا الّتی لا توجد فی نظائرها المتقدّمة علیه أو المتأخّرة عنه، لا أنّه جامع لمزیّة کلّ کتاب</w:t>
      </w:r>
    </w:p>
    <w:p>
      <w:pPr>
        <w:pStyle w:val="BookText"/>
      </w:pPr>
      <w:r>
        <w:rPr>
          <w:rFonts w:ascii="IRNazanin" w:hAnsi="IRNazanin" w:eastAsia="IRNazanin" w:cs="IRNazanin"/>
          <w:lang w:bidi="fa-IR"/>
          <w:color w:val="111111"/>
          <w:sz w:val="28"/>
          <w:szCs w:val="28"/>
          <w:rtl/>
        </w:rPr>
        <w:t xml:space="preserve">[شماره صفحه واقعی : 361]</w:t>
      </w:r>
    </w:p>
    <w:p>
      <w:pPr>
        <w:pStyle w:val="BookText"/>
      </w:pPr>
      <w:r>
        <w:rPr>
          <w:rFonts w:ascii="IRNazanin" w:hAnsi="IRNazanin" w:eastAsia="IRNazanin" w:cs="IRNazanin"/>
          <w:lang w:bidi="fa-IR"/>
          <w:color w:val="111111"/>
          <w:sz w:val="28"/>
          <w:szCs w:val="28"/>
          <w:rtl/>
        </w:rPr>
        <w:t xml:space="preserve">ص: 1079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50" w:name="pg14419_167795"/>
    <w:bookmarkEnd w:id="450"/>
    <w:p>
      <w:pPr>
        <w:pStyle w:val="BookText"/>
      </w:pPr>
      <w:r>
        <w:rPr>
          <w:rFonts w:ascii="IRNazanin" w:hAnsi="IRNazanin" w:eastAsia="IRNazanin" w:cs="IRNazanin"/>
          <w:lang w:bidi="fa-IR"/>
          <w:color w:val="111111"/>
          <w:sz w:val="28"/>
          <w:szCs w:val="28"/>
          <w:rtl/>
        </w:rPr>
        <w:t xml:space="preserve">کان قبله، و یعلم مفاد هذه المدائح من إمعان النظر فی الکتب الّتی مدحت بهذه المدائح مثلا یقال: «البحار جامع حدیثیّ لم یعمل مثله» أو «الجواهر من جلائل الکتب الفقهیة» فلیس النظر تصحیح کلّ ما فی البحار من الروایات، و تصدیق کلّ ما جاء فی الجواهر من الفتیا، بل الجامعیّة فی الأوّل، و کثرة الفروع و دقّة النظر فی الثانی هی الباعثة إلی توصیفهما بما ذکرناه، و لیس المراد أنّ کلّ مزیّة موجودة فی الکتب الحدیثیّة أو الفقهیّة موجودة فیهما.</w:t>
      </w:r>
    </w:p>
    <w:p>
      <w:pPr>
        <w:pStyle w:val="Heading6"/>
      </w:pPr>
      <w:bookmarkStart w:id="1399" w:name="_Toc839"/>
      <w:r>
        <w:t>الوجه الثانی: المدائح الواردة فی حقّ المؤلف</w:t>
      </w:r>
      <w:bookmarkEnd w:id="1399"/>
    </w:p>
    <w:p>
      <w:pPr>
        <w:pStyle w:val="BookText"/>
      </w:pPr>
      <w:r>
        <w:rPr>
          <w:rFonts w:ascii="IRNazanin" w:hAnsi="IRNazanin" w:eastAsia="IRNazanin" w:cs="IRNazanin"/>
          <w:lang w:bidi="fa-IR"/>
          <w:color w:val="111111"/>
          <w:sz w:val="28"/>
          <w:szCs w:val="28"/>
          <w:rtl/>
        </w:rPr>
        <w:t xml:space="preserve">ذهب المحدّث النوری إلی أنّ المدائح الواردة فی حقّ الکلینیّ، تستلزم صحّة روایات کتابه و اعتبارها و عدم لزوم المراجعة إلی آحاد أسناد روایاتها، و إلیک بعض تلک المدائح:</w:t>
      </w:r>
    </w:p>
    <w:p>
      <w:pPr>
        <w:pStyle w:val="BookText"/>
      </w:pPr>
      <w:r>
        <w:rPr>
          <w:rFonts w:ascii="IRNazanin" w:hAnsi="IRNazanin" w:eastAsia="IRNazanin" w:cs="IRNazanin"/>
          <w:lang w:bidi="fa-IR"/>
          <w:color w:val="111111"/>
          <w:sz w:val="28"/>
          <w:szCs w:val="28"/>
          <w:rtl/>
        </w:rPr>
        <w:t xml:space="preserve">1 - قال النّجاشی: «إنّ الکلینی أوثق الناس فی الحدیث و أثبتهم».</w:t>
      </w:r>
    </w:p>
    <w:p>
      <w:pPr>
        <w:pStyle w:val="BookText"/>
      </w:pPr>
      <w:r>
        <w:rPr>
          <w:rFonts w:ascii="IRNazanin" w:hAnsi="IRNazanin" w:eastAsia="IRNazanin" w:cs="IRNazanin"/>
          <w:lang w:bidi="fa-IR"/>
          <w:color w:val="111111"/>
          <w:sz w:val="28"/>
          <w:szCs w:val="28"/>
          <w:rtl/>
        </w:rPr>
        <w:t xml:space="preserve">2 - و قال العلاّمة فی «الخلاصة» بمثله.</w:t>
      </w:r>
    </w:p>
    <w:p>
      <w:pPr>
        <w:pStyle w:val="BookText"/>
      </w:pPr>
      <w:r>
        <w:rPr>
          <w:rFonts w:ascii="IRNazanin" w:hAnsi="IRNazanin" w:eastAsia="IRNazanin" w:cs="IRNazanin"/>
          <w:lang w:bidi="fa-IR"/>
          <w:color w:val="111111"/>
          <w:sz w:val="28"/>
          <w:szCs w:val="28"/>
          <w:rtl/>
        </w:rPr>
        <w:t xml:space="preserve">و هذا القول من مثل النجاشی لا یقع موقعه إلاّ أن یکون الکلینی واجدا لکلّ ما مدح به الرواة و المؤلّفون ممّا یتعلّق بسند الحدیث و اعتبار الخبر، و من أجلّ المدائح و أشرف الخصال المتعلّقة بالمقام، الروایة عن الثقات و نقل الأخبار الموثوق بها، کما ذکروه فی تراجم جماعة.</w:t>
      </w:r>
    </w:p>
    <w:p>
      <w:pPr>
        <w:pStyle w:val="BookText"/>
      </w:pPr>
      <w:r>
        <w:rPr>
          <w:rFonts w:ascii="IRNazanin" w:hAnsi="IRNazanin" w:eastAsia="IRNazanin" w:cs="IRNazanin"/>
          <w:lang w:bidi="fa-IR"/>
          <w:color w:val="111111"/>
          <w:sz w:val="28"/>
          <w:szCs w:val="28"/>
          <w:rtl/>
        </w:rPr>
        <w:t xml:space="preserve">قال الشیخ فی «الفهرس»: «علیّ بن الحسن الطّاطری کان واقفیّا شدید العناد فی مذهبه - إلی أن قال: و له کتب فی الفقه رواها عن الرجال الموثوق بهم و بروایاتهم».</w:t>
      </w:r>
    </w:p>
    <w:p>
      <w:pPr>
        <w:pStyle w:val="BookText"/>
      </w:pPr>
      <w:r>
        <w:rPr>
          <w:rFonts w:ascii="IRNazanin" w:hAnsi="IRNazanin" w:eastAsia="IRNazanin" w:cs="IRNazanin"/>
          <w:lang w:bidi="fa-IR"/>
          <w:color w:val="111111"/>
          <w:sz w:val="28"/>
          <w:szCs w:val="28"/>
          <w:rtl/>
        </w:rPr>
        <w:t xml:space="preserve">و قال أیضا: «جعفر بن بشیر، کثیر العلم ثقة روی عن الثقات و رووا عنه».</w:t>
      </w:r>
    </w:p>
    <w:p>
      <w:pPr>
        <w:pStyle w:val="BookText"/>
      </w:pPr>
      <w:r>
        <w:rPr>
          <w:rFonts w:ascii="IRNazanin" w:hAnsi="IRNazanin" w:eastAsia="IRNazanin" w:cs="IRNazanin"/>
          <w:lang w:bidi="fa-IR"/>
          <w:color w:val="111111"/>
          <w:sz w:val="28"/>
          <w:szCs w:val="28"/>
          <w:rtl/>
        </w:rPr>
        <w:t xml:space="preserve">[شماره صفحه واقعی : 362]</w:t>
      </w:r>
    </w:p>
    <w:p>
      <w:pPr>
        <w:pStyle w:val="BookText"/>
      </w:pPr>
      <w:r>
        <w:rPr>
          <w:rFonts w:ascii="IRNazanin" w:hAnsi="IRNazanin" w:eastAsia="IRNazanin" w:cs="IRNazanin"/>
          <w:lang w:bidi="fa-IR"/>
          <w:color w:val="111111"/>
          <w:sz w:val="28"/>
          <w:szCs w:val="28"/>
          <w:rtl/>
        </w:rPr>
        <w:t xml:space="preserve">ص: 1080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النّجاشی بمثله فی ترجمة محمّد بن إسماعیل بن میمون الزعفرانی.</w:t>
      </w:r>
    </w:p>
    <w:p>
      <w:pPr>
        <w:pStyle w:val="BookText"/>
      </w:pPr>
      <w:r>
        <w:rPr>
          <w:rFonts w:ascii="IRNazanin" w:hAnsi="IRNazanin" w:eastAsia="IRNazanin" w:cs="IRNazanin"/>
          <w:lang w:bidi="fa-IR"/>
          <w:color w:val="111111"/>
          <w:sz w:val="28"/>
          <w:szCs w:val="28"/>
          <w:rtl/>
        </w:rPr>
        <w:t xml:space="preserve">و قال الشیخ فی «العدّة»: «سوّت الطائفة بین ما یرویه محمّد بن أبی عمیر و صفوان بن یحیی و أحمد بن محمّد بن أبی نصر و غیرهم من الثقات الّذین عرّفوا بأنّهم لا یروون و لا یرسلون إلاّ ممّن یوثق به، و بین ما أسنده غیرهم، و لذلک عملوا بمراسیلهم إذا انفرد عن روایة غیرهم».</w:t>
      </w:r>
    </w:p>
    <w:p>
      <w:pPr>
        <w:pStyle w:val="BookText"/>
      </w:pPr>
      <w:r>
        <w:rPr>
          <w:rFonts w:ascii="IRNazanin" w:hAnsi="IRNazanin" w:eastAsia="IRNazanin" w:cs="IRNazanin"/>
          <w:lang w:bidi="fa-IR"/>
          <w:color w:val="111111"/>
          <w:sz w:val="28"/>
          <w:szCs w:val="28"/>
          <w:rtl/>
        </w:rPr>
        <w:t xml:space="preserve">و صرّح العلاّمة فی «المختلف» بأنّ ابن أبی عقیل شیخ من علمائنا تقبل مراسیله لعدالته و معرفته.</w:t>
      </w:r>
    </w:p>
    <w:p>
      <w:pPr>
        <w:pStyle w:val="BookText"/>
      </w:pPr>
      <w:r>
        <w:rPr>
          <w:rFonts w:ascii="IRNazanin" w:hAnsi="IRNazanin" w:eastAsia="IRNazanin" w:cs="IRNazanin"/>
          <w:lang w:bidi="fa-IR"/>
          <w:color w:val="111111"/>
          <w:sz w:val="28"/>
          <w:szCs w:val="28"/>
          <w:rtl/>
        </w:rPr>
        <w:t xml:space="preserve">فإذا کان أبو جعفر الکلینی أوثقهم و أثبتهم فی الحدیث، فلا بدّ و أن یکون جامعا لکلّ ما مدح به آحادهم من جهة الروایة فلو روی عن مجهول، أو ضعیف ممّن یترک روایته، أو خبرا یحتاج إلی النّظر فی سنده، لم یکن أوثقهم و أثبتهم، فانّ کلّ ما قیل فی حقّ الجماعة من المدائح و الأوصاف المتعلّقة بالسند، یرجع إلیهما، فان قیس مع البزنطی و أضرابه و جعفر بن بشیر لا بدّ و أن یحکم بوثاقة مشایخه، و إن قیس مع الطاطری و أصحاب الاجماع، فلا مناص من الحکم بصحّة حدیثه و أنّه لم یودع فی کتابه إلاّ ما تلقاه من الموثوقین بهم و بروایاتهم.</w:t>
      </w:r>
    </w:p>
    <w:p>
      <w:pPr>
        <w:pStyle w:val="BookText"/>
      </w:pPr>
      <w:r>
        <w:rPr>
          <w:rFonts w:ascii="IRNazanin" w:hAnsi="IRNazanin" w:eastAsia="IRNazanin" w:cs="IRNazanin"/>
          <w:lang w:bidi="fa-IR"/>
          <w:color w:val="111111"/>
          <w:sz w:val="28"/>
          <w:szCs w:val="28"/>
          <w:rtl/>
        </w:rPr>
        <w:t xml:space="preserve">ثمّ إنّ النجاشی قال بعد توصیفه بالأوثقیّة بأنّه ألّف الکافی فی عشرین سنة، و ظاهر أنّ ذکره لمدّة تألیفه لبیان أثبتیّته و أنّه لم یکن غرضه مجرّد جمع شتات الأخبار، فإنّه لا یحتاج إلی هذه المدّة الطویلة، بل و لا إلی عشرها، بل الغرض جمع الأحادیث المعتبرة المعتمدة الموثوق بها، و هذا یحتاج إلی هذه المدّة، لاحتیاجه إلی جمع الاصول و الکتب المعتبرة، و اتّصالها إلی أربابها بالطرق المعتبرة و النظر فی متونها و تصحیحها و تنقیحها.</w:t>
      </w:r>
    </w:p>
    <w:p>
      <w:pPr>
        <w:pStyle w:val="BookText"/>
      </w:pPr>
      <w:r>
        <w:rPr>
          <w:rFonts w:ascii="IRNazanin" w:hAnsi="IRNazanin" w:eastAsia="IRNazanin" w:cs="IRNazanin"/>
          <w:lang w:bidi="fa-IR"/>
          <w:color w:val="111111"/>
          <w:sz w:val="28"/>
          <w:szCs w:val="28"/>
          <w:rtl/>
        </w:rPr>
        <w:t xml:space="preserve">و یظهر من أوثقیّته و أثبتیّته أیضا، أنّه مبرّء عن کلّ ما قدح به الرواة و ضعّفوا</w:t>
      </w:r>
    </w:p>
    <w:p>
      <w:pPr>
        <w:pStyle w:val="BookText"/>
      </w:pPr>
      <w:r>
        <w:rPr>
          <w:rFonts w:ascii="IRNazanin" w:hAnsi="IRNazanin" w:eastAsia="IRNazanin" w:cs="IRNazanin"/>
          <w:lang w:bidi="fa-IR"/>
          <w:color w:val="111111"/>
          <w:sz w:val="28"/>
          <w:szCs w:val="28"/>
          <w:rtl/>
        </w:rPr>
        <w:t xml:space="preserve">[شماره صفحه واقعی : 363]</w:t>
      </w:r>
    </w:p>
    <w:p>
      <w:pPr>
        <w:pStyle w:val="BookText"/>
      </w:pPr>
      <w:r>
        <w:rPr>
          <w:rFonts w:ascii="IRNazanin" w:hAnsi="IRNazanin" w:eastAsia="IRNazanin" w:cs="IRNazanin"/>
          <w:lang w:bidi="fa-IR"/>
          <w:color w:val="111111"/>
          <w:sz w:val="28"/>
          <w:szCs w:val="28"/>
          <w:rtl/>
        </w:rPr>
        <w:t xml:space="preserve">ص: 1081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حیث الروایة، کالروایة عن الضعفاء و المجاهیل، و عمّن لم یلقه، و سوء الضبط، و اضطراب ألفاظ الحدیث، و الاعتماد علی المراسیل الّتی لم یتحقّق وثاقة الساقط عنده، و أمثال ذلک ممّا لا ینافی العدالة و لا یجتمع مع التثبّت و الوثاقة</w:t>
      </w:r>
      <w:r>
        <w:rPr>
          <w:rStyle w:val="FootnoteReference"/>
        </w:rPr>
        <w:footnoteReference w:id="4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نقلنا کلامه بطوله لما فیه من فوائد و نکات، و مع ذلک کلّه، فالنتیجة الّتی استنبطها غیر صحیحة لوجوه:</w:t>
      </w:r>
    </w:p>
    <w:p>
      <w:pPr>
        <w:pStyle w:val="BookText"/>
      </w:pPr>
      <w:r>
        <w:rPr>
          <w:rFonts w:ascii="IRNazanin" w:hAnsi="IRNazanin" w:eastAsia="IRNazanin" w:cs="IRNazanin"/>
          <w:lang w:bidi="fa-IR"/>
          <w:color w:val="111111"/>
          <w:sz w:val="28"/>
          <w:szCs w:val="28"/>
          <w:rtl/>
        </w:rPr>
        <w:t xml:space="preserve">أوّلا: إنّ الأوثقیة صفة تفضیل من الوثاقة، و المراد منه التحرّز عن الکذب لأجل العدالة و الورع، کما أنّ الأثبتیّة وصف تفضیل من التثبّت، و المراد منه قلّة الزلّة و الخطأ و ندرة الاشتباه، فلو کان غیر متحرّز عن الکذب لا یکون ثقة، و لو کان کثیر الزلّة، و الخطأ لا یکون ثبتا.</w:t>
      </w:r>
    </w:p>
    <w:p>
      <w:pPr>
        <w:pStyle w:val="BookText"/>
      </w:pPr>
      <w:r>
        <w:rPr>
          <w:rFonts w:ascii="IRNazanin" w:hAnsi="IRNazanin" w:eastAsia="IRNazanin" w:cs="IRNazanin"/>
          <w:lang w:bidi="fa-IR"/>
          <w:color w:val="111111"/>
          <w:sz w:val="28"/>
          <w:szCs w:val="28"/>
          <w:rtl/>
        </w:rPr>
        <w:t xml:space="preserve">هذا حال المادّة، و علیه یکون معنی «الأوثق» هو الواقع فی الدرجة العلیا من التحرّز عن الکذب، کما یکون معنی «الاثبت» هو المصون عن الزلّة و العثرة بوجه ممتاز.</w:t>
      </w:r>
    </w:p>
    <w:p>
      <w:pPr>
        <w:pStyle w:val="BookText"/>
      </w:pPr>
      <w:r>
        <w:rPr>
          <w:rFonts w:ascii="IRNazanin" w:hAnsi="IRNazanin" w:eastAsia="IRNazanin" w:cs="IRNazanin"/>
          <w:lang w:bidi="fa-IR"/>
          <w:color w:val="111111"/>
          <w:sz w:val="28"/>
          <w:szCs w:val="28"/>
          <w:rtl/>
        </w:rPr>
        <w:t xml:space="preserve">و علی ذلک فلا یدلّ اللفظان علی ما رامه المحدّث النوری و إن أتعب نفسه الشریفة فی جمع الشواهد لما قصده.</w:t>
      </w:r>
    </w:p>
    <w:p>
      <w:pPr>
        <w:pStyle w:val="BookText"/>
      </w:pPr>
      <w:r>
        <w:rPr>
          <w:rFonts w:ascii="IRNazanin" w:hAnsi="IRNazanin" w:eastAsia="IRNazanin" w:cs="IRNazanin"/>
          <w:lang w:bidi="fa-IR"/>
          <w:color w:val="111111"/>
          <w:sz w:val="28"/>
          <w:szCs w:val="28"/>
          <w:rtl/>
        </w:rPr>
        <w:t xml:space="preserve">و بالجملة، لا یستفاد من اللّفظین أنّ کلّ ما یوصف به معدود من الرواة فی الفضائل فهو حاصل فیه علی الوجه الأتمّ و الأشدّ بل المراد تنزیهه من جهة التحرّز عن الکذب، و توصیفه من جهة الصیانة عن الاشتباه و الزلّة، و أنّه من تینک الجهتین فی الدرجة العلیا.</w:t>
      </w:r>
    </w:p>
    <w:p>
      <w:pPr>
        <w:pStyle w:val="BookText"/>
      </w:pPr>
      <w:r>
        <w:rPr>
          <w:rFonts w:ascii="IRNazanin" w:hAnsi="IRNazanin" w:eastAsia="IRNazanin" w:cs="IRNazanin"/>
          <w:lang w:bidi="fa-IR"/>
          <w:color w:val="111111"/>
          <w:sz w:val="28"/>
          <w:szCs w:val="28"/>
          <w:rtl/>
        </w:rPr>
        <w:t xml:space="preserve">و أین هو من صحّة عامّة روایاته لأجل وثاقة رواتها، أو اکتنافها بالقرائن الداخلیة، کما هو المدّعی؟</w:t>
      </w:r>
    </w:p>
    <w:p>
      <w:pPr>
        <w:pStyle w:val="BookText"/>
      </w:pPr>
      <w:r>
        <w:rPr>
          <w:rFonts w:ascii="IRNazanin" w:hAnsi="IRNazanin" w:eastAsia="IRNazanin" w:cs="IRNazanin"/>
          <w:lang w:bidi="fa-IR"/>
          <w:color w:val="111111"/>
          <w:sz w:val="28"/>
          <w:szCs w:val="28"/>
          <w:rtl/>
        </w:rPr>
        <w:t xml:space="preserve">[شماره صفحه واقعی : 364]</w:t>
      </w:r>
    </w:p>
    <w:p>
      <w:pPr>
        <w:pStyle w:val="BookText"/>
      </w:pPr>
      <w:r>
        <w:rPr>
          <w:rFonts w:ascii="IRNazanin" w:hAnsi="IRNazanin" w:eastAsia="IRNazanin" w:cs="IRNazanin"/>
          <w:lang w:bidi="fa-IR"/>
          <w:color w:val="111111"/>
          <w:sz w:val="28"/>
          <w:szCs w:val="28"/>
          <w:rtl/>
        </w:rPr>
        <w:t xml:space="preserve">ص: 1082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اتّصاف جماعة من أصحابنا بعدم الروایة أو الارسال إلا عن ثقة، علی فرض ثبوتة فضیلة لهم، لیست لها دخالة فی الاتّصاف بالوثاقة، بحیث لو لم یکن الکلینی مثلهم لا یکون أوثق الناس و أثبتهم، لما عرفت من أنّ المادّة و الهیئة لا ترمیان إلاّ إلی التحرّز عن الکذب، و السداد عن الزلّة و قلّة الاشتباه، من دون نظر إلی سائر الجهات.</w:t>
      </w:r>
    </w:p>
    <w:p>
      <w:pPr>
        <w:pStyle w:val="BookText"/>
      </w:pPr>
      <w:r>
        <w:rPr>
          <w:rFonts w:ascii="IRNazanin" w:hAnsi="IRNazanin" w:eastAsia="IRNazanin" w:cs="IRNazanin"/>
          <w:lang w:bidi="fa-IR"/>
          <w:color w:val="111111"/>
          <w:sz w:val="28"/>
          <w:szCs w:val="28"/>
          <w:rtl/>
        </w:rPr>
        <w:t xml:space="preserve">ثالثا: إنّ الروایة عن الضعفاء مع ترک التسمیة یخالف الوثاقة، و أمّا الروایة عنهم معها فلا یخالفها أبدا، نعم إکثار الروایة من الضعفاء کان أمرا مذموما، و قد رمی به أحمد بن محمّد بن خالد البرقی، و أمّا النقل عنهم علی الوجه المتعارف مع التسمیة فلا ینافی الوثاقة و الثبت، فلا مانع من أن یروی الکلینی مع ذکر أسمائهم و مع ذلک یکون من أوثق الناس و أثبتهم.</w:t>
      </w:r>
    </w:p>
    <w:p>
      <w:pPr>
        <w:pStyle w:val="BookText"/>
      </w:pPr>
      <w:r>
        <w:rPr>
          <w:rFonts w:ascii="IRNazanin" w:hAnsi="IRNazanin" w:eastAsia="IRNazanin" w:cs="IRNazanin"/>
          <w:lang w:bidi="fa-IR"/>
          <w:color w:val="111111"/>
          <w:sz w:val="28"/>
          <w:szCs w:val="28"/>
          <w:rtl/>
        </w:rPr>
        <w:t xml:space="preserve">رابعا: إنّ المتحرّزین فی النقل عن الضعفاء، إنّما یتحرّزون فی النقل عنهم بلا واسطة، و أمّا النقل عنهم بواسطة الثقات، فقد کان رائجا، و هذا هو النجاشی لا یروی إلاّ عن ثقة بلا واسطة، و أمّا معها فیروی عنها و عن غیرها، و لأجل ذلک یقول فی ترجمة أبی المفضّل محمّد بن عبد اللّه بن محمد: «کان سافر فی طلب الحدیث عمره، أصله کوفّی و کان فی أوّل امره ثبتا ثمّ خلط، و رأیت جلّ أصحابنا یغمزونه و یضعّفونه، له کتب - إلی أن قال: رأیت هذا الشیخ و سمعت منه کثیرا ثمّ توقفت عن الروایة عنه إلاّ بواسطة بینی و بینه»</w:t>
      </w:r>
      <w:r>
        <w:rPr>
          <w:rStyle w:val="FootnoteReference"/>
        </w:rPr>
        <w:footnoteReference w:id="4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فأقصی ما یمکن أن یقال: إنّ الکلینی لا یروی فی کتابه بلا واسطة إلاّ عن الثقات، و أمّا معها فیروی عن الثقة و غیرها، و أمّا الالتزام بالنقل عن الثقات فی جمیع السلسلة فلم یثبت فی حقّ أحد، إلاّ المعروفین بهذا الوصف، أعنی ابن أبی عمیر و صفوان و البزنطی کما أوضحناه.</w:t>
      </w:r>
    </w:p>
    <w:p>
      <w:pPr>
        <w:pStyle w:val="BookText"/>
      </w:pPr>
      <w:r>
        <w:rPr>
          <w:rFonts w:ascii="IRNazanin" w:hAnsi="IRNazanin" w:eastAsia="IRNazanin" w:cs="IRNazanin"/>
          <w:lang w:bidi="fa-IR"/>
          <w:color w:val="111111"/>
          <w:sz w:val="28"/>
          <w:szCs w:val="28"/>
          <w:rtl/>
        </w:rPr>
        <w:t xml:space="preserve">[شماره صفحه واقعی : 365]</w:t>
      </w:r>
    </w:p>
    <w:p>
      <w:pPr>
        <w:pStyle w:val="BookText"/>
      </w:pPr>
      <w:r>
        <w:rPr>
          <w:rFonts w:ascii="IRNazanin" w:hAnsi="IRNazanin" w:eastAsia="IRNazanin" w:cs="IRNazanin"/>
          <w:lang w:bidi="fa-IR"/>
          <w:color w:val="111111"/>
          <w:sz w:val="28"/>
          <w:szCs w:val="28"/>
          <w:rtl/>
        </w:rPr>
        <w:t xml:space="preserve">ص: 1083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451" w:name="pg14419_167799"/>
    <w:bookmarkEnd w:id="451"/>
    <w:p>
      <w:pPr>
        <w:pStyle w:val="BookText"/>
      </w:pPr>
      <w:r>
        <w:rPr>
          <w:rFonts w:ascii="IRNazanin" w:hAnsi="IRNazanin" w:eastAsia="IRNazanin" w:cs="IRNazanin"/>
          <w:lang w:bidi="fa-IR"/>
          <w:color w:val="111111"/>
          <w:sz w:val="28"/>
          <w:szCs w:val="28"/>
          <w:rtl/>
        </w:rPr>
        <w:t xml:space="preserve">خامسا: إنّ تألیف الکافی فی عشرین سنة، لم یکن لأجل تمییز الصحیح عن غیره، و جمع الروایات الموثوق بها فقط، بل کان هذا أحد الأهداف، و لکن کان هناک أسباب اخر لطول المدّة، و هو السعی فی العثور علی النسخ الصحیحة المقروءة علی المشایخ، أو المسموعة عنهم و انتخاب الصحیح عن الغلط، و الأصحّ من الصحیح، و الدّقة فی مضمون الروایة، و وضعها فی الباب المناسب له، إلی غیر ذلک من الأسباب الّتی تأخذ الوقت الثمین من المؤلّف، و لم یکن التألیف یومذاک أمرا سهلا، و لم تکن الکتب مطبوعة منتشرة حتّی یمهّد الطریق للمؤلف.</w:t>
      </w:r>
    </w:p>
    <w:p>
      <w:pPr>
        <w:pStyle w:val="BookText"/>
      </w:pPr>
      <w:r>
        <w:rPr>
          <w:rFonts w:ascii="IRNazanin" w:hAnsi="IRNazanin" w:eastAsia="IRNazanin" w:cs="IRNazanin"/>
          <w:lang w:bidi="fa-IR"/>
          <w:color w:val="111111"/>
          <w:sz w:val="28"/>
          <w:szCs w:val="28"/>
          <w:rtl/>
        </w:rPr>
        <w:t xml:space="preserve">نعم، مع ذلک لم یکن هدفه أیضا مجرّد الجمع بلا دقّة، و التألیف بلا ملاحظة الأسناد و المتون، و لکن لا علی وجه یغنی عن ملاحظة الأسناد مطلقا، و علی کلّ حال، فالکتاب مع جلالته عمل فردی لا یمکن أن یکون نقیّا عن الاشتباه و الزلّة غیر محتاج إلی التّنقیب و التفتیش، فجهوده الکبری مشکورة لا تستغنی عنها، و لکن لا یکتفی بها.</w:t>
      </w:r>
    </w:p>
    <w:p>
      <w:pPr>
        <w:pStyle w:val="Heading6"/>
      </w:pPr>
      <w:bookmarkStart w:id="1400" w:name="_Toc840"/>
      <w:r>
        <w:t>الوجه الثالث: کون المؤلف فی عصر الغیبة الصغری</w:t>
      </w:r>
      <w:bookmarkEnd w:id="1400"/>
    </w:p>
    <w:p>
      <w:pPr>
        <w:pStyle w:val="Heading6"/>
      </w:pPr>
      <w:bookmarkStart w:id="1401" w:name="_Toc841"/>
      <w:r>
        <w:t>اشارة</w:t>
      </w:r>
      <w:bookmarkEnd w:id="1401"/>
    </w:p>
    <w:p>
      <w:pPr>
        <w:pStyle w:val="BookText"/>
      </w:pPr>
      <w:r>
        <w:rPr>
          <w:rFonts w:ascii="IRNazanin" w:hAnsi="IRNazanin" w:eastAsia="IRNazanin" w:cs="IRNazanin"/>
          <w:lang w:bidi="fa-IR"/>
          <w:color w:val="111111"/>
          <w:sz w:val="28"/>
          <w:szCs w:val="28"/>
          <w:rtl/>
        </w:rPr>
        <w:t xml:space="preserve">أشار السید علیّ بن طاوس فی «کشف المحجّة» فی مقام بیان اعتبار الوصیّة المعروفة الّتی کتبها أمیر المؤمنین لولده الحسن - علیهما السلام - و قد نقلها من کتاب «رسائل الائمّة» للکلینی، إلی وجه آخر لاعتبار أحادیث الکافی و قال ما هذا لفظه: «و الشیخ محمّد بن یعقوب کان حیّا فی زمن وکلاء المهدی - صلوات اللّه علیه -: عثمان بن سعید العمری، و ولده أبی جعفر محمّد، و أبی القاسم بن روح، و علیّ بن محمّد السیمری - رحمهم اللّه -، و توفّی محمّد بن یعقوب قبل وفاة علیّ بن محمد السیمری، لأنّ علیّ بن محمد السیمری توفّی فی شعبان سنة تسع و عشرین و ثلاثمائة، و الکلینی توفی ببغداد سنة ثمان و عشرین و ثلاثمائة فتصانیف الکلینی و روایاته فی زمن الوکلاء</w:t>
      </w:r>
    </w:p>
    <w:p>
      <w:pPr>
        <w:pStyle w:val="BookText"/>
      </w:pPr>
      <w:r>
        <w:rPr>
          <w:rFonts w:ascii="IRNazanin" w:hAnsi="IRNazanin" w:eastAsia="IRNazanin" w:cs="IRNazanin"/>
          <w:lang w:bidi="fa-IR"/>
          <w:color w:val="111111"/>
          <w:sz w:val="28"/>
          <w:szCs w:val="28"/>
          <w:rtl/>
        </w:rPr>
        <w:t xml:space="preserve">[شماره صفحه واقعی : 366]</w:t>
      </w:r>
    </w:p>
    <w:p>
      <w:pPr>
        <w:pStyle w:val="BookText"/>
      </w:pPr>
      <w:r>
        <w:rPr>
          <w:rFonts w:ascii="IRNazanin" w:hAnsi="IRNazanin" w:eastAsia="IRNazanin" w:cs="IRNazanin"/>
          <w:lang w:bidi="fa-IR"/>
          <w:color w:val="111111"/>
          <w:sz w:val="28"/>
          <w:szCs w:val="28"/>
          <w:rtl/>
        </w:rPr>
        <w:t xml:space="preserve">ص: 1084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المذکورین فی وقت یجد طریقا إلی تحقیق منقولاته و تصدیق مصنّفاته»</w:t>
      </w:r>
      <w:r>
        <w:rPr>
          <w:rStyle w:val="FootnoteReference"/>
        </w:rPr>
        <w:footnoteReference w:id="4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المحدّث الحرّ إلی قوله «فی زمن الوکلاء المذکورین»</w:t>
      </w:r>
      <w:r>
        <w:rPr>
          <w:rStyle w:val="FootnoteReference"/>
        </w:rPr>
        <w:footnoteReference w:id="4111"/>
      </w:r>
      <w:r>
        <w:rPr>
          <w:rFonts w:ascii="IRNazanin" w:hAnsi="IRNazanin" w:eastAsia="IRNazanin" w:cs="IRNazanin"/>
          <w:lang w:bidi="fa-IR"/>
          <w:color w:val="111111"/>
          <w:sz w:val="28"/>
          <w:szCs w:val="28"/>
          <w:rtl/>
        </w:rPr>
        <w:t xml:space="preserve">و لم ینقل تتمّة کلامه الّذی هو أوفی دلالة علی ما هو بصدد إثباته.</w:t>
      </w:r>
    </w:p>
    <w:p>
      <w:pPr>
        <w:pStyle w:val="BookText"/>
      </w:pPr>
      <w:r>
        <w:rPr>
          <w:rFonts w:ascii="IRNazanin" w:hAnsi="IRNazanin" w:eastAsia="IRNazanin" w:cs="IRNazanin"/>
          <w:lang w:bidi="fa-IR"/>
          <w:color w:val="111111"/>
          <w:sz w:val="28"/>
          <w:szCs w:val="28"/>
          <w:rtl/>
        </w:rPr>
        <w:t xml:space="preserve">و قال المحدّث النوری بعد نقل کلام السید: «نتیجة ما ذکره من المقدّمات عرض الکتاب علی أحدهم و إمضاؤه و حکمه بصحّته، و هو عین إمضاء الإمام - علیه السلام -، و هذا و إن کان أمرا غیر قطعیّ یصیب و یخطیء، و لا یجوز التشبّث به فی المقام، إلاّ أنّ التأمل فی مقدّماته یورث الظنّ القویّ و الاطمئنان التامّ أو الوثوق بما ذکره، فإنّه - رحمه اللّه - کان وجه الطائفة و عینهم و مرجعهم کما صرّحوا به، فی بلد إقامة النوّاب، و کان غرضه من التألیف، العمل به فی جمیع ما یتعلّق بامور الدین، لاستدعائهم و سؤالهم عنه ذلک، کما صرّح به فی أوّل الکتاب، و کان بمحضره فی بغداد، یسألون عن الحجّة - علیه السلام - بتوسّط أحد من النوّاب عن صحّة بعض الأخبار، و جواز العمل به، و فی مکاتیب محمّد بن عبد اللّه بن جعفر الحمیری إلیه - علیه السلام - من ذلک جملة وافرة و غیرها، فمن البعید أنّه - رحمه اللّه - فی طول مدّة تألیفه و هی عشرون سنة لم یعلمهم بذلک، و لم یعرضه علیهم مع ما کان فیما بینهم من المخالطة و المعاشرة بحسب العادة و کانت الشیعة یسألون عن الأبواب حوائج و امورا دنیویّة تعسرّت علیهم یریدون قضاءها و إصلاحها، و هذا أبو غالب الزراری استنسخ قسما کبیرا من أبواب الکافی و رواه عن مؤلّفه بالقراءة علیه أو بالاجازة، فمن البعید أن لا یعرضه علی الأبواب مع أنّه رفع مشکلة زوجته فوافاه الجواب.</w:t>
      </w:r>
    </w:p>
    <w:p>
      <w:pPr>
        <w:pStyle w:val="BookText"/>
      </w:pPr>
      <w:r>
        <w:rPr>
          <w:rFonts w:ascii="IRNazanin" w:hAnsi="IRNazanin" w:eastAsia="IRNazanin" w:cs="IRNazanin"/>
          <w:lang w:bidi="fa-IR"/>
          <w:color w:val="111111"/>
          <w:sz w:val="28"/>
          <w:szCs w:val="28"/>
          <w:rtl/>
        </w:rPr>
        <w:t xml:space="preserve">[شماره صفحه واقعی : 367]</w:t>
      </w:r>
    </w:p>
    <w:p>
      <w:pPr>
        <w:pStyle w:val="BookText"/>
      </w:pPr>
      <w:r>
        <w:rPr>
          <w:rFonts w:ascii="IRNazanin" w:hAnsi="IRNazanin" w:eastAsia="IRNazanin" w:cs="IRNazanin"/>
          <w:lang w:bidi="fa-IR"/>
          <w:color w:val="111111"/>
          <w:sz w:val="28"/>
          <w:szCs w:val="28"/>
          <w:rtl/>
        </w:rPr>
        <w:t xml:space="preserve">ص: 1085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عرض الکتاب علی النوّاب مرسوما، روی الشیخ فی غیبته أنّه لمّا عمل الشلمغانی کتاب التکلیف، قال الشیخ أبو القاسم بن روح: اطلبوا إلیّ لأنظره، فجاؤوا به فقرأه من أوّله إلی آخره، فقال ما فیه شیء إلاّ و قد روی عن الائمّة إلاّ فی موضعین أو ثلاثة، فإنّه کذب علیهم فی روایتها - لعنه اللّه -.</w:t>
      </w:r>
    </w:p>
    <w:p>
      <w:pPr>
        <w:pStyle w:val="BookText"/>
      </w:pPr>
      <w:r>
        <w:rPr>
          <w:rFonts w:ascii="IRNazanin" w:hAnsi="IRNazanin" w:eastAsia="IRNazanin" w:cs="IRNazanin"/>
          <w:lang w:bidi="fa-IR"/>
          <w:color w:val="111111"/>
          <w:sz w:val="28"/>
          <w:szCs w:val="28"/>
          <w:rtl/>
        </w:rPr>
        <w:t xml:space="preserve">و قد سئل الشیخ من کتب ابن أبی العزاقر بعد ما ذمّ و خرجت فیه اللّعنة فقیل: کیف نعمل بکتبه و بیوتنا منها ملأی؟ فقال: أقول فیها ما قاله أبو محمّد الحسن بن علی - صلوات اللّه علیهما - و قد سئل عن کتب بنی فضّال، فقالوا:</w:t>
      </w:r>
    </w:p>
    <w:p>
      <w:pPr>
        <w:pStyle w:val="BookText"/>
      </w:pPr>
      <w:r>
        <w:rPr>
          <w:rFonts w:ascii="IRNazanin" w:hAnsi="IRNazanin" w:eastAsia="IRNazanin" w:cs="IRNazanin"/>
          <w:lang w:bidi="fa-IR"/>
          <w:color w:val="111111"/>
          <w:sz w:val="28"/>
          <w:szCs w:val="28"/>
          <w:rtl/>
        </w:rPr>
        <w:t xml:space="preserve">کیف نعمل بکتبهم و بیوتنا منها ملأی؟ فقال - صلوات اللّه علیه -: «خذوا ما رووا و ذروا ما رأوا».</w:t>
      </w:r>
    </w:p>
    <w:p>
      <w:pPr>
        <w:pStyle w:val="BookText"/>
      </w:pPr>
      <w:r>
        <w:rPr>
          <w:rFonts w:ascii="IRNazanin" w:hAnsi="IRNazanin" w:eastAsia="IRNazanin" w:cs="IRNazanin"/>
          <w:lang w:bidi="fa-IR"/>
          <w:color w:val="111111"/>
          <w:sz w:val="28"/>
          <w:szCs w:val="28"/>
          <w:rtl/>
        </w:rPr>
        <w:t xml:space="preserve">فمن البعید غایة البعد أنّ أحدا منهم (النوّاب) لم یطلب من الکلینی هذا الکتاب الّذی عمل لکافّة الشیعة، أو لم یره عنده و لم ینظر إلیه، و قد عکف علیه وجوه الشیعة و عیون الطائفة، و بالجملة فالناظر إلی جمیع ذلک لعلّه یطمئنّ إلی ما أشار إلیه السیّد الأجلّ، و توهّم أنّه لو عرض علی الإمام - علیه السلام -، أو علی أحد من نوّابه لذاع و اشتهر، منقوض بالکتب المعروضة علی آبائه الکرام - صلوات اللّه علیهم -، فإنه لم ینقل إلینا کلّ واحد منها إلاّ بطریق أو بطریقین»</w:t>
      </w:r>
      <w:r>
        <w:rPr>
          <w:rStyle w:val="FootnoteReference"/>
        </w:rPr>
        <w:footnoteReference w:id="4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ذکره مبنیّ علی أمرین غیر ثابتین، بل الثابت خلافه.</w:t>
      </w:r>
    </w:p>
    <w:p>
      <w:pPr>
        <w:pStyle w:val="BookText"/>
      </w:pPr>
      <w:r>
        <w:rPr>
          <w:rFonts w:ascii="IRNazanin" w:hAnsi="IRNazanin" w:eastAsia="IRNazanin" w:cs="IRNazanin"/>
          <w:lang w:bidi="fa-IR"/>
          <w:color w:val="111111"/>
          <w:sz w:val="28"/>
          <w:szCs w:val="28"/>
          <w:rtl/>
        </w:rPr>
        <w:t xml:space="preserve">1 - کون الکلینی مقیما ببغداد و قام بتألیفه بمرأی و مسمع من النوّاب، و کان بینه و بینهم مخالطة و معاشرة.</w:t>
      </w:r>
    </w:p>
    <w:p>
      <w:pPr>
        <w:pStyle w:val="BookText"/>
      </w:pPr>
      <w:r>
        <w:rPr>
          <w:rFonts w:ascii="IRNazanin" w:hAnsi="IRNazanin" w:eastAsia="IRNazanin" w:cs="IRNazanin"/>
          <w:lang w:bidi="fa-IR"/>
          <w:color w:val="111111"/>
          <w:sz w:val="28"/>
          <w:szCs w:val="28"/>
          <w:rtl/>
        </w:rPr>
        <w:t xml:space="preserve">2 - إنّ الجهة الباعثة إلی عرض کتاب (التکّلیف) علی أبی القاسم بن روح، کانت موجودة فی الکافی أیضا و إلیک بیان الأمرین:</w:t>
      </w:r>
    </w:p>
    <w:p>
      <w:pPr>
        <w:pStyle w:val="BookText"/>
      </w:pPr>
      <w:r>
        <w:rPr>
          <w:rFonts w:ascii="IRNazanin" w:hAnsi="IRNazanin" w:eastAsia="IRNazanin" w:cs="IRNazanin"/>
          <w:lang w:bidi="fa-IR"/>
          <w:color w:val="111111"/>
          <w:sz w:val="28"/>
          <w:szCs w:val="28"/>
          <w:rtl/>
        </w:rPr>
        <w:t xml:space="preserve">[شماره صفحه واقعی : 368]</w:t>
      </w:r>
    </w:p>
    <w:p>
      <w:pPr>
        <w:pStyle w:val="BookText"/>
      </w:pPr>
      <w:r>
        <w:rPr>
          <w:rFonts w:ascii="IRNazanin" w:hAnsi="IRNazanin" w:eastAsia="IRNazanin" w:cs="IRNazanin"/>
          <w:lang w:bidi="fa-IR"/>
          <w:color w:val="111111"/>
          <w:sz w:val="28"/>
          <w:szCs w:val="28"/>
          <w:rtl/>
        </w:rPr>
        <w:t xml:space="preserve">ص: 1086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فیه أوّلا: أنّ صریح قول النجاشی فی ترجمته «شیخ أصحابنا فی وقته بالری و وجههم» أنّه کان مقیما بالری، مؤلّفا فیها، و إنّما انتقل فی اخریات عمره إلی بغداد، و لم نقف علی سنة انتقاله إلی بغداد و مدّة إقامته فیها، و إن ادّعی بعضهم أنّه أقام بها سنتین ثمّ توفّی، و من البعید أن لا یستنسخ منه فی موطنه عدّة نسخ بواسطة تلامیذه قبل الانتقال إلی بغداد، و لا ینتشر فی الأقطار الاسلامیّة، و لو صحّ ذلک فلا فائدة من العرض بعد النشر، و لا فی الاستظهار بعد البثّ، و إنّما یکون مفیدا لو عرض قبل النشر و استظهر قبل البثّ، حتّی یعالج ما یحتاج إلی الاصلاح.</w:t>
      </w:r>
    </w:p>
    <w:p>
      <w:pPr>
        <w:pStyle w:val="BookText"/>
      </w:pPr>
      <w:r>
        <w:rPr>
          <w:rFonts w:ascii="IRNazanin" w:hAnsi="IRNazanin" w:eastAsia="IRNazanin" w:cs="IRNazanin"/>
          <w:lang w:bidi="fa-IR"/>
          <w:color w:val="111111"/>
          <w:sz w:val="28"/>
          <w:szCs w:val="28"/>
          <w:rtl/>
        </w:rPr>
        <w:t xml:space="preserve">و ثانیا: إنّه لم تکن بینهما مخالطة و معاشرة، بشهادة انّه لم یرو عن أحد من النوّاب فی أبواب الکافی، حتّی ما یرجع إلی الإمام الحجة - علیه السلام -، و هذا یعرب عن عدم خلطته و معاشرته معهم، و إلاّ لنقل منهم روایة أو روایات فی الأبواب المختلفة، و مع هذا فکیف یصحّ أن یدّعی أنّه عرض کتابه علیهم و استظهر منهم الحال.</w:t>
      </w:r>
    </w:p>
    <w:p>
      <w:pPr>
        <w:pStyle w:val="BookText"/>
      </w:pPr>
      <w:r>
        <w:rPr>
          <w:rFonts w:ascii="IRNazanin" w:hAnsi="IRNazanin" w:eastAsia="IRNazanin" w:cs="IRNazanin"/>
          <w:lang w:bidi="fa-IR"/>
          <w:color w:val="111111"/>
          <w:sz w:val="28"/>
          <w:szCs w:val="28"/>
          <w:rtl/>
        </w:rPr>
        <w:t xml:space="preserve">و ثالثا: إنّه لو عرض هو نفسه أو أحد تلامیذه، کتابه علیهم، لذکره فی دیباجة الکتاب، و قد کتب الدیباجة بعد تألیف الکتاب کما هو ظاهر لمن لاحظها، و ما ذکره المحدّث النوری من أنّ هنا کتبا معروضة علی الإمام، لم ینتقل إلاّ بطریق أو طریقین غیر تامّ، لأنّ هذه الکتب عرضت علی الإمام بعد وفاة مؤلّفیها، و المدّعی أنّه عرض الکافی بواسطة المؤلّف أو تلامیذه فی حیاة مؤلفه، فطبع الحال یقتضی أنه لو کان نفس المؤلف عرضه، لأثبته فی المقدّمة قطعا، تثبیتا لموقف الکتاب الّذی ألّفه لیکون مرجعا للشیعة فی جمیع الأعصار.</w:t>
      </w:r>
    </w:p>
    <w:p>
      <w:pPr>
        <w:pStyle w:val="BookText"/>
      </w:pPr>
      <w:r>
        <w:rPr>
          <w:rFonts w:ascii="IRNazanin" w:hAnsi="IRNazanin" w:eastAsia="IRNazanin" w:cs="IRNazanin"/>
          <w:lang w:bidi="fa-IR"/>
          <w:color w:val="111111"/>
          <w:sz w:val="28"/>
          <w:szCs w:val="28"/>
          <w:rtl/>
        </w:rPr>
        <w:t xml:space="preserve">و أمّا الثانی: فلأنّ الداعی إلی عرض کتاب الشلمغانی، هو احتمال انّه أدخل فیه لأجل انحرافه ما لم یصدر عنهم - علیهم السلام -، و کان کتاب التکلیف کالرسالة العملیة ینظر فیه کلّ عاکف و باد، و عمل بما فیه، و أین هو</w:t>
      </w:r>
    </w:p>
    <w:p>
      <w:pPr>
        <w:pStyle w:val="BookText"/>
      </w:pPr>
      <w:r>
        <w:rPr>
          <w:rFonts w:ascii="IRNazanin" w:hAnsi="IRNazanin" w:eastAsia="IRNazanin" w:cs="IRNazanin"/>
          <w:lang w:bidi="fa-IR"/>
          <w:color w:val="111111"/>
          <w:sz w:val="28"/>
          <w:szCs w:val="28"/>
          <w:rtl/>
        </w:rPr>
        <w:t xml:space="preserve">[شماره صفحه واقعی : 369]</w:t>
      </w:r>
    </w:p>
    <w:p>
      <w:pPr>
        <w:pStyle w:val="BookText"/>
      </w:pPr>
      <w:r>
        <w:rPr>
          <w:rFonts w:ascii="IRNazanin" w:hAnsi="IRNazanin" w:eastAsia="IRNazanin" w:cs="IRNazanin"/>
          <w:lang w:bidi="fa-IR"/>
          <w:color w:val="111111"/>
          <w:sz w:val="28"/>
          <w:szCs w:val="28"/>
          <w:rtl/>
        </w:rPr>
        <w:t xml:space="preserve">ص: 1087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کتاب الکافی الّذی ألّفه الثقة الثّبت الورع، الّذی نقطع بعدم کذبه علی الأئمّة - علیهم السلام -، فلا حاجة للعرض، و إلاّ لوجب عرض غیره من الجوامع، مثل جامع البزنطی، و محاسن البرقی، و نوادر الحکمة للأشعری.</w:t>
      </w:r>
    </w:p>
    <w:p>
      <w:pPr>
        <w:pStyle w:val="BookText"/>
      </w:pPr>
      <w:r>
        <w:rPr>
          <w:rFonts w:ascii="IRNazanin" w:hAnsi="IRNazanin" w:eastAsia="IRNazanin" w:cs="IRNazanin"/>
          <w:lang w:bidi="fa-IR"/>
          <w:color w:val="111111"/>
          <w:sz w:val="28"/>
          <w:szCs w:val="28"/>
          <w:rtl/>
        </w:rPr>
        <w:t xml:space="preserve">کلّ ذلک یؤیّد أنّه کان هنا سبب خاص لعرض کتاب التکلیف دون غیره من الکتب.</w:t>
      </w:r>
    </w:p>
    <w:p>
      <w:pPr>
        <w:pStyle w:val="BookText"/>
      </w:pPr>
      <w:r>
        <w:rPr>
          <w:rFonts w:ascii="IRNazanin" w:hAnsi="IRNazanin" w:eastAsia="IRNazanin" w:cs="IRNazanin"/>
          <w:lang w:bidi="fa-IR"/>
          <w:color w:val="111111"/>
          <w:sz w:val="28"/>
          <w:szCs w:val="28"/>
          <w:rtl/>
        </w:rPr>
        <w:t xml:space="preserve">و علی الجملة، إنّ قیاس کتاب الکافی بکتاب التکلیف، قیاس مع الفارق، و قد ألّف الشیخ الشلمغانی کتاب التکلیف حال استقامته، ثمّ ادعی ما ادعی، فخرج التوقیع علی لعنه و البراءة منه من الناحیة المقدّسة عام 312، و صار ذلک مظنّة للسؤال عن کتابه الّذی کان کالرسالة العملیّة، فصار العمل به مظنّة الضلال، کما أنّ ترکه کان مظنّة ترک ما یصحّ العمل به.</w:t>
      </w:r>
    </w:p>
    <w:p>
      <w:pPr>
        <w:pStyle w:val="BookText"/>
      </w:pPr>
      <w:r>
        <w:rPr>
          <w:rFonts w:ascii="IRNazanin" w:hAnsi="IRNazanin" w:eastAsia="IRNazanin" w:cs="IRNazanin"/>
          <w:lang w:bidi="fa-IR"/>
          <w:color w:val="111111"/>
          <w:sz w:val="28"/>
          <w:szCs w:val="28"/>
          <w:rtl/>
        </w:rPr>
        <w:t xml:space="preserve">و لأجل هذا المحذور المختصّ به، رفع الأمر إلی الشیخ أبی القاسم بن روح، فطلب الکتاب و طالعه و عیّن مواضع ضلاله، و أین هذا من کتاب الکافی الّذی ألّفه الثقة الثبت لیکون مصدرا و مرجعا للفقهاء و لا بأس بنقل ما ورد حول کتاب التکلیف.</w:t>
      </w:r>
    </w:p>
    <w:p>
      <w:pPr>
        <w:pStyle w:val="BookText"/>
      </w:pPr>
      <w:r>
        <w:rPr>
          <w:rFonts w:ascii="IRNazanin" w:hAnsi="IRNazanin" w:eastAsia="IRNazanin" w:cs="IRNazanin"/>
          <w:lang w:bidi="fa-IR"/>
          <w:color w:val="111111"/>
          <w:sz w:val="28"/>
          <w:szCs w:val="28"/>
          <w:rtl/>
        </w:rPr>
        <w:t xml:space="preserve">منها: ما رواه الشیخ فی کتاب «الغیبة» عن ابن زهومة النوبختی، قال: سمعت روح بن أبی القاسم بن روح یقول: «لمّا عمل محمّد بن علی الشلمغانی کتاب التکلیف، قال أبو القاسم الحسین بن روح: اطلبوه إلیّ لأنظره، فقرأه من أوّله إلی آخره، فقال: ما فیه شیء إلاّ و قد روی عن الأئمّة، إلاّ فی موضعین أو ثلاثة، فإنّه کذب علیهم فی روایتها - لعنه اللّه -</w:t>
      </w:r>
      <w:r>
        <w:rPr>
          <w:rStyle w:val="FootnoteReference"/>
        </w:rPr>
        <w:footnoteReference w:id="4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رواه أیضا بسنده عن عبد اللّه الکوفی خادم الشیخ حسین بن روح قال: «سئل الشیخ - یعنی أبا القاسم - عن کتب ابن أبی العزاقر بعد ما ذمّ و خرجت فیه اللّعنة، و قیل له فکیف نعمل بکتبه و بیوتنا منه ملأی؟ فقال: أقول</w:t>
      </w:r>
    </w:p>
    <w:p>
      <w:pPr>
        <w:pStyle w:val="BookText"/>
      </w:pPr>
      <w:r>
        <w:rPr>
          <w:rFonts w:ascii="IRNazanin" w:hAnsi="IRNazanin" w:eastAsia="IRNazanin" w:cs="IRNazanin"/>
          <w:lang w:bidi="fa-IR"/>
          <w:color w:val="111111"/>
          <w:sz w:val="28"/>
          <w:szCs w:val="28"/>
          <w:rtl/>
        </w:rPr>
        <w:t xml:space="preserve">[شماره صفحه واقعی : 370]</w:t>
      </w:r>
    </w:p>
    <w:p>
      <w:pPr>
        <w:pStyle w:val="BookText"/>
      </w:pPr>
      <w:r>
        <w:rPr>
          <w:rFonts w:ascii="IRNazanin" w:hAnsi="IRNazanin" w:eastAsia="IRNazanin" w:cs="IRNazanin"/>
          <w:lang w:bidi="fa-IR"/>
          <w:color w:val="111111"/>
          <w:sz w:val="28"/>
          <w:szCs w:val="28"/>
          <w:rtl/>
        </w:rPr>
        <w:t xml:space="preserve">ص: 1088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452" w:name="pg14419_167804"/>
    <w:bookmarkEnd w:id="452"/>
    <w:p>
      <w:pPr>
        <w:pStyle w:val="BookText"/>
      </w:pPr>
      <w:r>
        <w:rPr>
          <w:rFonts w:ascii="IRNazanin" w:hAnsi="IRNazanin" w:eastAsia="IRNazanin" w:cs="IRNazanin"/>
          <w:lang w:bidi="fa-IR"/>
          <w:color w:val="111111"/>
          <w:sz w:val="28"/>
          <w:szCs w:val="28"/>
          <w:rtl/>
        </w:rPr>
        <w:t xml:space="preserve">فیها ما قاله أبو محمد الحسن بن علی - صلوات اللّه علیهما - و قد سئل عن کتب بنی فضّال، فقالوا: کیف نعمل بکتبهم و بیوتنا منه ملأی؟ فقال - صلوات اللّه علیه -:</w:t>
      </w:r>
    </w:p>
    <w:p>
      <w:pPr>
        <w:pStyle w:val="BookText"/>
      </w:pPr>
      <w:r>
        <w:rPr>
          <w:rFonts w:ascii="IRNazanin" w:hAnsi="IRNazanin" w:eastAsia="IRNazanin" w:cs="IRNazanin"/>
          <w:lang w:bidi="fa-IR"/>
          <w:color w:val="111111"/>
          <w:sz w:val="28"/>
          <w:szCs w:val="28"/>
          <w:rtl/>
        </w:rPr>
        <w:t xml:space="preserve">خذوا بما رووا و ذروا ما رأوا»</w:t>
      </w:r>
      <w:r>
        <w:rPr>
          <w:rStyle w:val="FootnoteReference"/>
        </w:rPr>
        <w:footnoteReference w:id="4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سلامة بن محمّد قال: «أنفذ الشیخ الحسین بن روح کتاب التأدیب</w:t>
      </w:r>
      <w:r>
        <w:rPr>
          <w:rStyle w:val="FootnoteReference"/>
        </w:rPr>
        <w:footnoteReference w:id="4115"/>
      </w:r>
      <w:r>
        <w:rPr>
          <w:rFonts w:ascii="IRNazanin" w:hAnsi="IRNazanin" w:eastAsia="IRNazanin" w:cs="IRNazanin"/>
          <w:lang w:bidi="fa-IR"/>
          <w:color w:val="111111"/>
          <w:sz w:val="28"/>
          <w:szCs w:val="28"/>
          <w:rtl/>
        </w:rPr>
        <w:t xml:space="preserve">إلی قم، و کتب إلی جماعة الفقهاء بها فقال لهم: انظروا فی هذا الکتاب و انظروا فیه شیء یخالفکم؟ فکتبوا إلیه: إنّه کلّه صحیح، و ما فیه شیء یخالف، إلاّ قوله «الصاع فی الفطرة نصف صاع من طعام» و «الطعام عندنا مثل الشعیر من کلّ واحد صاع»</w:t>
      </w:r>
      <w:r>
        <w:rPr>
          <w:rStyle w:val="FootnoteReference"/>
        </w:rPr>
        <w:footnoteReference w:id="4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«أمّا جزم بعض المجازفین بکون جمیع الکافی معروضا علی القائم - علیه السلام -، لکونه فی بلد السفراء فلا یخفی ما فیه، نعم عدم انکار القائم و آبائه - صلوات اللّه علیه و علیهم - علیه و علی أمثاله فی تألیفاتهم و روایاتهم ممّا یورث الظنّ المتاخم للعلم بکونهم - علیهم السلام - راضین بفعلهم و مجوّزین للعمل بأخبارهم»</w:t>
      </w:r>
      <w:r>
        <w:rPr>
          <w:rStyle w:val="FootnoteReference"/>
        </w:rPr>
        <w:footnoteReference w:id="4117"/>
      </w:r>
      <w:r>
        <w:rPr>
          <w:rFonts w:ascii="Times New Roman" w:hAnsi="Times New Roman" w:eastAsia="Times New Roman" w:cs="Times New Roman"/>
          <w:lang w:val="en-US" w:bidi="en-US"/>
          <w:color w:val="111111"/>
          <w:sz w:val="28"/>
          <w:szCs w:val="28"/>
          <w:rtl/>
        </w:rPr>
        <w:t xml:space="preserve">.</w:t>
      </w:r>
    </w:p>
    <w:p>
      <w:pPr>
        <w:pStyle w:val="Heading6"/>
      </w:pPr>
      <w:bookmarkStart w:id="1402" w:name="_Toc842"/>
      <w:r>
        <w:t>تقییم العرض علی وکیل الناحیة</w:t>
      </w:r>
      <w:bookmarkEnd w:id="1402"/>
    </w:p>
    <w:p>
      <w:pPr>
        <w:pStyle w:val="BookText"/>
      </w:pPr>
      <w:r>
        <w:rPr>
          <w:rFonts w:ascii="IRNazanin" w:hAnsi="IRNazanin" w:eastAsia="IRNazanin" w:cs="IRNazanin"/>
          <w:lang w:bidi="fa-IR"/>
          <w:color w:val="111111"/>
          <w:sz w:val="28"/>
          <w:szCs w:val="28"/>
          <w:rtl/>
        </w:rPr>
        <w:t xml:space="preserve">ثمّ إنّ الشیعة عرضت کتب الشلمغانی علی الشیخ أبی القاسم وکیل الناحیة لأجل، درایته بالحدیث و تعرّفه علی کلمات الأئمّة - علیهم السلام -، و لأجل ذلک لمّا عرض علیه کتاب التکلیف قال: «ما فیه شیء إلاّ و قد روی عن الأئمّة إلاّ موضعین أو ثلاثة» لا لأجل عرضه علی القائم - علیه السلام -، حتی انه قد أنفذ الکتاب نفسه (التأدیب) إلی فقهاء قم، و التمس نظرهم فیه، فکتبوا فی حقه ما عرفته، فإذا کان عرض الکتاب علی الشیخ أبی القاسم لأجل</w:t>
      </w:r>
    </w:p>
    <w:p>
      <w:pPr>
        <w:pStyle w:val="BookText"/>
      </w:pPr>
      <w:r>
        <w:rPr>
          <w:rFonts w:ascii="IRNazanin" w:hAnsi="IRNazanin" w:eastAsia="IRNazanin" w:cs="IRNazanin"/>
          <w:lang w:bidi="fa-IR"/>
          <w:color w:val="111111"/>
          <w:sz w:val="28"/>
          <w:szCs w:val="28"/>
          <w:rtl/>
        </w:rPr>
        <w:t xml:space="preserve">[شماره صفحه واقعی : 371]</w:t>
      </w:r>
    </w:p>
    <w:p>
      <w:pPr>
        <w:pStyle w:val="BookText"/>
      </w:pPr>
      <w:r>
        <w:rPr>
          <w:rFonts w:ascii="IRNazanin" w:hAnsi="IRNazanin" w:eastAsia="IRNazanin" w:cs="IRNazanin"/>
          <w:lang w:bidi="fa-IR"/>
          <w:color w:val="111111"/>
          <w:sz w:val="28"/>
          <w:szCs w:val="28"/>
          <w:rtl/>
        </w:rPr>
        <w:t xml:space="preserve">ص: 1089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تعرّفه بالحدیث، لا لأجل عرضه علی القائم - علیه السلام - فالکلینی کان فی غنی عن عرضه علیه، لأنّ الشیخ لم یکن أقوی منه فی الحدیث و عرفان الکلم. نعم لو کان الهدف عرضه علی القائم - علیه السلام - لکان لما ذکر وجه.</w:t>
      </w:r>
    </w:p>
    <w:p>
      <w:pPr>
        <w:pStyle w:val="BookText"/>
      </w:pPr>
      <w:r>
        <w:rPr>
          <w:rFonts w:ascii="IRNazanin" w:hAnsi="IRNazanin" w:eastAsia="IRNazanin" w:cs="IRNazanin"/>
          <w:lang w:bidi="fa-IR"/>
          <w:color w:val="111111"/>
          <w:sz w:val="28"/>
          <w:szCs w:val="28"/>
          <w:rtl/>
        </w:rPr>
        <w:t xml:space="preserve">و أمّا ما ذکره العلاّمة المجلسی من حصول الظنّ المتاخم للعلم بکونه - علیه السلام - راض بفعله فهذا ممّا لا شکّ فیه، کیف و لو لا الکافی و أضرابه لما بقی الدین، و لضاعت السنّة، و لکنّه لا یقتضی أن یؤخذ بکلّ روایاته من دون تحقیق فی الأسناد.</w:t>
      </w:r>
    </w:p>
    <w:p>
      <w:pPr>
        <w:pStyle w:val="BookText"/>
      </w:pPr>
      <w:r>
        <w:rPr>
          <w:rFonts w:ascii="IRNazanin" w:hAnsi="IRNazanin" w:eastAsia="IRNazanin" w:cs="IRNazanin"/>
          <w:lang w:bidi="fa-IR"/>
          <w:color w:val="111111"/>
          <w:sz w:val="28"/>
          <w:szCs w:val="28"/>
          <w:rtl/>
        </w:rPr>
        <w:t xml:space="preserve">و قد قال العلاّمة المجلسی فی نفس کلامه: «الحقّ عندی أنّ وجود الخبر فی أمثال تلک الاصول المعتبرة مما یورث جواز العمل به، و لکن لا بدّ من الرجوع إلی الأسانید لترجیح بعضها علی بعض عند التعارض»</w:t>
      </w:r>
      <w:r>
        <w:rPr>
          <w:rStyle w:val="FootnoteReference"/>
        </w:rPr>
        <w:footnoteReference w:id="4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أنّه لم یکن جمیع روایات الکتاب صحیحة عند المؤلّف نفسه أنّه - قدّس سره - عنون فی مقدّمة الکافی الخبرین المتعارضین و کیفیّة علاجهما، بأنّ من المتعارضین ما أمر الإمام بترجیحه بموافقة الکتاب و مخالفته العامّة و کونه موافقا للمجمع علیه، و فیما لا یوجد المرجّحات المذکورة، یجوز الأخذ بأحدهما من باب التسلیم.</w:t>
      </w:r>
    </w:p>
    <w:p>
      <w:pPr>
        <w:pStyle w:val="BookText"/>
      </w:pPr>
      <w:r>
        <w:rPr>
          <w:rFonts w:ascii="IRNazanin" w:hAnsi="IRNazanin" w:eastAsia="IRNazanin" w:cs="IRNazanin"/>
          <w:lang w:bidi="fa-IR"/>
          <w:color w:val="111111"/>
          <w:sz w:val="28"/>
          <w:szCs w:val="28"/>
          <w:rtl/>
        </w:rPr>
        <w:t xml:space="preserve">و مع ذلک، کیف یمکن القول بأنّ کلّ ما ورد فی الکافی کان صحیحا عند الکلینی، و إلیک نصّ عبارته: «فاعلم یا أخی - أرشدک اللّه - أنّه لا یسع أحدا تمییز شیء ممّا اختلف الرواة فیه عن العلماء - علیهم السلام - برأیه، إلاّ علی ما أطلقه العالم بقوله - علیه السلام -: «اعرضوها علی کتاب اللّه فما وافق کتاب اللّه عزّ و جلّ فخذوه، و ما خالف کتاب اللّه فردّوه» و قوله علیه السلام:</w:t>
      </w:r>
    </w:p>
    <w:p>
      <w:pPr>
        <w:pStyle w:val="BookText"/>
      </w:pPr>
      <w:r>
        <w:rPr>
          <w:rFonts w:ascii="IRNazanin" w:hAnsi="IRNazanin" w:eastAsia="IRNazanin" w:cs="IRNazanin"/>
          <w:lang w:bidi="fa-IR"/>
          <w:color w:val="111111"/>
          <w:sz w:val="28"/>
          <w:szCs w:val="28"/>
          <w:rtl/>
        </w:rPr>
        <w:t xml:space="preserve">«دعوا ما وافق القوم فانّ الرشد فی خلافهم» و قوله - علیه السلام -: «خذوا</w:t>
      </w:r>
    </w:p>
    <w:p>
      <w:pPr>
        <w:pStyle w:val="BookText"/>
      </w:pPr>
      <w:r>
        <w:rPr>
          <w:rFonts w:ascii="IRNazanin" w:hAnsi="IRNazanin" w:eastAsia="IRNazanin" w:cs="IRNazanin"/>
          <w:lang w:bidi="fa-IR"/>
          <w:color w:val="111111"/>
          <w:sz w:val="28"/>
          <w:szCs w:val="28"/>
          <w:rtl/>
        </w:rPr>
        <w:t xml:space="preserve">[شماره صفحه واقعی : 372]</w:t>
      </w:r>
    </w:p>
    <w:p>
      <w:pPr>
        <w:pStyle w:val="BookText"/>
      </w:pPr>
      <w:r>
        <w:rPr>
          <w:rFonts w:ascii="IRNazanin" w:hAnsi="IRNazanin" w:eastAsia="IRNazanin" w:cs="IRNazanin"/>
          <w:lang w:bidi="fa-IR"/>
          <w:color w:val="111111"/>
          <w:sz w:val="28"/>
          <w:szCs w:val="28"/>
          <w:rtl/>
        </w:rPr>
        <w:t xml:space="preserve">ص: 1090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بالمجمع علیه، فإنّ المجمع علیه لا ریب فیه» و نحن لا نعرف من جمیع ذلک إلاّ أقلّه و لا نجد شیئا أحوط و لا أوسع من ردّ علم ذلک کلّه إلی العالم - علیه السلام - و قبول ما وسع من الأمر فیه بقوله - علیه السلام -: «بأیّما أخذتم من باب التسلیم وسعکم».</w:t>
      </w:r>
    </w:p>
    <w:p>
      <w:pPr>
        <w:pStyle w:val="BookText"/>
      </w:pPr>
      <w:r>
        <w:rPr>
          <w:rFonts w:ascii="IRNazanin" w:hAnsi="IRNazanin" w:eastAsia="IRNazanin" w:cs="IRNazanin"/>
          <w:lang w:bidi="fa-IR"/>
          <w:color w:val="111111"/>
          <w:sz w:val="28"/>
          <w:szCs w:val="28"/>
          <w:rtl/>
        </w:rPr>
        <w:t xml:space="preserve">و هذا الکلام ظاهر فی أنّ الکلینی لم یکن یعتقد بصدور روایات کتابه عن المعصوم جزما، و إلاّ لم یکن مجال للاستشهاد بالروایة علی لزوم الأخذ بما له مرجّح.</w:t>
      </w:r>
    </w:p>
    <w:p>
      <w:pPr>
        <w:pStyle w:val="BookText"/>
      </w:pPr>
      <w:r>
        <w:rPr>
          <w:rFonts w:ascii="IRNazanin" w:hAnsi="IRNazanin" w:eastAsia="IRNazanin" w:cs="IRNazanin"/>
          <w:lang w:bidi="fa-IR"/>
          <w:color w:val="111111"/>
          <w:sz w:val="28"/>
          <w:szCs w:val="28"/>
          <w:rtl/>
        </w:rPr>
        <w:t xml:space="preserve">أضف إلی ذلک أنّه لو کان کلّ ما فی الکافی صحیحا عند الکلینی لنقل منه إلی غیره بعبارة واضحة، و کان للصّدوق الّذی یعدّ فی الطبقة التالیة للکلینی نقل ذلک القول فی أحد کتبه، بل کان علیه أن یصحّح ما صحّحه الکلینی، و یزیّف ما زیّفه، إذ لیس الکلینی بأقلّ من شیخه محمّد بن الحسن بن الولید، فقد نری أنّه یقول فی حقّه فی «فقیهه»: «أمّا خبر صلاة یوم غدیر خمّ و الثواب المذکور فیه لمن صامه فانّ شیخنا محمّد بن الحسن کان لا یصحّحه و یقول إنّه من طریق محمّد بن موسی الهمدانی و کان غیر ثقة، و کلّ ما لا یصحّحه ذلک الشیخ - قدّس اللّه روحه - و لم یحکم بصحّته من الأخبار فهو عندنا متروک غیر صحیح»</w:t>
      </w:r>
      <w:r>
        <w:rPr>
          <w:rStyle w:val="FootnoteReference"/>
        </w:rPr>
        <w:footnoteReference w:id="4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«کان شیخنا محمّد بن الحسن بن أحمد بن الولید - رضی اللّه عنه - سیّء الرأی فی محمّد بن عبد اللّه المسمعی، راوی الحدیث، و إنّی أخرجت هذا الخبر فی هذا الکتاب، لأنّه کان فی کتاب الرحمة، و قد قرأته علیه فلم ینکره و رواه لی»</w:t>
      </w:r>
      <w:r>
        <w:rPr>
          <w:rStyle w:val="FootnoteReference"/>
        </w:rPr>
        <w:footnoteReference w:id="4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یشیر إلی أنّه لم یکن کتاب الکافی عند الصدوق بهذه المنزلة.</w:t>
      </w:r>
    </w:p>
    <w:p>
      <w:pPr>
        <w:pStyle w:val="BookText"/>
      </w:pPr>
      <w:r>
        <w:rPr>
          <w:rFonts w:ascii="IRNazanin" w:hAnsi="IRNazanin" w:eastAsia="IRNazanin" w:cs="IRNazanin"/>
          <w:lang w:bidi="fa-IR"/>
          <w:color w:val="111111"/>
          <w:sz w:val="28"/>
          <w:szCs w:val="28"/>
          <w:rtl/>
        </w:rPr>
        <w:t xml:space="preserve">[شماره صفحه واقعی : 373]</w:t>
      </w:r>
    </w:p>
    <w:p>
      <w:pPr>
        <w:pStyle w:val="BookText"/>
      </w:pPr>
      <w:r>
        <w:rPr>
          <w:rFonts w:ascii="IRNazanin" w:hAnsi="IRNazanin" w:eastAsia="IRNazanin" w:cs="IRNazanin"/>
          <w:lang w:bidi="fa-IR"/>
          <w:color w:val="111111"/>
          <w:sz w:val="28"/>
          <w:szCs w:val="28"/>
          <w:rtl/>
        </w:rPr>
        <w:t xml:space="preserve">ص: 1091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ربّما یستدلّ علی عدم صحّة ما فی الکافی بأنّ الشیخ الصّدوق إنّما کتب کتاب «من لا یحضره الفقیه» اجابة لطلب السید الشریف أبی عبد اللّه المعروف ب «نعمة اللّه» و لا شکّ أنّ کتاب الکافی أوسع من الفقیه، فلو کانت جمیع روایات الکافی صحیحة عند الشیخ الصدوق، فضلا عن أن تکون قطعیة الصدور، لم تکن حاجة إلی کتابة کتاب الفقیه، بل کان علی الشیخ الصدوق إرجاع السائل إلی کتاب الکافی</w:t>
      </w:r>
      <w:r>
        <w:rPr>
          <w:rStyle w:val="FootnoteReference"/>
        </w:rPr>
        <w:footnoteReference w:id="4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 هذا الاستدلال، فان السید الشریف طلب من الشیخ الصدوق کتابا أشبه بالرسائل العملیة الرائجة فی هذه الأعصار، و لم یکن الکافی بهذه المثابة، فلأجل ذلک لم یرجعه الشیخ الصدوق إلی ذلک الکتاب، لا لأجل عدم قطعیّة روایاته أو عدم صحّته.</w:t>
      </w:r>
    </w:p>
    <w:p>
      <w:pPr>
        <w:pStyle w:val="BookText"/>
      </w:pPr>
      <w:r>
        <w:rPr>
          <w:rFonts w:ascii="IRNazanin" w:hAnsi="IRNazanin" w:eastAsia="IRNazanin" w:cs="IRNazanin"/>
          <w:lang w:bidi="fa-IR"/>
          <w:color w:val="111111"/>
          <w:sz w:val="28"/>
          <w:szCs w:val="28"/>
          <w:rtl/>
        </w:rPr>
        <w:t xml:space="preserve">نعم ربّما یورد علی المستدلّ بقطعیّة أحادیث الکافی أنّ الشیخ الکلینی روی فی کتابه روایات کثیرة عن غیر أهل البیت المعصومین - علیهم السلام -.</w:t>
      </w:r>
    </w:p>
    <w:p>
      <w:pPr>
        <w:pStyle w:val="BookText"/>
      </w:pPr>
      <w:r>
        <w:rPr>
          <w:rFonts w:ascii="IRNazanin" w:hAnsi="IRNazanin" w:eastAsia="IRNazanin" w:cs="IRNazanin"/>
          <w:lang w:bidi="fa-IR"/>
          <w:color w:val="111111"/>
          <w:sz w:val="28"/>
          <w:szCs w:val="28"/>
          <w:rtl/>
        </w:rPr>
        <w:t xml:space="preserve">و هذا لا یجتمع مع ما صرح به فی دیباجة کتابه من أنّه یأخذ منه من یرید علم الدین و العمل به بالآثار الصحیحة عن الصادقین - علیهم السلام - و قد نقل ذلک الشیخ المتتبّع النوری - رضوان اللّه علیه - عن رسالة الاستاذ الاکبر، المحقّق البهبهانی فقال: «فقد أکثر من الروایة عن غیر المعصوم فی أوّل کتاب الارث، و قال فی کتاب الدیات فی باب وجوه القتل: علیّ بن إبراهیم قال: وجوه القتل علی ثلاثة أضرب - إلی آخر ما قال. و لم یورد فی ذلک الکتاب حدیثا آخر، و فی باب شهادة الصبیان عن أبی أیّوب قال: سمعت إسماعیل بن جعفر - إلی آخره، و أکثر أیضا فی اصول الکافی من الروایة عن غیر المعصوم منه ما ذکره فی مولد الحسین من حکایة الاسد الذی دعته فضّة إلی حراسة جسده - علیه السلام - و ما ذکره فی مولد أمیر المؤمنین</w:t>
      </w:r>
    </w:p>
    <w:p>
      <w:pPr>
        <w:pStyle w:val="BookText"/>
      </w:pPr>
      <w:r>
        <w:rPr>
          <w:rFonts w:ascii="IRNazanin" w:hAnsi="IRNazanin" w:eastAsia="IRNazanin" w:cs="IRNazanin"/>
          <w:lang w:bidi="fa-IR"/>
          <w:color w:val="111111"/>
          <w:sz w:val="28"/>
          <w:szCs w:val="28"/>
          <w:rtl/>
        </w:rPr>
        <w:t xml:space="preserve">[شماره صفحه واقعی : 374]</w:t>
      </w:r>
    </w:p>
    <w:p>
      <w:pPr>
        <w:pStyle w:val="BookText"/>
      </w:pPr>
      <w:r>
        <w:rPr>
          <w:rFonts w:ascii="IRNazanin" w:hAnsi="IRNazanin" w:eastAsia="IRNazanin" w:cs="IRNazanin"/>
          <w:lang w:bidi="fa-IR"/>
          <w:color w:val="111111"/>
          <w:sz w:val="28"/>
          <w:szCs w:val="28"/>
          <w:rtl/>
        </w:rPr>
        <w:t xml:space="preserve">ص: 1092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عن أسید بن صفوان»</w:t>
      </w:r>
      <w:r>
        <w:rPr>
          <w:rStyle w:val="FootnoteReference"/>
        </w:rPr>
        <w:footnoteReference w:id="4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بعض ما رواه الشیخ الکلینی عن غیر المعصوم فی «معجم رجال الحدیث أیضا</w:t>
      </w:r>
      <w:r>
        <w:rPr>
          <w:rStyle w:val="FootnoteReference"/>
        </w:rPr>
        <w:footnoteReference w:id="4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نقل هذه الکلمات مع التصریح بأسماء المروی عنهم لا یضرّ المستدلّ، فانّ نقل هذه الکلمات عن أصحابها مع کونهم غیر معصومین، کنقل معانی اللّغة عن أصحابها و لا ینافی کون مجموع الکتاب مروّیا عن الصادقین - علیهم السلام -.</w:t>
      </w:r>
    </w:p>
    <w:p>
      <w:pPr>
        <w:pStyle w:val="BookText"/>
      </w:pPr>
      <w:r>
        <w:rPr>
          <w:rFonts w:ascii="IRNazanin" w:hAnsi="IRNazanin" w:eastAsia="IRNazanin" w:cs="IRNazanin"/>
          <w:lang w:bidi="fa-IR"/>
          <w:color w:val="111111"/>
          <w:sz w:val="28"/>
          <w:szCs w:val="28"/>
          <w:rtl/>
        </w:rPr>
        <w:t xml:space="preserve">إلی هنا تبیّن أنّ کتاب الکافی کتاب جدیر بالعنایة، و یعدّ أکبر المراجع و أوسعها للمجتهدین، و لیست روایاته قطعیّة الصدور فضلا عن کونها متواترة أو مستفیضة، و لا أنّ القرائن الخارجیّة دلّت علی صحّتها و لزوم الاعتماد علیها، بل هو کتاب شامل للصحیح و السقیم، فیجب علی المجتهد المستنبط تمییز الصحیح عن الضعیف.</w:t>
      </w:r>
    </w:p>
    <w:p>
      <w:pPr>
        <w:pStyle w:val="BookText"/>
      </w:pPr>
      <w:r>
        <w:rPr>
          <w:rFonts w:ascii="IRNazanin" w:hAnsi="IRNazanin" w:eastAsia="IRNazanin" w:cs="IRNazanin"/>
          <w:lang w:bidi="fa-IR"/>
          <w:color w:val="111111"/>
          <w:sz w:val="28"/>
          <w:szCs w:val="28"/>
          <w:rtl/>
        </w:rPr>
        <w:t xml:space="preserve">و لأجل ایقاف القاریء علی بعض ما لا یمکن القول بصحّته نقلا و عقلا نشیر إلی نموذجین:</w:t>
      </w:r>
    </w:p>
    <w:p>
      <w:pPr>
        <w:pStyle w:val="BookText"/>
      </w:pPr>
      <w:r>
        <w:rPr>
          <w:rFonts w:ascii="Amiri" w:hAnsi="Amiri" w:eastAsia="Amiri" w:cs="Amiri"/>
          <w:lang w:bidi="ar-SA"/>
          <w:color w:val="111111"/>
          <w:sz w:val="28"/>
          <w:szCs w:val="28"/>
          <w:rtl/>
        </w:rPr>
        <w:t xml:space="preserve">1 - فقد روی عن أبی عبد اللّه - علیه السلام - فی قول اللّه وَ إِنَّهُ لَذِکْرٌ لَکَ وَ لِقَوْمِکَ وَ سَوْفَ تُسْئَلُونَ - الزخرف: 44 فرسول اللّه - صلی اللّه علیه و آله - الذکر و أهل بیته المسؤولون و هم الذکر</w:t>
      </w:r>
      <w:r>
        <w:rPr>
          <w:rStyle w:val="FootnoteReference"/>
        </w:rPr>
        <w:footnoteReference w:id="4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المراد من «الذکر» هو النّبی، فمن المخاطب فی قوله «لک» و هو سبحانه یقول: «إنّه لذکر لک» أی لک أیّها النّبی. نعم وجود هذه</w:t>
      </w:r>
    </w:p>
    <w:p>
      <w:pPr>
        <w:pStyle w:val="BookText"/>
      </w:pPr>
      <w:r>
        <w:rPr>
          <w:rFonts w:ascii="IRNazanin" w:hAnsi="IRNazanin" w:eastAsia="IRNazanin" w:cs="IRNazanin"/>
          <w:lang w:bidi="fa-IR"/>
          <w:color w:val="111111"/>
          <w:sz w:val="28"/>
          <w:szCs w:val="28"/>
          <w:rtl/>
        </w:rPr>
        <w:t xml:space="preserve">[شماره صفحه واقعی : 375]</w:t>
      </w:r>
    </w:p>
    <w:p>
      <w:pPr>
        <w:pStyle w:val="BookText"/>
      </w:pPr>
      <w:r>
        <w:rPr>
          <w:rFonts w:ascii="IRNazanin" w:hAnsi="IRNazanin" w:eastAsia="IRNazanin" w:cs="IRNazanin"/>
          <w:lang w:bidi="fa-IR"/>
          <w:color w:val="111111"/>
          <w:sz w:val="28"/>
          <w:szCs w:val="28"/>
          <w:rtl/>
        </w:rPr>
        <w:t xml:space="preserve">ص: 1093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الشاذّة النادرة لا ینقص من عظمة الکتاب و جلالته، و أیّ کتاب بعد کتاب اللّه العزیز، لیس فیه شیء؟</w:t>
      </w:r>
    </w:p>
    <w:p>
      <w:pPr>
        <w:pStyle w:val="BookText"/>
      </w:pPr>
      <w:r>
        <w:rPr>
          <w:rFonts w:ascii="IRNazanin" w:hAnsi="IRNazanin" w:eastAsia="IRNazanin" w:cs="IRNazanin"/>
          <w:lang w:bidi="fa-IR"/>
          <w:color w:val="111111"/>
          <w:sz w:val="28"/>
          <w:szCs w:val="28"/>
          <w:rtl/>
        </w:rPr>
        <w:t xml:space="preserve">و أمّا الثانی، فنرجو المراجعة إلی المصدر التالی</w:t>
      </w:r>
      <w:r>
        <w:rPr>
          <w:rStyle w:val="FootnoteReference"/>
        </w:rPr>
        <w:footnoteReference w:id="4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376]</w:t>
      </w:r>
    </w:p>
    <w:p>
      <w:pPr>
        <w:pStyle w:val="BookText"/>
      </w:pPr>
      <w:r>
        <w:rPr>
          <w:rFonts w:ascii="IRNazanin" w:hAnsi="IRNazanin" w:eastAsia="IRNazanin" w:cs="IRNazanin"/>
          <w:lang w:bidi="fa-IR"/>
          <w:color w:val="111111"/>
          <w:sz w:val="28"/>
          <w:szCs w:val="28"/>
          <w:rtl/>
        </w:rPr>
        <w:t xml:space="preserve">ص: 1094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453" w:name="pg14419_167810"/>
    <w:bookmarkEnd w:id="453"/>
    <w:p>
      <w:pPr>
        <w:pStyle w:val="Heading5"/>
      </w:pPr>
      <w:bookmarkStart w:id="1403" w:name="_Toc843"/>
      <w:r>
        <w:t>2 - تقییم احادیث «من لا یحضره الفقیه»</w:t>
      </w:r>
      <w:bookmarkEnd w:id="1403"/>
    </w:p>
    <w:p>
      <w:pPr>
        <w:pStyle w:val="BookText"/>
      </w:pPr>
      <w:r>
        <w:rPr>
          <w:rFonts w:ascii="IRNazanin" w:hAnsi="IRNazanin" w:eastAsia="IRNazanin" w:cs="IRNazanin"/>
          <w:lang w:bidi="fa-IR"/>
          <w:color w:val="111111"/>
          <w:sz w:val="28"/>
          <w:szCs w:val="28"/>
          <w:rtl/>
        </w:rPr>
        <w:t xml:space="preserve">[شماره صفحه واقعی : 377]</w:t>
      </w:r>
    </w:p>
    <w:p>
      <w:pPr>
        <w:pStyle w:val="BookText"/>
      </w:pPr>
      <w:r>
        <w:rPr>
          <w:rFonts w:ascii="IRNazanin" w:hAnsi="IRNazanin" w:eastAsia="IRNazanin" w:cs="IRNazanin"/>
          <w:lang w:bidi="fa-IR"/>
          <w:color w:val="111111"/>
          <w:sz w:val="28"/>
          <w:szCs w:val="28"/>
          <w:rtl/>
        </w:rPr>
        <w:t xml:space="preserve">ص: 1095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378]</w:t>
      </w:r>
    </w:p>
    <w:p>
      <w:pPr>
        <w:pStyle w:val="BookText"/>
      </w:pPr>
      <w:r>
        <w:rPr>
          <w:rFonts w:ascii="IRNazanin" w:hAnsi="IRNazanin" w:eastAsia="IRNazanin" w:cs="IRNazanin"/>
          <w:lang w:bidi="fa-IR"/>
          <w:color w:val="111111"/>
          <w:sz w:val="28"/>
          <w:szCs w:val="28"/>
          <w:rtl/>
        </w:rPr>
        <w:t xml:space="preserve">ص: 1096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کتاب «من لا یحضره الفقیه» تألیف الشیخ الصدوق محمّد بن علی ابن الحسین بن بابویه المولود بدعاء صاحب الامر - علیه السلام - </w:t>
      </w:r>
      <w:r>
        <w:rPr>
          <w:rStyle w:val="FootnoteReference"/>
        </w:rPr>
        <w:footnoteReference w:id="4126"/>
      </w:r>
      <w:r>
        <w:rPr>
          <w:rFonts w:ascii="IRNazanin" w:hAnsi="IRNazanin" w:eastAsia="IRNazanin" w:cs="IRNazanin"/>
          <w:lang w:bidi="fa-IR"/>
          <w:color w:val="111111"/>
          <w:sz w:val="28"/>
          <w:szCs w:val="28"/>
          <w:rtl/>
        </w:rPr>
        <w:t xml:space="preserve">حدود عام 306 و المتوفّی سنة 381، من أصحّ الکتب الحدیثیة و أتقنها بعد الکافی، و هی فی الاشتهار و الاعتبار کالشمس فی رابعة النهار.</w:t>
      </w:r>
    </w:p>
    <w:p>
      <w:pPr>
        <w:pStyle w:val="BookText"/>
      </w:pPr>
      <w:r>
        <w:rPr>
          <w:rFonts w:ascii="IRNazanin" w:hAnsi="IRNazanin" w:eastAsia="IRNazanin" w:cs="IRNazanin"/>
          <w:lang w:bidi="fa-IR"/>
          <w:color w:val="111111"/>
          <w:sz w:val="28"/>
          <w:szCs w:val="28"/>
          <w:rtl/>
        </w:rPr>
        <w:t xml:space="preserve">و قد ذکر الشیخ الصّدوق فی دیباجة کتابه أنّه لمّا ساقه القضاء إلی بلاد الغربة و نزل أرض بلخ، وردها الشریف الدین أبو عبد اللّه محمّد بن الحسن المعروف بنعمة، فدام سروره بمجالسته، و انشرح صدره بمذاکرته، و قد طلب منه أن یصنّف کتابا فی الفقه و الحلال و الحرام و یسمیّه ب «من لا یحضره الفقیه» کما صنّف الطبیب الرازی محمّد بن زکریا کتابا فی الطبّ و أسماه «من لا یحضره الطبیب» فأجاب مسؤوله و صنّف هذا الکتاب له.</w:t>
      </w:r>
    </w:p>
    <w:p>
      <w:pPr>
        <w:pStyle w:val="BookText"/>
      </w:pPr>
      <w:r>
        <w:rPr>
          <w:rFonts w:ascii="IRNazanin" w:hAnsi="IRNazanin" w:eastAsia="IRNazanin" w:cs="IRNazanin"/>
          <w:lang w:bidi="fa-IR"/>
          <w:color w:val="111111"/>
          <w:sz w:val="28"/>
          <w:szCs w:val="28"/>
          <w:rtl/>
        </w:rPr>
        <w:t xml:space="preserve">و یصف هذا الکتاب بقوله: «و لم أقصد فیه قصد المصنّفین فی إیراد جمیع ما رووه، بل قصدت إلی إیراد ما أفتی به، و أحکم بصحّته، و أعتقد فیه أنّه حجّة فیما بینی و بین ربّی - تقدّس ذکره، و تعالت قدرته - و جمیع ما فیه</w:t>
      </w:r>
    </w:p>
    <w:p>
      <w:pPr>
        <w:pStyle w:val="BookText"/>
      </w:pPr>
      <w:r>
        <w:rPr>
          <w:rFonts w:ascii="IRNazanin" w:hAnsi="IRNazanin" w:eastAsia="IRNazanin" w:cs="IRNazanin"/>
          <w:lang w:bidi="fa-IR"/>
          <w:color w:val="111111"/>
          <w:sz w:val="28"/>
          <w:szCs w:val="28"/>
          <w:rtl/>
        </w:rPr>
        <w:t xml:space="preserve">[شماره صفحه واقعی : 379]</w:t>
      </w:r>
    </w:p>
    <w:p>
      <w:pPr>
        <w:pStyle w:val="BookText"/>
      </w:pPr>
      <w:r>
        <w:rPr>
          <w:rFonts w:ascii="IRNazanin" w:hAnsi="IRNazanin" w:eastAsia="IRNazanin" w:cs="IRNazanin"/>
          <w:lang w:bidi="fa-IR"/>
          <w:color w:val="111111"/>
          <w:sz w:val="28"/>
          <w:szCs w:val="28"/>
          <w:rtl/>
        </w:rPr>
        <w:t xml:space="preserve">ص: 1097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مستخرج من کتب مشهورة علیها المعوّل، و إلیها المرجع، مثل کتاب حریز بن عبد اللّه السجستانی، و کتاب عبید اللّه بن علیّ الحلبی، و کتب علیّ بن مهزیار الأهوازی، و کتب الحسین بن سعید، و نوادر أحمد بن محمّد بن عیسی، و کتاب نوادر الحکمة تصنیف محمّد بن أحمد بن یحیی بن عمران الأشعری، و کتاب الرحمة لسعد بن عبد اللّه الأشعری، و جامع شیخنا محمّد بن الحسن بن الولید - رضی اللّه عنه - و نوادر محمّد بن أبی عمیر، و کتب المحاسن لأحمد بن أبی عبد اللّه البرقی، و رسالة أبی - رضی اللّه عنه - إلیّ و غیرها من الاصول و المصنّفات الّتی طرقی إلیها معروفة فی فهرس الکتب الّتی رویتها عن مشایخی و أسلافی - رضی اللّه عنهم - و بالغت فی ذلک جهدی مستعینا باللّه»</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سلک - رحمه اللّه - فی کتابه هذا مسلکا غیر ما سلکه الشیخ الکلینی، فانّ ثقة الإسلام کما عرفت جری فی الکافی علی طریقة السلف من ذکر جمیع السند غالبا، و ترک أوائل الاسناد ندرة اعتمادا علی ما ذکره فی الأخبار المتقدّمة علیها و أمّا الشیخ الصدوق فانّه بنی فی «الفقیه» من أوّل الأمر علی اختصار الأسانید، و حذف أوائل السند، و وضع مشیخة فی آخر الکتاب یعرف بها طریقه إلی من روی عنه، فهی المرجع فی اتّصال اسناده فی أخبار هذا الکتاب، و ربّما أخلّ بذکر الطریق إلی بعض فیکون السند باعتباره معلّقا.</w:t>
      </w:r>
    </w:p>
    <w:p>
      <w:pPr>
        <w:pStyle w:val="BookText"/>
      </w:pPr>
      <w:r>
        <w:rPr>
          <w:rFonts w:ascii="IRNazanin" w:hAnsi="IRNazanin" w:eastAsia="IRNazanin" w:cs="IRNazanin"/>
          <w:lang w:bidi="fa-IR"/>
          <w:color w:val="111111"/>
          <w:sz w:val="28"/>
          <w:szCs w:val="28"/>
          <w:rtl/>
        </w:rPr>
        <w:t xml:space="preserve">ثمّ إنّهم أطالوا البحث عن أحوال المذکورین فی المشیخة، و مدحهم و قدحهم و صحّة الطریق من جهتهم أو من جهة القرائن الخارجیّة، و أوّل من دخل فی هذا الباب العلاّمة فی «الخلاصة» و تبعه ابن داود، ثمّ أرباب المجامیع الرجالیة و شرّاح الفقیه کالتفریشی و المجلسی الأوّل و غیرهما</w:t>
      </w:r>
      <w:r>
        <w:rPr>
          <w:rStyle w:val="FootnoteReference"/>
        </w:rPr>
        <w:footnoteReference w:id="4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البحث فی تقییم الکتاب، یقع فی عدّة نقاط:</w:t>
      </w:r>
    </w:p>
    <w:p>
      <w:pPr>
        <w:pStyle w:val="BookText"/>
      </w:pPr>
      <w:r>
        <w:rPr>
          <w:rFonts w:ascii="IRNazanin" w:hAnsi="IRNazanin" w:eastAsia="IRNazanin" w:cs="IRNazanin"/>
          <w:lang w:bidi="fa-IR"/>
          <w:color w:val="111111"/>
          <w:sz w:val="28"/>
          <w:szCs w:val="28"/>
          <w:rtl/>
        </w:rPr>
        <w:t xml:space="preserve">[شماره صفحه واقعی : 380]</w:t>
      </w:r>
    </w:p>
    <w:p>
      <w:pPr>
        <w:pStyle w:val="BookText"/>
      </w:pPr>
      <w:r>
        <w:rPr>
          <w:rFonts w:ascii="IRNazanin" w:hAnsi="IRNazanin" w:eastAsia="IRNazanin" w:cs="IRNazanin"/>
          <w:lang w:bidi="fa-IR"/>
          <w:color w:val="111111"/>
          <w:sz w:val="28"/>
          <w:szCs w:val="28"/>
          <w:rtl/>
        </w:rPr>
        <w:t xml:space="preserve">ص: 1098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إنّه استدلّ علی أنّ روایات کتاب «الفقیه» کلّها صحیحة، بمعنی کون من جاء فی أسانیده من الرواة ثقات، بقوله - قدّس سره -: «بل قصدت إلی إیراد ما افتی به و أحکم بصحّته» و المراد من الصّحة فی هذه العبارة، هو الحکم بعدالة الراوی أو وثاقته، فتکون هذه العبارة تنصیصا من الشیخ الصّدوق علی أنّ من ورد فی أسناد ذلک الکتاب، کلّهم عدول أو ثقات، و لا یخفی أن استفادة ذلک من تلک العبارة مشکل جدّا.</w:t>
      </w:r>
    </w:p>
    <w:p>
      <w:pPr>
        <w:pStyle w:val="BookText"/>
      </w:pPr>
      <w:r>
        <w:rPr>
          <w:rFonts w:ascii="IRNazanin" w:hAnsi="IRNazanin" w:eastAsia="IRNazanin" w:cs="IRNazanin"/>
          <w:lang w:bidi="fa-IR"/>
          <w:color w:val="111111"/>
          <w:sz w:val="28"/>
          <w:szCs w:val="28"/>
          <w:rtl/>
        </w:rPr>
        <w:t xml:space="preserve">أمّا أوّلا، فلأنّ الصّحیح فی مصطلح القدماء و منهم الصدوق، غیر الصحیح فی مصطلح المتأخرین، إذ الصّحیح عند المتأخّرین هو کون الراوی عدلا إمامیّا، و لکنّ الصحیح عند القدماء عبارة عمّا اعتضد بما یقتضی اعتمادهم علیه، أو اقترن بما یوجب الوثوق و الرکون إلیه و أسبابه عندهم مختلفة.</w:t>
      </w:r>
    </w:p>
    <w:p>
      <w:pPr>
        <w:pStyle w:val="BookText"/>
      </w:pPr>
      <w:r>
        <w:rPr>
          <w:rFonts w:ascii="IRNazanin" w:hAnsi="IRNazanin" w:eastAsia="IRNazanin" w:cs="IRNazanin"/>
          <w:lang w:bidi="fa-IR"/>
          <w:color w:val="111111"/>
          <w:sz w:val="28"/>
          <w:szCs w:val="28"/>
          <w:rtl/>
        </w:rPr>
        <w:t xml:space="preserve">منها: وجوده فی کثیر من الاصول الأربعمائة المؤلّفة فی عصور الأئمّة - علیهم السلام -، أو وجوده فی أصل معروف الانتساب لمن اجتمعت العصابة علی تصدیقهم کزرارة و محمّد بن مسلم و أضرابهما.</w:t>
      </w:r>
    </w:p>
    <w:p>
      <w:pPr>
        <w:pStyle w:val="BookText"/>
      </w:pPr>
      <w:r>
        <w:rPr>
          <w:rFonts w:ascii="IRNazanin" w:hAnsi="IRNazanin" w:eastAsia="IRNazanin" w:cs="IRNazanin"/>
          <w:lang w:bidi="fa-IR"/>
          <w:color w:val="111111"/>
          <w:sz w:val="28"/>
          <w:szCs w:val="28"/>
          <w:rtl/>
        </w:rPr>
        <w:t xml:space="preserve">و منها: اندراجه فی إحدی الکتب الّتی عرضت علی الأئمّة - صلوات اللّه علیهم - فأثنوا علی مصنّفیها، ککتاب عبید اللّه الحلبیّ الّذی عرض علی الصادق - علیه السلام - و کتاب یونس بن عبد الرحمن و فضل بن شاذان المعروضین علی العسکری - علیه السلام -.</w:t>
      </w:r>
    </w:p>
    <w:p>
      <w:pPr>
        <w:pStyle w:val="BookText"/>
      </w:pPr>
      <w:r>
        <w:rPr>
          <w:rFonts w:ascii="IRNazanin" w:hAnsi="IRNazanin" w:eastAsia="IRNazanin" w:cs="IRNazanin"/>
          <w:lang w:bidi="fa-IR"/>
          <w:color w:val="111111"/>
          <w:sz w:val="28"/>
          <w:szCs w:val="28"/>
          <w:rtl/>
        </w:rPr>
        <w:t xml:space="preserve">و منها: کونه مأخوذا من الکتب الّتی شاع بین سلفهم الوثوق بها و الاعتماد علیها، سواء الّفت بید رجال الفرقة المحقّة ککتاب الصّلاة لحریز بن عبد اللّه، و کتب الحسن و الحسین ابنی سعید، و علیّ بن مهزیار، أو بید غیرهم ککتاب حفص بن غیاث، و کتب الحسین بن عبید اللّه السعدی و کتاب القبلة لعلیّ بن</w:t>
      </w:r>
    </w:p>
    <w:p>
      <w:pPr>
        <w:pStyle w:val="BookText"/>
      </w:pPr>
      <w:r>
        <w:rPr>
          <w:rFonts w:ascii="IRNazanin" w:hAnsi="IRNazanin" w:eastAsia="IRNazanin" w:cs="IRNazanin"/>
          <w:lang w:bidi="fa-IR"/>
          <w:color w:val="111111"/>
          <w:sz w:val="28"/>
          <w:szCs w:val="28"/>
          <w:rtl/>
        </w:rPr>
        <w:t xml:space="preserve">[شماره صفحه واقعی : 381]</w:t>
      </w:r>
    </w:p>
    <w:p>
      <w:pPr>
        <w:pStyle w:val="BookText"/>
      </w:pPr>
      <w:r>
        <w:rPr>
          <w:rFonts w:ascii="IRNazanin" w:hAnsi="IRNazanin" w:eastAsia="IRNazanin" w:cs="IRNazanin"/>
          <w:lang w:bidi="fa-IR"/>
          <w:color w:val="111111"/>
          <w:sz w:val="28"/>
          <w:szCs w:val="28"/>
          <w:rtl/>
        </w:rPr>
        <w:t xml:space="preserve">ص: 1099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الطاطری</w:t>
      </w:r>
      <w:r>
        <w:rPr>
          <w:rStyle w:val="FootnoteReference"/>
        </w:rPr>
        <w:footnoteReference w:id="4129"/>
      </w:r>
      <w:r>
        <w:rPr>
          <w:rFonts w:ascii="IRNazanin" w:hAnsi="IRNazanin" w:eastAsia="IRNazanin" w:cs="IRNazanin"/>
          <w:lang w:bidi="fa-IR"/>
          <w:color w:val="111111"/>
          <w:sz w:val="28"/>
          <w:szCs w:val="28"/>
          <w:rtl/>
        </w:rPr>
        <w:t xml:space="preserve">، و قد جری الشیخ الصّدوق علی متعارف القدماء فحکم بصحّة جمیع أحادیثه، و هذا غیر ما نحن بصدده من عدالة الراوی أو وثاقته.</w:t>
      </w:r>
    </w:p>
    <w:p>
      <w:pPr>
        <w:pStyle w:val="BookText"/>
      </w:pPr>
      <w:r>
        <w:rPr>
          <w:rFonts w:ascii="IRNazanin" w:hAnsi="IRNazanin" w:eastAsia="IRNazanin" w:cs="IRNazanin"/>
          <w:lang w:bidi="fa-IR"/>
          <w:color w:val="111111"/>
          <w:sz w:val="28"/>
          <w:szCs w:val="28"/>
          <w:rtl/>
        </w:rPr>
        <w:t xml:space="preserve">قال المحقّق البهبهانی: «إنّ الصّحیح عند القدماء هو ما وثقوا بکونه من المعصوم أعمّ من أن یکون منشأ وثوقهم کون الراوی من الثقات، أو أمارات اخر، و یکونوا قطعوا بصدوره عنهم أو یظنّون»</w:t>
      </w:r>
      <w:r>
        <w:rPr>
          <w:rStyle w:val="FootnoteReference"/>
        </w:rPr>
        <w:footnoteReference w:id="4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فبین صحیح القدماء و صحیح المتأخّرین العموم و الخصوص المطلق، فحکم الشیخ الصدوق - رحمه اللّه - بصحّة أحادیثه لا یستلزم صحّتها باصطلاح المتأخّرین، من کون الرواة فی الأسانید کلّهم ثقات، لاحتمال کون المنشأ فی الجمیع أو بعضها هو القرائن الخارجیّة.</w:t>
      </w:r>
    </w:p>
    <w:p>
      <w:pPr>
        <w:pStyle w:val="BookText"/>
      </w:pPr>
      <w:r>
        <w:rPr>
          <w:rFonts w:ascii="IRNazanin" w:hAnsi="IRNazanin" w:eastAsia="IRNazanin" w:cs="IRNazanin"/>
          <w:lang w:bidi="fa-IR"/>
          <w:color w:val="111111"/>
          <w:sz w:val="28"/>
          <w:szCs w:val="28"/>
          <w:rtl/>
        </w:rPr>
        <w:t xml:space="preserve">و ثانیا: سلّمنا أنّ الصدوق بصدد الحکم بوثاقة أو عدالة کلّ من وقع فی أسناد کتابه، و لکنّه مخدوش من جانب آخر، لأنّه قد علم من حاله أنّه یتبع فی التصحیح و التضعیف شیخه ابن الولید، و لا ینظر إلی حال الراوی نفسه، و أنّه ثقة أو غیر ثقة، و معه کیف یمکن أن یکون قوله هذا شهادة حسیّة علی عدالة أو وثاقة کلّ من ذکر فی أسناد کتابه، و قد مرّ عند دراسة کتاب الکافی طریقته فی التصحیح و التضعیف. اللّهم إلاّ أن یکون طریقة شیخه، موافقة لطریقة المتأخّرین و یکون قوله إخبارا عن شهادة أستاذه بعدالة أو وثاقة الواردین فی هذا الکتاب.</w:t>
      </w:r>
    </w:p>
    <w:p>
      <w:pPr>
        <w:pStyle w:val="BookText"/>
      </w:pPr>
      <w:r>
        <w:rPr>
          <w:rFonts w:ascii="IRNazanin" w:hAnsi="IRNazanin" w:eastAsia="IRNazanin" w:cs="IRNazanin"/>
          <w:lang w:bidi="fa-IR"/>
          <w:color w:val="111111"/>
          <w:sz w:val="28"/>
          <w:szCs w:val="28"/>
          <w:rtl/>
        </w:rPr>
        <w:t xml:space="preserve">و ثالثا: إنّ المتبادر من العبارة التالیة، أنّه یعتمد فی تصحیح الروایة علی وجود الروایة فی کتب المشایخ العظام غالبا. قال - قدّس سره -: «کان شیخنا محمّد بن الحسن بن أحمد بن الولید - رضی اللّه عنه - سیّء الرأی فی محمّد بن عبد اللّه المسمعی راوی هذا الحدیث، و إنّی أخرجت هذا الخبر فی هذا</w:t>
      </w:r>
    </w:p>
    <w:p>
      <w:pPr>
        <w:pStyle w:val="BookText"/>
      </w:pPr>
      <w:r>
        <w:rPr>
          <w:rFonts w:ascii="IRNazanin" w:hAnsi="IRNazanin" w:eastAsia="IRNazanin" w:cs="IRNazanin"/>
          <w:lang w:bidi="fa-IR"/>
          <w:color w:val="111111"/>
          <w:sz w:val="28"/>
          <w:szCs w:val="28"/>
          <w:rtl/>
        </w:rPr>
        <w:t xml:space="preserve">[شماره صفحه واقعی : 382]</w:t>
      </w:r>
    </w:p>
    <w:p>
      <w:pPr>
        <w:pStyle w:val="BookText"/>
      </w:pPr>
      <w:r>
        <w:rPr>
          <w:rFonts w:ascii="IRNazanin" w:hAnsi="IRNazanin" w:eastAsia="IRNazanin" w:cs="IRNazanin"/>
          <w:lang w:bidi="fa-IR"/>
          <w:color w:val="111111"/>
          <w:sz w:val="28"/>
          <w:szCs w:val="28"/>
          <w:rtl/>
        </w:rPr>
        <w:t xml:space="preserve">ص: 1100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لأنّه کان فی کتاب الرحمة، و قد قرأته علیه فلم ینکره و رواه لی»</w:t>
      </w:r>
      <w:r>
        <w:rPr>
          <w:rStyle w:val="FootnoteReference"/>
        </w:rPr>
        <w:footnoteReference w:id="4131"/>
      </w:r>
      <w:r>
        <w:rPr>
          <w:rFonts w:ascii="IRNazanin" w:hAnsi="IRNazanin" w:eastAsia="IRNazanin" w:cs="IRNazanin"/>
          <w:lang w:bidi="fa-IR"/>
          <w:color w:val="111111"/>
          <w:sz w:val="28"/>
          <w:szCs w:val="28"/>
          <w:rtl/>
        </w:rPr>
        <w:t xml:space="preserve">و هذا یعرب عن أنّه ما کان یتفحّص عن أحوال الراوی عند الروایة، و هذا إن لم یکن کلیّا لکنّه أمر ذائع فی تصحیحاته.</w:t>
      </w:r>
    </w:p>
    <w:p>
      <w:pPr>
        <w:pStyle w:val="BookText"/>
      </w:pPr>
      <w:r>
        <w:rPr>
          <w:rFonts w:ascii="IRNazanin" w:hAnsi="IRNazanin" w:eastAsia="IRNazanin" w:cs="IRNazanin"/>
          <w:lang w:bidi="fa-IR"/>
          <w:color w:val="111111"/>
          <w:sz w:val="28"/>
          <w:szCs w:val="28"/>
          <w:rtl/>
        </w:rPr>
        <w:t xml:space="preserve">الثانیة: إنّ أحادیث کتاب الفقیه لا تتجاوز عن 5963 حدیثا، منها ألفان و خمسون حدیثا مرسلا، و عند ذلک یقع الکلام کیف یمکن الرکون علی هذا الکتاب بلا تحقیق عن اسناده، مع أنّ جمیع الأحادیث المسندة فیها 3913 حدیثا، و المراسیل 2050 حدیثا، و مرادهم من المرسل ما لم یذکر فیه اسم الراوی بأن قال «روی» أو قال «قال الصادق - علیه السلام -» أو ذکر الراوی و صاحب الکتاب، و نسی أن یذکر طریقه إلیه فی المشیخة، و هم علی ما صرّح به المجلسی أزید من مائة و عشرین رجلا.</w:t>
      </w:r>
    </w:p>
    <w:p>
      <w:pPr>
        <w:pStyle w:val="BookText"/>
      </w:pPr>
      <w:r>
        <w:rPr>
          <w:rFonts w:ascii="IRNazanin" w:hAnsi="IRNazanin" w:eastAsia="IRNazanin" w:cs="IRNazanin"/>
          <w:lang w:bidi="fa-IR"/>
          <w:color w:val="111111"/>
          <w:sz w:val="28"/>
          <w:szCs w:val="28"/>
          <w:rtl/>
        </w:rPr>
        <w:t xml:space="preserve">الثالثة: فی اعتبار مراسیل الفقیه و عدمه.</w:t>
      </w:r>
    </w:p>
    <w:p>
      <w:pPr>
        <w:pStyle w:val="BookText"/>
      </w:pPr>
      <w:r>
        <w:rPr>
          <w:rFonts w:ascii="IRNazanin" w:hAnsi="IRNazanin" w:eastAsia="IRNazanin" w:cs="IRNazanin"/>
          <w:lang w:bidi="fa-IR"/>
          <w:color w:val="111111"/>
          <w:sz w:val="28"/>
          <w:szCs w:val="28"/>
          <w:rtl/>
        </w:rPr>
        <w:t xml:space="preserve">ذهب بعض الأجلّة إلی القول باعتبار مراسیله، قال التفریشی فی شرحه علی الفقیه:</w:t>
      </w:r>
    </w:p>
    <w:p>
      <w:pPr>
        <w:pStyle w:val="BookText"/>
      </w:pPr>
      <w:r>
        <w:rPr>
          <w:rFonts w:ascii="IRNazanin" w:hAnsi="IRNazanin" w:eastAsia="IRNazanin" w:cs="IRNazanin"/>
          <w:lang w:bidi="fa-IR"/>
          <w:color w:val="111111"/>
          <w:sz w:val="28"/>
          <w:szCs w:val="28"/>
          <w:rtl/>
        </w:rPr>
        <w:t xml:space="preserve">«الاعتماد علی مراسیله ینبغی أن لا یقصر فی الاعتماد علی مسانیده، حیث حکم بصحّة الکل». و قد قیل فی وجه ترجیح المرسل: «إنّ قول العدل: قال رسول اللّه - صلی اللّه علیه و آله - یشعر باذعانه بمضمون الخبر، بخلاف ما لو قال: حدّثنی فلان» و قال بحر العلوم: «إنّ مراسیل الصدوق فی الفقیه کمراسیل ابن أبی عمیر فی الحجّیة و الاعتبار، و إنّ هذه المزّیة من خواصّ هذا الکتاب لا توجد فی غیره من کتب الأصحاب».</w:t>
      </w:r>
    </w:p>
    <w:p>
      <w:pPr>
        <w:pStyle w:val="BookText"/>
      </w:pPr>
      <w:r>
        <w:rPr>
          <w:rFonts w:ascii="IRNazanin" w:hAnsi="IRNazanin" w:eastAsia="IRNazanin" w:cs="IRNazanin"/>
          <w:lang w:bidi="fa-IR"/>
          <w:color w:val="111111"/>
          <w:sz w:val="28"/>
          <w:szCs w:val="28"/>
          <w:rtl/>
        </w:rPr>
        <w:t xml:space="preserve">و قال الشیخ بهاء الدین فی شرح الفقیه - عند قول الصدوق: «و قال الصادق جعفر بن محمد - علیه السلام -: کلّ ماء طاهر حتّی تعلم أنّه قذر» -</w:t>
      </w:r>
    </w:p>
    <w:p>
      <w:pPr>
        <w:pStyle w:val="BookText"/>
      </w:pPr>
      <w:r>
        <w:rPr>
          <w:rFonts w:ascii="IRNazanin" w:hAnsi="IRNazanin" w:eastAsia="IRNazanin" w:cs="IRNazanin"/>
          <w:lang w:bidi="fa-IR"/>
          <w:color w:val="111111"/>
          <w:sz w:val="28"/>
          <w:szCs w:val="28"/>
          <w:rtl/>
        </w:rPr>
        <w:t xml:space="preserve">[شماره صفحه واقعی : 383]</w:t>
      </w:r>
    </w:p>
    <w:p>
      <w:pPr>
        <w:pStyle w:val="BookText"/>
      </w:pPr>
      <w:r>
        <w:rPr>
          <w:rFonts w:ascii="IRNazanin" w:hAnsi="IRNazanin" w:eastAsia="IRNazanin" w:cs="IRNazanin"/>
          <w:lang w:bidi="fa-IR"/>
          <w:color w:val="111111"/>
          <w:sz w:val="28"/>
          <w:szCs w:val="28"/>
          <w:rtl/>
        </w:rPr>
        <w:t xml:space="preserve">ص: 1101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الحدیث من مراسیل المؤلّف، و هی کثیرة فی هذا الکتاب، تزید علی ثلث الأحادیث الموردة فیه، و ینبغی أن لا یقصر الاعتماد علیها من الاعتماد علی مسانیده، من حیث تشریکه بین النّوعین فی کونه ممّا یفتی به و یحکم بصحّته، و یعتقد أنّه حجّة بینه و بین ربّه، بل ذهب جماعة من الاصولیّین إلی ترجیح مرسل العدل علی مسانیده محتجّین بأنّ قول العدل «قال رسول اللّه - صلی اللّه علیه و آله - کذا» یشعر باذعانه بمضمون الخبر، بخلاف ما لو قال «حدّثنی فلان، عن فلان أنّه - صلی اللّه علیه و آله - قال کذا» و قد جعل أصحابنا - قدّس اللّه أرواحهم - مراسیل ابن أبی عمیر کمسانیده فی الاعتماد علیها، لما علموا من عادته أنّه لا یرسل إلاّ عن ثقة</w:t>
      </w:r>
      <w:r>
        <w:rPr>
          <w:rStyle w:val="FootnoteReference"/>
        </w:rPr>
        <w:footnoteReference w:id="4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الداماد فی الرواشح: «إذا کان الارسال بالاسقاط رأسا جزما، کما قال المرسل «قال النبی، أو قال الإمام» فهو یتم فیه، و ذلک مثل قول الصدوق فی الفقیه «قال الصادق علیه السلام: الماء یطهّر و لا یطهّر» إذ مفاده الجزم أو الظنّ بصدور الحدیث عن المعصوم، فیجب أن تکون الوسائط عدولا فی ظنّه، و إلاّ کان الحکم الجازم بالاسناد هادما لجلالته و عدالته»</w:t>
      </w:r>
      <w:r>
        <w:rPr>
          <w:rStyle w:val="FootnoteReference"/>
        </w:rPr>
        <w:footnoteReference w:id="4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غایة ما یقتضیه الاسناد جازما، هو جزم الصدوق أو اطمئنانه علی صدور الروایة من الإمام - علیه السلام -، و هذا لا یقتضی أن یکون منشأ جزمه هو عدالة الراوی أو وثاقته، فیمکن أن یکون منشؤه هو القرائن الحافّة علی الخبر الّتی یفید القطع أو الاطمئنان بصدور الخبر، و لو کان اطمئنانه حجّة للغیر، یصحّ للغیر الرکون إلیه و إلاّ فلا.</w:t>
      </w:r>
    </w:p>
    <w:p>
      <w:pPr>
        <w:pStyle w:val="BookText"/>
      </w:pPr>
      <w:r>
        <w:rPr>
          <w:rFonts w:ascii="IRNazanin" w:hAnsi="IRNazanin" w:eastAsia="IRNazanin" w:cs="IRNazanin"/>
          <w:lang w:bidi="fa-IR"/>
          <w:color w:val="111111"/>
          <w:sz w:val="28"/>
          <w:szCs w:val="28"/>
          <w:rtl/>
        </w:rPr>
        <w:t xml:space="preserve">الرابعة: قد عرفت أنّ الصدوق کثیرا ما ذکر الراوی و نسی أن یذکر طریقه إلیه فی المشیخة، أو ذکر طریقه و لکن لم یکن صحیحا عندنا، فهل هنا طریق</w:t>
      </w:r>
    </w:p>
    <w:p>
      <w:pPr>
        <w:pStyle w:val="BookText"/>
      </w:pPr>
      <w:r>
        <w:rPr>
          <w:rFonts w:ascii="IRNazanin" w:hAnsi="IRNazanin" w:eastAsia="IRNazanin" w:cs="IRNazanin"/>
          <w:lang w:bidi="fa-IR"/>
          <w:color w:val="111111"/>
          <w:sz w:val="28"/>
          <w:szCs w:val="28"/>
          <w:rtl/>
        </w:rPr>
        <w:t xml:space="preserve">[شماره صفحه واقعی : 384]</w:t>
      </w:r>
    </w:p>
    <w:p>
      <w:pPr>
        <w:pStyle w:val="BookText"/>
      </w:pPr>
      <w:r>
        <w:rPr>
          <w:rFonts w:ascii="IRNazanin" w:hAnsi="IRNazanin" w:eastAsia="IRNazanin" w:cs="IRNazanin"/>
          <w:lang w:bidi="fa-IR"/>
          <w:color w:val="111111"/>
          <w:sz w:val="28"/>
          <w:szCs w:val="28"/>
          <w:rtl/>
        </w:rPr>
        <w:t xml:space="preserve">ص: 1102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یعالج هذه المشکلة؟ فقد قام المحقّق الأردبیلی صاحب کتاب «جامع الرواة» علی تصحیح هذه الروایات بطریق خاصّ نذکره عند البحث عن کتاب «التهذیب».</w:t>
      </w:r>
    </w:p>
    <w:p>
      <w:pPr>
        <w:pStyle w:val="BookText"/>
      </w:pPr>
      <w:r>
        <w:rPr>
          <w:rFonts w:ascii="IRNazanin" w:hAnsi="IRNazanin" w:eastAsia="IRNazanin" w:cs="IRNazanin"/>
          <w:lang w:bidi="fa-IR"/>
          <w:color w:val="111111"/>
          <w:sz w:val="28"/>
          <w:szCs w:val="28"/>
          <w:rtl/>
        </w:rPr>
        <w:t xml:space="preserve">و الّذی عند سید المحقّقین، البروجردی - قدّس اللّه سره - من الاجابة عن هذا السؤال هو أنّ الکتب الّتی نقل عنه الصدوق فی هذا الکتاب کانت کتبا مشهورة، و کان الأصحاب یعوّلون علیها و یرجعون إلیها، و لم یکن ذکر الطریق إلی هذه الکتب إلاّ تبرّعا و تبرّکا، أی لاخراج الکتب عن صورة المرسل إلی صورة المسند و إن کان لبّا جمیعها مسانید، لشهرة انتساب هذه الکتب إلی مؤلّفیها، و بذلک کانت تستغنی عن ذکر الطّریق.</w:t>
      </w:r>
    </w:p>
    <w:p>
      <w:pPr>
        <w:pStyle w:val="BookText"/>
      </w:pPr>
      <w:r>
        <w:rPr>
          <w:rFonts w:ascii="IRNazanin" w:hAnsi="IRNazanin" w:eastAsia="IRNazanin" w:cs="IRNazanin"/>
          <w:lang w:bidi="fa-IR"/>
          <w:color w:val="111111"/>
          <w:sz w:val="28"/>
          <w:szCs w:val="28"/>
          <w:rtl/>
        </w:rPr>
        <w:t xml:space="preserve">و الّذی یدل علی ذلک، قوله فی دیباجة الکتاب: «و جمیع ما فیه مستخرج من کتب مشهورة علیها المعوّل و إلیها المرجع مثل کتاب حریز بن عبد اللّه السجستانی</w:t>
      </w:r>
      <w:r>
        <w:rPr>
          <w:rStyle w:val="FootnoteReference"/>
        </w:rPr>
        <w:footnoteReference w:id="4134"/>
      </w:r>
      <w:r>
        <w:rPr>
          <w:rFonts w:ascii="IRNazanin" w:hAnsi="IRNazanin" w:eastAsia="IRNazanin" w:cs="IRNazanin"/>
          <w:lang w:bidi="fa-IR"/>
          <w:color w:val="111111"/>
          <w:sz w:val="28"/>
          <w:szCs w:val="28"/>
          <w:rtl/>
        </w:rPr>
        <w:t xml:space="preserve">، و کتاب عبید اللّه بن علیّ الحلبی</w:t>
      </w:r>
      <w:r>
        <w:rPr>
          <w:rStyle w:val="FootnoteReference"/>
        </w:rPr>
        <w:footnoteReference w:id="4135"/>
      </w:r>
      <w:r>
        <w:rPr>
          <w:rFonts w:ascii="IRNazanin" w:hAnsi="IRNazanin" w:eastAsia="IRNazanin" w:cs="IRNazanin"/>
          <w:lang w:bidi="fa-IR"/>
          <w:color w:val="111111"/>
          <w:sz w:val="28"/>
          <w:szCs w:val="28"/>
          <w:rtl/>
        </w:rPr>
        <w:t xml:space="preserve">، و کتب علیّ بن مهزیار الاهوازی - إلی آخر ما نقلناه عنه آنفا».</w:t>
      </w:r>
    </w:p>
    <w:p>
      <w:pPr>
        <w:pStyle w:val="BookText"/>
      </w:pPr>
      <w:r>
        <w:rPr>
          <w:rFonts w:ascii="IRNazanin" w:hAnsi="IRNazanin" w:eastAsia="IRNazanin" w:cs="IRNazanin"/>
          <w:lang w:bidi="fa-IR"/>
          <w:color w:val="111111"/>
          <w:sz w:val="28"/>
          <w:szCs w:val="28"/>
          <w:rtl/>
        </w:rPr>
        <w:t xml:space="preserve">و بعد هذه العبارة لا یبقی شکّ للانسان أنّ ذکر الطّریق إلی هذه الکتب فی المشیخة، لم یکن إلاّ عملا تبرّعیا غیر إلزامی، و لأجل ذلک نری أنّه لم یذکر طریقا إلی بعض هذه الکتب، أو ذکر طریقا فیه ضعف، لعدم المبالاة بصحّة الطریق و عدمها، لأنّه لم تکن الغایة إثبات انتساب الکتب إلی أصحابها، فإنّ الکتب کانت مشهورة الانتساب إلی مؤلّفیها، و لأجل ذلک نری أنّ المحقّق المولی محمّد تقی المجلسی (المولود عام 1003، و المتوفی عام 1070) ذکر فی شرحه علی الفقیه عند تفسیر العبارة المتقدّمة ما هذا لفظه: «من کتب</w:t>
      </w:r>
    </w:p>
    <w:p>
      <w:pPr>
        <w:pStyle w:val="BookText"/>
      </w:pPr>
      <w:r>
        <w:rPr>
          <w:rFonts w:ascii="IRNazanin" w:hAnsi="IRNazanin" w:eastAsia="IRNazanin" w:cs="IRNazanin"/>
          <w:lang w:bidi="fa-IR"/>
          <w:color w:val="111111"/>
          <w:sz w:val="28"/>
          <w:szCs w:val="28"/>
          <w:rtl/>
        </w:rPr>
        <w:t xml:space="preserve">[شماره صفحه واقعی : 385]</w:t>
      </w:r>
    </w:p>
    <w:p>
      <w:pPr>
        <w:pStyle w:val="BookText"/>
      </w:pPr>
      <w:r>
        <w:rPr>
          <w:rFonts w:ascii="IRNazanin" w:hAnsi="IRNazanin" w:eastAsia="IRNazanin" w:cs="IRNazanin"/>
          <w:lang w:bidi="fa-IR"/>
          <w:color w:val="111111"/>
          <w:sz w:val="28"/>
          <w:szCs w:val="28"/>
          <w:rtl/>
        </w:rPr>
        <w:t xml:space="preserve">ص: 1103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مشهورة بین المحدّثین، بالانتساب إلی مصنّفیها و رواتها، و الظّاهر أنّ المراد بالشهرة التواتر. علیها المعوّل، یعنی کلّها محلّ اعتماد الأصحاب»</w:t>
      </w:r>
      <w:r>
        <w:rPr>
          <w:rStyle w:val="FootnoteReference"/>
        </w:rPr>
        <w:footnoteReference w:id="4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ایضا: «الظّاهر منهم النقل من الکتب المعتبرة المشهورة، فاذا کان صاحب الکتاب ثقة یکون الخبر صحیحا، لأنّ الظّاهر من نقل السند إلی الکتاب المشهور المتواتر، مجرّد التیمّن و التبرّک لا سیّما إذا کان من الجماعة المشهورین کالفضیل بن یسار و محمّد بن مسلم - رضی اللّه عنهما - فإنّ الظاهر أنّه لا یضرّ جهالة سندیهما»</w:t>
      </w:r>
      <w:r>
        <w:rPr>
          <w:rStyle w:val="FootnoteReference"/>
        </w:rPr>
        <w:footnoteReference w:id="4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«مع کثرة التتبّع یظهر أنّ مدار ثقة الاسلام (الکلینی) أیضا کان علی الکتب المشهورة، و کان اتّصال السند عنده أیضا لمجرّد التیمّن و التبرّک، و لئلاّ یلحق الخبر بحسب الظّاهر بالمرسل، فإن روی خبرا عن حمّاد بن عیسی، أو صفوان بن یحیی، أو محمّد بن أبی عمیر فالظّاهر أنّه أخذ من کتبهم فلا یضرّ الجهالة الّتی تکون فی السند إلی الکتب بمثل محمّد بن إسماعیل عن الفضل، أو الضعف بمثل سهل بن زیاد»</w:t>
      </w:r>
      <w:r>
        <w:rPr>
          <w:rStyle w:val="FootnoteReference"/>
        </w:rPr>
        <w:footnoteReference w:id="4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نری أنّ البحث عن طرق الصّدوق إلی أصحاب الکتب أمر زائد، فاللازم البحث عن مؤلّف الکتاب و طرقه إلی الإمام - علیه السلام -.</w:t>
      </w:r>
    </w:p>
    <w:p>
      <w:pPr>
        <w:pStyle w:val="BookText"/>
      </w:pPr>
      <w:r>
        <w:rPr>
          <w:rFonts w:ascii="IRNazanin" w:hAnsi="IRNazanin" w:eastAsia="IRNazanin" w:cs="IRNazanin"/>
          <w:lang w:bidi="fa-IR"/>
          <w:color w:val="111111"/>
          <w:sz w:val="28"/>
          <w:szCs w:val="28"/>
          <w:rtl/>
        </w:rPr>
        <w:t xml:space="preserve">هذا ما کان سیّدنا المحقّق البروجردی یمیل إلیه و یقرّبه.</w:t>
      </w:r>
    </w:p>
    <w:p>
      <w:pPr>
        <w:pStyle w:val="BookText"/>
      </w:pPr>
      <w:r>
        <w:rPr>
          <w:rFonts w:ascii="IRNazanin" w:hAnsi="IRNazanin" w:eastAsia="IRNazanin" w:cs="IRNazanin"/>
          <w:lang w:bidi="fa-IR"/>
          <w:color w:val="111111"/>
          <w:sz w:val="28"/>
          <w:szCs w:val="28"/>
          <w:rtl/>
        </w:rPr>
        <w:t xml:space="preserve">نعم، علی ذلک کلّما علم أنّ الشیخ الصّدوق أخذ الحدیث من الکتب المعروفة، فالبحث عن الطّریق أمر غیر لازم، و أمّا إذا لم نجزم بذلک و احتملنا أنّ الحدیث وصل إلیه بالطرق المذکورة فی المشیخة، فالبحث عن صحّة الطرق یعدّ أمرا لازما.</w:t>
      </w:r>
    </w:p>
    <w:p>
      <w:pPr>
        <w:pStyle w:val="BookText"/>
      </w:pPr>
      <w:r>
        <w:rPr>
          <w:rFonts w:ascii="IRNazanin" w:hAnsi="IRNazanin" w:eastAsia="IRNazanin" w:cs="IRNazanin"/>
          <w:lang w:bidi="fa-IR"/>
          <w:color w:val="111111"/>
          <w:sz w:val="28"/>
          <w:szCs w:val="28"/>
          <w:rtl/>
        </w:rPr>
        <w:t xml:space="preserve">[شماره صفحه واقعی : 386]</w:t>
      </w:r>
    </w:p>
    <w:p>
      <w:pPr>
        <w:pStyle w:val="BookText"/>
      </w:pPr>
      <w:r>
        <w:rPr>
          <w:rFonts w:ascii="IRNazanin" w:hAnsi="IRNazanin" w:eastAsia="IRNazanin" w:cs="IRNazanin"/>
          <w:lang w:bidi="fa-IR"/>
          <w:color w:val="111111"/>
          <w:sz w:val="28"/>
          <w:szCs w:val="28"/>
          <w:rtl/>
        </w:rPr>
        <w:t xml:space="preserve">ص: 1104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 بمثل ذلک فی طرق الکافی، فإذا علم أنّه أخذ الحدیث من الکتب الّتی ثبت إسنادها إلی الرّاوی، فلا وجه للبحث عن ضعف الطّریق أو صحّته.</w:t>
      </w:r>
    </w:p>
    <w:p>
      <w:pPr>
        <w:pStyle w:val="BookText"/>
      </w:pPr>
      <w:r>
        <w:rPr>
          <w:rFonts w:ascii="IRNazanin" w:hAnsi="IRNazanin" w:eastAsia="IRNazanin" w:cs="IRNazanin"/>
          <w:lang w:bidi="fa-IR"/>
          <w:color w:val="111111"/>
          <w:sz w:val="28"/>
          <w:szCs w:val="28"/>
          <w:rtl/>
        </w:rPr>
        <w:t xml:space="preserve">و بذلک نستغنی عن کثیر من المباحث حول طرق الصدوق إلی أرباب الکتب.</w:t>
      </w:r>
    </w:p>
    <w:p>
      <w:pPr>
        <w:pStyle w:val="BookText"/>
      </w:pPr>
      <w:r>
        <w:rPr>
          <w:rFonts w:ascii="IRNazanin" w:hAnsi="IRNazanin" w:eastAsia="IRNazanin" w:cs="IRNazanin"/>
          <w:lang w:bidi="fa-IR"/>
          <w:color w:val="111111"/>
          <w:sz w:val="28"/>
          <w:szCs w:val="28"/>
          <w:rtl/>
        </w:rPr>
        <w:t xml:space="preserve">ثمّ إنّهم أطالوا البحث عن أحوال المذکورین فی المشیخة و مدحهم و قدحهم و صحّة الطریق من جهتهم.</w:t>
      </w:r>
    </w:p>
    <w:p>
      <w:pPr>
        <w:pStyle w:val="BookText"/>
      </w:pPr>
      <w:r>
        <w:rPr>
          <w:rFonts w:ascii="IRNazanin" w:hAnsi="IRNazanin" w:eastAsia="IRNazanin" w:cs="IRNazanin"/>
          <w:lang w:bidi="fa-IR"/>
          <w:color w:val="111111"/>
          <w:sz w:val="28"/>
          <w:szCs w:val="28"/>
          <w:rtl/>
        </w:rPr>
        <w:t xml:space="preserve">و قد عرفت أنّ أوّل من دخل فی هذا الباب هو العلاّمة فی «الخلاصة»، و تبعه ابن داود ثمّ أرباب المجامیع الرجالیة و شرّاح الفقیه، کالعالم الفاضل المولی مراد التفریشی و العالم الجلیل المجلسی الأوّل و غیرهما</w:t>
      </w:r>
      <w:r>
        <w:rPr>
          <w:rStyle w:val="FootnoteReference"/>
        </w:rPr>
        <w:footnoteReference w:id="4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387]</w:t>
      </w:r>
    </w:p>
    <w:p>
      <w:pPr>
        <w:pStyle w:val="BookText"/>
      </w:pPr>
      <w:r>
        <w:rPr>
          <w:rFonts w:ascii="IRNazanin" w:hAnsi="IRNazanin" w:eastAsia="IRNazanin" w:cs="IRNazanin"/>
          <w:lang w:bidi="fa-IR"/>
          <w:color w:val="111111"/>
          <w:sz w:val="28"/>
          <w:szCs w:val="28"/>
          <w:rtl/>
        </w:rPr>
        <w:t xml:space="preserve">ص: 1105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388]</w:t>
      </w:r>
    </w:p>
    <w:p>
      <w:pPr>
        <w:pStyle w:val="BookText"/>
      </w:pPr>
      <w:r>
        <w:rPr>
          <w:rFonts w:ascii="IRNazanin" w:hAnsi="IRNazanin" w:eastAsia="IRNazanin" w:cs="IRNazanin"/>
          <w:lang w:bidi="fa-IR"/>
          <w:color w:val="111111"/>
          <w:sz w:val="28"/>
          <w:szCs w:val="28"/>
          <w:rtl/>
        </w:rPr>
        <w:t xml:space="preserve">ص: 1106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454" w:name="pg14419_167822"/>
    <w:bookmarkEnd w:id="454"/>
    <w:p>
      <w:pPr>
        <w:pStyle w:val="Heading5"/>
      </w:pPr>
      <w:bookmarkStart w:id="1404" w:name="_Toc844"/>
      <w:r>
        <w:t>3 - تقییم احادیث «التهذیب» و «الاستبصار»</w:t>
      </w:r>
      <w:bookmarkEnd w:id="1404"/>
    </w:p>
    <w:p>
      <w:pPr>
        <w:pStyle w:val="Heading6"/>
      </w:pPr>
      <w:bookmarkStart w:id="1405" w:name="_Toc845"/>
      <w:r>
        <w:t>اشارة</w:t>
      </w:r>
      <w:bookmarkEnd w:id="1405"/>
    </w:p>
    <w:p>
      <w:pPr>
        <w:pStyle w:val="BookText"/>
      </w:pPr>
      <w:r>
        <w:rPr>
          <w:rFonts w:ascii="IRNazanin" w:hAnsi="IRNazanin" w:eastAsia="IRNazanin" w:cs="IRNazanin"/>
          <w:lang w:bidi="fa-IR"/>
          <w:color w:val="111111"/>
          <w:sz w:val="28"/>
          <w:szCs w:val="28"/>
          <w:rtl/>
        </w:rPr>
        <w:t xml:space="preserve">[شماره صفحه واقعی : 389]</w:t>
      </w:r>
    </w:p>
    <w:p>
      <w:pPr>
        <w:pStyle w:val="BookText"/>
      </w:pPr>
      <w:r>
        <w:rPr>
          <w:rFonts w:ascii="IRNazanin" w:hAnsi="IRNazanin" w:eastAsia="IRNazanin" w:cs="IRNazanin"/>
          <w:lang w:bidi="fa-IR"/>
          <w:color w:val="111111"/>
          <w:sz w:val="28"/>
          <w:szCs w:val="28"/>
          <w:rtl/>
        </w:rPr>
        <w:t xml:space="preserve">ص: 1107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390]</w:t>
      </w:r>
    </w:p>
    <w:p>
      <w:pPr>
        <w:pStyle w:val="BookText"/>
      </w:pPr>
      <w:r>
        <w:rPr>
          <w:rFonts w:ascii="IRNazanin" w:hAnsi="IRNazanin" w:eastAsia="IRNazanin" w:cs="IRNazanin"/>
          <w:lang w:bidi="fa-IR"/>
          <w:color w:val="111111"/>
          <w:sz w:val="28"/>
          <w:szCs w:val="28"/>
          <w:rtl/>
        </w:rPr>
        <w:t xml:space="preserve">ص: 1108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کتاب «تهذیب الأحکام» فی شرح المقنعة للشیخ المفید، تألیف شیخ الطائفة أبی جعفر محمّد بن الحسن الطّوسی (المولود عام 385، و المتوفّی عام 460) من أعظم کتب الحدیث منزلة و أکثرها منفعة، و قد شرع الشیخ فی تألیف هذا الکتاب لمّا بلغ سنّة ستّا و عشرین و هذا من خوارق العادة.</w:t>
      </w:r>
    </w:p>
    <w:p>
      <w:pPr>
        <w:pStyle w:val="BookText"/>
      </w:pPr>
      <w:r>
        <w:rPr>
          <w:rFonts w:ascii="IRNazanin" w:hAnsi="IRNazanin" w:eastAsia="IRNazanin" w:cs="IRNazanin"/>
          <w:lang w:bidi="fa-IR"/>
          <w:color w:val="111111"/>
          <w:sz w:val="28"/>
          <w:szCs w:val="28"/>
          <w:rtl/>
        </w:rPr>
        <w:t xml:space="preserve">قال المحقّق البروجردی: «یظهر من أدعیته للمفید فی کتاب «التهذیب» عند نقل عبارة المقنعة حیث یقول فی أوّل الکتاب إلی أواخر کتاب الصّلاة منه: «قال الشیخ - أیّده اللّه تعالی -» و منه إلی آخر الکتاب یقول:</w:t>
      </w:r>
    </w:p>
    <w:p>
      <w:pPr>
        <w:pStyle w:val="BookText"/>
      </w:pPr>
      <w:r>
        <w:rPr>
          <w:rFonts w:ascii="IRNazanin" w:hAnsi="IRNazanin" w:eastAsia="IRNazanin" w:cs="IRNazanin"/>
          <w:lang w:bidi="fa-IR"/>
          <w:color w:val="111111"/>
          <w:sz w:val="28"/>
          <w:szCs w:val="28"/>
          <w:rtl/>
        </w:rPr>
        <w:t xml:space="preserve">«قال الشیخ - رحمه اللّه -» أنّه کتب الطّهارة و الصّلاة فی حال حیاة الشیخ المفید و قد قدم الشیخ الطوسی العراق عام 408، و توفی الشیخ المفید عام 413، و أنت إذا نظرت إلی کلماته فی الکتابین «التّهذیب و الاستبصار» و ما جادل به المخالفین فی المسائل الخلافیة، کمسألة مسح الرجلین، و ما أفاده فی مقام الجمع بین الأخبار، و اختیاراته فی المسائل، و ما یستند إلیه فیها و ما یورده من الأخبار فی کلّ مسألة، لأذعنت أنّه من أبناء سبعین»</w:t>
      </w:r>
      <w:r>
        <w:rPr>
          <w:rStyle w:val="FootnoteReference"/>
        </w:rPr>
        <w:footnoteReference w:id="4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391]</w:t>
      </w:r>
    </w:p>
    <w:p>
      <w:pPr>
        <w:pStyle w:val="BookText"/>
      </w:pPr>
      <w:r>
        <w:rPr>
          <w:rFonts w:ascii="IRNazanin" w:hAnsi="IRNazanin" w:eastAsia="IRNazanin" w:cs="IRNazanin"/>
          <w:lang w:bidi="fa-IR"/>
          <w:color w:val="111111"/>
          <w:sz w:val="28"/>
          <w:szCs w:val="28"/>
          <w:rtl/>
        </w:rPr>
        <w:t xml:space="preserve">ص: 1109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طریقة الشیخ فی نقل الأحادیث فی هذا الکتاب مختلفة.</w:t>
      </w:r>
    </w:p>
    <w:p>
      <w:pPr>
        <w:pStyle w:val="BookText"/>
      </w:pPr>
      <w:r>
        <w:rPr>
          <w:rFonts w:ascii="IRNazanin" w:hAnsi="IRNazanin" w:eastAsia="IRNazanin" w:cs="IRNazanin"/>
          <w:lang w:bidi="fa-IR"/>
          <w:color w:val="111111"/>
          <w:sz w:val="28"/>
          <w:szCs w:val="28"/>
          <w:rtl/>
        </w:rPr>
        <w:t xml:space="preserve">قال السیّد الأجلّ بحر العلوم - رحمه اللّه -: «إنّه قد یذکر فی التّهذیب و الاستبصار جمیع السند، کما فی الکافی، و قد یقتصر علی البعض بحذف الصدر، کما فی الفقیه، و لکنّه استدرک المتروک فی آخر الکتابین، فوضع له مشیخته المعروفة، و هی فیهما واحدة غیر مختلفة، قد ذکر فیهما جملة من الطرق إلی أصحاب الاصول و الکتب ممّن صدّر الحدیث بذکرهم و ابتدأ بأسمائهم، و لم یستوف الطّرق کلّها، و لا ذکر الطّریق إلی کلّ من روی عنه بصورة التّعلیق، بل ترک الأکثر لقلّة روایته عنهم، و أحال التفصیل إلی فهارس الشیوخ المصنّفة فی هذا الباب، و زاد فی «التهذیب» الحوالة علی کتاب «الفهرس» الّذی صنّفه فی هذا المعنی.</w:t>
      </w:r>
    </w:p>
    <w:p>
      <w:pPr>
        <w:pStyle w:val="BookText"/>
      </w:pPr>
      <w:r>
        <w:rPr>
          <w:rFonts w:ascii="IRNazanin" w:hAnsi="IRNazanin" w:eastAsia="IRNazanin" w:cs="IRNazanin"/>
          <w:lang w:bidi="fa-IR"/>
          <w:color w:val="111111"/>
          <w:sz w:val="28"/>
          <w:szCs w:val="28"/>
          <w:rtl/>
        </w:rPr>
        <w:t xml:space="preserve">قال الشیخ فی مشیخة تهذیبه: «و الآن فحیث وفّق اللّه تعالی للفراغ من هذا الکتاب، نحن نذکر الطّرق الّتی یتوصّل بها إلی روایة هذه الاصول و المصنّفات، و نذکرها علی غایة ما یمکن من الاختصار لتخرج الاخبار بذلک عن حدّ المراسیل و تلحق بباب المسندات.</w:t>
      </w:r>
    </w:p>
    <w:p>
      <w:pPr>
        <w:pStyle w:val="BookText"/>
      </w:pPr>
      <w:r>
        <w:rPr>
          <w:rFonts w:ascii="IRNazanin" w:hAnsi="IRNazanin" w:eastAsia="IRNazanin" w:cs="IRNazanin"/>
          <w:lang w:bidi="fa-IR"/>
          <w:color w:val="111111"/>
          <w:sz w:val="28"/>
          <w:szCs w:val="28"/>
          <w:rtl/>
        </w:rPr>
        <w:t xml:space="preserve">ثمّ قال: فما ذکرناه فی هذا الکتاب عن محمّد بن یعقوب الکلینی - رحمه اللّه - فقد أخبرنا الشیخ أبو عبد اللّه محمّد بن نعمان - رحمه اللّه -، عن أبی القاسم جعفر بن محمّد بن قولویه - رحمه اللّه -، عن محمّد بن یعقوب - رحمه اللّه - و أخبرنا به أیضا الحسین بن عبید اللّه، عن أبی غالب أحمد بن محمّد الزراری و أبی محمّد هارون بن موسی التلّعکبری، و أبی القاسم جعفر بن محمّد بن قولویه، و أبی عبد اللّه أحمد بن أبی رافع الصیمری، و أبی المفضّل الشیبانی، و غیرهم، کلّهم عن محمّد بن یعقوب الکلینی.</w:t>
      </w:r>
    </w:p>
    <w:p>
      <w:pPr>
        <w:pStyle w:val="BookText"/>
      </w:pPr>
      <w:r>
        <w:rPr>
          <w:rFonts w:ascii="IRNazanin" w:hAnsi="IRNazanin" w:eastAsia="IRNazanin" w:cs="IRNazanin"/>
          <w:lang w:bidi="fa-IR"/>
          <w:color w:val="111111"/>
          <w:sz w:val="28"/>
          <w:szCs w:val="28"/>
          <w:rtl/>
        </w:rPr>
        <w:t xml:space="preserve">و أخبرنا به أیضا أحمد بن عبدون المعروف بابن الحاشر، عن أحمد بن أبی رافع، و أبی الحسین عبد الکریم بن عبد اللّه بن نصر البزّاز بتنیس و بغداد</w:t>
      </w:r>
    </w:p>
    <w:p>
      <w:pPr>
        <w:pStyle w:val="BookText"/>
      </w:pPr>
      <w:r>
        <w:rPr>
          <w:rFonts w:ascii="IRNazanin" w:hAnsi="IRNazanin" w:eastAsia="IRNazanin" w:cs="IRNazanin"/>
          <w:lang w:bidi="fa-IR"/>
          <w:color w:val="111111"/>
          <w:sz w:val="28"/>
          <w:szCs w:val="28"/>
          <w:rtl/>
        </w:rPr>
        <w:t xml:space="preserve">[شماره صفحه واقعی : 392]</w:t>
      </w:r>
    </w:p>
    <w:p>
      <w:pPr>
        <w:pStyle w:val="BookText"/>
      </w:pPr>
      <w:r>
        <w:rPr>
          <w:rFonts w:ascii="IRNazanin" w:hAnsi="IRNazanin" w:eastAsia="IRNazanin" w:cs="IRNazanin"/>
          <w:lang w:bidi="fa-IR"/>
          <w:color w:val="111111"/>
          <w:sz w:val="28"/>
          <w:szCs w:val="28"/>
          <w:rtl/>
        </w:rPr>
        <w:t xml:space="preserve">ص: 1110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جعفر محمّد بن یعقوب الکلینی جمیع مصنّفاته و أحادیثه سماعا و إجازة ببغداد بباب الکوفة، بدرب السلسلة سنة سبع و عشرین و ثلاثمائة»</w:t>
      </w:r>
      <w:r>
        <w:rPr>
          <w:rStyle w:val="FootnoteReference"/>
        </w:rPr>
        <w:footnoteReference w:id="4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فربما یتصوّر أنّه یجب التفتیش و التفحّص عن طرق الشیخ إلی أصحاب الکتب و الاصول.</w:t>
      </w:r>
    </w:p>
    <w:p>
      <w:pPr>
        <w:pStyle w:val="BookText"/>
      </w:pPr>
      <w:r>
        <w:rPr>
          <w:rFonts w:ascii="IRNazanin" w:hAnsi="IRNazanin" w:eastAsia="IRNazanin" w:cs="IRNazanin"/>
          <w:lang w:bidi="fa-IR"/>
          <w:color w:val="111111"/>
          <w:sz w:val="28"/>
          <w:szCs w:val="28"/>
          <w:rtl/>
        </w:rPr>
        <w:t xml:space="preserve">أقول: قد عرفت مذهب سیّد المحقّقین آیة اللّه البروجردی و هو أحد المعنیّین فی علم الرجال، و أنّه کان یذهب تبعا للمجلسیّ الأوّل إلی أنّ المشیخة للصدوق و للشیخ، لم تکن إلاّ لمجرّد إظهار الأحادیث بصور المسندات لا لأجل تحصیل العلم بنسبة الکتب إلی مؤلّفیها، فإنّ نسبة هذه الکتب إلی أصحابها کانت ثابتة غیر محتاجة إلی تحصیل السند، و بالجملة ذکر المشیخة لأجل التبرّک و التیمّن، و لاتّصال السند کما هو المرسوم فی هذه الأعصار أیضا، حیث یستجیزون عن المشایخ بالنسبة إلی الکتب الأربعة و غیرها حتّی یصحّ لهم نقل الأحادیث عن هذه الکتب مسندا، و أمّا کون المشیخة لأجل تحصیل صحّة نسبة هذه الکتب إلی أصحابها فهذا ممّا ینافیه کلام الصدوق و الشیخ فی المشیخة.</w:t>
      </w:r>
    </w:p>
    <w:p>
      <w:pPr>
        <w:pStyle w:val="BookText"/>
      </w:pPr>
      <w:r>
        <w:rPr>
          <w:rFonts w:ascii="IRNazanin" w:hAnsi="IRNazanin" w:eastAsia="IRNazanin" w:cs="IRNazanin"/>
          <w:lang w:bidi="fa-IR"/>
          <w:color w:val="111111"/>
          <w:sz w:val="28"/>
          <w:szCs w:val="28"/>
          <w:rtl/>
        </w:rPr>
        <w:t xml:space="preserve">أمّا الصدوق فقد قدّمنا کلامه، و أمّا الشیخ فهو یقول فی مشیخة التهذیب: «لتخرج الأخبار بذلک عن حدّ المراسیل و تلحق بباب المسندات» فإنّ هذه العبارة تعطی أنّ الغایة من ذکر المشیخة جعل الحدیث و إخراجه بصورة المسانید لا غیر، و لأجل ذلک نری أنّ الشیخ یبتدأ فی المشیخة بذکر الطّرق إلی کتاب الکافی للکلینی، مع أنّ ثبوته له أظهر من الشمس، و بذلک تعرف أنّ البحث فی طرق الشّیخ إلی أصحاب الکتب فی المشیخة ممّا لا طائل تحته، و لیس علی الفقیه إلاّ التفتیش عن أحوال أصحاب الکتب و من یروون عنهم.</w:t>
      </w:r>
    </w:p>
    <w:p>
      <w:pPr>
        <w:pStyle w:val="BookText"/>
      </w:pPr>
      <w:r>
        <w:rPr>
          <w:rFonts w:ascii="IRNazanin" w:hAnsi="IRNazanin" w:eastAsia="IRNazanin" w:cs="IRNazanin"/>
          <w:lang w:bidi="fa-IR"/>
          <w:color w:val="111111"/>
          <w:sz w:val="28"/>
          <w:szCs w:val="28"/>
          <w:rtl/>
        </w:rPr>
        <w:t xml:space="preserve">اللّهم إلاّ إذا کانت الکتب غیر معروفة، فعندئذ یجب الفحص عن کلّ</w:t>
      </w:r>
    </w:p>
    <w:p>
      <w:pPr>
        <w:pStyle w:val="BookText"/>
      </w:pPr>
      <w:r>
        <w:rPr>
          <w:rFonts w:ascii="IRNazanin" w:hAnsi="IRNazanin" w:eastAsia="IRNazanin" w:cs="IRNazanin"/>
          <w:lang w:bidi="fa-IR"/>
          <w:color w:val="111111"/>
          <w:sz w:val="28"/>
          <w:szCs w:val="28"/>
          <w:rtl/>
        </w:rPr>
        <w:t xml:space="preserve">[شماره صفحه واقعی : 393]</w:t>
      </w:r>
    </w:p>
    <w:p>
      <w:pPr>
        <w:pStyle w:val="BookText"/>
      </w:pPr>
      <w:r>
        <w:rPr>
          <w:rFonts w:ascii="IRNazanin" w:hAnsi="IRNazanin" w:eastAsia="IRNazanin" w:cs="IRNazanin"/>
          <w:lang w:bidi="fa-IR"/>
          <w:color w:val="111111"/>
          <w:sz w:val="28"/>
          <w:szCs w:val="28"/>
          <w:rtl/>
        </w:rPr>
        <w:t xml:space="preserve">ص: 1111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455" w:name="pg14419_167827"/>
    <w:bookmarkEnd w:id="455"/>
    <w:p>
      <w:pPr>
        <w:pStyle w:val="BookText"/>
      </w:pPr>
      <w:r>
        <w:rPr>
          <w:rFonts w:ascii="IRNazanin" w:hAnsi="IRNazanin" w:eastAsia="IRNazanin" w:cs="IRNazanin"/>
          <w:lang w:bidi="fa-IR"/>
          <w:color w:val="111111"/>
          <w:sz w:val="28"/>
          <w:szCs w:val="28"/>
          <w:rtl/>
        </w:rPr>
        <w:t xml:space="preserve">من فی الطّریق کما لا یخفی.</w:t>
      </w:r>
    </w:p>
    <w:p>
      <w:pPr>
        <w:pStyle w:val="Heading6"/>
      </w:pPr>
      <w:bookmarkStart w:id="1406" w:name="_Toc846"/>
      <w:r>
        <w:t>تصحیح أسانید الشیخ</w:t>
      </w:r>
      <w:bookmarkEnd w:id="1406"/>
    </w:p>
    <w:p>
      <w:pPr>
        <w:pStyle w:val="BookText"/>
      </w:pPr>
      <w:r>
        <w:rPr>
          <w:rFonts w:ascii="IRNazanin" w:hAnsi="IRNazanin" w:eastAsia="IRNazanin" w:cs="IRNazanin"/>
          <w:lang w:bidi="fa-IR"/>
          <w:color w:val="111111"/>
          <w:sz w:val="28"/>
          <w:szCs w:val="28"/>
          <w:rtl/>
        </w:rPr>
        <w:t xml:space="preserve">ثمّ إنّه لمّا کان کثیر من طرق الشیخ الواردة فی مشیخة التّهذیب، معلولا بضعف، أو إرسال، أو جهالة، أو بدء الحدیث باناس لم یذکر لهم طریق فی المشیخة، حاول بعض المحقّقین لرفع هذه النقیصة من کتاب التهذیب بالرجوع إلی فهرس الشّیخ أوّلا، و طرق من تقدّمه عصرا ثانیا، أو عاصره ثالثا.</w:t>
      </w:r>
    </w:p>
    <w:p>
      <w:pPr>
        <w:pStyle w:val="BookText"/>
      </w:pPr>
      <w:r>
        <w:rPr>
          <w:rFonts w:ascii="IRNazanin" w:hAnsi="IRNazanin" w:eastAsia="IRNazanin" w:cs="IRNazanin"/>
          <w:lang w:bidi="fa-IR"/>
          <w:color w:val="111111"/>
          <w:sz w:val="28"/>
          <w:szCs w:val="28"/>
          <w:rtl/>
        </w:rPr>
        <w:t xml:space="preserve">أمّا الأوّل، فلأنّ للشیخ فی الفهرس طرقا إلی أرباب الکتب و الاصول الّذین أهمل ذکر السند إلی کتبهم فی التّهذیب، فبالرجوع إلی ذلک الکتاب یعلم طریق الشّیخ إلی أرباب الکتب الّتی لم یذکر سنده إلیها فی التهذیب.</w:t>
      </w:r>
    </w:p>
    <w:p>
      <w:pPr>
        <w:pStyle w:val="BookText"/>
      </w:pPr>
      <w:r>
        <w:rPr>
          <w:rFonts w:ascii="IRNazanin" w:hAnsi="IRNazanin" w:eastAsia="IRNazanin" w:cs="IRNazanin"/>
          <w:lang w:bidi="fa-IR"/>
          <w:color w:val="111111"/>
          <w:sz w:val="28"/>
          <w:szCs w:val="28"/>
          <w:rtl/>
        </w:rPr>
        <w:t xml:space="preserve">أمّا الثانی، فبالرّجوع إلی مشیخة الفقیه و رسالة الشیخ أبی غالب الزراری، إذا کان لهما سند إلی الکتب الّتی لم یذکر سنده إلیها فی التهذیب، لکن إذا أوصلنا سند الشیخ إلی هؤلاء، و بالنتیجة یحصل السند إلی أصحاب هذه الکتب.</w:t>
      </w:r>
    </w:p>
    <w:p>
      <w:pPr>
        <w:pStyle w:val="BookText"/>
      </w:pPr>
      <w:r>
        <w:rPr>
          <w:rFonts w:ascii="IRNazanin" w:hAnsi="IRNazanin" w:eastAsia="IRNazanin" w:cs="IRNazanin"/>
          <w:lang w:bidi="fa-IR"/>
          <w:color w:val="111111"/>
          <w:sz w:val="28"/>
          <w:szCs w:val="28"/>
          <w:rtl/>
        </w:rPr>
        <w:t xml:space="preserve">أمّا الثالث، فبالرجوع إلی طریق النجاشی، فانّه کان معاصرا للشیخ، مشارکا له فی أکثر المشایخ کالمفید و الحسین بن عبید اللّه الغضائری، و ابنه أحمد بن الحسین، و أحمد بن عبدون الشهیر بابن الحاشر، فاذا علم روایة النجاشی للأصل و الکتاب بتوسّط أحد هؤلاء کان ذلک طریقا للشّیخ أیضا.</w:t>
      </w:r>
    </w:p>
    <w:p>
      <w:pPr>
        <w:pStyle w:val="BookText"/>
      </w:pPr>
      <w:r>
        <w:rPr>
          <w:rFonts w:ascii="IRNazanin" w:hAnsi="IRNazanin" w:eastAsia="IRNazanin" w:cs="IRNazanin"/>
          <w:lang w:bidi="fa-IR"/>
          <w:color w:val="111111"/>
          <w:sz w:val="28"/>
          <w:szCs w:val="28"/>
          <w:rtl/>
        </w:rPr>
        <w:t xml:space="preserve">ثمّ إنّ المتتبّع الخبیر الشیخ محمد الأردبیلی (المتوفّی عام 1101) أحد تلامیذ العلاّمة المجلسی قد قام بتألیف کتابین فی الرجال، و لکلّ دور خاص.</w:t>
      </w:r>
    </w:p>
    <w:p>
      <w:pPr>
        <w:pStyle w:val="BookText"/>
      </w:pPr>
      <w:r>
        <w:rPr>
          <w:rFonts w:ascii="IRNazanin" w:hAnsi="IRNazanin" w:eastAsia="IRNazanin" w:cs="IRNazanin"/>
          <w:lang w:bidi="fa-IR"/>
          <w:color w:val="111111"/>
          <w:sz w:val="28"/>
          <w:szCs w:val="28"/>
          <w:rtl/>
        </w:rPr>
        <w:t xml:space="preserve">1 - «جامع الرواة». و قد عرفنا مکانته عند البحث عن الاصول الرجالیة المتأخرة فی الفصول السابقة، و الکتاب مطبوع.</w:t>
      </w:r>
    </w:p>
    <w:p>
      <w:pPr>
        <w:pStyle w:val="BookText"/>
      </w:pPr>
      <w:r>
        <w:rPr>
          <w:rFonts w:ascii="IRNazanin" w:hAnsi="IRNazanin" w:eastAsia="IRNazanin" w:cs="IRNazanin"/>
          <w:lang w:bidi="fa-IR"/>
          <w:color w:val="111111"/>
          <w:sz w:val="28"/>
          <w:szCs w:val="28"/>
          <w:rtl/>
        </w:rPr>
        <w:t xml:space="preserve">[شماره صفحه واقعی : 394]</w:t>
      </w:r>
    </w:p>
    <w:p>
      <w:pPr>
        <w:pStyle w:val="BookText"/>
      </w:pPr>
      <w:r>
        <w:rPr>
          <w:rFonts w:ascii="IRNazanin" w:hAnsi="IRNazanin" w:eastAsia="IRNazanin" w:cs="IRNazanin"/>
          <w:lang w:bidi="fa-IR"/>
          <w:color w:val="111111"/>
          <w:sz w:val="28"/>
          <w:szCs w:val="28"/>
          <w:rtl/>
        </w:rPr>
        <w:t xml:space="preserve">ص: 1112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«تصحیح الأسانید» و هو بعد غیر مطبوع، و لم نقف علیه إلی الآن، لکن ذکر المؤلّف مختصره، و دیباجته فی آخر کتاب «جامع الرواة»</w:t>
      </w:r>
      <w:r>
        <w:rPr>
          <w:rStyle w:val="FootnoteReference"/>
        </w:rPr>
        <w:footnoteReference w:id="4142"/>
      </w:r>
      <w:r>
        <w:rPr>
          <w:rFonts w:ascii="IRNazanin" w:hAnsi="IRNazanin" w:eastAsia="IRNazanin" w:cs="IRNazanin"/>
          <w:lang w:bidi="fa-IR"/>
          <w:color w:val="111111"/>
          <w:sz w:val="28"/>
          <w:szCs w:val="28"/>
          <w:rtl/>
        </w:rPr>
        <w:t xml:space="preserve">و اختصره المحدّث النوری و نقله فی «خاتمة المستدرک» و أضاف علیه زیادات</w:t>
      </w:r>
      <w:r>
        <w:rPr>
          <w:rStyle w:val="FootnoteReference"/>
        </w:rPr>
        <w:footnoteReference w:id="4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حاول المؤلّف فی هذا الکتاب تصحیح أسانید الشیخ فی التّهذیبین بطریق آخر غیر ما ذکرناه من الرجوع إلی مشیخة الفهرس، أو مشیخة من تقدّمه، أو عاصره، و إلیک بیانه:</w:t>
      </w:r>
    </w:p>
    <w:p>
      <w:pPr>
        <w:pStyle w:val="BookText"/>
      </w:pPr>
      <w:r>
        <w:rPr>
          <w:rFonts w:ascii="IRNazanin" w:hAnsi="IRNazanin" w:eastAsia="IRNazanin" w:cs="IRNazanin"/>
          <w:lang w:bidi="fa-IR"/>
          <w:color w:val="111111"/>
          <w:sz w:val="28"/>
          <w:szCs w:val="28"/>
          <w:rtl/>
        </w:rPr>
        <w:t xml:space="preserve">إنّ العلاّمة الحلّی فی «الخلاصة»، و السید الجلیل المیرزا الاسترآبادی فی «تلخیص المقام» و السید مصطفی التفریشی فی «نقد الرجال» عمدوا إلی ذکر الشیوخ الّذین اخذت أحادیث «التهذیب» و «الاستبصار» من اصولهم و کتبهم، و ابتدأ الشیخ فی معظم أسانیدها بذکرهم اختصارا، مع أنّه لم یدرک زمانهم، و لکن ذکر طریقه إلیهم فی آخر الکتابین، و هم تسعة و ثلاثون شیخا.</w:t>
      </w:r>
    </w:p>
    <w:p>
      <w:pPr>
        <w:pStyle w:val="BookText"/>
      </w:pPr>
      <w:r>
        <w:rPr>
          <w:rFonts w:ascii="IRNazanin" w:hAnsi="IRNazanin" w:eastAsia="IRNazanin" w:cs="IRNazanin"/>
          <w:lang w:bidi="fa-IR"/>
          <w:color w:val="111111"/>
          <w:sz w:val="28"/>
          <w:szCs w:val="28"/>
          <w:rtl/>
        </w:rPr>
        <w:t xml:space="preserve">و قد اعتبر العلاّمة و الاسترآبادی من هؤلاء المشیخة خمسة و عشرین، و ترکا الباقی و لعلّ منشأه أنّ طریق الشیخ إلی غیر هؤلاء غیر معتبر عندهم.</w:t>
      </w:r>
    </w:p>
    <w:p>
      <w:pPr>
        <w:pStyle w:val="BookText"/>
      </w:pPr>
      <w:r>
        <w:rPr>
          <w:rFonts w:ascii="IRNazanin" w:hAnsi="IRNazanin" w:eastAsia="IRNazanin" w:cs="IRNazanin"/>
          <w:lang w:bidi="fa-IR"/>
          <w:color w:val="111111"/>
          <w:sz w:val="28"/>
          <w:szCs w:val="28"/>
          <w:rtl/>
        </w:rPr>
        <w:t xml:space="preserve">و أمّا السید التفریشی</w:t>
      </w:r>
      <w:r>
        <w:rPr>
          <w:rStyle w:val="FootnoteReference"/>
        </w:rPr>
        <w:footnoteReference w:id="4144"/>
      </w:r>
      <w:r>
        <w:rPr>
          <w:rFonts w:ascii="IRNazanin" w:hAnsi="IRNazanin" w:eastAsia="IRNazanin" w:cs="IRNazanin"/>
          <w:lang w:bidi="fa-IR"/>
          <w:color w:val="111111"/>
          <w:sz w:val="28"/>
          <w:szCs w:val="28"/>
          <w:rtl/>
        </w:rPr>
        <w:t xml:space="preserve">فقد زاد علی مشیخة التهذیبین أحدا و ثلاثین شیخا، الّذین لم یذکر الشیخ سنده إلیهم فی خاتمة الکتابین، و قام هو باستخراج سنده إلیهم من الفهرس، فبلغت المشایخ حسب عدّه سبعین شیخا، و لکنّ المعتبر عنده من مجموع الطّرق ثلاثون طریقا، و قد أوجب هذا اضطرابا و إشکالا فی اعتبار أحادیث الکتابین، حیث صار ذلک سببا لعدم اعتبار</w:t>
      </w:r>
    </w:p>
    <w:p>
      <w:pPr>
        <w:pStyle w:val="BookText"/>
      </w:pPr>
      <w:r>
        <w:rPr>
          <w:rFonts w:ascii="IRNazanin" w:hAnsi="IRNazanin" w:eastAsia="IRNazanin" w:cs="IRNazanin"/>
          <w:lang w:bidi="fa-IR"/>
          <w:color w:val="111111"/>
          <w:sz w:val="28"/>
          <w:szCs w:val="28"/>
          <w:rtl/>
        </w:rPr>
        <w:t xml:space="preserve">[شماره صفحه واقعی : 395]</w:t>
      </w:r>
    </w:p>
    <w:p>
      <w:pPr>
        <w:pStyle w:val="BookText"/>
      </w:pPr>
      <w:r>
        <w:rPr>
          <w:rFonts w:ascii="IRNazanin" w:hAnsi="IRNazanin" w:eastAsia="IRNazanin" w:cs="IRNazanin"/>
          <w:lang w:bidi="fa-IR"/>
          <w:color w:val="111111"/>
          <w:sz w:val="28"/>
          <w:szCs w:val="28"/>
          <w:rtl/>
        </w:rPr>
        <w:t xml:space="preserve">ص: 1113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أربعین شیخا من سبعین ممّن صدّر الحدیث بأسمائهم.</w:t>
      </w:r>
    </w:p>
    <w:p>
      <w:pPr>
        <w:pStyle w:val="BookText"/>
      </w:pPr>
      <w:r>
        <w:rPr>
          <w:rFonts w:ascii="IRNazanin" w:hAnsi="IRNazanin" w:eastAsia="IRNazanin" w:cs="IRNazanin"/>
          <w:lang w:bidi="fa-IR"/>
          <w:color w:val="111111"/>
          <w:sz w:val="28"/>
          <w:szCs w:val="28"/>
          <w:rtl/>
        </w:rPr>
        <w:t xml:space="preserve">و لأجل ذلک حاول المحقّق الأردبیلی لتصحیح أسانید الکتابین بشکل آخر، ذکره فی مقدّمة کتاب «تصحیح الاسانید» و حاصله:</w:t>
      </w:r>
    </w:p>
    <w:p>
      <w:pPr>
        <w:pStyle w:val="BookText"/>
      </w:pPr>
      <w:r>
        <w:rPr>
          <w:rFonts w:ascii="IRNazanin" w:hAnsi="IRNazanin" w:eastAsia="IRNazanin" w:cs="IRNazanin"/>
          <w:lang w:bidi="fa-IR"/>
          <w:color w:val="111111"/>
          <w:sz w:val="28"/>
          <w:szCs w:val="28"/>
          <w:rtl/>
        </w:rPr>
        <w:t xml:space="preserve">«إنّ ما ذکره علماء الرجال من طرق الشیخ قلیل فی الغایة، و لا یکون مفیدا فی ما هو المطلوب، و الشیخ لمّا أراد إخراج الروایات الّتی لم یذکر طریقه إلی أرباب الکتب فی نفس التهذیب و الاستبصار من الارسال، ذکر فی المشیخة و الفهرس طریقا أو طریقین أو اکثر إلی کلّ واحد من أرباب الکتب و الاصول، فمن کان قصده الاطّلاع علی أحوال الأحادیث، ینبغی له أن ینظر إلی المشیخة و یرجع إلی الفهرس. ثمّ قال: إنّی لمّا راجعت إلیهما رأیت أنّ کثیرا من الطرق المورودة فیهما معلول علی المشهور، بضعف أو إرسال، أو جهالة و أیضا رأیت أنّ الشیخ - رحمه اللّه - ربّما بدأ فی أسانید الروایات باناس لم یذکر لهم طریقا أصلا، لا فی المشیخة و لا فی الفهرس، فلأجل ذلک رأیت من اللازم تحصیل طرق الشیخ إلی أرباب الاصول و الکتب، غیر الطّرق المذکورة فی المشیخة و الفهرس، حتّی تصیر تلک الروایات معتبرة، فلمّا طال تفکّری فی ذلک و تضرّعی، القی فی روعی أن أنظر فی أسانید روایات التّهذیبین، فلمّا نظرت فیها وجدت فیها طرقا کثیرة إلیهم غیر ما هو مذکور فی المشیخة و الفهرس، أکثرها موصوف بالصحّة و الاعتبار فصنّفت هذه الرسالة و ذکرت فیها جمیع الشیوخ المذکورین فی المشیخة و الفهرس، و ذیّلت ما فیهما من الطّرق الضعیفة أو المجهولة بالإشارة إلی ما وجدته من الطّرق الصحیحة أو المعتبرة مع تعیین موضعها، و أضفت إلیهم من وجدت له طریقا معتبرا و لم یذکر طریقه فیهما»</w:t>
      </w:r>
      <w:r>
        <w:rPr>
          <w:rStyle w:val="FootnoteReference"/>
        </w:rPr>
        <w:footnoteReference w:id="4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396]</w:t>
      </w:r>
    </w:p>
    <w:p>
      <w:pPr>
        <w:pStyle w:val="BookText"/>
      </w:pPr>
      <w:r>
        <w:rPr>
          <w:rFonts w:ascii="IRNazanin" w:hAnsi="IRNazanin" w:eastAsia="IRNazanin" w:cs="IRNazanin"/>
          <w:lang w:bidi="fa-IR"/>
          <w:color w:val="111111"/>
          <w:sz w:val="28"/>
          <w:szCs w:val="28"/>
          <w:rtl/>
        </w:rPr>
        <w:t xml:space="preserve">ص: 1114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لزیادة التوضیح نقول: انّه روی الشیخ فی «التّهذیب» روایات عن علیّ ابن الحسن الطاطری بدأ بذکر اسمه فی أسانیده. مثلا روی فی کتاب الصّلاة هکذا: «علیّ بن الحسن الطاطری قال: حدّثنی عبد اللّه بن وضّاح، عن سماعة بن مهران قال: قال لی أبو عبد اللّه - علیه السلام -: إیّاک أن تصلّی قبل أن تزول، فإنّک تصلّی فی وقت العصر خیر لک أن تصلّی قبل أن تزول»</w:t>
      </w:r>
      <w:r>
        <w:rPr>
          <w:rStyle w:val="FootnoteReference"/>
        </w:rPr>
        <w:footnoteReference w:id="4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المشیخة: «و ما ذکرته عن علیّ بن الحسن الطاطری فقد أخبرنی به أحمد بن عبدون، عن علیّ بن محمّد بن الزبیر، عن أبی الملک أحمد بن عمر بن کیسبة، عن علیّ بن الحسن الطاطری».</w:t>
      </w:r>
    </w:p>
    <w:p>
      <w:pPr>
        <w:pStyle w:val="BookText"/>
      </w:pPr>
      <w:r>
        <w:rPr>
          <w:rFonts w:ascii="IRNazanin" w:hAnsi="IRNazanin" w:eastAsia="IRNazanin" w:cs="IRNazanin"/>
          <w:lang w:bidi="fa-IR"/>
          <w:color w:val="111111"/>
          <w:sz w:val="28"/>
          <w:szCs w:val="28"/>
          <w:rtl/>
        </w:rPr>
        <w:t xml:space="preserve">و هذا الطریق ضعیف بجهالة اثنین منهم: ابن الزبیر و ابن کیسبة و مقتضاه عدم اعتبار تلک الروایات الّتی یبلغ عددها إلی ثلاثین حدیثا فی «التهذیب».</w:t>
      </w:r>
    </w:p>
    <w:p>
      <w:pPr>
        <w:pStyle w:val="BookText"/>
      </w:pPr>
      <w:r>
        <w:rPr>
          <w:rFonts w:ascii="IRNazanin" w:hAnsi="IRNazanin" w:eastAsia="IRNazanin" w:cs="IRNazanin"/>
          <w:lang w:bidi="fa-IR"/>
          <w:color w:val="111111"/>
          <w:sz w:val="28"/>
          <w:szCs w:val="28"/>
          <w:rtl/>
        </w:rPr>
        <w:t xml:space="preserve">و أمّا المحاولة، فهی أنّا إذا رأینا أنّ الشیخ روی فی باب الطّواف أربع روایات بهذا السند.</w:t>
      </w:r>
    </w:p>
    <w:p>
      <w:pPr>
        <w:pStyle w:val="BookText"/>
      </w:pPr>
      <w:r>
        <w:rPr>
          <w:rFonts w:ascii="IRNazanin" w:hAnsi="IRNazanin" w:eastAsia="IRNazanin" w:cs="IRNazanin"/>
          <w:lang w:bidi="fa-IR"/>
          <w:color w:val="111111"/>
          <w:sz w:val="28"/>
          <w:szCs w:val="28"/>
          <w:rtl/>
        </w:rPr>
        <w:t xml:space="preserve">«موسی بن القاسم، عن علی بن الحسن الطاطری، عن درست بن أبی منصور، عن ابن مسکان»، ثم وقفنا علی أمرین:</w:t>
      </w:r>
    </w:p>
    <w:p>
      <w:pPr>
        <w:pStyle w:val="BookText"/>
      </w:pPr>
      <w:r>
        <w:rPr>
          <w:rFonts w:ascii="IRNazanin" w:hAnsi="IRNazanin" w:eastAsia="IRNazanin" w:cs="IRNazanin"/>
          <w:lang w:bidi="fa-IR"/>
          <w:color w:val="111111"/>
          <w:sz w:val="28"/>
          <w:szCs w:val="28"/>
          <w:rtl/>
        </w:rPr>
        <w:t xml:space="preserve">1 - إنّ موسی بن القاسم - أعنی من صدّر به السند - ثقة.</w:t>
      </w:r>
    </w:p>
    <w:p>
      <w:pPr>
        <w:pStyle w:val="BookText"/>
      </w:pPr>
      <w:r>
        <w:rPr>
          <w:rFonts w:ascii="IRNazanin" w:hAnsi="IRNazanin" w:eastAsia="IRNazanin" w:cs="IRNazanin"/>
          <w:lang w:bidi="fa-IR"/>
          <w:color w:val="111111"/>
          <w:sz w:val="28"/>
          <w:szCs w:val="28"/>
          <w:rtl/>
        </w:rPr>
        <w:t xml:space="preserve">2 - طریق الشّیخ إلیه صحیح، فعند ذلک یحصل للشّیخ طریق صحیح إلی الطّاطری، لکن لا عن طریقه إلیه فی المشیخة و لا فی الفهرس، بل عن طریقه فی المشیخة إلی موسی بن القاسم.</w:t>
      </w:r>
    </w:p>
    <w:p>
      <w:pPr>
        <w:pStyle w:val="BookText"/>
      </w:pPr>
      <w:r>
        <w:rPr>
          <w:rFonts w:ascii="IRNazanin" w:hAnsi="IRNazanin" w:eastAsia="IRNazanin" w:cs="IRNazanin"/>
          <w:lang w:bidi="fa-IR"/>
          <w:color w:val="111111"/>
          <w:sz w:val="28"/>
          <w:szCs w:val="28"/>
          <w:rtl/>
        </w:rPr>
        <w:t xml:space="preserve">و لأجل ذلک یقول الأردبیلی فی مختصر تصحیح الأسانید: «و إلی علی بن الحسن الطاطری، فیه علیّ بن محمّد بن الزبیر فی المشیخة و الفهرس، و إلی الطّاطری صحیح فی التّهذیب فی باب الطواف».</w:t>
      </w:r>
    </w:p>
    <w:p>
      <w:pPr>
        <w:pStyle w:val="BookText"/>
      </w:pPr>
      <w:r>
        <w:rPr>
          <w:rFonts w:ascii="IRNazanin" w:hAnsi="IRNazanin" w:eastAsia="IRNazanin" w:cs="IRNazanin"/>
          <w:lang w:bidi="fa-IR"/>
          <w:color w:val="111111"/>
          <w:sz w:val="28"/>
          <w:szCs w:val="28"/>
          <w:rtl/>
        </w:rPr>
        <w:t xml:space="preserve">[شماره صفحه واقعی : 397]</w:t>
      </w:r>
    </w:p>
    <w:p>
      <w:pPr>
        <w:pStyle w:val="BookText"/>
      </w:pPr>
      <w:r>
        <w:rPr>
          <w:rFonts w:ascii="IRNazanin" w:hAnsi="IRNazanin" w:eastAsia="IRNazanin" w:cs="IRNazanin"/>
          <w:lang w:bidi="fa-IR"/>
          <w:color w:val="111111"/>
          <w:sz w:val="28"/>
          <w:szCs w:val="28"/>
          <w:rtl/>
        </w:rPr>
        <w:t xml:space="preserve">ص: 1115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یعطی أنّ موسی بن القاسم لیس راویا لهذه الروایات الأربع فقط، بل راو لجمیع کتاب الطاطری عنه، فیعلم من ذلک أنّ الشیخ روی کتاب الطاطری تارة بسند ضعیف، و اخری بسند معتبر و بذلک یحکم بصحّة کلّ حدیث بدأ الشیخ فی سنده بالطاطری.</w:t>
      </w:r>
    </w:p>
    <w:p>
      <w:pPr>
        <w:pStyle w:val="BookText"/>
      </w:pPr>
      <w:r>
        <w:rPr>
          <w:rFonts w:ascii="IRNazanin" w:hAnsi="IRNazanin" w:eastAsia="IRNazanin" w:cs="IRNazanin"/>
          <w:lang w:bidi="fa-IR"/>
          <w:color w:val="111111"/>
          <w:sz w:val="28"/>
          <w:szCs w:val="28"/>
          <w:rtl/>
        </w:rPr>
        <w:t xml:space="preserve">و قس علی ذلک سائر الطرق الّتی للشیخ فی الکتابین إلی المشایخ الّذین لم یذکر سنده إلیهم فی المشیخة و لا فی الفهرس، أو ذکر لکنّه ضعیف علیل، و بهذا التتبّع یحصل له طرق صحیحة أنهاها صاحب الکتاب إلی خمسین و ثمانمائة طریق تقریبا، و عدد المعتبر منها قریب من خمسمائة طریق.</w:t>
      </w:r>
    </w:p>
    <w:p>
      <w:pPr>
        <w:pStyle w:val="BookText"/>
      </w:pPr>
      <w:r>
        <w:rPr>
          <w:rFonts w:ascii="IRNazanin" w:hAnsi="IRNazanin" w:eastAsia="IRNazanin" w:cs="IRNazanin"/>
          <w:lang w:bidi="fa-IR"/>
          <w:color w:val="111111"/>
          <w:sz w:val="28"/>
          <w:szCs w:val="28"/>
          <w:rtl/>
        </w:rPr>
        <w:t xml:space="preserve">هذه خلاصة المحاولة و قد نقده المحقّق البروجردی بوجوه:</w:t>
      </w:r>
    </w:p>
    <w:p>
      <w:pPr>
        <w:pStyle w:val="BookText"/>
      </w:pPr>
      <w:r>
        <w:rPr>
          <w:rFonts w:ascii="IRNazanin" w:hAnsi="IRNazanin" w:eastAsia="IRNazanin" w:cs="IRNazanin"/>
          <w:lang w:bidi="fa-IR"/>
          <w:color w:val="111111"/>
          <w:sz w:val="28"/>
          <w:szCs w:val="28"/>
          <w:rtl/>
        </w:rPr>
        <w:t xml:space="preserve">الاول: إنّ ما صحّ طرقه إلی المشایخ و إن کان قلیلا، و لکنّ الروایات الّتی رواها الشیخ بهذه الطرق القلیلة عن هؤلاء المشایخ فی غایة الکثرة مثلا:</w:t>
      </w:r>
    </w:p>
    <w:p>
      <w:pPr>
        <w:pStyle w:val="BookText"/>
      </w:pPr>
      <w:r>
        <w:rPr>
          <w:rFonts w:ascii="IRNazanin" w:hAnsi="IRNazanin" w:eastAsia="IRNazanin" w:cs="IRNazanin"/>
          <w:lang w:bidi="fa-IR"/>
          <w:color w:val="111111"/>
          <w:sz w:val="28"/>
          <w:szCs w:val="28"/>
          <w:rtl/>
        </w:rPr>
        <w:t xml:space="preserve">1 - إنّ ما رواه بطرقه عن أحمد بن محمّد بن عیسی یقرب من 1200 حدیث.</w:t>
      </w:r>
    </w:p>
    <w:p>
      <w:pPr>
        <w:pStyle w:val="BookText"/>
      </w:pPr>
      <w:r>
        <w:rPr>
          <w:rFonts w:ascii="IRNazanin" w:hAnsi="IRNazanin" w:eastAsia="IRNazanin" w:cs="IRNazanin"/>
          <w:lang w:bidi="fa-IR"/>
          <w:color w:val="111111"/>
          <w:sz w:val="28"/>
          <w:szCs w:val="28"/>
          <w:rtl/>
        </w:rPr>
        <w:t xml:space="preserve">2 - إنّ ما رواه بطرقه عن الحسن بن محمّد بن سماعة قریب من 800 حدیث.</w:t>
      </w:r>
    </w:p>
    <w:p>
      <w:pPr>
        <w:pStyle w:val="BookText"/>
      </w:pPr>
      <w:r>
        <w:rPr>
          <w:rFonts w:ascii="IRNazanin" w:hAnsi="IRNazanin" w:eastAsia="IRNazanin" w:cs="IRNazanin"/>
          <w:lang w:bidi="fa-IR"/>
          <w:color w:val="111111"/>
          <w:sz w:val="28"/>
          <w:szCs w:val="28"/>
          <w:rtl/>
        </w:rPr>
        <w:t xml:space="preserve">3 - إنّ ما رواه بطرقه عن الحسین بن سعید یقرب من 2500 حدیث.</w:t>
      </w:r>
    </w:p>
    <w:p>
      <w:pPr>
        <w:pStyle w:val="BookText"/>
      </w:pPr>
      <w:r>
        <w:rPr>
          <w:rFonts w:ascii="IRNazanin" w:hAnsi="IRNazanin" w:eastAsia="IRNazanin" w:cs="IRNazanin"/>
          <w:lang w:bidi="fa-IR"/>
          <w:color w:val="111111"/>
          <w:sz w:val="28"/>
          <w:szCs w:val="28"/>
          <w:rtl/>
        </w:rPr>
        <w:t xml:space="preserve">4 - إنّ ما رواه بطرقه عن سعد بن عبد اللّه یقرب من 600 حدیث.</w:t>
      </w:r>
    </w:p>
    <w:p>
      <w:pPr>
        <w:pStyle w:val="BookText"/>
      </w:pPr>
      <w:r>
        <w:rPr>
          <w:rFonts w:ascii="IRNazanin" w:hAnsi="IRNazanin" w:eastAsia="IRNazanin" w:cs="IRNazanin"/>
          <w:lang w:bidi="fa-IR"/>
          <w:color w:val="111111"/>
          <w:sz w:val="28"/>
          <w:szCs w:val="28"/>
          <w:rtl/>
        </w:rPr>
        <w:t xml:space="preserve">5 - إنّ ما رواه بطرقه عن محمّد بن أحمد بن یحیی یقرب من 950 حدیثا.</w:t>
      </w:r>
    </w:p>
    <w:p>
      <w:pPr>
        <w:pStyle w:val="BookText"/>
      </w:pPr>
      <w:r>
        <w:rPr>
          <w:rFonts w:ascii="IRNazanin" w:hAnsi="IRNazanin" w:eastAsia="IRNazanin" w:cs="IRNazanin"/>
          <w:lang w:bidi="fa-IR"/>
          <w:color w:val="111111"/>
          <w:sz w:val="28"/>
          <w:szCs w:val="28"/>
          <w:rtl/>
        </w:rPr>
        <w:t xml:space="preserve">6 - إنّ ما رواه بطرقه عن محمّد بن علیّ بن محبوب یقرب من 700 حدیث.</w:t>
      </w:r>
    </w:p>
    <w:p>
      <w:pPr>
        <w:pStyle w:val="BookText"/>
      </w:pPr>
      <w:r>
        <w:rPr>
          <w:rFonts w:ascii="IRNazanin" w:hAnsi="IRNazanin" w:eastAsia="IRNazanin" w:cs="IRNazanin"/>
          <w:lang w:bidi="fa-IR"/>
          <w:color w:val="111111"/>
          <w:sz w:val="28"/>
          <w:szCs w:val="28"/>
          <w:rtl/>
        </w:rPr>
        <w:t xml:space="preserve">هذا، و إنّ نقله عن سائر المشایخ الّذین صحّت طرقه إلیهم أیضا کثیر</w:t>
      </w:r>
    </w:p>
    <w:p>
      <w:pPr>
        <w:pStyle w:val="BookText"/>
      </w:pPr>
      <w:r>
        <w:rPr>
          <w:rFonts w:ascii="IRNazanin" w:hAnsi="IRNazanin" w:eastAsia="IRNazanin" w:cs="IRNazanin"/>
          <w:lang w:bidi="fa-IR"/>
          <w:color w:val="111111"/>
          <w:sz w:val="28"/>
          <w:szCs w:val="28"/>
          <w:rtl/>
        </w:rPr>
        <w:t xml:space="preserve">[شماره صفحه واقعی : 398]</w:t>
      </w:r>
    </w:p>
    <w:p>
      <w:pPr>
        <w:pStyle w:val="BookText"/>
      </w:pPr>
      <w:r>
        <w:rPr>
          <w:rFonts w:ascii="IRNazanin" w:hAnsi="IRNazanin" w:eastAsia="IRNazanin" w:cs="IRNazanin"/>
          <w:lang w:bidi="fa-IR"/>
          <w:color w:val="111111"/>
          <w:sz w:val="28"/>
          <w:szCs w:val="28"/>
          <w:rtl/>
        </w:rPr>
        <w:t xml:space="preserve">ص: 1116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فکیف لا یکون مفیدا فیما هو المطلوب من إخراج معظم روایات الکتاب عن الارسال.</w:t>
      </w:r>
    </w:p>
    <w:p>
      <w:pPr>
        <w:pStyle w:val="BookText"/>
      </w:pPr>
      <w:r>
        <w:rPr>
          <w:rFonts w:ascii="IRNazanin" w:hAnsi="IRNazanin" w:eastAsia="IRNazanin" w:cs="IRNazanin"/>
          <w:lang w:bidi="fa-IR"/>
          <w:color w:val="111111"/>
          <w:sz w:val="28"/>
          <w:szCs w:val="28"/>
          <w:rtl/>
        </w:rPr>
        <w:t xml:space="preserve">الثانی: إذا روی موسی بن القاسم عن علیّ بن الحسن الطاطری، عن درست بن أبی منصور، عن ابن مسکان، فهو یحتمل من جهة النقل من کتب المشایخ وجوها:</w:t>
      </w:r>
    </w:p>
    <w:p>
      <w:pPr>
        <w:pStyle w:val="BookText"/>
      </w:pPr>
      <w:r>
        <w:rPr>
          <w:rFonts w:ascii="IRNazanin" w:hAnsi="IRNazanin" w:eastAsia="IRNazanin" w:cs="IRNazanin"/>
          <w:lang w:bidi="fa-IR"/>
          <w:color w:val="111111"/>
          <w:sz w:val="28"/>
          <w:szCs w:val="28"/>
          <w:rtl/>
        </w:rPr>
        <w:t xml:space="preserve">1 - یحتمل أنّ موسی بن القاسم أخذ الحدیث عن کتاب الطاطری و حینئذ روی موسی هذا الحدیث و جمیع کتاب الطاطری، و بذلک یحصل للشیخ طریق صحیح إلی کتاب الطاطری و هذا هو الذی یتوخّاه المتتبّع الأردبیلی.</w:t>
      </w:r>
    </w:p>
    <w:p>
      <w:pPr>
        <w:pStyle w:val="BookText"/>
      </w:pPr>
      <w:r>
        <w:rPr>
          <w:rFonts w:ascii="IRNazanin" w:hAnsi="IRNazanin" w:eastAsia="IRNazanin" w:cs="IRNazanin"/>
          <w:lang w:bidi="fa-IR"/>
          <w:color w:val="111111"/>
          <w:sz w:val="28"/>
          <w:szCs w:val="28"/>
          <w:rtl/>
        </w:rPr>
        <w:t xml:space="preserve">2 - یحتمل أنّ موسی بن القاسم أخذ الحدیث عن کتاب درست بن أبی منصور و روی هذا الکتاب عنه بواسطة الطاطری.</w:t>
      </w:r>
    </w:p>
    <w:p>
      <w:pPr>
        <w:pStyle w:val="BookText"/>
      </w:pPr>
      <w:r>
        <w:rPr>
          <w:rFonts w:ascii="IRNazanin" w:hAnsi="IRNazanin" w:eastAsia="IRNazanin" w:cs="IRNazanin"/>
          <w:lang w:bidi="fa-IR"/>
          <w:color w:val="111111"/>
          <w:sz w:val="28"/>
          <w:szCs w:val="28"/>
          <w:rtl/>
        </w:rPr>
        <w:t xml:space="preserve">3 - یحتمل أنّ موسی أخذ الحدیث عن کتاب ابن مسکان، و روی هذا الکتاب عنه بواسطة شخصین: الطاطری، و درست بن أبی منصور.</w:t>
      </w:r>
    </w:p>
    <w:p>
      <w:pPr>
        <w:pStyle w:val="BookText"/>
      </w:pPr>
      <w:r>
        <w:rPr>
          <w:rFonts w:ascii="IRNazanin" w:hAnsi="IRNazanin" w:eastAsia="IRNazanin" w:cs="IRNazanin"/>
          <w:lang w:bidi="fa-IR"/>
          <w:color w:val="111111"/>
          <w:sz w:val="28"/>
          <w:szCs w:val="28"/>
          <w:rtl/>
        </w:rPr>
        <w:t xml:space="preserve">و علی الاحتمالین الأخیرین یحصل للشیخ الطوسی طریق صحیح إلی کتاب درست بن أبی منصور، و کتاب ابن مسکان و لا یحصل طریق صحیح إلی نفس کتاب الطاطری الّذی هو الغایة المتوخّاة.</w:t>
      </w:r>
    </w:p>
    <w:p>
      <w:pPr>
        <w:pStyle w:val="BookText"/>
      </w:pPr>
      <w:r>
        <w:rPr>
          <w:rFonts w:ascii="IRNazanin" w:hAnsi="IRNazanin" w:eastAsia="IRNazanin" w:cs="IRNazanin"/>
          <w:lang w:bidi="fa-IR"/>
          <w:color w:val="111111"/>
          <w:sz w:val="28"/>
          <w:szCs w:val="28"/>
          <w:rtl/>
        </w:rPr>
        <w:t xml:space="preserve">و الحاصل أنّه إذا کان طریق الشیخ إلی أحد المشایخ الّذین صدّر الحدیث بأسمائهم و أخذ الحدیث من کتبهم، ضعیفا، فلا یمکن إصلاحه بما إذا وقع ذلک الشیخ فی أثناء السند، و کان طریقه إلیه طریقا صحیحا، لأن توسط الشیخ (الطاطری) فی ثنایا السند لا یدلّ علی أخذ الحدیث عن کتابه، بل من الممکن کون الحدیث مأخوذا عن کتاب شیخه أعنی درست بن أبی منصور، أو شیخ شیخه أعنی ابن مسکان.</w:t>
      </w:r>
    </w:p>
    <w:p>
      <w:pPr>
        <w:pStyle w:val="BookText"/>
      </w:pPr>
      <w:r>
        <w:rPr>
          <w:rFonts w:ascii="IRNazanin" w:hAnsi="IRNazanin" w:eastAsia="IRNazanin" w:cs="IRNazanin"/>
          <w:lang w:bidi="fa-IR"/>
          <w:color w:val="111111"/>
          <w:sz w:val="28"/>
          <w:szCs w:val="28"/>
          <w:rtl/>
        </w:rPr>
        <w:t xml:space="preserve">و هذا الاحتمال قائم فی جمیع ما استنبطه فی أسانید التهذیبین.</w:t>
      </w:r>
    </w:p>
    <w:p>
      <w:pPr>
        <w:pStyle w:val="BookText"/>
      </w:pPr>
      <w:r>
        <w:rPr>
          <w:rFonts w:ascii="IRNazanin" w:hAnsi="IRNazanin" w:eastAsia="IRNazanin" w:cs="IRNazanin"/>
          <w:lang w:bidi="fa-IR"/>
          <w:color w:val="111111"/>
          <w:sz w:val="28"/>
          <w:szCs w:val="28"/>
          <w:rtl/>
        </w:rPr>
        <w:t xml:space="preserve">[شماره صفحه واقعی : 399]</w:t>
      </w:r>
    </w:p>
    <w:p>
      <w:pPr>
        <w:pStyle w:val="BookText"/>
      </w:pPr>
      <w:r>
        <w:rPr>
          <w:rFonts w:ascii="IRNazanin" w:hAnsi="IRNazanin" w:eastAsia="IRNazanin" w:cs="IRNazanin"/>
          <w:lang w:bidi="fa-IR"/>
          <w:color w:val="111111"/>
          <w:sz w:val="28"/>
          <w:szCs w:val="28"/>
          <w:rtl/>
        </w:rPr>
        <w:t xml:space="preserve">ص: 1117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إنّ هدف الشیخ الطوسی من تصنیف الفهرس و ذکر الطرق إلی من ذکر فیه أنّ له کتابا أو أصلا، لیس إخراج التهذیبین من الارسال و لم یبدأ الشیخ فی أسانیدهما بهؤلاء المذکورین فی الفهرس سوی قلیل منهم، و هم المشیخة المذکورون فی آخر الکتابین.</w:t>
      </w:r>
    </w:p>
    <w:p>
      <w:pPr>
        <w:pStyle w:val="BookText"/>
      </w:pPr>
      <w:r>
        <w:rPr>
          <w:rFonts w:ascii="IRNazanin" w:hAnsi="IRNazanin" w:eastAsia="IRNazanin" w:cs="IRNazanin"/>
          <w:lang w:bidi="fa-IR"/>
          <w:color w:val="111111"/>
          <w:sz w:val="28"/>
          <w:szCs w:val="28"/>
          <w:rtl/>
        </w:rPr>
        <w:t xml:space="preserve">نعم ربّما یوجد فی بدء أسانیدهما شیوخ لم یذکر لهم طریقا فی المشیخة و عدد روایاتهم لا یزید علی خمسمائة تقریبا، و لا تخرج هذه الروایات عن الارسال بسبب الطرق المذکورة فی الفهرس غالبا.</w:t>
      </w:r>
    </w:p>
    <w:p>
      <w:pPr>
        <w:pStyle w:val="BookText"/>
      </w:pPr>
      <w:r>
        <w:rPr>
          <w:rFonts w:ascii="IRNazanin" w:hAnsi="IRNazanin" w:eastAsia="IRNazanin" w:cs="IRNazanin"/>
          <w:lang w:bidi="fa-IR"/>
          <w:color w:val="111111"/>
          <w:sz w:val="28"/>
          <w:szCs w:val="28"/>
          <w:rtl/>
        </w:rPr>
        <w:t xml:space="preserve">و لا یخفی أنّ الشیخ تفنّن فی الفهرس أیضا فی ذکر الطرق إلی أصحاب الکتب و الاصول علی وجوه، فتارة ذکرهم و ذکر طریقه إلی کتبهم و اخری ذکر کتبهم و اصولهم و لم یذکر الطّریق إلیهم، و ثالثة ذکر جماعة و أشار إلی من ذکرهم أو روی عنهم و لم یصل إسناده فیه إلی من ذکر أو روی، و قد جمع القسمین الأخیرین العلاّمة السید محمد صادق الطباطبائی فی مقدّمة الفهرس</w:t>
      </w:r>
      <w:r>
        <w:rPr>
          <w:rStyle w:val="FootnoteReference"/>
        </w:rPr>
        <w:footnoteReference w:id="4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400]</w:t>
      </w:r>
    </w:p>
    <w:p>
      <w:pPr>
        <w:pStyle w:val="BookText"/>
      </w:pPr>
      <w:r>
        <w:rPr>
          <w:rFonts w:ascii="IRNazanin" w:hAnsi="IRNazanin" w:eastAsia="IRNazanin" w:cs="IRNazanin"/>
          <w:lang w:bidi="fa-IR"/>
          <w:color w:val="111111"/>
          <w:sz w:val="28"/>
          <w:szCs w:val="28"/>
          <w:rtl/>
        </w:rPr>
        <w:t xml:space="preserve">ص: 1118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456" w:name="pg14419_167834"/>
    <w:bookmarkEnd w:id="456"/>
    <w:p>
      <w:pPr>
        <w:pStyle w:val="Heading4"/>
      </w:pPr>
      <w:bookmarkStart w:id="1407" w:name="_Toc847"/>
      <w:r>
        <w:t>الفصل الثامن: فی فرق الشیعة الواردة فی الکتب</w:t>
      </w:r>
      <w:bookmarkEnd w:id="1407"/>
    </w:p>
    <w:p>
      <w:pPr>
        <w:pStyle w:val="Heading5"/>
      </w:pPr>
      <w:bookmarkStart w:id="1408" w:name="_Toc848"/>
      <w:r>
        <w:t>اشارة</w:t>
      </w:r>
      <w:bookmarkEnd w:id="1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الکیسانیة و الزیدیة.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الناووسیة و الاسماعیلیة.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الفطحیة و الواقفیة.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الخطابیة و المغیریة.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الغلاة.</w:t>
      </w:r>
    </w:p>
    <w:p>
      <w:pPr>
        <w:pStyle w:val="BookText"/>
      </w:pPr>
      <w:r>
        <w:rPr>
          <w:rFonts w:ascii="IRNazanin" w:hAnsi="IRNazanin" w:eastAsia="IRNazanin" w:cs="IRNazanin"/>
          <w:lang w:bidi="fa-IR"/>
          <w:color w:val="111111"/>
          <w:sz w:val="28"/>
          <w:szCs w:val="28"/>
          <w:rtl/>
        </w:rPr>
        <w:t xml:space="preserve">[شماره صفحه واقعی : 401]</w:t>
      </w:r>
    </w:p>
    <w:p>
      <w:pPr>
        <w:pStyle w:val="BookText"/>
      </w:pPr>
      <w:r>
        <w:rPr>
          <w:rFonts w:ascii="IRNazanin" w:hAnsi="IRNazanin" w:eastAsia="IRNazanin" w:cs="IRNazanin"/>
          <w:lang w:bidi="fa-IR"/>
          <w:color w:val="111111"/>
          <w:sz w:val="28"/>
          <w:szCs w:val="28"/>
          <w:rtl/>
        </w:rPr>
        <w:t xml:space="preserve">ص: 1119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402]</w:t>
      </w:r>
    </w:p>
    <w:p>
      <w:pPr>
        <w:pStyle w:val="BookText"/>
      </w:pPr>
      <w:r>
        <w:rPr>
          <w:rFonts w:ascii="IRNazanin" w:hAnsi="IRNazanin" w:eastAsia="IRNazanin" w:cs="IRNazanin"/>
          <w:lang w:bidi="fa-IR"/>
          <w:color w:val="111111"/>
          <w:sz w:val="28"/>
          <w:szCs w:val="28"/>
          <w:rtl/>
        </w:rPr>
        <w:t xml:space="preserve">ص: 1120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یضعّف الراوی لأجل انتمائه إلی بعض فرق الشیعة کالکیسانیة و الفطحیة و الواقفیة، کما یضعّف من غیر جانب العقیدة ککونه متساهلا فی الروایة، غیر ضابط فی النقل، إلی غیر ذلک من موجبات التضعیف فی جانب العمل، و لأجل إیقاف القاریء علی مبدء تکوّن هذه الفرق و عقائدها إجمالا عقدنا هذا الفصل، لیکون القاریء علی بصیرة عند الوقوف علی أسماء هذه الفرق. نعم أکثر هذه الفرق بائدة هالکة، لم یبق منهم إلاّ الزیدیّة و إلاّ الاسماعیلیة، و إنّما تشکّل أکثریة الشیعة، الفرقة الإمامیة الّتی تطلق علیها الاثنا عشریة أیضا.</w:t>
      </w:r>
    </w:p>
    <w:p>
      <w:pPr>
        <w:pStyle w:val="BookText"/>
      </w:pPr>
      <w:r>
        <w:rPr>
          <w:rFonts w:ascii="IRNazanin" w:hAnsi="IRNazanin" w:eastAsia="IRNazanin" w:cs="IRNazanin"/>
          <w:lang w:bidi="fa-IR"/>
          <w:color w:val="111111"/>
          <w:sz w:val="28"/>
          <w:szCs w:val="28"/>
          <w:rtl/>
        </w:rPr>
        <w:t xml:space="preserve">الشیعة هم المسلمون الذین بقوا علی ما عهد إلیهم النبی - صلی اللّه علیه و آله - من کون الإمام بعده علیّ بن أبی طالب - علیه السلام - و أنّ ذلک المنصب، منصب یعیّن صاحبه من عند اللّه سبحانه، کما أنّ منصب النبوّة کذلک.</w:t>
      </w:r>
    </w:p>
    <w:p>
      <w:pPr>
        <w:pStyle w:val="BookText"/>
      </w:pPr>
      <w:r>
        <w:rPr>
          <w:rFonts w:ascii="IRNazanin" w:hAnsi="IRNazanin" w:eastAsia="IRNazanin" w:cs="IRNazanin"/>
          <w:lang w:bidi="fa-IR"/>
          <w:color w:val="111111"/>
          <w:sz w:val="28"/>
          <w:szCs w:val="28"/>
          <w:rtl/>
        </w:rPr>
        <w:t xml:space="preserve">و لیست الشیعة فرقة حادثة بعد النبی - صلی اللّه علیه و آله - کسائر الفرق الّتی تکوّنت بعد النبی فی ظلّ الأبحاث الکلامیة.</w:t>
      </w:r>
    </w:p>
    <w:p>
      <w:pPr>
        <w:pStyle w:val="BookText"/>
      </w:pPr>
      <w:r>
        <w:rPr>
          <w:rFonts w:ascii="IRNazanin" w:hAnsi="IRNazanin" w:eastAsia="IRNazanin" w:cs="IRNazanin"/>
          <w:lang w:bidi="fa-IR"/>
          <w:color w:val="111111"/>
          <w:sz w:val="28"/>
          <w:szCs w:val="28"/>
          <w:rtl/>
        </w:rPr>
        <w:t xml:space="preserve">إنّ المسلمین اختلفوا بعد النّبی - صلی اللّه علیه و آله - فی مسألة الإمامة، فذهبت عدّة کثیرة منهم إلی أنّ الإمامة سیاسة زمنیّة تناط باختیار العامّة</w:t>
      </w:r>
    </w:p>
    <w:p>
      <w:pPr>
        <w:pStyle w:val="BookText"/>
      </w:pPr>
      <w:r>
        <w:rPr>
          <w:rFonts w:ascii="IRNazanin" w:hAnsi="IRNazanin" w:eastAsia="IRNazanin" w:cs="IRNazanin"/>
          <w:lang w:bidi="fa-IR"/>
          <w:color w:val="111111"/>
          <w:sz w:val="28"/>
          <w:szCs w:val="28"/>
          <w:rtl/>
        </w:rPr>
        <w:t xml:space="preserve">[شماره صفحه واقعی : 403]</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ینتصب بنصبهم، و ذهبت عدّة اخری إلی أنّها قضیة اصولیّة و هی رکن الدین، و لا یجوز للرسول - صلی اللّه علیه و آله - إغفاله و إهماله و لا تفویضه إلی العامّة، و استدلّوا علی ذلک بما ورد فی الکتاب حول الإمامة، و ما سمعوه من النبی - صلی اللّه علیه و آله - فی یوم الدار و یوم الغدیر و غیرهما من المقامات.</w:t>
      </w:r>
    </w:p>
    <w:p>
      <w:pPr>
        <w:pStyle w:val="BookText"/>
      </w:pPr>
      <w:r>
        <w:rPr>
          <w:rFonts w:ascii="Amiri" w:hAnsi="Amiri" w:eastAsia="Amiri" w:cs="Amiri"/>
          <w:lang w:bidi="ar-SA"/>
          <w:color w:val="111111"/>
          <w:sz w:val="28"/>
          <w:szCs w:val="28"/>
          <w:rtl/>
        </w:rPr>
        <w:t xml:space="preserve">و أمّا تسمیتهم بالشیعة فإنّما هو لأجل أنّ النبی - صلی اللّه علیه و آله - سمّی محبّی علیّ بن أبی طالب و مقتفیه شیعة. روی السیوطی فی تفسیر قوله سبحانه: إِنَّ الَّذِینَ آمَنُوا وَ عَمِلُوا الصّالِحاتِ أُولئِکَ هُمْ خَیْرُ الْبَرِیَّةِ - البینة: 7 أخرج ابن عساکر عن جابر بن عبد اللّه قال: کنّا عند النّبی، فأقبل علیّ، فقال النبی - صلی اللّه علیه و آله -: «و الذی نفسی بیده إنّ هذا و شیعته لهم الفائزون یوم القیامة». و نزلت «إِنَّ الَّذِینَ آمَنُوا وَ عَمِلُوا الصّالِحاتِ أُولئِکَ هُمْ خَیْرُ الْبَرِیَّةِ» . فکان أصحاب النّبی إذا أقبل علیّ قالوا: «جاء خیر البریة» و أخرج ابن عدی و ابن عساکر عن أبی سعید مرفوعا: «علی خیر البریة».</w:t>
      </w:r>
    </w:p>
    <w:p>
      <w:pPr>
        <w:pStyle w:val="BookText"/>
      </w:pPr>
      <w:r>
        <w:rPr>
          <w:rFonts w:ascii="Amiri" w:hAnsi="Amiri" w:eastAsia="Amiri" w:cs="Amiri"/>
          <w:lang w:bidi="ar-SA"/>
          <w:color w:val="111111"/>
          <w:sz w:val="28"/>
          <w:szCs w:val="28"/>
          <w:rtl/>
        </w:rPr>
        <w:t xml:space="preserve">و أخرج ابن عدی عن ابن عبّاس قال: لمّا نزلت إِنَّ الَّذِینَ آمَنُوا وَ عَمِلُوا الصّالِحاتِ أُولئِکَ هُمْ خَیْرُ الْبَرِیَّةِ قال رسول اللّه - صلی اللّه علیه و آله و سلم - لعلیّ: «أنت و شیعتک یوم القیامة راضین مرضیّین».</w:t>
      </w:r>
    </w:p>
    <w:p>
      <w:pPr>
        <w:pStyle w:val="BookText"/>
      </w:pPr>
      <w:r>
        <w:rPr>
          <w:rFonts w:ascii="Amiri" w:hAnsi="Amiri" w:eastAsia="Amiri" w:cs="Amiri"/>
          <w:lang w:bidi="ar-SA"/>
          <w:color w:val="111111"/>
          <w:sz w:val="28"/>
          <w:szCs w:val="28"/>
          <w:rtl/>
        </w:rPr>
        <w:t xml:space="preserve">و أخرج ابن مردویه عن علیّ، قال: قال لی رسول اللّه - صلی اللّه علیه و آله و سلم -: «ألم تسمع قول اللّه إِنَّ الَّذِینَ آمَنُوا وَ عَمِلُوا الصّالِحاتِ أُولئِکَ هُمْ خَیْرُ الْبَرِیَّةِ أنت و شیعتک، و موعدی و موعدکم الحوض إذا جیئت الامم للحساب تدعون غرّا محجّلین»</w:t>
      </w:r>
      <w:r>
        <w:rPr>
          <w:rStyle w:val="FootnoteReference"/>
        </w:rPr>
        <w:footnoteReference w:id="4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الشیعة علی وجه الاجمال هم الّذین بقوا علی ما جاء به النبی - صلی اللّه علیه و آله - فی حقّ الوصیّ و لم یغیّروا طریقه، فالشیعة لیست</w:t>
      </w:r>
    </w:p>
    <w:p>
      <w:pPr>
        <w:pStyle w:val="BookText"/>
      </w:pPr>
      <w:r>
        <w:rPr>
          <w:rFonts w:ascii="IRNazanin" w:hAnsi="IRNazanin" w:eastAsia="IRNazanin" w:cs="IRNazanin"/>
          <w:lang w:bidi="fa-IR"/>
          <w:color w:val="111111"/>
          <w:sz w:val="28"/>
          <w:szCs w:val="28"/>
          <w:rtl/>
        </w:rPr>
        <w:t xml:space="preserve">[شماره صفحه واقعی : 404]</w:t>
      </w:r>
    </w:p>
    <w:p>
      <w:pPr>
        <w:pStyle w:val="BookText"/>
      </w:pPr>
      <w:r>
        <w:rPr>
          <w:rFonts w:ascii="IRNazanin" w:hAnsi="IRNazanin" w:eastAsia="IRNazanin" w:cs="IRNazanin"/>
          <w:lang w:bidi="fa-IR"/>
          <w:color w:val="111111"/>
          <w:sz w:val="28"/>
          <w:szCs w:val="28"/>
          <w:rtl/>
        </w:rPr>
        <w:t xml:space="preserve">ص: 1122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457" w:name="pg14419_167838"/>
    <w:bookmarkEnd w:id="457"/>
    <w:p>
      <w:pPr>
        <w:pStyle w:val="BookText"/>
      </w:pPr>
      <w:r>
        <w:rPr>
          <w:rFonts w:ascii="IRNazanin" w:hAnsi="IRNazanin" w:eastAsia="IRNazanin" w:cs="IRNazanin"/>
          <w:lang w:bidi="fa-IR"/>
          <w:color w:val="111111"/>
          <w:sz w:val="28"/>
          <w:szCs w:val="28"/>
          <w:rtl/>
        </w:rPr>
        <w:t xml:space="preserve">فرقة مختلقة بعد النبی - صلی اللّه علیه و آله - و لم یخلقهم السیاسات الزمنیة، و لا الأبحاث الکلامیة، بل لم تتکوّن الشیعة إلاّ فی نفس عصر النّبی، فبقوا علی ما کان النّبی علیه و إن کانوا من حیث العدد قلیلین.</w:t>
      </w:r>
    </w:p>
    <w:p>
      <w:pPr>
        <w:pStyle w:val="BookText"/>
      </w:pPr>
      <w:r>
        <w:rPr>
          <w:rFonts w:ascii="IRNazanin" w:hAnsi="IRNazanin" w:eastAsia="IRNazanin" w:cs="IRNazanin"/>
          <w:lang w:bidi="fa-IR"/>
          <w:color w:val="111111"/>
          <w:sz w:val="28"/>
          <w:szCs w:val="28"/>
          <w:rtl/>
        </w:rPr>
        <w:t xml:space="preserve">هذا هو أصل الشیعة الّذی یجمع جمیع فرقها الاعتقاد بأنّ الإمامة قضیّة اصولیّة غیر مفوّضة إلی الامّة، بل إلی اللّه سبحانه و تعالی بعد وفاة الرسول - صلی اللّه علیه و آله -.</w:t>
      </w:r>
    </w:p>
    <w:p>
      <w:pPr>
        <w:pStyle w:val="BookText"/>
      </w:pPr>
      <w:r>
        <w:rPr>
          <w:rFonts w:ascii="IRNazanin" w:hAnsi="IRNazanin" w:eastAsia="IRNazanin" w:cs="IRNazanin"/>
          <w:lang w:bidi="fa-IR"/>
          <w:color w:val="111111"/>
          <w:sz w:val="28"/>
          <w:szCs w:val="28"/>
          <w:rtl/>
        </w:rPr>
        <w:t xml:space="preserve">نعم تفرّقت الشیعة حسب مرور الزمان و حسب السیاسات الوقتیّة و الأبحاث الکلامیّة إلی فرق مختلفة، غیر أنّه لم یبق من تلک الفرق إلاّ ثلاث فرق و هم: الإمامیّة، الزیدیة، و الاسماعیلیة، و الفرقة الشاخصة من بینها هو الإمامیّة المعتقدة بامامة الائمة الاثنی عشر، أوّلهم علیّ بن أبی طالب فالحسن، فالحسین، فعلیّ بن الحسین، فمحمّد بن علی، فجعفر بن محمّد، فموسی بن جعفر، فعلیّ بن موسی، فمحمّد بن علی، فعلیّ بن محمّد، فالحسن بن علی، فمحمّد بن الحسن القائم الّذی یملأ اللّه به الأرض قسطا و عدلا کما ملئت ظلما و جورا - صلوات اللّه علیهم أجمعین -.</w:t>
      </w:r>
    </w:p>
    <w:p>
      <w:pPr>
        <w:pStyle w:val="BookText"/>
      </w:pPr>
      <w:r>
        <w:rPr>
          <w:rFonts w:ascii="IRNazanin" w:hAnsi="IRNazanin" w:eastAsia="IRNazanin" w:cs="IRNazanin"/>
          <w:lang w:bidi="fa-IR"/>
          <w:color w:val="111111"/>
          <w:sz w:val="28"/>
          <w:szCs w:val="28"/>
          <w:rtl/>
        </w:rPr>
        <w:t xml:space="preserve">فکلما اطلقت الشیعة فی زماننا تنصرف إلی الشیعة الإمامیة، و أمّا غیرهم کالزیدیة و الاسماعیلیة فیحتاج إلی قرینة.</w:t>
      </w:r>
    </w:p>
    <w:p>
      <w:pPr>
        <w:pStyle w:val="BookText"/>
      </w:pPr>
      <w:r>
        <w:rPr>
          <w:rFonts w:ascii="IRNazanin" w:hAnsi="IRNazanin" w:eastAsia="IRNazanin" w:cs="IRNazanin"/>
          <w:lang w:bidi="fa-IR"/>
          <w:color w:val="111111"/>
          <w:sz w:val="28"/>
          <w:szCs w:val="28"/>
          <w:rtl/>
        </w:rPr>
        <w:t xml:space="preserve">نعم کانت الفرق الشیعیة الاخری موجودة فی عصر الأئمّة و بعده، و لأجل ذلک جاء أسماء عدّة من فرق الشیعة فی أسناد الروایات، فلأجل ذلک نبحث عن الفرق الشائعة الرائجة فی عصرهم - علیهم السلام - و بعده بقلیل، و إن شرب علیهم الدهر و أبادتهم و أهلکتهم، فلم یبق منهم أثر فی الأزمنة الأخیرة، و إلیک بیانها:</w:t>
      </w:r>
    </w:p>
    <w:p>
      <w:pPr>
        <w:pStyle w:val="Heading5"/>
      </w:pPr>
      <w:bookmarkStart w:id="1409" w:name="_Toc849"/>
      <w:r>
        <w:t>1 - الکیسانیة</w:t>
      </w:r>
      <w:bookmarkEnd w:id="1409"/>
    </w:p>
    <w:p>
      <w:pPr>
        <w:pStyle w:val="BookText"/>
      </w:pPr>
      <w:r>
        <w:rPr>
          <w:rFonts w:ascii="IRNazanin" w:hAnsi="IRNazanin" w:eastAsia="IRNazanin" w:cs="IRNazanin"/>
          <w:lang w:bidi="fa-IR"/>
          <w:color w:val="111111"/>
          <w:sz w:val="28"/>
          <w:szCs w:val="28"/>
          <w:rtl/>
        </w:rPr>
        <w:t xml:space="preserve">قیل: ان کیسان مولی أمیر المؤمنین علی بن أبی طالب - علیه السلام -.</w:t>
      </w:r>
    </w:p>
    <w:p>
      <w:pPr>
        <w:pStyle w:val="BookText"/>
      </w:pPr>
      <w:r>
        <w:rPr>
          <w:rFonts w:ascii="IRNazanin" w:hAnsi="IRNazanin" w:eastAsia="IRNazanin" w:cs="IRNazanin"/>
          <w:lang w:bidi="fa-IR"/>
          <w:color w:val="111111"/>
          <w:sz w:val="28"/>
          <w:szCs w:val="28"/>
          <w:rtl/>
        </w:rPr>
        <w:t xml:space="preserve">[شماره صفحه واقعی : 405]</w:t>
      </w:r>
    </w:p>
    <w:p>
      <w:pPr>
        <w:pStyle w:val="BookText"/>
      </w:pPr>
      <w:r>
        <w:rPr>
          <w:rFonts w:ascii="IRNazanin" w:hAnsi="IRNazanin" w:eastAsia="IRNazanin" w:cs="IRNazanin"/>
          <w:lang w:bidi="fa-IR"/>
          <w:color w:val="111111"/>
          <w:sz w:val="28"/>
          <w:szCs w:val="28"/>
          <w:rtl/>
        </w:rPr>
        <w:t xml:space="preserve">ص: 1123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458" w:name="pg14419_167839"/>
    <w:bookmarkEnd w:id="458"/>
    <w:p>
      <w:pPr>
        <w:pStyle w:val="BookText"/>
      </w:pPr>
      <w:r>
        <w:rPr>
          <w:rFonts w:ascii="IRNazanin" w:hAnsi="IRNazanin" w:eastAsia="IRNazanin" w:cs="IRNazanin"/>
          <w:lang w:bidi="fa-IR"/>
          <w:color w:val="111111"/>
          <w:sz w:val="28"/>
          <w:szCs w:val="28"/>
          <w:rtl/>
        </w:rPr>
        <w:t xml:space="preserve">و قیل: هو المختار بن أبی عبیدة الثقفی، و علی کلّ تقدیر، هم الذین یعتقدون بامامة محمّد بن الحنفیة بعد أمیر المؤمنین - علیه السلام - و قیل لا بل بعد الحسن و الحسین و کان کیسان یدعو الناس إلیه و قد نسب إلی تلک الفرقة عقائد سخیفة فی کتاب الملل و النحل</w:t>
      </w:r>
      <w:r>
        <w:rPr>
          <w:rStyle w:val="FootnoteReference"/>
        </w:rPr>
        <w:footnoteReference w:id="4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منصور عبد القاهر بن طاهر البغدادی:</w:t>
      </w:r>
    </w:p>
    <w:p>
      <w:pPr>
        <w:pStyle w:val="BookText"/>
      </w:pPr>
      <w:r>
        <w:rPr>
          <w:rFonts w:ascii="IRNazanin" w:hAnsi="IRNazanin" w:eastAsia="IRNazanin" w:cs="IRNazanin"/>
          <w:lang w:bidi="fa-IR"/>
          <w:color w:val="111111"/>
          <w:sz w:val="28"/>
          <w:szCs w:val="28"/>
          <w:rtl/>
        </w:rPr>
        <w:t xml:space="preserve">و الکیسانیة یرجع محصّلها إلی فرقتین: احداهما تزعم أنّ محمّد بن الحنفیة حیّ لم یمت، و هم علی انتظاره و یزعمون أنّه المهدیّ المنتظر، و الفرقة الثانیة منهم یقرّون بامامته فی وقته و بموته و ینقلون الإمامة بعد موته إلی غیره و یختلفون بعد ذلک فی المنقول إلیه</w:t>
      </w:r>
      <w:r>
        <w:rPr>
          <w:rStyle w:val="FootnoteReference"/>
        </w:rPr>
        <w:footnoteReference w:id="4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السیّد الحمیری أیّام عدم استبصاره یذهب مسلک الکیسانیة، و إن رجع عنه و استبصر، و قد قال فی ذلک الزمان أشعاره التالیة:</w:t>
      </w:r>
    </w:p>
    <w:p>
      <w:pPr>
        <w:pStyle w:val="BookText"/>
      </w:pPr>
      <w:r>
        <w:rPr>
          <w:rFonts w:ascii="IRNazanin" w:hAnsi="IRNazanin" w:eastAsia="IRNazanin" w:cs="IRNazanin"/>
          <w:lang w:bidi="fa-IR"/>
          <w:color w:val="111111"/>
          <w:sz w:val="28"/>
          <w:szCs w:val="28"/>
          <w:rtl/>
        </w:rPr>
        <w:t xml:space="preserve">ألا إنّ الائمّة من قریش ولاة الحق، أربعا سواء</w:t>
      </w:r>
    </w:p>
    <w:p>
      <w:pPr>
        <w:pStyle w:val="BookText"/>
      </w:pPr>
      <w:r>
        <w:rPr>
          <w:rFonts w:ascii="IRNazanin" w:hAnsi="IRNazanin" w:eastAsia="IRNazanin" w:cs="IRNazanin"/>
          <w:lang w:bidi="fa-IR"/>
          <w:color w:val="111111"/>
          <w:sz w:val="28"/>
          <w:szCs w:val="28"/>
          <w:rtl/>
        </w:rPr>
        <w:t xml:space="preserve">علیّ و الثلاثة من بنیه هم الأسباط لیس بهم خفاء</w:t>
      </w:r>
      <w:r>
        <w:rPr>
          <w:rStyle w:val="FootnoteReference"/>
        </w:rPr>
        <w:footnoteReference w:id="4151"/>
      </w:r>
    </w:p>
    <w:p>
      <w:pPr>
        <w:pStyle w:val="BookText"/>
      </w:pPr>
      <w:r>
        <w:rPr>
          <w:rFonts w:ascii="IRNazanin" w:hAnsi="IRNazanin" w:eastAsia="IRNazanin" w:cs="IRNazanin"/>
          <w:lang w:bidi="fa-IR"/>
          <w:color w:val="111111"/>
          <w:sz w:val="28"/>
          <w:szCs w:val="28"/>
          <w:rtl/>
        </w:rPr>
        <w:t xml:space="preserve">ثمّ إنّ الکیسانیّة تفرّقوا إلی هاشمیّة، إلی بیانیّة، إلی رزامیة، و لا حاجة إلی البحث عن عقائدهم و من أراد فلیراجع إلی محالّها.</w:t>
      </w:r>
    </w:p>
    <w:p>
      <w:pPr>
        <w:pStyle w:val="Heading5"/>
      </w:pPr>
      <w:bookmarkStart w:id="1410" w:name="_Toc850"/>
      <w:r>
        <w:t>2 - الزیدیة</w:t>
      </w:r>
      <w:bookmarkEnd w:id="1410"/>
    </w:p>
    <w:p>
      <w:pPr>
        <w:pStyle w:val="Heading6"/>
      </w:pPr>
      <w:bookmarkStart w:id="1411" w:name="_Toc851"/>
      <w:r>
        <w:t>اشارة</w:t>
      </w:r>
      <w:bookmarkEnd w:id="1411"/>
    </w:p>
    <w:p>
      <w:pPr>
        <w:pStyle w:val="BookText"/>
      </w:pPr>
      <w:r>
        <w:rPr>
          <w:rFonts w:ascii="IRNazanin" w:hAnsi="IRNazanin" w:eastAsia="IRNazanin" w:cs="IRNazanin"/>
          <w:lang w:bidi="fa-IR"/>
          <w:color w:val="111111"/>
          <w:sz w:val="28"/>
          <w:szCs w:val="28"/>
          <w:rtl/>
        </w:rPr>
        <w:t xml:space="preserve">و هم أتباع زید بن علیّ بن الحسین بن علیّ بن أبی طالب - علیه السلام - عدلوا عن إمامة الامام الباقر - علیه السلام - إلی إمامة أخیه «زید» و هم ساقوا الإمامة فی أولاد فاطمة - سلام اللّه علیها - و لم یجوّزوا</w:t>
      </w:r>
    </w:p>
    <w:p>
      <w:pPr>
        <w:pStyle w:val="BookText"/>
      </w:pPr>
      <w:r>
        <w:rPr>
          <w:rFonts w:ascii="IRNazanin" w:hAnsi="IRNazanin" w:eastAsia="IRNazanin" w:cs="IRNazanin"/>
          <w:lang w:bidi="fa-IR"/>
          <w:color w:val="111111"/>
          <w:sz w:val="28"/>
          <w:szCs w:val="28"/>
          <w:rtl/>
        </w:rPr>
        <w:t xml:space="preserve">[شماره صفحه واقعی : 406]</w:t>
      </w:r>
    </w:p>
    <w:p>
      <w:pPr>
        <w:pStyle w:val="BookText"/>
      </w:pPr>
      <w:r>
        <w:rPr>
          <w:rFonts w:ascii="IRNazanin" w:hAnsi="IRNazanin" w:eastAsia="IRNazanin" w:cs="IRNazanin"/>
          <w:lang w:bidi="fa-IR"/>
          <w:color w:val="111111"/>
          <w:sz w:val="28"/>
          <w:szCs w:val="28"/>
          <w:rtl/>
        </w:rPr>
        <w:t xml:space="preserve">ص: 1124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459" w:name="pg14419_167840"/>
    <w:bookmarkEnd w:id="459"/>
    <w:p>
      <w:pPr>
        <w:pStyle w:val="BookText"/>
      </w:pPr>
      <w:r>
        <w:rPr>
          <w:rFonts w:ascii="IRNazanin" w:hAnsi="IRNazanin" w:eastAsia="IRNazanin" w:cs="IRNazanin"/>
          <w:lang w:bidi="fa-IR"/>
          <w:color w:val="111111"/>
          <w:sz w:val="28"/>
          <w:szCs w:val="28"/>
          <w:rtl/>
        </w:rPr>
        <w:t xml:space="preserve">ثبوت الإمامة فی غیرهم، إلاّ أنّهم جوّزوا أن یکون کلّ فاطمیّ عالم شجاع سخیّ خرج بالإمامة، اماما واجب الطاعة سواء کان من أولاد الحسن أو من أولاد الحسین - علیهما السلام -، و لمّا قتل زید بن علی و صلب سنة 121، قام بالإمامة بعده یحیی بن زید و مضی إلی خراسان و اجتمعت علیه جماعة کثیرة، و قد وصل إلیه الخبر من الصادق جعفر بن محمّد - علیهما السلام - بأنّه یقتل کما قتل أبوه، و یصلب کما صلب أبوه، فجری علیه الأمر کما اخبر فی سنة 126، و قد فوّض الأمر بعده إلی محمّد و إبراهیم اللّذین خرجا بالمدینة، و مضی إبراهیم إلی البصرة و اجتمع الناس علیه و قتل أیضا.</w:t>
      </w:r>
    </w:p>
    <w:p>
      <w:pPr>
        <w:pStyle w:val="BookText"/>
      </w:pPr>
      <w:r>
        <w:rPr>
          <w:rFonts w:ascii="IRNazanin" w:hAnsi="IRNazanin" w:eastAsia="IRNazanin" w:cs="IRNazanin"/>
          <w:lang w:bidi="fa-IR"/>
          <w:color w:val="111111"/>
          <w:sz w:val="28"/>
          <w:szCs w:val="28"/>
          <w:rtl/>
        </w:rPr>
        <w:t xml:space="preserve">فزید بن علیّ قتل بکناسة الکوفة، قتله هشام بن عبد الملک، و یحیی ابن زید قتل بجوزجان خراسان، قتله أمیرها، و محمّد الإمام قتل بالمدینة، قتله عیسی بن ماهان، و إبراهیم الامام قتل بالبصرة أمر بقتله المنصور.</w:t>
      </w:r>
    </w:p>
    <w:p>
      <w:pPr>
        <w:pStyle w:val="BookText"/>
      </w:pPr>
      <w:r>
        <w:rPr>
          <w:rFonts w:ascii="IRNazanin" w:hAnsi="IRNazanin" w:eastAsia="IRNazanin" w:cs="IRNazanin"/>
          <w:lang w:bidi="fa-IR"/>
          <w:color w:val="111111"/>
          <w:sz w:val="28"/>
          <w:szCs w:val="28"/>
          <w:rtl/>
        </w:rPr>
        <w:t xml:space="preserve">و الزیدیة أصناف ثلاثة: الجارودیة، و السلیمانیة، و البتریة. و الصالحیّة منهم و البتریّة علی مذهب واحد.</w:t>
      </w:r>
    </w:p>
    <w:p>
      <w:pPr>
        <w:pStyle w:val="Heading6"/>
      </w:pPr>
      <w:bookmarkStart w:id="1412" w:name="_Toc852"/>
      <w:r>
        <w:t>الف - الجارودیة:</w:t>
      </w:r>
      <w:bookmarkEnd w:id="1412"/>
    </w:p>
    <w:p>
      <w:pPr>
        <w:pStyle w:val="BookText"/>
      </w:pPr>
      <w:r>
        <w:rPr>
          <w:rFonts w:ascii="IRNazanin" w:hAnsi="IRNazanin" w:eastAsia="IRNazanin" w:cs="IRNazanin"/>
          <w:lang w:bidi="fa-IR"/>
          <w:color w:val="111111"/>
          <w:sz w:val="28"/>
          <w:szCs w:val="28"/>
          <w:rtl/>
        </w:rPr>
        <w:t xml:space="preserve">أصحاب أبی الجارود زیاد بن المنذر، و قد نقل عنهم الشهرستانی بأنّهم زعموا أنّ النبی نصّ علی علیّ بالوصف دون التسمیة، و قد خالفوا فی هذه المقالة إمامهم زید بن علیّ، فإنّه لم یعتقد هذا الاعتقاد و قد وردت فی ذمّ أبی الجارود روایات فی رجال الکشی</w:t>
      </w:r>
      <w:r>
        <w:rPr>
          <w:rStyle w:val="FootnoteReference"/>
        </w:rPr>
        <w:footnoteReference w:id="4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 «زیاد بن المنذر أبو الجارود الهمدانی الخارفی...</w:t>
      </w:r>
    </w:p>
    <w:p>
      <w:pPr>
        <w:pStyle w:val="BookText"/>
      </w:pPr>
      <w:r>
        <w:rPr>
          <w:rFonts w:ascii="IRNazanin" w:hAnsi="IRNazanin" w:eastAsia="IRNazanin" w:cs="IRNazanin"/>
          <w:lang w:bidi="fa-IR"/>
          <w:color w:val="111111"/>
          <w:sz w:val="28"/>
          <w:szCs w:val="28"/>
          <w:rtl/>
        </w:rPr>
        <w:t xml:space="preserve">کان من أصحاب أبی جعفر و روی عن أبی عبد اللّه - علیهما السلام - و تغیّر لما خرج زید - رضی اللّه عنه - إلی أن قال: له تفسیر القرآن، رواه عن أبی جعفر علیه السلام»</w:t>
      </w:r>
      <w:r>
        <w:rPr>
          <w:rStyle w:val="FootnoteReference"/>
        </w:rPr>
        <w:footnoteReference w:id="4153"/>
      </w:r>
      <w:r>
        <w:rPr>
          <w:rFonts w:ascii="IRNazanin" w:hAnsi="IRNazanin" w:eastAsia="IRNazanin" w:cs="IRNazanin"/>
          <w:lang w:bidi="fa-IR"/>
          <w:color w:val="111111"/>
          <w:sz w:val="28"/>
          <w:szCs w:val="28"/>
          <w:rtl/>
        </w:rPr>
        <w:t xml:space="preserve">و تفسیره هذا هو الذی بثّه تلمیذ القمی فی تفسیره، کما</w:t>
      </w:r>
    </w:p>
    <w:p>
      <w:pPr>
        <w:pStyle w:val="BookText"/>
      </w:pPr>
      <w:r>
        <w:rPr>
          <w:rFonts w:ascii="IRNazanin" w:hAnsi="IRNazanin" w:eastAsia="IRNazanin" w:cs="IRNazanin"/>
          <w:lang w:bidi="fa-IR"/>
          <w:color w:val="111111"/>
          <w:sz w:val="28"/>
          <w:szCs w:val="28"/>
          <w:rtl/>
        </w:rPr>
        <w:t xml:space="preserve">[شماره صفحه واقعی : 407]</w:t>
      </w:r>
    </w:p>
    <w:p>
      <w:pPr>
        <w:pStyle w:val="BookText"/>
      </w:pPr>
      <w:r>
        <w:rPr>
          <w:rFonts w:ascii="IRNazanin" w:hAnsi="IRNazanin" w:eastAsia="IRNazanin" w:cs="IRNazanin"/>
          <w:lang w:bidi="fa-IR"/>
          <w:color w:val="111111"/>
          <w:sz w:val="28"/>
          <w:szCs w:val="28"/>
          <w:rtl/>
        </w:rPr>
        <w:t xml:space="preserve">ص: 1125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460" w:name="pg14419_167841"/>
    <w:bookmarkEnd w:id="460"/>
    <w:p>
      <w:pPr>
        <w:pStyle w:val="BookText"/>
      </w:pPr>
      <w:r>
        <w:rPr>
          <w:rFonts w:ascii="IRNazanin" w:hAnsi="IRNazanin" w:eastAsia="IRNazanin" w:cs="IRNazanin"/>
          <w:lang w:bidi="fa-IR"/>
          <w:color w:val="111111"/>
          <w:sz w:val="28"/>
          <w:szCs w:val="28"/>
          <w:rtl/>
        </w:rPr>
        <w:t xml:space="preserve">أوضحنا حاله، و الرجل انحرف عن إمامة أبی جعفر بعد خروج زید أخیه، و أسّس المذهب الجارودیة.</w:t>
      </w:r>
    </w:p>
    <w:p>
      <w:pPr>
        <w:pStyle w:val="Heading6"/>
      </w:pPr>
      <w:bookmarkStart w:id="1413" w:name="_Toc853"/>
      <w:r>
        <w:t>ب - السلیمانیة:</w:t>
      </w:r>
      <w:bookmarkEnd w:id="1413"/>
    </w:p>
    <w:p>
      <w:pPr>
        <w:pStyle w:val="BookText"/>
      </w:pPr>
      <w:r>
        <w:rPr>
          <w:rFonts w:ascii="IRNazanin" w:hAnsi="IRNazanin" w:eastAsia="IRNazanin" w:cs="IRNazanin"/>
          <w:lang w:bidi="fa-IR"/>
          <w:color w:val="111111"/>
          <w:sz w:val="28"/>
          <w:szCs w:val="28"/>
          <w:rtl/>
        </w:rPr>
        <w:t xml:space="preserve">و هم أصحاب سلیمان بن جریر، و کان یقول: إنّ الإمامة شوری فی ما بین الخلق، و یصحّ أن تنعقد بعقد رجلین من خیار المسلمین، و أنّها تصحّ فی المفضول مع وجود الأفضل، و قالوا إنّ الامّة أخطأت فی البیعة لهما مع وجود علی - رضی اللّه عنه - خطأ لا یبلغ درجة الفسق، و ذلک الخطأ خطأ اجتهادی، غیر أنّه طعن فی عثمان للأحداث الّتی أحدثها و کفّره بذلک.</w:t>
      </w:r>
    </w:p>
    <w:p>
      <w:pPr>
        <w:pStyle w:val="Heading6"/>
      </w:pPr>
      <w:bookmarkStart w:id="1414" w:name="_Toc854"/>
      <w:r>
        <w:t>ج - الصالحیة و البتریة:</w:t>
      </w:r>
      <w:bookmarkEnd w:id="1414"/>
    </w:p>
    <w:p>
      <w:pPr>
        <w:pStyle w:val="BookText"/>
      </w:pPr>
      <w:r>
        <w:rPr>
          <w:rFonts w:ascii="IRNazanin" w:hAnsi="IRNazanin" w:eastAsia="IRNazanin" w:cs="IRNazanin"/>
          <w:lang w:bidi="fa-IR"/>
          <w:color w:val="111111"/>
          <w:sz w:val="28"/>
          <w:szCs w:val="28"/>
          <w:rtl/>
        </w:rPr>
        <w:t xml:space="preserve">الصالحیة، أصحاب الحسن بن صالح بن حیّ، و البتریة، أصحاب کثیر، و هما متّفقان فی المذهب و قولهم فی الامامة کقول السلیمانیة، إلاّ أنّهم توقّفوا فی أمر عثمان أهو مؤمن أم کافر</w:t>
      </w:r>
      <w:r>
        <w:rPr>
          <w:rStyle w:val="FootnoteReference"/>
        </w:rPr>
        <w:footnoteReference w:id="4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القاهر بن طاهر البغدادی: «فأما الزیدیّة فمعظمها ثلاث فرق و هی: الجارودیّة و السلیمانیة و قد یقال الجریریة أیضا، و البتریة، و هذه الفرق الثلاث یجمعها القول بامامة زید بن علیّ بن الحسین فی أیّام خروجه، و کان ذلک فی زمن هشام بن عبد الملک»</w:t>
      </w:r>
      <w:r>
        <w:rPr>
          <w:rStyle w:val="FootnoteReference"/>
        </w:rPr>
        <w:footnoteReference w:id="4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النوبختی مؤلّف «فرق الشیعة» و هو من أعلام القرن الثالث ذکر فرق الزیدیة فی کلام مبسوط</w:t>
      </w:r>
      <w:r>
        <w:rPr>
          <w:rStyle w:val="FootnoteReference"/>
        </w:rPr>
        <w:footnoteReference w:id="4156"/>
      </w:r>
      <w:r>
        <w:rPr>
          <w:rFonts w:ascii="Times New Roman" w:hAnsi="Times New Roman" w:eastAsia="Times New Roman" w:cs="Times New Roman"/>
          <w:lang w:val="en-US" w:bidi="en-US"/>
          <w:color w:val="111111"/>
          <w:sz w:val="28"/>
          <w:szCs w:val="28"/>
          <w:rtl/>
        </w:rPr>
        <w:t xml:space="preserve">.</w:t>
      </w:r>
    </w:p>
    <w:p>
      <w:pPr>
        <w:pStyle w:val="Heading5"/>
      </w:pPr>
      <w:bookmarkStart w:id="1415" w:name="_Toc855"/>
      <w:r>
        <w:t>3 - الناووسیة</w:t>
      </w:r>
      <w:bookmarkEnd w:id="1415"/>
    </w:p>
    <w:p>
      <w:pPr>
        <w:pStyle w:val="BookText"/>
      </w:pPr>
      <w:r>
        <w:rPr>
          <w:rFonts w:ascii="IRNazanin" w:hAnsi="IRNazanin" w:eastAsia="IRNazanin" w:cs="IRNazanin"/>
          <w:lang w:bidi="fa-IR"/>
          <w:color w:val="111111"/>
          <w:sz w:val="28"/>
          <w:szCs w:val="28"/>
          <w:rtl/>
        </w:rPr>
        <w:t xml:space="preserve">و هم الذین قالوا إنّ جعفر بن محمد - علیهما السلام - حیّ لم یمت و لا یموت حتّی یظهر و یلی امور الناس، و أنّه هو المهدی - علیه السلام - و زعموا</w:t>
      </w:r>
    </w:p>
    <w:p>
      <w:pPr>
        <w:pStyle w:val="BookText"/>
      </w:pPr>
      <w:r>
        <w:rPr>
          <w:rFonts w:ascii="IRNazanin" w:hAnsi="IRNazanin" w:eastAsia="IRNazanin" w:cs="IRNazanin"/>
          <w:lang w:bidi="fa-IR"/>
          <w:color w:val="111111"/>
          <w:sz w:val="28"/>
          <w:szCs w:val="28"/>
          <w:rtl/>
        </w:rPr>
        <w:t xml:space="preserve">[شماره صفحه واقعی : 408]</w:t>
      </w:r>
    </w:p>
    <w:p>
      <w:pPr>
        <w:pStyle w:val="BookText"/>
      </w:pPr>
      <w:r>
        <w:rPr>
          <w:rFonts w:ascii="IRNazanin" w:hAnsi="IRNazanin" w:eastAsia="IRNazanin" w:cs="IRNazanin"/>
          <w:lang w:bidi="fa-IR"/>
          <w:color w:val="111111"/>
          <w:sz w:val="28"/>
          <w:szCs w:val="28"/>
          <w:rtl/>
        </w:rPr>
        <w:t xml:space="preserve">ص: 1126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461" w:name="pg14419_167842"/>
    <w:bookmarkEnd w:id="461"/>
    <w:p>
      <w:pPr>
        <w:pStyle w:val="BookText"/>
      </w:pPr>
      <w:r>
        <w:rPr>
          <w:rFonts w:ascii="IRNazanin" w:hAnsi="IRNazanin" w:eastAsia="IRNazanin" w:cs="IRNazanin"/>
          <w:lang w:bidi="fa-IR"/>
          <w:color w:val="111111"/>
          <w:sz w:val="28"/>
          <w:szCs w:val="28"/>
          <w:rtl/>
        </w:rPr>
        <w:t xml:space="preserve">أنّهم رووا عنه أنّه قال: «إن رأیتم رأسی قد أهوی علیکم من جبل فلا تصدّقوه، فإنّی أنا صاحبکم» و أنّه قال لهم: «إن جاءکم من یخبرکم عنّی أنّه غسّلنی و کفّننی فلا تصدّقوه، فإنّی صاحبکم صاحب السیف» و هذه الفرقة تسمّی الناووسیة، و سمّیت بذلک لرئیس لهم من أهل البصرة یقال له فلان بن فلان الناووس</w:t>
      </w:r>
      <w:r>
        <w:rPr>
          <w:rStyle w:val="FootnoteReference"/>
        </w:rPr>
        <w:footnoteReference w:id="4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القاهر: «و هم أتباع رجل من أهل البصرة کان ینتسب إلی «ناووس» بها و هم یسوقون الإمامة إلی جعفر الصادق بنصّ الباقر علیه و أنّه المهدیّ المنتظر</w:t>
      </w:r>
      <w:r>
        <w:rPr>
          <w:rStyle w:val="FootnoteReference"/>
        </w:rPr>
        <w:footnoteReference w:id="4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الشهرستانی قریبا منه؛ غیر أنّه قال: «هم أتباع رجل یقال له ناووس»</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p>
    <w:p>
      <w:pPr>
        <w:pStyle w:val="Heading5"/>
      </w:pPr>
      <w:bookmarkStart w:id="1416" w:name="_Toc856"/>
      <w:r>
        <w:t>4 - الإسماعیلیة</w:t>
      </w:r>
      <w:bookmarkEnd w:id="1416"/>
    </w:p>
    <w:p>
      <w:pPr>
        <w:pStyle w:val="BookText"/>
      </w:pPr>
      <w:r>
        <w:rPr>
          <w:rFonts w:ascii="IRNazanin" w:hAnsi="IRNazanin" w:eastAsia="IRNazanin" w:cs="IRNazanin"/>
          <w:lang w:bidi="fa-IR"/>
          <w:color w:val="111111"/>
          <w:sz w:val="28"/>
          <w:szCs w:val="28"/>
          <w:rtl/>
        </w:rPr>
        <w:t xml:space="preserve">هم طائفة یقولون إنّ الإمام بعد جعفر الصادق - علیه السلام - هو ابنه إسماعیل، إلاّ أنّهم اختلفوا فی موته فی حال حیاة أبیه، فمنهم من قال: لم یمت إلاّ أنّه أظهر موته تقیّة من خلفاء بنی العبّاس، و منهم من قال: موته صحیح، و النصّ لا یرجع قهقری، و الفائدة فی النصّ بقاء الإمامة فی أولاد المنصوص علیه دون غیرهم، فالإمام بعد إسماعیل هو محمّد بن إسماعیل، و هؤلاء یقال لهم المبارکیة. ثمّ منهم من وقف علی محمّد بن إسماعیل و قال برجعته بعد غیبته.</w:t>
      </w:r>
    </w:p>
    <w:p>
      <w:pPr>
        <w:pStyle w:val="BookText"/>
      </w:pPr>
      <w:r>
        <w:rPr>
          <w:rFonts w:ascii="IRNazanin" w:hAnsi="IRNazanin" w:eastAsia="IRNazanin" w:cs="IRNazanin"/>
          <w:lang w:bidi="fa-IR"/>
          <w:color w:val="111111"/>
          <w:sz w:val="28"/>
          <w:szCs w:val="28"/>
          <w:rtl/>
        </w:rPr>
        <w:t xml:space="preserve">و منهم من ساق الإمامة فی المستورین منهم، ثمّ فی الظاهرین القائمین</w:t>
      </w:r>
    </w:p>
    <w:p>
      <w:pPr>
        <w:pStyle w:val="BookText"/>
      </w:pPr>
      <w:r>
        <w:rPr>
          <w:rFonts w:ascii="IRNazanin" w:hAnsi="IRNazanin" w:eastAsia="IRNazanin" w:cs="IRNazanin"/>
          <w:lang w:bidi="fa-IR"/>
          <w:color w:val="111111"/>
          <w:sz w:val="28"/>
          <w:szCs w:val="28"/>
          <w:rtl/>
        </w:rPr>
        <w:t xml:space="preserve">[شماره صفحه واقعی : 409]</w:t>
      </w:r>
    </w:p>
    <w:p>
      <w:pPr>
        <w:pStyle w:val="BookText"/>
      </w:pPr>
      <w:r>
        <w:rPr>
          <w:rFonts w:ascii="IRNazanin" w:hAnsi="IRNazanin" w:eastAsia="IRNazanin" w:cs="IRNazanin"/>
          <w:lang w:bidi="fa-IR"/>
          <w:color w:val="111111"/>
          <w:sz w:val="28"/>
          <w:szCs w:val="28"/>
          <w:rtl/>
        </w:rPr>
        <w:t xml:space="preserve">ص: 1127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بعدهم و هم الباطنیة</w:t>
      </w:r>
      <w:r>
        <w:rPr>
          <w:rStyle w:val="FootnoteReference"/>
        </w:rPr>
        <w:footnoteReference w:id="4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القاهر البغدادی: «إنّ الاسماعیلیة ساقوا الإمامة إلی جعفر و زعموا أنّ الإمام بعده إسماعیل و افترق هؤلاء فرقتین:</w:t>
      </w:r>
    </w:p>
    <w:p>
      <w:pPr>
        <w:pStyle w:val="BookText"/>
      </w:pPr>
      <w:r>
        <w:rPr>
          <w:rFonts w:ascii="IRNazanin" w:hAnsi="IRNazanin" w:eastAsia="IRNazanin" w:cs="IRNazanin"/>
          <w:lang w:bidi="fa-IR"/>
          <w:color w:val="111111"/>
          <w:sz w:val="28"/>
          <w:szCs w:val="28"/>
          <w:rtl/>
        </w:rPr>
        <w:t xml:space="preserve">فرقة منتظرة لإسماعیل بن جعفر مع اتّفاق أصحاب التواریخ علی موت إسماعیل فی حیاة أبیه، و فرقة قال: کان الإمام بعد جعفر، سبطه محمّد بن إسماعیل بن جعفر، حیث إنّ جعفرا نصب ابنه إسماعیل للإمامة بعده، فلمّا مات إسماعیل فی حیاة أبیه علمنا أنّه إنّما نصّب ابنه إسماعیل، للدلالة علی إمامة ابنه محمّد بن اسماعیل و إلی هذا القول مالت الاسماعیلیة من الباطنیة»</w:t>
      </w:r>
      <w:r>
        <w:rPr>
          <w:rStyle w:val="FootnoteReference"/>
        </w:rPr>
        <w:footnoteReference w:id="4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النوبختی: «فرقة زعمت أنّ الإمام بعد جعفر بن محمّد، ابنه إسماعیل بن جعفر و أنکرت موت اسماعیل فی حیاة أبیه، و قالوا: کان ذلک علی جهة التلبیس من أبیه علی الناس، لأنّه خاف فغیّبه عنهم، و زعموا أنّ إسماعیل لا یموت حتّی یملک الأرض و یقوم بأمر الناس، و أنّه هو القائم لانّ أباه أشار الیه بالإمامة بعده، و قلّدهم ذلک له و أخبرهم أنّه صاحبه، و الإمام لا یقول إلاّ الحقّ، فلمّا ظهر موته علمنا أنّه قد صدق و أنّه القائم و أنّه لم یمت و هذه الفرقة هی الاسماعیلیة الخالصة»</w:t>
      </w:r>
      <w:r>
        <w:rPr>
          <w:rStyle w:val="FootnoteReference"/>
        </w:rPr>
        <w:footnoteReference w:id="4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الختام نلفت نظر القاریء إلی أنّ الإمام حسب عقیدة الشیعة الإمامیة لم یقل بامامة إسماعیل قطّ، و إنّما الناس کانوا یزعمون ذلک لکبره و ما تسالموا علیه من أنّ الأمر فی الأکبر ما لم یکن به عاهة.</w:t>
      </w:r>
    </w:p>
    <w:p>
      <w:pPr>
        <w:pStyle w:val="BookText"/>
      </w:pPr>
      <w:r>
        <w:rPr>
          <w:rFonts w:ascii="IRNazanin" w:hAnsi="IRNazanin" w:eastAsia="IRNazanin" w:cs="IRNazanin"/>
          <w:lang w:bidi="fa-IR"/>
          <w:color w:val="111111"/>
          <w:sz w:val="28"/>
          <w:szCs w:val="28"/>
          <w:rtl/>
        </w:rPr>
        <w:t xml:space="preserve">[شماره صفحه واقعی : 410]</w:t>
      </w:r>
    </w:p>
    <w:p>
      <w:pPr>
        <w:pStyle w:val="BookText"/>
      </w:pPr>
      <w:r>
        <w:rPr>
          <w:rFonts w:ascii="IRNazanin" w:hAnsi="IRNazanin" w:eastAsia="IRNazanin" w:cs="IRNazanin"/>
          <w:lang w:bidi="fa-IR"/>
          <w:color w:val="111111"/>
          <w:sz w:val="28"/>
          <w:szCs w:val="28"/>
          <w:rtl/>
        </w:rPr>
        <w:t xml:space="preserve">ص: 1128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462" w:name="pg14419_167844"/>
    <w:bookmarkEnd w:id="462"/>
    <w:p>
      <w:pPr>
        <w:pStyle w:val="Heading5"/>
      </w:pPr>
      <w:bookmarkStart w:id="1417" w:name="_Toc857"/>
      <w:r>
        <w:t>5 - الفطحیة أو الافطحیة</w:t>
      </w:r>
      <w:bookmarkEnd w:id="1417"/>
    </w:p>
    <w:p>
      <w:pPr>
        <w:pStyle w:val="BookText"/>
      </w:pPr>
      <w:r>
        <w:rPr>
          <w:rFonts w:ascii="IRNazanin" w:hAnsi="IRNazanin" w:eastAsia="IRNazanin" w:cs="IRNazanin"/>
          <w:lang w:bidi="fa-IR"/>
          <w:color w:val="111111"/>
          <w:sz w:val="28"/>
          <w:szCs w:val="28"/>
          <w:rtl/>
        </w:rPr>
        <w:t xml:space="preserve">و هم الذین یقولون بانتقال الإمامة من الصادق إلی ابنه عبد اللّه الأفطح، و هو أخو إسماعیل من أبیه و أمّه و کان أسنّ أولاد الصّادق، زعموا أنّه قال:</w:t>
      </w:r>
    </w:p>
    <w:p>
      <w:pPr>
        <w:pStyle w:val="BookText"/>
      </w:pPr>
      <w:r>
        <w:rPr>
          <w:rFonts w:ascii="IRNazanin" w:hAnsi="IRNazanin" w:eastAsia="IRNazanin" w:cs="IRNazanin"/>
          <w:lang w:bidi="fa-IR"/>
          <w:color w:val="111111"/>
          <w:sz w:val="28"/>
          <w:szCs w:val="28"/>
          <w:rtl/>
        </w:rPr>
        <w:t xml:space="preserve">الإمامة فی أکبر اولاد الإمام، و هو ما عاش بعد أبیه إلاّ سبعین یوما و مات و لم یعقب له ولدا ذکرا</w:t>
      </w:r>
      <w:r>
        <w:rPr>
          <w:rStyle w:val="FootnoteReference"/>
        </w:rPr>
        <w:footnoteReference w:id="4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سمّاهم عبد القاهر فی «فرق الشیعة» باسم العمّاریة، و هم منسوبون إلی زعیم منهم یسمّی عمارین، و هم یسوقون الإمامة إلی جعفر الصادق - علیه السلام - ثمّ زعموا أنّ الإمام بعده ولده عبد اللّه و کان أکبر أولاده و لهذا قیل لأتباعه «الأفطحیة»</w:t>
      </w:r>
      <w:r>
        <w:rPr>
          <w:rStyle w:val="FootnoteReference"/>
        </w:rPr>
        <w:footnoteReference w:id="4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النوبختی: «هذه الفرقة هی القائلة بامامة عبد اللّه بن جعفر، و سمّوا الفطحیّة لأنّ عبد اللّه کان أفطح الرأس (عریضه) - إلی أن قال: و ما إلی هذه الفرقة جلّ مشایخ الشّیعة و فقهائهم و لم یشکّوا فی أنّ الإمامة فی عبد اللّه بن جعفر و فی ولده من بعده، فمات عبد اللّه و لم یخلف ذکرا، فرجع عامّة الفطحیّة عن القول بإمامته سوی قلیل منهم الی القول بإمامة موسی بن جعفر - علیهما السلام -، و قد کان رجع جماعة منهم فی حیاة عبد اللّه إلی موسی بن جعفر - علیهما السلام - ثمّ رجع عامّتهم بعد وفاته عن القول به، و بقی بعضهم علی القول بإمامته، ثمّ إمامة موسی بن جعفر من بعده و عاش عبد اللّه بن جعفر بعد أبیه سبعین یوما أو نحوها»</w:t>
      </w:r>
      <w:r>
        <w:rPr>
          <w:rStyle w:val="FootnoteReference"/>
        </w:rPr>
        <w:footnoteReference w:id="4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411]</w:t>
      </w:r>
    </w:p>
    <w:p>
      <w:pPr>
        <w:pStyle w:val="BookText"/>
      </w:pPr>
      <w:r>
        <w:rPr>
          <w:rFonts w:ascii="IRNazanin" w:hAnsi="IRNazanin" w:eastAsia="IRNazanin" w:cs="IRNazanin"/>
          <w:lang w:bidi="fa-IR"/>
          <w:color w:val="111111"/>
          <w:sz w:val="28"/>
          <w:szCs w:val="28"/>
          <w:rtl/>
        </w:rPr>
        <w:t xml:space="preserve">ص: 1129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463" w:name="pg14419_167845"/>
    <w:bookmarkEnd w:id="463"/>
    <w:p>
      <w:pPr>
        <w:pStyle w:val="Heading5"/>
      </w:pPr>
      <w:bookmarkStart w:id="1418" w:name="_Toc858"/>
      <w:r>
        <w:t>6 - الواقفة</w:t>
      </w:r>
      <w:bookmarkEnd w:id="1418"/>
    </w:p>
    <w:p>
      <w:pPr>
        <w:pStyle w:val="BookText"/>
      </w:pPr>
      <w:r>
        <w:rPr>
          <w:rFonts w:ascii="IRNazanin" w:hAnsi="IRNazanin" w:eastAsia="IRNazanin" w:cs="IRNazanin"/>
          <w:lang w:bidi="fa-IR"/>
          <w:color w:val="111111"/>
          <w:sz w:val="28"/>
          <w:szCs w:val="28"/>
          <w:rtl/>
        </w:rPr>
        <w:t xml:space="preserve">و هم الّذین ساقوا الإمامة إلی جعفر بن محمّد، ثمّ زعموا أنّ الإمام بعد جعفر کان ابنه موسی بن جعفر - علیهما السلام -، و زعموا أنّ موسی بن جعفر حیّ لم یمت، و أنّه المهدیّ المنتظر، و قالوا إنّه دخل دار الرشید و لم یخرج منها و قد علمنا إمامته و شککنا فی موته فلا نحکم فی موته إلاّ بتعیین، هذا مع أنّ مشهد موسی بن جعفر معروف من بغداد</w:t>
      </w:r>
      <w:r>
        <w:rPr>
          <w:rStyle w:val="FootnoteReference"/>
        </w:rPr>
        <w:footnoteReference w:id="4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الشهرستانی: «کان موسی بن جعفر هو الّذی تولّی أمر الصادق و قام به بعد موت أبیه و رجع إلیه الشیعة و اجتمعت علیه مثل المفضّل بن عمر و زرارة بن أعین و عمّار الساباطی، ثمّ إنّ موسی لمّا خرج و أظهر الإمامة حمله هارون الرشید من المدینة، فحبسه عند عیسی بن جعفر، ثمّ أشخصه إلی بغداد عند السندی بن شاهک، و قیل إنّ یحیی بن خالد بن برمک سمّه فی رطب فقتله، ثمّ اخرج و دفن فی مقابر قریش و اختلفت الشیعة بعده - إلی أن قال: و منهم من توقّف علیه و قال: إنّه لم یمت و سیخرج بعد الغیبة و یقال لهم الواقفیة»</w:t>
      </w:r>
      <w:r>
        <w:rPr>
          <w:rStyle w:val="FootnoteReference"/>
        </w:rPr>
        <w:footnoteReference w:id="4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النوبختی: «إنّ وجوه أصحاب أبی عبد اللّه ثبتوا علی إمامة موسی بن جعفر، حتّی رجع إلی مقالتهم عامّة من کان قال بامامة عبد اللّه بن جعفر فاجتمعوا جمیعا علی إمامة موسی بن جعفر، ثمّ إنّ جماعة المؤمنین بموسی بن جعفر بعد ما مات موسی فی حبس الرشید صاروا خمس فرق، فمن قال مات و رفعه اللّه إلیه و أنّه یردّه عند قیامه فسمّوا هؤلاء الواقفیة»</w:t>
      </w:r>
      <w:r>
        <w:rPr>
          <w:rStyle w:val="FootnoteReference"/>
        </w:rPr>
        <w:footnoteReference w:id="4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هؤلاء لم یشیروا إلی أنّه کیف برزت تلک الفرقة و لکنّ أبا عمرو</w:t>
      </w:r>
    </w:p>
    <w:p>
      <w:pPr>
        <w:pStyle w:val="BookText"/>
      </w:pPr>
      <w:r>
        <w:rPr>
          <w:rFonts w:ascii="IRNazanin" w:hAnsi="IRNazanin" w:eastAsia="IRNazanin" w:cs="IRNazanin"/>
          <w:lang w:bidi="fa-IR"/>
          <w:color w:val="111111"/>
          <w:sz w:val="28"/>
          <w:szCs w:val="28"/>
          <w:rtl/>
        </w:rPr>
        <w:t xml:space="preserve">[شماره صفحه واقعی : 412]</w:t>
      </w:r>
    </w:p>
    <w:p>
      <w:pPr>
        <w:pStyle w:val="BookText"/>
      </w:pPr>
      <w:r>
        <w:rPr>
          <w:rFonts w:ascii="IRNazanin" w:hAnsi="IRNazanin" w:eastAsia="IRNazanin" w:cs="IRNazanin"/>
          <w:lang w:bidi="fa-IR"/>
          <w:color w:val="111111"/>
          <w:sz w:val="28"/>
          <w:szCs w:val="28"/>
          <w:rtl/>
        </w:rPr>
        <w:t xml:space="preserve">ص: 1130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الکشّی صاحب الرجال المعروف قد کشف الستر عن کیفیّة نشوء هذه الفرقة و قال ما هذا خلاصته: «کان بدء الواقفیّة أنّه کان اجتمع ثلاثون ألف رجلا عند الأشاعثة لزکاة أموالهم و ما کان یجب علیهم فیها، فحملوها إلی وکیلین لموسی بن جعفر - علیهما السلام - بالکوفة، أحدهما حنّان السراج و آخر کان معه و کان موسی - علیه السلام - فی الحبس، فاتّخذا بذلک دورا و عقارا و اشتریا الغلاّت، فلمّا مات موسی - علیه السلام - و انتهی الخبر إلیهما، أنکرا موته و أذاعا فی الشّیعة أنّه لا یموت، لأنّه القائم، فاعتمدت علیهما طائفة من الشیعة و انتشر قولهما فی الناس حتّی کان عند موتهما أوصیا بدفع المال إلی ورثة موسی - علیه السلام - و استبان للّشیعة أنّهما إنّما قالا ذلک حرصا علی المال»</w:t>
      </w:r>
      <w:r>
        <w:rPr>
          <w:rStyle w:val="FootnoteReference"/>
        </w:rPr>
        <w:footnoteReference w:id="4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إطلاق الوقف ینصرف إلی من وقف علی الکاظم - علیه السلام - و لا ینصرف إلی غیرهم إلاّ بالقرینة. نعم ربّما یطلق علی من وقف علی الکاظم من الائمّة فی زمانه - علیه السلام -، و یستفاد من الروایات المرویّة فی رجال الکشّی فی ترجمة یحیی بن أبی القاسم إطلاق الوقف فی حال حیاة الکاظم - علیه السلام -</w:t>
      </w:r>
      <w:r>
        <w:rPr>
          <w:rStyle w:val="FootnoteReference"/>
        </w:rPr>
        <w:footnoteReference w:id="4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یعلم أنّ الواقفیة صنفان، صنف منهم وقفوا علی الکاظم فی زمانه و اعتقدوا کونه قائم آل محمّد - علیهم السلام - و ماتوا فی زمانه کسماعة، و صنف وقفوا علیه بعد موته و لا یصحّ تضلیل من وقف علی الکاظم فی زمان حیاته لشبهة حصلت له، لأنّه عرف إمام زمانه.</w:t>
      </w:r>
    </w:p>
    <w:p>
      <w:pPr>
        <w:pStyle w:val="BookText"/>
      </w:pPr>
      <w:r>
        <w:rPr>
          <w:rFonts w:ascii="IRNazanin" w:hAnsi="IRNazanin" w:eastAsia="IRNazanin" w:cs="IRNazanin"/>
          <w:lang w:bidi="fa-IR"/>
          <w:color w:val="111111"/>
          <w:sz w:val="28"/>
          <w:szCs w:val="28"/>
          <w:rtl/>
        </w:rPr>
        <w:t xml:space="preserve">و ها هنا کلمة قیّمة للوحید البهبهانی، یرشدنا إلی علّة حصول شبهة الوقف فی بعض الشیعة و هو أنّ الشیعة من فرط حبّهم دولة الائمّة و شدّة تمنّیهم إیّاها و بسبب الشدائد و المحن الّتی کانت علیهم و علی أئمّتهم، کانوا دائما</w:t>
      </w:r>
    </w:p>
    <w:p>
      <w:pPr>
        <w:pStyle w:val="BookText"/>
      </w:pPr>
      <w:r>
        <w:rPr>
          <w:rFonts w:ascii="IRNazanin" w:hAnsi="IRNazanin" w:eastAsia="IRNazanin" w:cs="IRNazanin"/>
          <w:lang w:bidi="fa-IR"/>
          <w:color w:val="111111"/>
          <w:sz w:val="28"/>
          <w:szCs w:val="28"/>
          <w:rtl/>
        </w:rPr>
        <w:t xml:space="preserve">[شماره صفحه واقعی : 413]</w:t>
      </w:r>
    </w:p>
    <w:p>
      <w:pPr>
        <w:pStyle w:val="BookText"/>
      </w:pPr>
      <w:r>
        <w:rPr>
          <w:rFonts w:ascii="IRNazanin" w:hAnsi="IRNazanin" w:eastAsia="IRNazanin" w:cs="IRNazanin"/>
          <w:lang w:bidi="fa-IR"/>
          <w:color w:val="111111"/>
          <w:sz w:val="28"/>
          <w:szCs w:val="28"/>
          <w:rtl/>
        </w:rPr>
        <w:t xml:space="preserve">ص: 1131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464" w:name="pg14419_167847"/>
    <w:bookmarkEnd w:id="464"/>
    <w:p>
      <w:pPr>
        <w:pStyle w:val="BookText"/>
      </w:pPr>
      <w:r>
        <w:rPr>
          <w:rFonts w:ascii="IRNazanin" w:hAnsi="IRNazanin" w:eastAsia="IRNazanin" w:cs="IRNazanin"/>
          <w:lang w:bidi="fa-IR"/>
          <w:color w:val="111111"/>
          <w:sz w:val="28"/>
          <w:szCs w:val="28"/>
          <w:rtl/>
        </w:rPr>
        <w:t xml:space="preserve">مشتاقین إلی دولة قائم آل محمّد - علیهم السلام -، متوقّعین لوقوعه عن قریب، و لأجل ذلک قیل إنّ الشیعة تربّی بالأمانی، و من ذلک أنّهم کانوا کثیرا ما یسألون عن أئمّتهم عن قائمهم، فلربّما قال واحد منهم فلان - یعنی الّذی یجیء بعد - تسلیة لخواطرهم، تصوّروا أنّ المراد هو الذی یجیء بعد ذلک الإمام بلا فاصلة و هم من فرط میل قلوبهم و زیادة حرصهم ربّما کانوا لا یتفطّنون</w:t>
      </w:r>
      <w:r>
        <w:rPr>
          <w:rStyle w:val="FootnoteReference"/>
        </w:rPr>
        <w:footnoteReference w:id="4171"/>
      </w:r>
      <w:r>
        <w:rPr>
          <w:rFonts w:ascii="Times New Roman" w:hAnsi="Times New Roman" w:eastAsia="Times New Roman" w:cs="Times New Roman"/>
          <w:lang w:val="en-US" w:bidi="en-US"/>
          <w:color w:val="111111"/>
          <w:sz w:val="28"/>
          <w:szCs w:val="28"/>
          <w:rtl/>
        </w:rPr>
        <w:t xml:space="preserve">.</w:t>
      </w:r>
    </w:p>
    <w:p>
      <w:pPr>
        <w:pStyle w:val="Heading5"/>
      </w:pPr>
      <w:bookmarkStart w:id="1419" w:name="_Toc859"/>
      <w:r>
        <w:t>7 - الخطابیة</w:t>
      </w:r>
      <w:bookmarkEnd w:id="1419"/>
    </w:p>
    <w:p>
      <w:pPr>
        <w:pStyle w:val="BookText"/>
      </w:pPr>
      <w:r>
        <w:rPr>
          <w:rFonts w:ascii="IRNazanin" w:hAnsi="IRNazanin" w:eastAsia="IRNazanin" w:cs="IRNazanin"/>
          <w:lang w:bidi="fa-IR"/>
          <w:color w:val="111111"/>
          <w:sz w:val="28"/>
          <w:szCs w:val="28"/>
          <w:rtl/>
        </w:rPr>
        <w:t xml:space="preserve">و هم فرقة یتظاهرون بالوهیّة الإمام الصادق - علیه السلام - و أنّ أبا الخطّاب - اعنی محمّد بن مقلاص أبا زینب الأسدی الکوفی الأجدع، البرار - نبیّ مرسل، أمر الصادق - علیه السلام - بطاعته و هم أحلّوا المحارم و ترکوا الفرائض، و قد أورد الکشّی فی رجاله روایات کثیرة فی ذمّه و قد قتله عیسی بن موسی صاحب المنصور فی الکوفة.</w:t>
      </w:r>
    </w:p>
    <w:p>
      <w:pPr>
        <w:pStyle w:val="BookText"/>
      </w:pPr>
      <w:r>
        <w:rPr>
          <w:rFonts w:ascii="IRNazanin" w:hAnsi="IRNazanin" w:eastAsia="IRNazanin" w:cs="IRNazanin"/>
          <w:lang w:bidi="fa-IR"/>
          <w:color w:val="111111"/>
          <w:sz w:val="28"/>
          <w:szCs w:val="28"/>
          <w:rtl/>
        </w:rPr>
        <w:t xml:space="preserve">روی الکشّی عن عیسی بن أبی منصور قال: سمعت أبا عبد اللّه - علیه السلام - عند ما ذکر أبو الخطّاب عنده فقال: اللهمّ العن أبا الخطّاب فانّه خوّفنی قائما و قاعدا و علی فراشی، اللهمّ أذقه حرّ الحدید.</w:t>
      </w:r>
    </w:p>
    <w:p>
      <w:pPr>
        <w:pStyle w:val="BookText"/>
      </w:pPr>
      <w:r>
        <w:rPr>
          <w:rFonts w:ascii="IRNazanin" w:hAnsi="IRNazanin" w:eastAsia="IRNazanin" w:cs="IRNazanin"/>
          <w:lang w:bidi="fa-IR"/>
          <w:color w:val="111111"/>
          <w:sz w:val="28"/>
          <w:szCs w:val="28"/>
          <w:rtl/>
        </w:rPr>
        <w:t xml:space="preserve">و قد نقل عن إبراهیم بن أبی أسامة قال: قال رجل لأبی عبد اللّه - علیه السلام -: اؤخّر المغرب حتّی تستبین النجوم؟ فقال: خطّابیة إنّ جبرائیل أنزلها علی رسوله حین سقط القرص.</w:t>
      </w:r>
    </w:p>
    <w:p>
      <w:pPr>
        <w:pStyle w:val="BookText"/>
      </w:pPr>
      <w:r>
        <w:rPr>
          <w:rFonts w:ascii="IRNazanin" w:hAnsi="IRNazanin" w:eastAsia="IRNazanin" w:cs="IRNazanin"/>
          <w:lang w:bidi="fa-IR"/>
          <w:color w:val="111111"/>
          <w:sz w:val="28"/>
          <w:szCs w:val="28"/>
          <w:rtl/>
        </w:rPr>
        <w:t xml:space="preserve">و نقل أیضا عن یونس بن عبد الرحمن، عن أبی عبد اللّه - علیه السلام - قال: کتب أبو عبد اللّه إلی أبی الخطّاب بلغنی أنّک تزعم أنّ الزنا رجل، و أنّ الخمر رجل، و أنّ الصلاة رجل، و الصیام رجل، و الفواحش رجل و لیس هو کما تقول. أنا أصل الحقّ، و فروع الحقّ طاعة اللّه، و عدوّنا أصل الشر،</w:t>
      </w:r>
    </w:p>
    <w:p>
      <w:pPr>
        <w:pStyle w:val="BookText"/>
      </w:pPr>
      <w:r>
        <w:rPr>
          <w:rFonts w:ascii="IRNazanin" w:hAnsi="IRNazanin" w:eastAsia="IRNazanin" w:cs="IRNazanin"/>
          <w:lang w:bidi="fa-IR"/>
          <w:color w:val="111111"/>
          <w:sz w:val="28"/>
          <w:szCs w:val="28"/>
          <w:rtl/>
        </w:rPr>
        <w:t xml:space="preserve">[شماره صفحه واقعی : 414]</w:t>
      </w:r>
    </w:p>
    <w:p>
      <w:pPr>
        <w:pStyle w:val="BookText"/>
      </w:pPr>
      <w:r>
        <w:rPr>
          <w:rFonts w:ascii="IRNazanin" w:hAnsi="IRNazanin" w:eastAsia="IRNazanin" w:cs="IRNazanin"/>
          <w:lang w:bidi="fa-IR"/>
          <w:color w:val="111111"/>
          <w:sz w:val="28"/>
          <w:szCs w:val="28"/>
          <w:rtl/>
        </w:rPr>
        <w:t xml:space="preserve">ص: 1132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465" w:name="pg14419_167848"/>
    <w:bookmarkEnd w:id="465"/>
    <w:p>
      <w:pPr>
        <w:pStyle w:val="BookText"/>
      </w:pPr>
      <w:r>
        <w:rPr>
          <w:rFonts w:ascii="IRNazanin" w:hAnsi="IRNazanin" w:eastAsia="IRNazanin" w:cs="IRNazanin"/>
          <w:lang w:bidi="fa-IR"/>
          <w:color w:val="111111"/>
          <w:sz w:val="28"/>
          <w:szCs w:val="28"/>
          <w:rtl/>
        </w:rPr>
        <w:t xml:space="preserve">و فروعهم الفواحش، و کیف یطاع من لا یعرف و کیف یعرف من لا یطاع؟</w:t>
      </w:r>
      <w:r>
        <w:rPr>
          <w:rStyle w:val="FootnoteReference"/>
        </w:rPr>
        <w:footnoteReference w:id="4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الخطابیة لمّا بلغهم أنّ جعفر بن محمد - علیهما السلام - لعنه و برأ منه و من أصحابه تفرّقوا أربع فرق.</w:t>
      </w:r>
    </w:p>
    <w:p>
      <w:pPr>
        <w:pStyle w:val="BookText"/>
      </w:pPr>
      <w:r>
        <w:rPr>
          <w:rFonts w:ascii="IRNazanin" w:hAnsi="IRNazanin" w:eastAsia="IRNazanin" w:cs="IRNazanin"/>
          <w:lang w:bidi="fa-IR"/>
          <w:color w:val="111111"/>
          <w:sz w:val="28"/>
          <w:szCs w:val="28"/>
          <w:rtl/>
        </w:rPr>
        <w:t xml:space="preserve">قال الشهرستانی: «إنّ أبا الخطّاب عزی نفسه إلی أبی عبد اللّه جعفر بن محمد الصادق و لمّا وقف الصادق علی غلوّه الباطل فی حقّه، تبرّأ منه و لعنه و أمر أصحابه بالبراءة منه، و شدّد القول فی ذلک، و بالغ فی التبرّی منه و اللعن علیه فلمّا اعتزل عنه ادّعی الإمامة لنفسه».</w:t>
      </w:r>
    </w:p>
    <w:p>
      <w:pPr>
        <w:pStyle w:val="BookText"/>
      </w:pPr>
      <w:r>
        <w:rPr>
          <w:rFonts w:ascii="IRNazanin" w:hAnsi="IRNazanin" w:eastAsia="IRNazanin" w:cs="IRNazanin"/>
          <w:lang w:bidi="fa-IR"/>
          <w:color w:val="111111"/>
          <w:sz w:val="28"/>
          <w:szCs w:val="28"/>
          <w:rtl/>
        </w:rPr>
        <w:t xml:space="preserve">ثمّ ذکر قسما من آرائه الفاسدة و الفرق المنتمیة إلیه</w:t>
      </w:r>
      <w:r>
        <w:rPr>
          <w:rStyle w:val="FootnoteReference"/>
        </w:rPr>
        <w:footnoteReference w:id="4173"/>
      </w:r>
      <w:r>
        <w:rPr>
          <w:rFonts w:ascii="Times New Roman" w:hAnsi="Times New Roman" w:eastAsia="Times New Roman" w:cs="Times New Roman"/>
          <w:lang w:val="en-US" w:bidi="en-US"/>
          <w:color w:val="111111"/>
          <w:sz w:val="28"/>
          <w:szCs w:val="28"/>
          <w:rtl/>
        </w:rPr>
        <w:t xml:space="preserve">.</w:t>
      </w:r>
    </w:p>
    <w:p>
      <w:pPr>
        <w:pStyle w:val="Heading5"/>
      </w:pPr>
      <w:bookmarkStart w:id="1420" w:name="_Toc860"/>
      <w:r>
        <w:t>8 - المغیریة</w:t>
      </w:r>
      <w:bookmarkEnd w:id="1420"/>
    </w:p>
    <w:p>
      <w:pPr>
        <w:pStyle w:val="BookText"/>
      </w:pPr>
      <w:r>
        <w:rPr>
          <w:rFonts w:ascii="IRNazanin" w:hAnsi="IRNazanin" w:eastAsia="IRNazanin" w:cs="IRNazanin"/>
          <w:lang w:bidi="fa-IR"/>
          <w:color w:val="111111"/>
          <w:sz w:val="28"/>
          <w:szCs w:val="28"/>
          <w:rtl/>
        </w:rPr>
        <w:t xml:space="preserve">و هم أتباع المغیرة بن سعید العجلی خرج بظاهر الکوفة فی أمارة خالد بن عبد اللّه القسری فظهر به فأحرقه و أحرق أصحابه سنة 119</w:t>
      </w:r>
      <w:r>
        <w:rPr>
          <w:rStyle w:val="FootnoteReference"/>
        </w:rPr>
        <w:footnoteReference w:id="4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الکشّی عن الرضا - علیه السلام -: «کان المغیرة بن سعید یکذب علی أبی جعفر فأذاقه اللّه حرّ الحدید».</w:t>
      </w:r>
    </w:p>
    <w:p>
      <w:pPr>
        <w:pStyle w:val="BookText"/>
      </w:pPr>
      <w:r>
        <w:rPr>
          <w:rFonts w:ascii="IRNazanin" w:hAnsi="IRNazanin" w:eastAsia="IRNazanin" w:cs="IRNazanin"/>
          <w:lang w:bidi="fa-IR"/>
          <w:color w:val="111111"/>
          <w:sz w:val="28"/>
          <w:szCs w:val="28"/>
          <w:rtl/>
        </w:rPr>
        <w:t xml:space="preserve">و روی عن ابن مسکان عمّن حدثه من أصحابنا عن أبی عبد اللّه - علیه السلام - قال: سمعته یقول: «لعن اللّه المغیرة بن سعید، إنّه کان یکذب علی أبی فأذاقه اللّه حرّ الحدید، لعن اللّه من قال فینا ما لا نقوله فی أنفسنا و لعن اللّه من أزالنا عن العبودیّة للّه الذی خلقنا و إلیه مآبنا و معادنا و بیده نواصینا»</w:t>
      </w:r>
      <w:r>
        <w:rPr>
          <w:rStyle w:val="FootnoteReference"/>
        </w:rPr>
        <w:footnoteReference w:id="4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یونس بن عبد الرحمن أنّ بعض أصحابنا سأله و أنا حاضر</w:t>
      </w:r>
    </w:p>
    <w:p>
      <w:pPr>
        <w:pStyle w:val="BookText"/>
      </w:pPr>
      <w:r>
        <w:rPr>
          <w:rFonts w:ascii="IRNazanin" w:hAnsi="IRNazanin" w:eastAsia="IRNazanin" w:cs="IRNazanin"/>
          <w:lang w:bidi="fa-IR"/>
          <w:color w:val="111111"/>
          <w:sz w:val="28"/>
          <w:szCs w:val="28"/>
          <w:rtl/>
        </w:rPr>
        <w:t xml:space="preserve">[شماره صفحه واقعی : 415]</w:t>
      </w:r>
    </w:p>
    <w:p>
      <w:pPr>
        <w:pStyle w:val="BookText"/>
      </w:pPr>
      <w:r>
        <w:rPr>
          <w:rFonts w:ascii="IRNazanin" w:hAnsi="IRNazanin" w:eastAsia="IRNazanin" w:cs="IRNazanin"/>
          <w:lang w:bidi="fa-IR"/>
          <w:color w:val="111111"/>
          <w:sz w:val="28"/>
          <w:szCs w:val="28"/>
          <w:rtl/>
        </w:rPr>
        <w:t xml:space="preserve">ص: 1133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یا أبا محمّد ما أشدّک فی الحدیث و أکثر إنکارک لما یرویه أصحابنا، فما الّذی یحملک علی ردّ الأحادیث؟ فقال: حدّثنی هشام بن الحکم أنّه سمع أبا عبد اللّه - علیه السلام - یقول: «لا تقبلوا علینا حدیثا إلاّ ما وافق القرآن و السنّة أو تجدون معه شاهدا من أحادیثنا المتقدّمة، فانّ المغیرة بن سعید لعنه اللّه دسّ فی کتب أصحاب أبی أحادیث لم یحدّث بها أبی».</w:t>
      </w:r>
    </w:p>
    <w:p>
      <w:pPr>
        <w:pStyle w:val="BookText"/>
      </w:pPr>
      <w:r>
        <w:rPr>
          <w:rFonts w:ascii="IRNazanin" w:hAnsi="IRNazanin" w:eastAsia="IRNazanin" w:cs="IRNazanin"/>
          <w:lang w:bidi="fa-IR"/>
          <w:color w:val="111111"/>
          <w:sz w:val="28"/>
          <w:szCs w:val="28"/>
          <w:rtl/>
        </w:rPr>
        <w:t xml:space="preserve">و روی الکشّی عن یونس قال: «وافیت العراق فوجدت بها قطعة من أصحاب أبی جعفر - علیه السلام - و وجدت أصحاب أبی عبد اللّه - علیه السلام - متضافرین فسمعت منهم و أخذت کتبهم فعرضتها بعد علی أبی الحسن الرضا - علیه السلام - فأنکر منها أحادیث کثیرة أن یکون أحادیث أبی عبد اللّه - علیه السلام - و قال لی: إنّ أبا الخطّاب کذب علی أبی عبد اللّه - علیه السلام -، لعن اللّه أبا الخطّاب و کذلک أصحاب أبی الخطّاب یدسّون هذه الأحادیث إلی یومنا هذا فی کتب أصحاب أبی عبد اللّه، فلا تقبلوا علینا خلاف القرآن».</w:t>
      </w:r>
    </w:p>
    <w:p>
      <w:pPr>
        <w:pStyle w:val="BookText"/>
      </w:pPr>
      <w:r>
        <w:rPr>
          <w:rFonts w:ascii="IRNazanin" w:hAnsi="IRNazanin" w:eastAsia="IRNazanin" w:cs="IRNazanin"/>
          <w:lang w:bidi="fa-IR"/>
          <w:color w:val="111111"/>
          <w:sz w:val="28"/>
          <w:szCs w:val="28"/>
          <w:rtl/>
        </w:rPr>
        <w:t xml:space="preserve">و روی أیضا عن یونس عن هشام بن الحکم أنّه سمع أبا عبد اللّه - علیه السلام - یقول: «کان المغیرة بن سعید یتعمّد الکذب علی أبی و یأخذ کتب أصحابه، و کان أصحابه المستترون بأصحاب أبی یأخذون الکتب من أصحاب أبی فیدفعونها إلی المغیرة، فکان یدسّ فیها الکفر و الزندقة و یسندها إلی أبی، ثمّ یدفعها إلی أصحابه فیأمرهم أن یبثّوها فی الشیعة، فکلّ ما کان فی کتب أصحاب أبی من الغلوّ فذاک ما دسّه المغیرة بن سعید فی کتبهم»</w:t>
      </w:r>
      <w:r>
        <w:rPr>
          <w:rStyle w:val="FootnoteReference"/>
        </w:rPr>
        <w:footnoteReference w:id="4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الأحادیث تعطی بوضوح أنّ الدسّ کان یرجع إلی الغلوّ فی الفضائل و المغالاة، کما یصرّح به قوله: «فکان یدسّ فیها الکفر و الزندقة» و قوله:</w:t>
      </w:r>
    </w:p>
    <w:p>
      <w:pPr>
        <w:pStyle w:val="BookText"/>
      </w:pPr>
      <w:r>
        <w:rPr>
          <w:rFonts w:ascii="IRNazanin" w:hAnsi="IRNazanin" w:eastAsia="IRNazanin" w:cs="IRNazanin"/>
          <w:lang w:bidi="fa-IR"/>
          <w:color w:val="111111"/>
          <w:sz w:val="28"/>
          <w:szCs w:val="28"/>
          <w:rtl/>
        </w:rPr>
        <w:t xml:space="preserve">[شماره صفحه واقعی : 416]</w:t>
      </w:r>
    </w:p>
    <w:p>
      <w:pPr>
        <w:pStyle w:val="BookText"/>
      </w:pPr>
      <w:r>
        <w:rPr>
          <w:rFonts w:ascii="IRNazanin" w:hAnsi="IRNazanin" w:eastAsia="IRNazanin" w:cs="IRNazanin"/>
          <w:lang w:bidi="fa-IR"/>
          <w:color w:val="111111"/>
          <w:sz w:val="28"/>
          <w:szCs w:val="28"/>
          <w:rtl/>
        </w:rPr>
        <w:t xml:space="preserve">ص: 1134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466" w:name="pg14419_167850"/>
    <w:bookmarkEnd w:id="466"/>
    <w:p>
      <w:pPr>
        <w:pStyle w:val="BookText"/>
      </w:pPr>
      <w:r>
        <w:rPr>
          <w:rFonts w:ascii="IRNazanin" w:hAnsi="IRNazanin" w:eastAsia="IRNazanin" w:cs="IRNazanin"/>
          <w:lang w:bidi="fa-IR"/>
          <w:color w:val="111111"/>
          <w:sz w:val="28"/>
          <w:szCs w:val="28"/>
          <w:rtl/>
        </w:rPr>
        <w:t xml:space="preserve">«فکلّ ما کان فی کتب أصحاب أبی من الغلوّ» و کانت الأحادیث المرویّة حول الفروع و الأحکام محفوظة عن الدسّ.</w:t>
      </w:r>
    </w:p>
    <w:p>
      <w:pPr>
        <w:pStyle w:val="BookText"/>
      </w:pPr>
      <w:r>
        <w:rPr>
          <w:rFonts w:ascii="IRNazanin" w:hAnsi="IRNazanin" w:eastAsia="IRNazanin" w:cs="IRNazanin"/>
          <w:lang w:bidi="fa-IR"/>
          <w:color w:val="111111"/>
          <w:sz w:val="28"/>
          <w:szCs w:val="28"/>
          <w:rtl/>
        </w:rPr>
        <w:t xml:space="preserve">قال النوبختی: «أمّا المغیریّة أصحاب المغیرة بن سعید فإنّهم نزلوا معهم (مع الزیدیة) إلی القول بامامة محمد بن عبد اللّه بن حسن و تولّوه و أثبتوا إمامته، فلمّا قتل صاروا لا إمام لهم و لا وصیّ و لا یثبتون لأحد إمامة بعده»</w:t>
      </w:r>
      <w:r>
        <w:rPr>
          <w:rStyle w:val="FootnoteReference"/>
        </w:rPr>
        <w:footnoteReference w:id="4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النوبختی یکشف عن وجه عداوته للإمام الباقر - علیه السلام -، فانّ الزیدیة و من لفّ لفّهم یعتقدون بإمامة زید بن علیّ بعد الحسین، ثمّ إمامة یحیی بن زید بن علی، و بعده بإمامة عیسی بن زید بن علی، ثمّ بإمامة محمّد بن عبد اللّه بن الحسن الملقّب بالنفس الزکیة المقتول فی المدینة سنة 145.</w:t>
      </w:r>
    </w:p>
    <w:p>
      <w:pPr>
        <w:pStyle w:val="BookText"/>
      </w:pPr>
      <w:r>
        <w:rPr>
          <w:rFonts w:ascii="IRNazanin" w:hAnsi="IRNazanin" w:eastAsia="IRNazanin" w:cs="IRNazanin"/>
          <w:lang w:bidi="fa-IR"/>
          <w:color w:val="111111"/>
          <w:sz w:val="28"/>
          <w:szCs w:val="28"/>
          <w:rtl/>
        </w:rPr>
        <w:t xml:space="preserve">و الرجل لانحرافه عن الامام الباقر کان یدسّ فی کتب أصحابه لیشوّه سمعته بادخال الاحادیث الحاکیة عن المغالاة فی الفضائل</w:t>
      </w:r>
      <w:r>
        <w:rPr>
          <w:rStyle w:val="FootnoteReference"/>
        </w:rPr>
        <w:footnoteReference w:id="4178"/>
      </w:r>
      <w:r>
        <w:rPr>
          <w:rFonts w:ascii="Times New Roman" w:hAnsi="Times New Roman" w:eastAsia="Times New Roman" w:cs="Times New Roman"/>
          <w:lang w:val="en-US" w:bidi="en-US"/>
          <w:color w:val="111111"/>
          <w:sz w:val="28"/>
          <w:szCs w:val="28"/>
          <w:rtl/>
        </w:rPr>
        <w:t xml:space="preserve">.</w:t>
      </w:r>
    </w:p>
    <w:p>
      <w:pPr>
        <w:pStyle w:val="Heading5"/>
      </w:pPr>
      <w:bookmarkStart w:id="1421" w:name="_Toc861"/>
      <w:r>
        <w:t>9 - الغلاة</w:t>
      </w:r>
      <w:bookmarkEnd w:id="1421"/>
    </w:p>
    <w:p>
      <w:pPr>
        <w:pStyle w:val="Heading6"/>
      </w:pPr>
      <w:bookmarkStart w:id="1422" w:name="_Toc862"/>
      <w:r>
        <w:t>اشارة</w:t>
      </w:r>
      <w:bookmarkEnd w:id="1422"/>
    </w:p>
    <w:p>
      <w:pPr>
        <w:pStyle w:val="BookText"/>
      </w:pPr>
      <w:r>
        <w:rPr>
          <w:rFonts w:ascii="IRNazanin" w:hAnsi="IRNazanin" w:eastAsia="IRNazanin" w:cs="IRNazanin"/>
          <w:lang w:bidi="fa-IR"/>
          <w:color w:val="111111"/>
          <w:sz w:val="28"/>
          <w:szCs w:val="28"/>
          <w:rtl/>
        </w:rPr>
        <w:t xml:space="preserve">و هم الذین غلوا فی حقّ النبی و آله حتّی أخرجوهم من حدود الخلیقة، و الخطّابیة و المغیریة من هذه الصنوف غیر أنّ کثرة ورودهم فی ألسن الأئمّة و فی طیّات الأحادیث صارت سببا لعنوانهم مستقلّین و إن کان الکلّ داخلا تحت هذا العنوان (الغلاة).</w:t>
      </w:r>
    </w:p>
    <w:p>
      <w:pPr>
        <w:pStyle w:val="BookText"/>
      </w:pPr>
      <w:r>
        <w:rPr>
          <w:rFonts w:ascii="IRNazanin" w:hAnsi="IRNazanin" w:eastAsia="IRNazanin" w:cs="IRNazanin"/>
          <w:lang w:bidi="fa-IR"/>
          <w:color w:val="111111"/>
          <w:sz w:val="28"/>
          <w:szCs w:val="28"/>
          <w:rtl/>
        </w:rPr>
        <w:t xml:space="preserve">ثمّ إنّ الغلاة صنوف قد عدّهم الشهرستانی أحد عشر صنفا منهم:</w:t>
      </w:r>
    </w:p>
    <w:p>
      <w:pPr>
        <w:pStyle w:val="BookText"/>
      </w:pPr>
      <w:r>
        <w:rPr>
          <w:rFonts w:ascii="IRNazanin" w:hAnsi="IRNazanin" w:eastAsia="IRNazanin" w:cs="IRNazanin"/>
          <w:lang w:bidi="fa-IR"/>
          <w:color w:val="111111"/>
          <w:sz w:val="28"/>
          <w:szCs w:val="28"/>
          <w:rtl/>
        </w:rPr>
        <w:t xml:space="preserve">السبائیة، الکاملیة، العلیائیة، المغیریة، المنصوریة، الخطّابیة، الکیالیة الهشامیة، النعمانیة، الیونسیة، و النصیریة (الاسحاقیة) ثمّ ذکر آراءهم و عقائدهم</w:t>
      </w:r>
      <w:r>
        <w:rPr>
          <w:rStyle w:val="FootnoteReference"/>
        </w:rPr>
        <w:footnoteReference w:id="4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417]</w:t>
      </w:r>
    </w:p>
    <w:p>
      <w:pPr>
        <w:pStyle w:val="BookText"/>
      </w:pPr>
      <w:r>
        <w:rPr>
          <w:rFonts w:ascii="IRNazanin" w:hAnsi="IRNazanin" w:eastAsia="IRNazanin" w:cs="IRNazanin"/>
          <w:lang w:bidi="fa-IR"/>
          <w:color w:val="111111"/>
          <w:sz w:val="28"/>
          <w:szCs w:val="28"/>
          <w:rtl/>
        </w:rPr>
        <w:t xml:space="preserve">ص: 1135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ما ذکره من الصنوف و ما نسب إلیهم من الآراء السخیفة غیر ثابت جدّا، خصوصا ما زعم من الفرقة السبائیة الّتی أصبحت اسطورة تاریخیة اختلقها بعض المؤرّخین و نقلها الطّبری بلا تحقیق و أخذ عنه الآخرون و هکذا ساق واحد بعد واحد</w:t>
      </w:r>
      <w:r>
        <w:rPr>
          <w:rStyle w:val="FootnoteReference"/>
        </w:rPr>
        <w:footnoteReference w:id="4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یتلوه فی البطلان ما نسبه إلی هشام بن حکم من الآراء کالتشبیه و غیره، فإنّ هذه الآراء ممّا یستحیل أن ینتحل بها تلمیذ الإمام الصّادق - علیه السلام - الّذی تربّی فی أحضانه، و من الممکن جدّا، بل هو الواقع أنّ رمی هشام بهذه الآراء إنما جاء من جانب المخالفین و الحاسدین لفضله و المنکرین لفضل بحثه، فلم یجدوا مخلصا إلاّ تشویه سمعته بنسبة الأقاویل الباطلة إلیه</w:t>
      </w:r>
      <w:r>
        <w:rPr>
          <w:rStyle w:val="FootnoteReference"/>
        </w:rPr>
        <w:footnoteReference w:id="4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ما نسبه إلی محمّد بن نعمان أبی جعفر الأحول الملقّب بمؤمن الطاق و إن لقّبه مخالفوه بشیطان الطاق عصیانا لقوله سبحانه: وَ لا تَنابَزُوا بِالْأَلْقابِ بِئْسَ الاِسْمُ الْفُسُوقُ - الحجرات: 11.</w:t>
      </w:r>
    </w:p>
    <w:p>
      <w:pPr>
        <w:pStyle w:val="BookText"/>
      </w:pPr>
      <w:r>
        <w:rPr>
          <w:rFonts w:ascii="IRNazanin" w:hAnsi="IRNazanin" w:eastAsia="IRNazanin" w:cs="IRNazanin"/>
          <w:lang w:bidi="fa-IR"/>
          <w:color w:val="111111"/>
          <w:sz w:val="28"/>
          <w:szCs w:val="28"/>
          <w:rtl/>
        </w:rPr>
        <w:t xml:space="preserve">هذه لیست أوّل قارورة کسرت فی التاریخ، بل لها نظائر و أماثل کثیرة، فکم من رجال صالحین شوّه التاریخ سمعتهم، و کم من أشخاص طالحین قد وزن لهم التّاریخ بصاع کبیر، و علی أیّ تقدیر فلا نجد لأکثر هذه الفرق بل جمیعها مصداقا فی أدیم الأرض، و لو وجد من الغلاة من الطّراز الّذی ذکره الشهرستانی فی الجوامع الاسلامیة، فإنّما هی فرقة العلیاویة و هم الذین یقولون بربوبیّة علیّ بن أبی طالب - علیه السلام - و ربما یفسر النصیریة أیضا بهذا المعنی</w:t>
      </w:r>
      <w:r>
        <w:rPr>
          <w:rStyle w:val="FootnoteReference"/>
        </w:rPr>
        <w:footnoteReference w:id="4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418]</w:t>
      </w:r>
    </w:p>
    <w:p>
      <w:pPr>
        <w:pStyle w:val="BookText"/>
      </w:pPr>
      <w:r>
        <w:rPr>
          <w:rFonts w:ascii="IRNazanin" w:hAnsi="IRNazanin" w:eastAsia="IRNazanin" w:cs="IRNazanin"/>
          <w:lang w:bidi="fa-IR"/>
          <w:color w:val="111111"/>
          <w:sz w:val="28"/>
          <w:szCs w:val="28"/>
          <w:rtl/>
        </w:rPr>
        <w:t xml:space="preserve">ص: 1136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467" w:name="pg14419_167852"/>
    <w:bookmarkEnd w:id="467"/>
    <w:p>
      <w:pPr>
        <w:pStyle w:val="BookText"/>
      </w:pPr>
      <w:r>
        <w:rPr>
          <w:rFonts w:ascii="IRNazanin" w:hAnsi="IRNazanin" w:eastAsia="IRNazanin" w:cs="IRNazanin"/>
          <w:lang w:bidi="fa-IR"/>
          <w:color w:val="111111"/>
          <w:sz w:val="28"/>
          <w:szCs w:val="28"/>
          <w:rtl/>
        </w:rPr>
        <w:t xml:space="preserve">قال الکشّی: «و قالت فرقة بنبوّة محمّد بن نصیر الفهری النمیری، و ذلک أنّه ادّعی أنّه نبیّ رسول، و أنّ علیّ بن محمّد العسکری أرسله، و کان یقول بالتناسخ و الغلوّ فی أبی الحسن الهادی - علیه السلام - و یقول فیه بالربوبیّة - إلی آخر ما قاله»</w:t>
      </w:r>
      <w:r>
        <w:rPr>
          <w:rStyle w:val="FootnoteReference"/>
        </w:rPr>
        <w:footnoteReference w:id="4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النوبختی: «فرقة من القائلین بامامة علیّ بن محمّد فی حیاته قالت بنبوّة رجل یقال له محمّد بن نصیر النمیری، و کان یدّعی أنّه نبی بعثه أبو الحسن العسکری، و کان یقول بالتناسخ و الغلوّ فی أبی الحسن الهادی، و یقول فیه بالربوبیّة و یقول بالاباحة للمحارم»</w:t>
      </w:r>
      <w:r>
        <w:rPr>
          <w:rStyle w:val="FootnoteReference"/>
        </w:rPr>
        <w:footnoteReference w:id="4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تقدیر، فلا جدوی فی البحث عن الغلاة علی النّحو الذی ذکره الشهرستانی و غیره فی کتابه، فانّ الرواة الواردین فی أسناد الروایات، منزّهون عن الغلوّ بهذا المعنی الذی یوجب الخروج عن التّوحید و الإسلام، و یلحق الرجل بالکفار و المشرکین، کالقول بالربوبیّة و رسالة غیر نبیّنا أو غیر ذلک.</w:t>
      </w:r>
    </w:p>
    <w:p>
      <w:pPr>
        <w:pStyle w:val="BookText"/>
      </w:pPr>
      <w:r>
        <w:rPr>
          <w:rFonts w:ascii="IRNazanin" w:hAnsi="IRNazanin" w:eastAsia="IRNazanin" w:cs="IRNazanin"/>
          <w:lang w:bidi="fa-IR"/>
          <w:color w:val="111111"/>
          <w:sz w:val="28"/>
          <w:szCs w:val="28"/>
          <w:rtl/>
        </w:rPr>
        <w:t xml:space="preserve">نعم وصف عدّة من الرواة بالغلوّ و المغالاة و وقعوا فی أسناد الروایات، فیجب البحث عن هذا الطراز من الغلوّ لأنّ وضع کتابنا لا یقتضی إلاّ البحث فیما یرجع الی الرواة و الرجال الّذین جاءت أسماؤهم فی أسناد الروایات.</w:t>
      </w:r>
    </w:p>
    <w:p>
      <w:pPr>
        <w:pStyle w:val="Heading6"/>
      </w:pPr>
      <w:bookmarkStart w:id="1423" w:name="_Toc863"/>
      <w:r>
        <w:t>التفویض و معانیه</w:t>
      </w:r>
      <w:bookmarkEnd w:id="1423"/>
    </w:p>
    <w:p>
      <w:pPr>
        <w:pStyle w:val="BookText"/>
      </w:pPr>
      <w:r>
        <w:rPr>
          <w:rFonts w:ascii="IRNazanin" w:hAnsi="IRNazanin" w:eastAsia="IRNazanin" w:cs="IRNazanin"/>
          <w:lang w:bidi="fa-IR"/>
          <w:color w:val="111111"/>
          <w:sz w:val="28"/>
          <w:szCs w:val="28"/>
          <w:rtl/>
        </w:rPr>
        <w:t xml:space="preserve">إنّ الفرقة المعروفة بالغلوّ هی فرقة المفوّضة، غیر أنّه یجب تحقیق معناها حتّی یتبیّن الصّحیح عن الزائف فنقول: إنّ التفویض یفسّر بوجوه:</w:t>
      </w:r>
    </w:p>
    <w:p>
      <w:pPr>
        <w:pStyle w:val="BookText"/>
      </w:pPr>
      <w:r>
        <w:rPr>
          <w:rFonts w:ascii="IRNazanin" w:hAnsi="IRNazanin" w:eastAsia="IRNazanin" w:cs="IRNazanin"/>
          <w:lang w:bidi="fa-IR"/>
          <w:color w:val="111111"/>
          <w:sz w:val="28"/>
          <w:szCs w:val="28"/>
          <w:rtl/>
        </w:rPr>
        <w:t xml:space="preserve">الأوّل: تفویض خلقة العالم إلی النّبی و الائمّة - علیهم السلام - و أنّهم هم الخالقون و الرازقون و المدبّرون للعالم.</w:t>
      </w:r>
    </w:p>
    <w:p>
      <w:pPr>
        <w:pStyle w:val="BookText"/>
      </w:pPr>
      <w:r>
        <w:rPr>
          <w:rFonts w:ascii="IRNazanin" w:hAnsi="IRNazanin" w:eastAsia="IRNazanin" w:cs="IRNazanin"/>
          <w:lang w:bidi="fa-IR"/>
          <w:color w:val="111111"/>
          <w:sz w:val="28"/>
          <w:szCs w:val="28"/>
          <w:rtl/>
        </w:rPr>
        <w:t xml:space="preserve">[شماره صفحه واقعی : 419]</w:t>
      </w:r>
    </w:p>
    <w:p>
      <w:pPr>
        <w:pStyle w:val="BookText"/>
      </w:pPr>
      <w:r>
        <w:rPr>
          <w:rFonts w:ascii="IRNazanin" w:hAnsi="IRNazanin" w:eastAsia="IRNazanin" w:cs="IRNazanin"/>
          <w:lang w:bidi="fa-IR"/>
          <w:color w:val="111111"/>
          <w:sz w:val="28"/>
          <w:szCs w:val="28"/>
          <w:rtl/>
        </w:rPr>
        <w:t xml:space="preserve">ص: 1137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غیر خفیّ أنّ التّفویض بهذا المعنی شرک علی وجه، و باطل علی وجه آخر. فلو قالوا بأنّ اللّه سبحانه فوّض أمر الخلق و التدبیر إلیهم - علیهم السلام - و اعتزل هو عن کل شیء، فهذا هو الشرک و الکفر، یخالفه العقل و البرهان، و یضادّه صریح الآیات. قال سبحانه بَدِیعُ السَّماواتِ وَ الْأَرْضِ أَنّی یَکُونُ لَهُ وَلَدٌ وَ لَمْ تَکُنْ لَهُ صاحِبَةٌ وَ خَلَقَ کُلَّ شَیْءٍ وَ هُوَ بِکُلِّ شَیْءٍ عَلِیمٌ * ذلِکُمُ اللّهُ رَبُّکُمْ لا إِلهَ إِلاّ هُوَ خالِقُ کُلِّ شَیْءٍ فَاعْبُدُوهُ وَ هُوَ عَلی کُلِّ شَیْءٍ وَکِیلٌ - الانعام:</w:t>
      </w:r>
    </w:p>
    <w:p>
      <w:pPr>
        <w:pStyle w:val="BookText"/>
      </w:pPr>
      <w:r>
        <w:rPr>
          <w:rFonts w:ascii="Times New Roman" w:hAnsi="Times New Roman" w:eastAsia="Times New Roman" w:cs="Times New Roman"/>
          <w:lang w:val="en-US" w:bidi="en-US"/>
          <w:color w:val="111111"/>
          <w:sz w:val="28"/>
          <w:szCs w:val="28"/>
          <w:rtl/>
        </w:rPr>
        <w:t xml:space="preserve">101-102.</w:t>
      </w:r>
    </w:p>
    <w:p>
      <w:pPr>
        <w:pStyle w:val="BookText"/>
      </w:pPr>
      <w:r>
        <w:rPr>
          <w:rFonts w:ascii="Amiri" w:hAnsi="Amiri" w:eastAsia="Amiri" w:cs="Amiri"/>
          <w:lang w:bidi="ar-SA"/>
          <w:color w:val="111111"/>
          <w:sz w:val="28"/>
          <w:szCs w:val="28"/>
          <w:rtl/>
        </w:rPr>
        <w:t xml:space="preserve">و قال سبحانه: إِنَّ رَبَّکُمُ اللّهُ الَّذِی خَلَقَ السَّماواتِ وَ الْأَرْضَ فِی سِتَّةِ أَیّامٍ ثُمَّ اسْتَوی عَلَی الْعَرْشِ یُدَبِّرُ الْأَمْرَ ما مِنْ شَفِیعٍ إِلاّ مِنْ بَعْدِ إِذْنِهِ ذلِکُمُ اللّهُ رَبُّکُمْ فَاعْبُدُوهُ أَ فَلا تَذَکَّرُونَ - یونس: 3.</w:t>
      </w:r>
    </w:p>
    <w:p>
      <w:pPr>
        <w:pStyle w:val="BookText"/>
      </w:pPr>
      <w:r>
        <w:rPr>
          <w:rFonts w:ascii="IRNazanin" w:hAnsi="IRNazanin" w:eastAsia="IRNazanin" w:cs="IRNazanin"/>
          <w:lang w:bidi="fa-IR"/>
          <w:color w:val="111111"/>
          <w:sz w:val="28"/>
          <w:szCs w:val="28"/>
          <w:rtl/>
        </w:rPr>
        <w:t xml:space="preserve">و لو زعموا أنّ النّبی و الائمّة من جملة الأسباب لخلق العالم و تدبیره، و أنّ الفاعل الحقیقی و السبب الواقعی هو اللّه سبحانه، و هو لم یعتزل بعد، و إنّما جعلهم فی مرتبة الأسباب و العلل، فهذا القول و إن کان لا یوجب الشرک، لکنّه غیر صحیح، فانّ النبی و الائمة - علیهم السلام - لیسوا من أسباب الخلقة، بل هم یستفیدون من تلک الأسباب الطبیعیّة و تتوقّف حیاتهم علی وجود العلل و الأسباب المادّیة، فکیف یکونون فی مرتبة العلل و الأسباب؟ فالنبیّ و الإمام یستنشقان الهواء، و یسدّان جوعهما بالطعام، و یداویان بالادویة إلی غیر ذلک من الامور الّتی یتّصف بها کلّ الناس.</w:t>
      </w:r>
    </w:p>
    <w:p>
      <w:pPr>
        <w:pStyle w:val="BookText"/>
      </w:pPr>
      <w:r>
        <w:rPr>
          <w:rFonts w:ascii="Amiri" w:hAnsi="Amiri" w:eastAsia="Amiri" w:cs="Amiri"/>
          <w:lang w:bidi="ar-SA"/>
          <w:color w:val="111111"/>
          <w:sz w:val="28"/>
          <w:szCs w:val="28"/>
          <w:rtl/>
        </w:rPr>
        <w:t xml:space="preserve">نعم إنّ للعالم الامکانی ظاهره و باطنه، دنیاه و اخراه مدبرا و مدبّرات یدبّرون الکون بأمره سبحانه کما ینبیء عنه قوله تعالی: فَالْمُدَبِّراتِ أَمْراً - النازعات: 5.</w:t>
      </w:r>
    </w:p>
    <w:p>
      <w:pPr>
        <w:pStyle w:val="BookText"/>
      </w:pPr>
      <w:r>
        <w:rPr>
          <w:rFonts w:ascii="Amiri" w:hAnsi="Amiri" w:eastAsia="Amiri" w:cs="Amiri"/>
          <w:lang w:bidi="ar-SA"/>
          <w:color w:val="111111"/>
          <w:sz w:val="28"/>
          <w:szCs w:val="28"/>
          <w:rtl/>
        </w:rPr>
        <w:t xml:space="preserve">و قال سبحانه: لا یَعْصُونَ اللّهَ ما أَمَرَهُمْ وَ یَفْعَلُونَ ما یُؤْمَرُونَ - التحریم: 6.</w:t>
      </w:r>
    </w:p>
    <w:p>
      <w:pPr>
        <w:pStyle w:val="BookText"/>
      </w:pPr>
      <w:r>
        <w:rPr>
          <w:rFonts w:ascii="IRNazanin" w:hAnsi="IRNazanin" w:eastAsia="IRNazanin" w:cs="IRNazanin"/>
          <w:lang w:bidi="fa-IR"/>
          <w:color w:val="111111"/>
          <w:sz w:val="28"/>
          <w:szCs w:val="28"/>
          <w:rtl/>
        </w:rPr>
        <w:t xml:space="preserve">[شماره صفحه واقعی : 420]</w:t>
      </w:r>
    </w:p>
    <w:p>
      <w:pPr>
        <w:pStyle w:val="BookText"/>
      </w:pPr>
      <w:r>
        <w:rPr>
          <w:rFonts w:ascii="IRNazanin" w:hAnsi="IRNazanin" w:eastAsia="IRNazanin" w:cs="IRNazanin"/>
          <w:lang w:bidi="fa-IR"/>
          <w:color w:val="111111"/>
          <w:sz w:val="28"/>
          <w:szCs w:val="28"/>
          <w:rtl/>
        </w:rPr>
        <w:t xml:space="preserve">ص: 1138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الصادق - علیه السلام -: «أبی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w:t>
      </w:r>
      <w:r>
        <w:rPr>
          <w:rStyle w:val="FootnoteReference"/>
        </w:rPr>
        <w:footnoteReference w:id="4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هذا الاعتراف فلیس النّبی و الإمام من أسباب الخلق و التدبیر، و إنّما هم وسائط بین الخالق و الخلق فی إبلاغ الأحکام و إرشاد العباد، و سائر الفیوض المعنویة من الهدایة الظاهریة و الباطنیة.</w:t>
      </w:r>
    </w:p>
    <w:p>
      <w:pPr>
        <w:pStyle w:val="BookText"/>
      </w:pPr>
      <w:r>
        <w:rPr>
          <w:rFonts w:ascii="IRNazanin" w:hAnsi="IRNazanin" w:eastAsia="IRNazanin" w:cs="IRNazanin"/>
          <w:lang w:bidi="fa-IR"/>
          <w:color w:val="111111"/>
          <w:sz w:val="28"/>
          <w:szCs w:val="28"/>
          <w:rtl/>
        </w:rPr>
        <w:t xml:space="preserve">فان قلت: قد تواترت الروایات بأنّه لولا الحجّة لساخت الأرض بأهلها، و قد عقد الکلینی فی کتاب الحجة بابا لذلک و قال: «إنّ الأرض لا تخلو من حجّة» و أورد فیه روایات تبلغ ثلاث عشرة روایة</w:t>
      </w:r>
      <w:r>
        <w:rPr>
          <w:rStyle w:val="FootnoteReference"/>
        </w:rPr>
        <w:footnoteReference w:id="4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إشکال فی صحّة هذه الروایات، و لکنّها لا تهدف إلی کون النّبی و الإمام من الأسباب و المدبّرات الّتی نزل به الذکر الحکیم، و نطق به الحدیث الصحیح، و إنّما تهدف إلی أحد أمرین:</w:t>
      </w:r>
    </w:p>
    <w:p>
      <w:pPr>
        <w:pStyle w:val="BookText"/>
      </w:pPr>
      <w:r>
        <w:rPr>
          <w:rFonts w:ascii="IRNazanin" w:hAnsi="IRNazanin" w:eastAsia="IRNazanin" w:cs="IRNazanin"/>
          <w:lang w:bidi="fa-IR"/>
          <w:color w:val="111111"/>
          <w:sz w:val="28"/>
          <w:szCs w:val="28"/>
          <w:rtl/>
        </w:rPr>
        <w:t xml:space="preserve">الأوّل: إنّ النبی و الإمام غایة لخلق العالم، و لولا تلک الغایة لما خلق اللّه العالم، بل کان خلقه أمرا لغوا.</w:t>
      </w:r>
    </w:p>
    <w:p>
      <w:pPr>
        <w:pStyle w:val="BookText"/>
      </w:pPr>
      <w:r>
        <w:rPr>
          <w:rFonts w:ascii="IRNazanin" w:hAnsi="IRNazanin" w:eastAsia="IRNazanin" w:cs="IRNazanin"/>
          <w:lang w:bidi="fa-IR"/>
          <w:color w:val="111111"/>
          <w:sz w:val="28"/>
          <w:szCs w:val="28"/>
          <w:rtl/>
        </w:rPr>
        <w:t xml:space="preserve">و بعبارة اخری إنّ العالم خلق لتکوّن الانسان الکامل فیه، و من أوضح مصادیقه هو النّبی و الإمام، و من المعلوم أنّ فقدان الغایة یوجب فقدان ذیها، و لأجل ذلک یصحّ أن یقال: إنّ الانسان الکامل یکون من بسببه الوجود سببیة غائیة، لا منه الوجود سببیة فاعلیة معطیة له فهو سبب غائی لا علة فاعلیة، فاحفظ ذلک فإنّه ینفعک.</w:t>
      </w:r>
    </w:p>
    <w:p>
      <w:pPr>
        <w:pStyle w:val="BookText"/>
      </w:pPr>
      <w:r>
        <w:rPr>
          <w:rFonts w:ascii="IRNazanin" w:hAnsi="IRNazanin" w:eastAsia="IRNazanin" w:cs="IRNazanin"/>
          <w:lang w:bidi="fa-IR"/>
          <w:color w:val="111111"/>
          <w:sz w:val="28"/>
          <w:szCs w:val="28"/>
          <w:rtl/>
        </w:rPr>
        <w:t xml:space="preserve">الثانی: إنّ الحجّة یعرّف الحلال و الحرام و یدعو الناس إلی سبیل اللّه،</w:t>
      </w:r>
    </w:p>
    <w:p>
      <w:pPr>
        <w:pStyle w:val="BookText"/>
      </w:pPr>
      <w:r>
        <w:rPr>
          <w:rFonts w:ascii="IRNazanin" w:hAnsi="IRNazanin" w:eastAsia="IRNazanin" w:cs="IRNazanin"/>
          <w:lang w:bidi="fa-IR"/>
          <w:color w:val="111111"/>
          <w:sz w:val="28"/>
          <w:szCs w:val="28"/>
          <w:rtl/>
        </w:rPr>
        <w:t xml:space="preserve">[شماره صفحه واقعی : 421]</w:t>
      </w:r>
    </w:p>
    <w:p>
      <w:pPr>
        <w:pStyle w:val="BookText"/>
      </w:pPr>
      <w:r>
        <w:rPr>
          <w:rFonts w:ascii="IRNazanin" w:hAnsi="IRNazanin" w:eastAsia="IRNazanin" w:cs="IRNazanin"/>
          <w:lang w:bidi="fa-IR"/>
          <w:color w:val="111111"/>
          <w:sz w:val="28"/>
          <w:szCs w:val="28"/>
          <w:rtl/>
        </w:rPr>
        <w:t xml:space="preserve">ص: 1139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لولاه لما عرف الحقّ من الباطل، و قد جرت مشیئته الحکیمة علی أن یهدیهم إلی سبل الرشاد بعد خلقهم و لا یترکهم سدی. قال سبحانه: وَ ما کانَ رَبُّکَ مُهْلِکَ الْقُری حَتّی یَبْعَثَ فِی أُمِّها رَسُولاً - القصص: 59.</w:t>
      </w:r>
    </w:p>
    <w:p>
      <w:pPr>
        <w:pStyle w:val="BookText"/>
      </w:pPr>
      <w:r>
        <w:rPr>
          <w:rFonts w:ascii="IRNazanin" w:hAnsi="IRNazanin" w:eastAsia="IRNazanin" w:cs="IRNazanin"/>
          <w:lang w:bidi="fa-IR"/>
          <w:color w:val="111111"/>
          <w:sz w:val="28"/>
          <w:szCs w:val="28"/>
          <w:rtl/>
        </w:rPr>
        <w:t xml:space="preserve">و إلی کلا الوجهین تصریحات فی روایات الباب. أمّا الاول، فعن أبی حمزة قال: «قلت لأبی عبد اللّه أتبقی الارض بغیر إمام؟ قال: لو بقیت الأرض بغیر إمام لساخت». و أمّا الثانی، فعن أبی بصیر، عن أحدهما - علیهما السلام - قال: «إنّ اللّه لم یدع الأرض بغیر عالم، و لولا ذلک لم یعرف الحقّ من الباطل»</w:t>
      </w:r>
      <w:r>
        <w:rPr>
          <w:rStyle w:val="FootnoteReference"/>
        </w:rPr>
        <w:footnoteReference w:id="4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لشیخنا العلاّمة المجلسی کلام فی التفویض ننقله بنصّه قال:</w:t>
      </w:r>
    </w:p>
    <w:p>
      <w:pPr>
        <w:pStyle w:val="BookText"/>
      </w:pPr>
      <w:r>
        <w:rPr>
          <w:rFonts w:ascii="IRNazanin" w:hAnsi="IRNazanin" w:eastAsia="IRNazanin" w:cs="IRNazanin"/>
          <w:lang w:bidi="fa-IR"/>
          <w:color w:val="111111"/>
          <w:sz w:val="28"/>
          <w:szCs w:val="28"/>
          <w:rtl/>
        </w:rPr>
        <w:t xml:space="preserve">«و أمّا التفویض فیطلق علی معان بعضها منفی عنهم - علیهم السلام - و بعضها مثبت لهم.</w:t>
      </w:r>
    </w:p>
    <w:p>
      <w:pPr>
        <w:pStyle w:val="BookText"/>
      </w:pPr>
      <w:r>
        <w:rPr>
          <w:rFonts w:ascii="IRNazanin" w:hAnsi="IRNazanin" w:eastAsia="IRNazanin" w:cs="IRNazanin"/>
          <w:lang w:bidi="fa-IR"/>
          <w:color w:val="111111"/>
          <w:sz w:val="28"/>
          <w:szCs w:val="28"/>
          <w:rtl/>
        </w:rPr>
        <w:t xml:space="preserve">الأوّل: التفویض فی الخلق و الرزق و التربیة و الاماتة و الاحیاء، فإنّ قوما قالوا: إنّ اللّه تعالی خلقهم و فوّض إلیهم أمر الخلق، فهم یخلقون و یرزقون و یمیتون و یحیون، و هذا الکلام یحتمل وجهین:</w:t>
      </w:r>
    </w:p>
    <w:p>
      <w:pPr>
        <w:pStyle w:val="BookText"/>
      </w:pPr>
      <w:r>
        <w:rPr>
          <w:rFonts w:ascii="IRNazanin" w:hAnsi="IRNazanin" w:eastAsia="IRNazanin" w:cs="IRNazanin"/>
          <w:lang w:bidi="fa-IR"/>
          <w:color w:val="111111"/>
          <w:sz w:val="28"/>
          <w:szCs w:val="28"/>
          <w:rtl/>
        </w:rPr>
        <w:t xml:space="preserve">أحدهما أن یقال: إنّهم یفعلون جمیع ذلک بقدرتهم و إرادتهم و هم الفاعلون حقیقة، و هذا کفر صریح دلّت علی استحالته الأدلّة العقلیّة و النقلیة و لا یستریب عاقل فی کفر من قال به.</w:t>
      </w:r>
    </w:p>
    <w:p>
      <w:pPr>
        <w:pStyle w:val="BookText"/>
      </w:pPr>
      <w:r>
        <w:rPr>
          <w:rFonts w:ascii="IRNazanin" w:hAnsi="IRNazanin" w:eastAsia="IRNazanin" w:cs="IRNazanin"/>
          <w:lang w:bidi="fa-IR"/>
          <w:color w:val="111111"/>
          <w:sz w:val="28"/>
          <w:szCs w:val="28"/>
          <w:rtl/>
        </w:rPr>
        <w:t xml:space="preserve">و ثانیهما: أنّ اللّه تعالی یفعل ذلک مقارنا لارادتهم کشقّ القمر و إحیاء الموتی و قلب العصاحیّة و غیر ذلک من المعجزات، فانّ جمیع ذلک إنّما تحصل بقدرته تعالی مقارنا لارادتهم لظهور صدقهم، فلا یأبی العقل عن أن یکون اللّه تعالی خلقهم و أکملهم و ألهمهم ما یصلح فی نظام العالم، ثمّ خلق</w:t>
      </w:r>
    </w:p>
    <w:p>
      <w:pPr>
        <w:pStyle w:val="BookText"/>
      </w:pPr>
      <w:r>
        <w:rPr>
          <w:rFonts w:ascii="IRNazanin" w:hAnsi="IRNazanin" w:eastAsia="IRNazanin" w:cs="IRNazanin"/>
          <w:lang w:bidi="fa-IR"/>
          <w:color w:val="111111"/>
          <w:sz w:val="28"/>
          <w:szCs w:val="28"/>
          <w:rtl/>
        </w:rPr>
        <w:t xml:space="preserve">[شماره صفحه واقعی : 422]</w:t>
      </w:r>
    </w:p>
    <w:p>
      <w:pPr>
        <w:pStyle w:val="BookText"/>
      </w:pPr>
      <w:r>
        <w:rPr>
          <w:rFonts w:ascii="IRNazanin" w:hAnsi="IRNazanin" w:eastAsia="IRNazanin" w:cs="IRNazanin"/>
          <w:lang w:bidi="fa-IR"/>
          <w:color w:val="111111"/>
          <w:sz w:val="28"/>
          <w:szCs w:val="28"/>
          <w:rtl/>
        </w:rPr>
        <w:t xml:space="preserve">ص: 1140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شیء مقارنا لارادتهم و مشیّتهم.</w:t>
      </w:r>
    </w:p>
    <w:p>
      <w:pPr>
        <w:pStyle w:val="BookText"/>
      </w:pPr>
      <w:r>
        <w:rPr>
          <w:rFonts w:ascii="IRNazanin" w:hAnsi="IRNazanin" w:eastAsia="IRNazanin" w:cs="IRNazanin"/>
          <w:lang w:bidi="fa-IR"/>
          <w:color w:val="111111"/>
          <w:sz w:val="28"/>
          <w:szCs w:val="28"/>
          <w:rtl/>
        </w:rPr>
        <w:t xml:space="preserve">و هذا و طن کان العقل لا یعارضه کفاحا، لکنّ الأخبار السالفة تمنع من القول به فیما عدا المعجزات ظاهرا بل صراحا، مع أنّ القول به قول بما لا یعلم، إذ لم یرد ذلک فی الأخبار المعتبرة فیما نعلم.</w:t>
      </w:r>
    </w:p>
    <w:p>
      <w:pPr>
        <w:pStyle w:val="BookText"/>
      </w:pPr>
      <w:r>
        <w:rPr>
          <w:rFonts w:ascii="IRNazanin" w:hAnsi="IRNazanin" w:eastAsia="IRNazanin" w:cs="IRNazanin"/>
          <w:lang w:bidi="fa-IR"/>
          <w:color w:val="111111"/>
          <w:sz w:val="28"/>
          <w:szCs w:val="28"/>
          <w:rtl/>
        </w:rPr>
        <w:t xml:space="preserve">و ما ورد من الأخبار الدالّة علی ذلک کخطبة البیان و أمثالها، فلم یوجد إلاّ فی کتب الغلاة و أشباههم، مع أنّه یحتمل أن یکون المراد کونهم علّة غائیة لا یجاد جمیع المکوّنات، و أنّه تعالی جعلهم مطاعین فی الأرضین و السّماوات، و یطیعهم باذن اللّه تعالی کلّ شیء حتّی الجمادات، و أنّهم إذا شاؤوا أمرا لا یردّ اللّه مشیئتهم و لکنّهم لا یشاؤون إلاّ أن یشاء اللّه.</w:t>
      </w:r>
    </w:p>
    <w:p>
      <w:pPr>
        <w:pStyle w:val="BookText"/>
      </w:pPr>
      <w:r>
        <w:rPr>
          <w:rFonts w:ascii="IRNazanin" w:hAnsi="IRNazanin" w:eastAsia="IRNazanin" w:cs="IRNazanin"/>
          <w:lang w:bidi="fa-IR"/>
          <w:color w:val="111111"/>
          <w:sz w:val="28"/>
          <w:szCs w:val="28"/>
          <w:rtl/>
        </w:rPr>
        <w:t xml:space="preserve">و أمّا ما ورد من الأخبار فی نزول الملائکة و الروح لکلّ أمر إلیهم، و أنّه لا ینزل ملک من السماء لأمر إلاّ بدأ بهم، فلیس ذلک لمدخلیّتهم فی ذلک و لا الاستشارة بهم، بل له الخلق و الأمر تعالی شأنه، و لیس ذلک إلاّ لتشریفهم إکرامهم و إظهار رفعة مقامهم»</w:t>
      </w:r>
      <w:r>
        <w:rPr>
          <w:rStyle w:val="FootnoteReference"/>
        </w:rPr>
        <w:footnoteReference w:id="4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ذکره هو الحقّ، إلاّ أنّ ظواهر الآیات و الروایات فی المعاجز علی خلاف ما اختاره، لظهورها فی کون المعجزات مستندة إلیهم أنفسهم بإذن اللّه. قال سبحانه: وَ إِذْ تَخْلُقُ مِنَ الطِّینِ کَهَیْئَةِ الطَّیْرِ بِإِذْنِی فَتَنْفُخُ فِیها فَتَکُونُ طَیْراً بِإِذْنِی وَ تُبْرِئُ الْأَکْمَهَ وَ الْأَبْرَصَ بِإِذْنِی وَ إِذْ تُخْرِجُ الْمَوْتی بِإِذْنِی - المائدة 110 فان الخطابات دلیل علی أنّهم - علیهم السلام - قائمون بها باذن اللّه. و للبحث مجال آخر.</w:t>
      </w:r>
    </w:p>
    <w:p>
      <w:pPr>
        <w:pStyle w:val="BookText"/>
      </w:pPr>
      <w:r>
        <w:rPr>
          <w:rFonts w:ascii="IRNazanin" w:hAnsi="IRNazanin" w:eastAsia="IRNazanin" w:cs="IRNazanin"/>
          <w:lang w:bidi="fa-IR"/>
          <w:color w:val="111111"/>
          <w:sz w:val="28"/>
          <w:szCs w:val="28"/>
          <w:rtl/>
        </w:rPr>
        <w:t xml:space="preserve">الثانی: تفویض الحلال و الحرام إلیهم، أی فوّض الیهم أن یحلّلوا ما شاؤوا و یحرّموا أیضا ما شاؤوا، و هذا أیضا ضروریّ البطلان، فانّ النبی لیس</w:t>
      </w:r>
    </w:p>
    <w:p>
      <w:pPr>
        <w:pStyle w:val="BookText"/>
      </w:pPr>
      <w:r>
        <w:rPr>
          <w:rFonts w:ascii="IRNazanin" w:hAnsi="IRNazanin" w:eastAsia="IRNazanin" w:cs="IRNazanin"/>
          <w:lang w:bidi="fa-IR"/>
          <w:color w:val="111111"/>
          <w:sz w:val="28"/>
          <w:szCs w:val="28"/>
          <w:rtl/>
        </w:rPr>
        <w:t xml:space="preserve">[شماره صفحه واقعی : 423]</w:t>
      </w:r>
    </w:p>
    <w:p>
      <w:pPr>
        <w:pStyle w:val="BookText"/>
      </w:pPr>
      <w:r>
        <w:rPr>
          <w:rFonts w:ascii="IRNazanin" w:hAnsi="IRNazanin" w:eastAsia="IRNazanin" w:cs="IRNazanin"/>
          <w:lang w:bidi="fa-IR"/>
          <w:color w:val="111111"/>
          <w:sz w:val="28"/>
          <w:szCs w:val="28"/>
          <w:rtl/>
        </w:rPr>
        <w:t xml:space="preserve">ص: 1141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شارعا للأحکام، بل مبیّن و ناقل له، و لیس شأنه فی المقام إلاّ شأن ناقل الفتیا بالنسبة إلی المقلّدین، قال سبحانه: قالَ الَّذِینَ لا یَرْجُونَ لِقاءَنَا ائْتِ بِقُرْآنٍ غَیْرِ هذا أَوْ بَدِّلْهُ قُلْ ما یَکُونُ لِی أَنْ أُبَدِّلَهُ مِنْ تِلْقاءِ نَفْسِی إِنْ أَتَّبِعُ إِلاّ ما یُوحی إِلَیَّ إِنِّی أَخافُ إِنْ عَصَیْتُ رَبِّی عَذابَ یَوْمٍ عَظِیمٍ - یونس: 15 و قال سبحانه:</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 - الاحزاب: 2 و قال سبحانه: اِتَّبِعْ ما أُوحِیَ إِلَیْکَ مِنْ رَبِّکَ لا إِلهَ إِلاّ هُوَ وَ أَعْرِضْ عَنِ الْمُشْرِکِینَ - الانعام: 106 و هذه الآیات و الروایات المتضافرة، تفید بوضوح أنّ النّبی لم یکن شارعا بل کان ناقلا و مبیّنا لما اوحی إلیه، فلم یکن له إلاّ تحلیل ما أحلّ أو تحریم ما حرّم اللّه، و قد نقل سیّدنا الاستاذ الأکبر - دام ظلّه - أنّ الصّدوق قد عدّ إطلاق لفظ الشارع علی النّبی الأکرم من الغلوّ فی حقه - صلی اللّه علیه و آله -.</w:t>
      </w:r>
    </w:p>
    <w:p>
      <w:pPr>
        <w:pStyle w:val="BookText"/>
      </w:pPr>
      <w:r>
        <w:rPr>
          <w:rFonts w:ascii="IRNazanin" w:hAnsi="IRNazanin" w:eastAsia="IRNazanin" w:cs="IRNazanin"/>
          <w:lang w:bidi="fa-IR"/>
          <w:color w:val="111111"/>
          <w:sz w:val="28"/>
          <w:szCs w:val="28"/>
          <w:rtl/>
        </w:rPr>
        <w:t xml:space="preserve">نعم عقد الکلینی فی کتاب الحجّة من اصول الکافی بابا أسماه «التفویض الی رسول اللّه - صلی اللّه علیه و آله - و إلی الأئمّة - علیهم السلام - فی أمر الدین» فربّما یتبادر منه إلی الذهن أنّ النبی قد شرّع بعض الأحکام.</w:t>
      </w:r>
    </w:p>
    <w:p>
      <w:pPr>
        <w:pStyle w:val="BookText"/>
      </w:pPr>
      <w:r>
        <w:rPr>
          <w:rFonts w:ascii="IRNazanin" w:hAnsi="IRNazanin" w:eastAsia="IRNazanin" w:cs="IRNazanin"/>
          <w:lang w:bidi="fa-IR"/>
          <w:color w:val="111111"/>
          <w:sz w:val="28"/>
          <w:szCs w:val="28"/>
          <w:rtl/>
        </w:rPr>
        <w:t xml:space="preserve">فروی بسند صحیح عن الإمام الصادق - علیه السلام - یقول: «إنّ اللّه عزّ و جلّ أدّب نبیّه فأحسن أدبه، فلمّا أکمل له الأدب، قال: إنّک لعلی خلق عظیم ثمّ فوّض إلیه أمر الدّین و الامّة لیسوس عباده فقال عزّ و جلّ: ما آتاکُمُ الرَّسُولُ فَخُذُوهُ وَ ما نَهاکُمْ عَنْهُ فَانْتَهُوا و إنّ رسول اللّه - صلی اللّه علیه و آله - کان مسدّدا موفّقا مؤیّدا بروح القدس لا یزلّ و لا یخطیء فی شیء ممّا یسوس به الخلق، فتأدّب بآداب اللّه، ثمّ إنّ اللّه عزّ و جلّ فرض الصلاة رکعتین رکعتین، عشر رکعات فأضاف رسول اللّه - صلی اللّه علیه و آله - إلی الرکعتین، رکعتین و إلی المغرب رکعة، فصارت عدیل الفریضة لا یجوز ترکهنّ إلاّ فی سفر، و أفرد الرکعة فی المغرب فترکها قائمة فی السفر و الحضر، فأجاز اللّه عزّ و جلّ له ذلک کلّه، فصارت الفریضة سبع عشرة رکعة، ثمّ سنّ رسول اللّه النوافل أربعا و ثلاثین رکعة مثلی الفریضة، فأجاز اللّه عزّ و جلّ له ذلک، و الفریضة و النافلة</w:t>
      </w:r>
    </w:p>
    <w:p>
      <w:pPr>
        <w:pStyle w:val="BookText"/>
      </w:pPr>
      <w:r>
        <w:rPr>
          <w:rFonts w:ascii="IRNazanin" w:hAnsi="IRNazanin" w:eastAsia="IRNazanin" w:cs="IRNazanin"/>
          <w:lang w:bidi="fa-IR"/>
          <w:color w:val="111111"/>
          <w:sz w:val="28"/>
          <w:szCs w:val="28"/>
          <w:rtl/>
        </w:rPr>
        <w:t xml:space="preserve">[شماره صفحه واقعی : 424]</w:t>
      </w:r>
    </w:p>
    <w:p>
      <w:pPr>
        <w:pStyle w:val="BookText"/>
      </w:pPr>
      <w:r>
        <w:rPr>
          <w:rFonts w:ascii="IRNazanin" w:hAnsi="IRNazanin" w:eastAsia="IRNazanin" w:cs="IRNazanin"/>
          <w:lang w:bidi="fa-IR"/>
          <w:color w:val="111111"/>
          <w:sz w:val="28"/>
          <w:szCs w:val="28"/>
          <w:rtl/>
        </w:rPr>
        <w:t xml:space="preserve">ص: 1142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إحدی و خمسون رکعة، منها رکعتان بعد العتمة جالسا تعدّ برکعة مکان الوتر، و فرض اللّه فی السنة صوم شهر رمضان و سنّ رسول اللّه - صلی اللّه علیه و آله - صوم شعبان، و ثلاثة أیام فی کل شهر مثلی الفریضة، فأجاز اللّه عزّ و جلّ له ذلک و حرّم اللّه عزّ و جلّ الخمر بعینها، و حرّم رسول اللّه - صلی اللّه علیه و آله - المسکر من کلّ شراب فأجاز اللّه له ذلک کله... الخ»</w:t>
      </w:r>
      <w:r>
        <w:rPr>
          <w:rStyle w:val="FootnoteReference"/>
        </w:rPr>
        <w:footnoteReference w:id="4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مضمون الروایات یوجّه بوجهین:</w:t>
      </w:r>
    </w:p>
    <w:p>
      <w:pPr>
        <w:pStyle w:val="BookText"/>
      </w:pPr>
      <w:r>
        <w:rPr>
          <w:rFonts w:ascii="IRNazanin" w:hAnsi="IRNazanin" w:eastAsia="IRNazanin" w:cs="IRNazanin"/>
          <w:lang w:bidi="fa-IR"/>
          <w:color w:val="111111"/>
          <w:sz w:val="28"/>
          <w:szCs w:val="28"/>
          <w:rtl/>
        </w:rPr>
        <w:t xml:space="preserve">الأوّل: إنّ اللّه سبحانه علّم الرسول مصالح الأحکام و مفاسدها، و أوقفه علی ملاکاتها و مناطاتها، و لمّا کانت الأحکام تابعة لمصالح و مفاسد کاملة فی متعلّقاتها، و کان النبیّ بتعلیم منه سبحانه واقفا علی المصالح و المفاسد علی اختلاف درجاتها و مراتبها، کان له أن ینصّ علی أحکامه سبحانه من طریق الوقوف علی عللها و ملاکاتها، و لا یکون الاهتداء إلی أحکامه سبحانه من طریق التعرّف علی عللها بأقصر من الطرق الاخر الّتی یقف بها النبیّ علی حلاله و حرامه، و إلی هذا یشیر الإمام أمیر المؤمنین - علیه السلام - بقوله: «عقلوا الدین عقل و عایة و رعایة، لا عقل سماع و روایة فان رواة العلم کثیر و رعاته قلیل»</w:t>
      </w:r>
      <w:r>
        <w:rPr>
          <w:rStyle w:val="FootnoteReference"/>
        </w:rPr>
        <w:footnoteReference w:id="4190"/>
      </w:r>
      <w:r>
        <w:rPr>
          <w:rFonts w:ascii="IRNazanin" w:hAnsi="IRNazanin" w:eastAsia="IRNazanin" w:cs="IRNazanin"/>
          <w:lang w:bidi="fa-IR"/>
          <w:color w:val="111111"/>
          <w:sz w:val="28"/>
          <w:szCs w:val="28"/>
          <w:rtl/>
        </w:rPr>
        <w:t xml:space="preserve">غیر أنّ اهتداءه - صلی اللّه علیه و آله و سلم - إلی الأحکام و تنصیصه بها من هذا الطّریق، قیل جدّا لا تتجاوز عمّا ذکرناه إلاّ بقلیل، و بذلک یعلم حال الأئمّة المعصومین - علیهم السلام - فی هذا المورد.</w:t>
      </w:r>
    </w:p>
    <w:p>
      <w:pPr>
        <w:pStyle w:val="BookText"/>
      </w:pPr>
      <w:r>
        <w:rPr>
          <w:rFonts w:ascii="IRNazanin" w:hAnsi="IRNazanin" w:eastAsia="IRNazanin" w:cs="IRNazanin"/>
          <w:lang w:bidi="fa-IR"/>
          <w:color w:val="111111"/>
          <w:sz w:val="28"/>
          <w:szCs w:val="28"/>
          <w:rtl/>
        </w:rPr>
        <w:t xml:space="preserve">الثانی: إنّ عمل الرسول لم یکن فی هاتیک الموارد سوی مجرّد طلب، و قد أنفذ اللّه طلبه، لا أنّه قام بنفسه بتشریع و تقنین، و یشیر إلی ذلک بقوله:</w:t>
      </w:r>
    </w:p>
    <w:p>
      <w:pPr>
        <w:pStyle w:val="BookText"/>
      </w:pPr>
      <w:r>
        <w:rPr>
          <w:rFonts w:ascii="Amiri" w:hAnsi="Amiri" w:eastAsia="Amiri" w:cs="Amiri"/>
          <w:lang w:bidi="ar-SA"/>
          <w:color w:val="111111"/>
          <w:sz w:val="28"/>
          <w:szCs w:val="28"/>
          <w:rtl/>
        </w:rPr>
        <w:t xml:space="preserve">«فأجاز اللّه عزّ و جلّ له ذلک».</w:t>
      </w:r>
    </w:p>
    <w:p>
      <w:pPr>
        <w:pStyle w:val="BookText"/>
      </w:pPr>
      <w:r>
        <w:rPr>
          <w:rFonts w:ascii="IRNazanin" w:hAnsi="IRNazanin" w:eastAsia="IRNazanin" w:cs="IRNazanin"/>
          <w:lang w:bidi="fa-IR"/>
          <w:color w:val="111111"/>
          <w:sz w:val="28"/>
          <w:szCs w:val="28"/>
          <w:rtl/>
        </w:rPr>
        <w:t xml:space="preserve">و لو أنّ النّبی کان یمتلک زمام التّشریع و کان قد فوّض إلیه أمر التقنین علی</w:t>
      </w:r>
    </w:p>
    <w:p>
      <w:pPr>
        <w:pStyle w:val="BookText"/>
      </w:pPr>
      <w:r>
        <w:rPr>
          <w:rFonts w:ascii="IRNazanin" w:hAnsi="IRNazanin" w:eastAsia="IRNazanin" w:cs="IRNazanin"/>
          <w:lang w:bidi="fa-IR"/>
          <w:color w:val="111111"/>
          <w:sz w:val="28"/>
          <w:szCs w:val="28"/>
          <w:rtl/>
        </w:rPr>
        <w:t xml:space="preserve">[شماره صفحه واقعی : 425]</w:t>
      </w:r>
    </w:p>
    <w:p>
      <w:pPr>
        <w:pStyle w:val="BookText"/>
      </w:pPr>
      <w:r>
        <w:rPr>
          <w:rFonts w:ascii="IRNazanin" w:hAnsi="IRNazanin" w:eastAsia="IRNazanin" w:cs="IRNazanin"/>
          <w:lang w:bidi="fa-IR"/>
          <w:color w:val="111111"/>
          <w:sz w:val="28"/>
          <w:szCs w:val="28"/>
          <w:rtl/>
        </w:rPr>
        <w:t xml:space="preserve">ص: 1143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ما تفیده کلمة التّفویض، لما احتاج إلی إذنه و إجازته المجدّدة، و لما کان للجملة المذکورة أی معنی، فالحاصل أنّ ما صدر من النّبی لم یکن بصورة التشریع القطعی، بل کان دعاء و طلبا من اللّه سبحانه لمّا وقف علی مصالح فی ما دعاه و قد استجاب دعاءه کما یفیده قوله فی الحدیث «فأجاز اللّه عزّ و جلّ له ذلک».</w:t>
      </w:r>
    </w:p>
    <w:p>
      <w:pPr>
        <w:pStyle w:val="BookText"/>
      </w:pPr>
      <w:r>
        <w:rPr>
          <w:rFonts w:ascii="IRNazanin" w:hAnsi="IRNazanin" w:eastAsia="IRNazanin" w:cs="IRNazanin"/>
          <w:lang w:bidi="fa-IR"/>
          <w:color w:val="111111"/>
          <w:sz w:val="28"/>
          <w:szCs w:val="28"/>
          <w:rtl/>
        </w:rPr>
        <w:t xml:space="preserve">قال العلاّمة المجلسی: «التفویض فی أمر الدّین یحتمل وجهین:</w:t>
      </w:r>
    </w:p>
    <w:p>
      <w:pPr>
        <w:pStyle w:val="BookText"/>
      </w:pPr>
      <w:r>
        <w:rPr>
          <w:rFonts w:ascii="Amiri" w:hAnsi="Amiri" w:eastAsia="Amiri" w:cs="Amiri"/>
          <w:lang w:bidi="ar-SA"/>
          <w:color w:val="111111"/>
          <w:sz w:val="28"/>
          <w:szCs w:val="28"/>
          <w:rtl/>
        </w:rPr>
        <w:t xml:space="preserve">أحدهما: أن یکون اللّه تعالی فوّض إلی النّبی و الأئمة عموما أن یحلّوا ما شاؤوا و یحرّموا ما شاؤوا من غیر وحی و إلهام، أو یغیّروا ما اوحی إلیهم بآرائهم، و هذا باطل لا یقول به عاقل، فإنّ النبی کان ینتظر الوحی أیّاما کثیرة لجواب سائل، و لا یجیبه من عنده و قد قال تعالی وَ ما یَنْطِقُ عَنِ الْهَوی. إِنْ هُوَ إِلاّ وَحْیٌ یُوحی النجم: 4.</w:t>
      </w:r>
    </w:p>
    <w:p>
      <w:pPr>
        <w:pStyle w:val="BookText"/>
      </w:pPr>
      <w:r>
        <w:rPr>
          <w:rFonts w:ascii="IRNazanin" w:hAnsi="IRNazanin" w:eastAsia="IRNazanin" w:cs="IRNazanin"/>
          <w:lang w:bidi="fa-IR"/>
          <w:color w:val="111111"/>
          <w:sz w:val="28"/>
          <w:szCs w:val="28"/>
          <w:rtl/>
        </w:rPr>
        <w:t xml:space="preserve">و ثانیهما: أنّه تعالی لمّا أکمل نبیّه بحیث لم یکن یختار من الامور شیئا إلاّ ما یوافق الحقّ و الصّواب، و لا یخطر بباله ما یخالف مشیئته تعالی فی کلّ باب، فوّض إلیه تعیین بعض الامور کالزیادة فی الصّلاة و تعیین النوافل فی الصلاة و الصوم، و طعمة الجدّ و غیر ذلک ممّا مضی و سیأتی، إظهارا لشرفه و کرامته عنده، و لم یکن أصل التعیین إلاّ بالوحی، و لم یکن الاختیار إلاّ بالالهام، ثمّ کان یؤکّد ما اختاره بالوحی، و لا فساد فی ذلک عقلا، و قد دلّت النصوص المستفیضة علیه ممّا تقدم فی هذا الباب و فی أبواب فضائل نبیّنا من المجلّد السادس.</w:t>
      </w:r>
    </w:p>
    <w:p>
      <w:pPr>
        <w:pStyle w:val="BookText"/>
      </w:pPr>
      <w:r>
        <w:rPr>
          <w:rFonts w:ascii="IRNazanin" w:hAnsi="IRNazanin" w:eastAsia="IRNazanin" w:cs="IRNazanin"/>
          <w:lang w:bidi="fa-IR"/>
          <w:color w:val="111111"/>
          <w:sz w:val="28"/>
          <w:szCs w:val="28"/>
          <w:rtl/>
        </w:rPr>
        <w:t xml:space="preserve">و لعلّ الصدوق - رحمه اللّه - أیضا إنّما نفی المعنی الأوّل، حیث قال فی الفقیه: «و قد فوّض اللّه عزّ و جلّ إلی نبیّه أمر دینه، و لم یفوّض إلیه تعدّی حدوده» و أیضا هو - رحمه اللّه - قد روی کثیرا من أخبار التفویض فی کتبه و لم یتعرّض لتأویلها.</w:t>
      </w:r>
    </w:p>
    <w:p>
      <w:pPr>
        <w:pStyle w:val="BookText"/>
      </w:pPr>
      <w:r>
        <w:rPr>
          <w:rFonts w:ascii="IRNazanin" w:hAnsi="IRNazanin" w:eastAsia="IRNazanin" w:cs="IRNazanin"/>
          <w:lang w:bidi="fa-IR"/>
          <w:color w:val="111111"/>
          <w:sz w:val="28"/>
          <w:szCs w:val="28"/>
          <w:rtl/>
        </w:rPr>
        <w:t xml:space="preserve">[شماره صفحه واقعی : 426]</w:t>
      </w:r>
    </w:p>
    <w:p>
      <w:pPr>
        <w:pStyle w:val="BookText"/>
      </w:pPr>
      <w:r>
        <w:rPr>
          <w:rFonts w:ascii="IRNazanin" w:hAnsi="IRNazanin" w:eastAsia="IRNazanin" w:cs="IRNazanin"/>
          <w:lang w:bidi="fa-IR"/>
          <w:color w:val="111111"/>
          <w:sz w:val="28"/>
          <w:szCs w:val="28"/>
          <w:rtl/>
        </w:rPr>
        <w:t xml:space="preserve">ص: 1144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تفویض بیان العلوم و الأحکام، و هذا مما لا شکّ و لا شبهة فیه، قال سبحانه: وَ نَزَّلْنا عَلَیْکَ الْکِتابَ تِبْیاناً لِکُلِّ شَیْءٍ وَ هُدیً وَ رَحْمَةً وَ بُشْری لِلْمُسْلِمِینَ - النحل: 89 و قال سبحانه: وَ أَنْزَلْنا إِلَیْکَ الذِّکْرَ لِتُبَیِّنَ لِلنّاسِ ما نُزِّلَ إِلَیْهِمْ النحل: 44 و هذه الآیة تفید أنّ من شؤون النّبی مضافا إلی التلاوة هو تبیین ما نزّل إلیه من الآیات الحکیمة.</w:t>
      </w:r>
    </w:p>
    <w:p>
      <w:pPr>
        <w:pStyle w:val="BookText"/>
      </w:pPr>
      <w:r>
        <w:rPr>
          <w:rFonts w:ascii="IRNazanin" w:hAnsi="IRNazanin" w:eastAsia="IRNazanin" w:cs="IRNazanin"/>
          <w:lang w:bidi="fa-IR"/>
          <w:color w:val="111111"/>
          <w:sz w:val="28"/>
          <w:szCs w:val="28"/>
          <w:rtl/>
        </w:rPr>
        <w:t xml:space="preserve">و الآیات و الأحادیث فی ذلک کثیرة جدّا. قال الباقر - علیه السلام - مخاطبا لجابر: «یا جابر لو کنّا نحدثکم برأینا و هوانا، کنّا من الهالکین، و لکنّا نحدّثکم بأحادیث نکنزها عن رسول اللّه کما یکنز هؤلاء ذهبهم و فضّتهم» و فی روایة «و لکنّا نفتیهم بآثار من رسول اللّه و اصول علم عندنا نتوارثها کابرا عن کابر».</w:t>
      </w:r>
    </w:p>
    <w:p>
      <w:pPr>
        <w:pStyle w:val="BookText"/>
      </w:pPr>
      <w:r>
        <w:rPr>
          <w:rFonts w:ascii="IRNazanin" w:hAnsi="IRNazanin" w:eastAsia="IRNazanin" w:cs="IRNazanin"/>
          <w:lang w:bidi="fa-IR"/>
          <w:color w:val="111111"/>
          <w:sz w:val="28"/>
          <w:szCs w:val="28"/>
          <w:rtl/>
        </w:rPr>
        <w:t xml:space="preserve">و فی روایة محمّد بن شریح عن الصادق - علیه السلام -: «و اللّه ما نقول بأهوائنا و لا نقول برأینا و لکن نقول ما قال ربّنا».</w:t>
      </w:r>
    </w:p>
    <w:p>
      <w:pPr>
        <w:pStyle w:val="BookText"/>
      </w:pPr>
      <w:r>
        <w:rPr>
          <w:rFonts w:ascii="IRNazanin" w:hAnsi="IRNazanin" w:eastAsia="IRNazanin" w:cs="IRNazanin"/>
          <w:lang w:bidi="fa-IR"/>
          <w:color w:val="111111"/>
          <w:sz w:val="28"/>
          <w:szCs w:val="28"/>
          <w:rtl/>
        </w:rPr>
        <w:t xml:space="preserve">و فی روایة عنه: «مهما أجبتک فیه بشیء فهو عن رسول اللّه. لسنا نقول برأینا من شیء»</w:t>
      </w:r>
      <w:r>
        <w:rPr>
          <w:rStyle w:val="FootnoteReference"/>
        </w:rPr>
        <w:footnoteReference w:id="4191"/>
      </w:r>
      <w:r>
        <w:rPr>
          <w:rFonts w:ascii="IRNazanin" w:hAnsi="IRNazanin" w:eastAsia="IRNazanin" w:cs="IRNazanin"/>
          <w:lang w:bidi="fa-IR"/>
          <w:color w:val="111111"/>
          <w:sz w:val="28"/>
          <w:szCs w:val="28"/>
          <w:rtl/>
        </w:rPr>
        <w:t xml:space="preserve">إلی غیر ذلک من الاحادیث المفیدة أنّ أحادیثهم مأخوذة عن نبیّهم.</w:t>
      </w:r>
    </w:p>
    <w:p>
      <w:pPr>
        <w:pStyle w:val="BookText"/>
      </w:pPr>
      <w:r>
        <w:rPr>
          <w:rFonts w:ascii="IRNazanin" w:hAnsi="IRNazanin" w:eastAsia="IRNazanin" w:cs="IRNazanin"/>
          <w:lang w:bidi="fa-IR"/>
          <w:color w:val="111111"/>
          <w:sz w:val="28"/>
          <w:szCs w:val="28"/>
          <w:rtl/>
        </w:rPr>
        <w:t xml:space="preserve">غیر أنّهم - علیهم السلام - یبیّنون الأحکام حسب اختلاف عقول الناس، و یفتون حسب المصالح، فتارة یبیّنون الأحکام الواقعیّة، و اخری الأحکام الواقعیّة الثانویّة حسب مصالح المکلّفین کما هو معلوم من إفتائهم بالتقیة.</w:t>
      </w:r>
    </w:p>
    <w:p>
      <w:pPr>
        <w:pStyle w:val="BookText"/>
      </w:pPr>
      <w:r>
        <w:rPr>
          <w:rFonts w:ascii="IRNazanin" w:hAnsi="IRNazanin" w:eastAsia="IRNazanin" w:cs="IRNazanin"/>
          <w:lang w:bidi="fa-IR"/>
          <w:color w:val="111111"/>
          <w:sz w:val="28"/>
          <w:szCs w:val="28"/>
          <w:rtl/>
        </w:rPr>
        <w:t xml:space="preserve">قال العلاّمة المجلسی - رحمه اللّه -: «تفویض بیان العلوم و الأحکام بما رأوا المصلحة فیها بسبب اختلاف عقولهم، أو بسبب التقیّة فیفتون بعض الناس بالواقع من الأحکام، و بعضهم بالتقیّة، و یبیّنون تفسیر الآیات و تأویلها، و بیان المعارف بحسب ما یحتمل عقل کل سائل، و لهم أن یبیّنوا و لهم أن یسکتوا کما</w:t>
      </w:r>
    </w:p>
    <w:p>
      <w:pPr>
        <w:pStyle w:val="BookText"/>
      </w:pPr>
      <w:r>
        <w:rPr>
          <w:rFonts w:ascii="IRNazanin" w:hAnsi="IRNazanin" w:eastAsia="IRNazanin" w:cs="IRNazanin"/>
          <w:lang w:bidi="fa-IR"/>
          <w:color w:val="111111"/>
          <w:sz w:val="28"/>
          <w:szCs w:val="28"/>
          <w:rtl/>
        </w:rPr>
        <w:t xml:space="preserve">[شماره صفحه واقعی : 427]</w:t>
      </w:r>
    </w:p>
    <w:p>
      <w:pPr>
        <w:pStyle w:val="BookText"/>
      </w:pPr>
      <w:r>
        <w:rPr>
          <w:rFonts w:ascii="IRNazanin" w:hAnsi="IRNazanin" w:eastAsia="IRNazanin" w:cs="IRNazanin"/>
          <w:lang w:bidi="fa-IR"/>
          <w:color w:val="111111"/>
          <w:sz w:val="28"/>
          <w:szCs w:val="28"/>
          <w:rtl/>
        </w:rPr>
        <w:t xml:space="preserve">ص: 1145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فی أخبار کثیرة: «علیکم المسألة و لیس علینا الجواب» کلّ ذلک بحسب ما یریهم اللّه من مصالح الوقت کما ورد فی خبر ابن أشیم و غیره».</w:t>
      </w:r>
    </w:p>
    <w:p>
      <w:pPr>
        <w:pStyle w:val="BookText"/>
      </w:pPr>
      <w:r>
        <w:rPr>
          <w:rFonts w:ascii="Amiri" w:hAnsi="Amiri" w:eastAsia="Amiri" w:cs="Amiri"/>
          <w:lang w:bidi="ar-SA"/>
          <w:color w:val="111111"/>
          <w:sz w:val="28"/>
          <w:szCs w:val="28"/>
          <w:rtl/>
        </w:rPr>
        <w:t xml:space="preserve">روی محمّد بن سنان فی تأویل قوله تعالی لِتَحْکُمَ بَیْنَ النّاسِ بِما أَراکَ اللّهُ فقال: إِنّا أَنْزَلْنا إِلَیْکَ الْکِتابَ بِالْحَقِّ لِتَحْکُمَ بَیْنَ النّاسِ بِما أَراکَ اللّهُ و هی جاریة فی الأوصیاء</w:t>
      </w:r>
      <w:r>
        <w:rPr>
          <w:rStyle w:val="FootnoteReference"/>
        </w:rPr>
        <w:footnoteReference w:id="4192"/>
      </w:r>
      <w:r>
        <w:rPr>
          <w:rFonts w:ascii="IRNazanin" w:hAnsi="IRNazanin" w:eastAsia="IRNazanin" w:cs="IRNazanin"/>
          <w:lang w:bidi="fa-IR"/>
          <w:color w:val="111111"/>
          <w:sz w:val="28"/>
          <w:szCs w:val="28"/>
          <w:rtl/>
        </w:rPr>
        <w:t xml:space="preserve">. و لعلّ تخصیصه بالنّبی - صلی اللّه علیه و آله - و الائمّة - علیهم السلام -، لعدم تیسّر هذه التوسعة لسائر الأنبیاء و الأوصیاء - علیهم السلام -، بل کانوا مکلّفین بعدم التقیّة فی بعض الموارد و إن أصابهم الضّرر.</w:t>
      </w:r>
    </w:p>
    <w:p>
      <w:pPr>
        <w:pStyle w:val="BookText"/>
      </w:pPr>
      <w:r>
        <w:rPr>
          <w:rFonts w:ascii="IRNazanin" w:hAnsi="IRNazanin" w:eastAsia="IRNazanin" w:cs="IRNazanin"/>
          <w:lang w:bidi="fa-IR"/>
          <w:color w:val="111111"/>
          <w:sz w:val="28"/>
          <w:szCs w:val="28"/>
          <w:rtl/>
        </w:rPr>
        <w:t xml:space="preserve">و التفویض بهذا المعنی أیضا ثابت حقّ بالأخبار المستفیضة.</w:t>
      </w:r>
    </w:p>
    <w:p>
      <w:pPr>
        <w:pStyle w:val="BookText"/>
      </w:pPr>
      <w:r>
        <w:rPr>
          <w:rFonts w:ascii="Amiri" w:hAnsi="Amiri" w:eastAsia="Amiri" w:cs="Amiri"/>
          <w:lang w:bidi="ar-SA"/>
          <w:color w:val="111111"/>
          <w:sz w:val="28"/>
          <w:szCs w:val="28"/>
          <w:rtl/>
        </w:rPr>
        <w:t xml:space="preserve">الرابع: تفویض سیاسة الناس و تأدیبهم إلیهم، فهم اولوا الأمر وساسة العباد - کما فی الزیارة الجامعة - و امراء الناس، فیجب طاعتهم فی کلّ ما یأمرون به و ینهون عنه قال سبحانه: وَ ما أَرْسَلْنا مِنْ رَسُولٍ إِلاّ لِیُطاعَ بِإِذْنِ اللّهِ - النساء: 64 و قال سبحانه: أَطِیعُوا اللّهَ وَ أَطِیعُوا الرَّسُولَ وَ أُولِی الْأَمْرِ مِنْکُمْ - النساء: 59 و قال سبحانه: مَنْ یُطِعِ الرَّسُولَ فَقَدْ أَطاعَ اللّهَ - النساء: 80 إلی غیر ذلک من الآیات و الروایات.</w:t>
      </w:r>
    </w:p>
    <w:p>
      <w:pPr>
        <w:pStyle w:val="BookText"/>
      </w:pPr>
      <w:r>
        <w:rPr>
          <w:rFonts w:ascii="IRNazanin" w:hAnsi="IRNazanin" w:eastAsia="IRNazanin" w:cs="IRNazanin"/>
          <w:lang w:bidi="fa-IR"/>
          <w:color w:val="111111"/>
          <w:sz w:val="28"/>
          <w:szCs w:val="28"/>
          <w:rtl/>
        </w:rPr>
        <w:t xml:space="preserve">قال العلاّمة المجلسی: «تفویض امور الخلق إلیهم من سیاستهم و تأدیبهم و تکمیلهم و تعلیمهم، و أمر الخلق باطاعتهم فیما أحبّوا و کرهوا، و فیما علموا جهة المصلحة فیه و ما لم یعلموا، و هذا حقّ لقوله تعالی: ما آتاکُمُ الرَّسُولُ فَخُذُوهُ وَ ما نَهاکُمْ عَنْهُ فَانْتَهُوا و غیر ذلک من الآیات و الاخبار، و علیه یحمل قولهم - علیهم السلام - «نحن المحلّلون حلاله و المحرّمون حرامه» أی بیانهما علینا و یجب علی الناس الرجوع فیهما إلینا».</w:t>
      </w:r>
    </w:p>
    <w:p>
      <w:pPr>
        <w:pStyle w:val="BookText"/>
      </w:pPr>
      <w:r>
        <w:rPr>
          <w:rFonts w:ascii="IRNazanin" w:hAnsi="IRNazanin" w:eastAsia="IRNazanin" w:cs="IRNazanin"/>
          <w:lang w:bidi="fa-IR"/>
          <w:color w:val="111111"/>
          <w:sz w:val="28"/>
          <w:szCs w:val="28"/>
          <w:rtl/>
        </w:rPr>
        <w:t xml:space="preserve">[شماره صفحه واقعی : 428]</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468" w:name="pg14419_167862"/>
    <w:bookmarkEnd w:id="468"/>
    <w:p>
      <w:pPr>
        <w:pStyle w:val="BookText"/>
      </w:pPr>
      <w:r>
        <w:rPr>
          <w:rFonts w:ascii="IRNazanin" w:hAnsi="IRNazanin" w:eastAsia="IRNazanin" w:cs="IRNazanin"/>
          <w:lang w:bidi="fa-IR"/>
          <w:color w:val="111111"/>
          <w:sz w:val="28"/>
          <w:szCs w:val="28"/>
          <w:rtl/>
        </w:rPr>
        <w:t xml:space="preserve">نعم وجوب إطاعة الرّسول و اولی الامر فی طول إطاعته سبحانه فاللّه تعالی مطاع بالذات و الرسول و اولوا الامر مطاعون بالعرض و قد أوضحنا ذلک فی «مفاهیم القرآن»</w:t>
      </w:r>
      <w:r>
        <w:rPr>
          <w:rStyle w:val="FootnoteReference"/>
        </w:rPr>
        <w:footnoteReference w:id="4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تفویضان آخران یظهر من العلاّمة المجلسی - رحمه اللّه -.</w:t>
      </w:r>
    </w:p>
    <w:p>
      <w:pPr>
        <w:pStyle w:val="BookText"/>
      </w:pPr>
      <w:r>
        <w:rPr>
          <w:rFonts w:ascii="IRNazanin" w:hAnsi="IRNazanin" w:eastAsia="IRNazanin" w:cs="IRNazanin"/>
          <w:lang w:bidi="fa-IR"/>
          <w:color w:val="111111"/>
          <w:sz w:val="28"/>
          <w:szCs w:val="28"/>
          <w:rtl/>
        </w:rPr>
        <w:t xml:space="preserve">1 - الاختیار فی أن یحکموا بظاهر الشریعة، أو بعلمهم، أو بما یلهمهم اللّه من الوقایع و مخّ الحق فی کلّ واقعة، و هذا أظهر محامل خبر ابن سنان و علیه أیضا دلّت الأخبار.</w:t>
      </w:r>
    </w:p>
    <w:p>
      <w:pPr>
        <w:pStyle w:val="BookText"/>
      </w:pPr>
      <w:r>
        <w:rPr>
          <w:rFonts w:ascii="IRNazanin" w:hAnsi="IRNazanin" w:eastAsia="IRNazanin" w:cs="IRNazanin"/>
          <w:lang w:bidi="fa-IR"/>
          <w:color w:val="111111"/>
          <w:sz w:val="28"/>
          <w:szCs w:val="28"/>
          <w:rtl/>
        </w:rPr>
        <w:t xml:space="preserve">2 - التفویض فی العطاء، فانّ اللّه تعالی خلق لهم الأرض و ما فیها، و جعل لهم الأنفال و الخمس و الصفایا و غیرها، فلهم أن یعطوا ما شاؤوا و یمنعوا ما شاؤوا، کما مرّ فی خبر الثمالی، و إذا أحطت خبرا بما ذکرنا من معانی التفویض سهل علیک فهم الأخبار الواردة فیه، و عرفت ضعف قول من نفی التفویض مطلقا و لمّا یحط بمعانیه.</w:t>
      </w:r>
    </w:p>
    <w:p>
      <w:pPr>
        <w:pStyle w:val="BookText"/>
      </w:pPr>
      <w:r>
        <w:rPr>
          <w:rFonts w:ascii="IRNazanin" w:hAnsi="IRNazanin" w:eastAsia="IRNazanin" w:cs="IRNazanin"/>
          <w:lang w:bidi="fa-IR"/>
          <w:color w:val="111111"/>
          <w:sz w:val="28"/>
          <w:szCs w:val="28"/>
          <w:rtl/>
        </w:rPr>
        <w:t xml:space="preserve">هذه هی المعانی المعقولة المتصوّرة من التفویض، و أمّا تفسیر التفویض بما علیه المعتزلة کما عن العلاّمة المامقانی</w:t>
      </w:r>
      <w:r>
        <w:rPr>
          <w:rStyle w:val="FootnoteReference"/>
        </w:rPr>
        <w:footnoteReference w:id="4194"/>
      </w:r>
      <w:r>
        <w:rPr>
          <w:rFonts w:ascii="IRNazanin" w:hAnsi="IRNazanin" w:eastAsia="IRNazanin" w:cs="IRNazanin"/>
          <w:lang w:bidi="fa-IR"/>
          <w:color w:val="111111"/>
          <w:sz w:val="28"/>
          <w:szCs w:val="28"/>
          <w:rtl/>
        </w:rPr>
        <w:t xml:space="preserve">فخارج عن موضوع البحث، فانّ التفویض بذلک المعنی یقابل الجبر.</w:t>
      </w:r>
    </w:p>
    <w:p>
      <w:pPr>
        <w:pStyle w:val="Heading6"/>
      </w:pPr>
      <w:bookmarkStart w:id="1424" w:name="_Toc864"/>
      <w:r>
        <w:t>فقدان الضابطة الواحدة فی الغلو</w:t>
      </w:r>
      <w:bookmarkEnd w:id="1424"/>
    </w:p>
    <w:p>
      <w:pPr>
        <w:pStyle w:val="BookText"/>
      </w:pPr>
      <w:r>
        <w:rPr>
          <w:rFonts w:ascii="IRNazanin" w:hAnsi="IRNazanin" w:eastAsia="IRNazanin" w:cs="IRNazanin"/>
          <w:lang w:bidi="fa-IR"/>
          <w:color w:val="111111"/>
          <w:sz w:val="28"/>
          <w:szCs w:val="28"/>
          <w:rtl/>
        </w:rPr>
        <w:t xml:space="preserve">المراجع إلی کلمات القدماء یجد أنّهم یرمون کثیرا من الرواة بالغلوّ حسب ما اعتقد به فی حقّ الأئمّة، و إن لم یکن غلوّا فی الواقع، و یعجبنی أن أنقل کلام الوحید البهبهانی فی هذا المقام، و التأمّل فیه یعطی أنّ کثیرا من هذه النسب لم یکن موجبا لضعف الراوی عندنا، و إن کان موجبا للضعف عند الناقل.</w:t>
      </w:r>
    </w:p>
    <w:p>
      <w:pPr>
        <w:pStyle w:val="BookText"/>
      </w:pPr>
      <w:r>
        <w:rPr>
          <w:rFonts w:ascii="IRNazanin" w:hAnsi="IRNazanin" w:eastAsia="IRNazanin" w:cs="IRNazanin"/>
          <w:lang w:bidi="fa-IR"/>
          <w:color w:val="111111"/>
          <w:sz w:val="28"/>
          <w:szCs w:val="28"/>
          <w:rtl/>
        </w:rPr>
        <w:t xml:space="preserve">[شماره صفحه واقعی : 429]</w:t>
      </w:r>
    </w:p>
    <w:p>
      <w:pPr>
        <w:pStyle w:val="BookText"/>
      </w:pPr>
      <w:r>
        <w:rPr>
          <w:rFonts w:ascii="IRNazanin" w:hAnsi="IRNazanin" w:eastAsia="IRNazanin" w:cs="IRNazanin"/>
          <w:lang w:bidi="fa-IR"/>
          <w:color w:val="111111"/>
          <w:sz w:val="28"/>
          <w:szCs w:val="28"/>
          <w:rtl/>
        </w:rPr>
        <w:t xml:space="preserve">ص: 1147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قدّس اللّه سرّه -: «فاعلم أنّ الظاهر أنّ کثیرا من القدماء لا سیّما القمیین منهم و الغضائری، کانوا یعتقدون للائمّة - علیهم السلام - منزلة خاصّة من الرفعة و الجلالة، و مرتبة معیّنة من العصمة و الکمال، بحسب اجتهادهم و رأیهم و ما کانوا یجّوزون التعدی عنها، و کانوا یعدّون التعدّی ارتفاعا و غلوّا حسب معتقدهم، حتّی إنّهم جعلوا مثل نفی السهو عنهم غلوّا، بل ربّما جعلوا مطلق التفویض إلیهم، أو التّفویض الّذی اختلف فیه، أو المبالغة فی معجزاتهم و نقل العجائب من خوارق العادات عنهم، أو الاغراق فی شأنهم و إجلالهم و تنزیههم عن کثیر من النقائص، و إظهار کثیر قدرة لهم، و ذکر علمهم بمکنونات السماء و الارض، (جعلوا کل ذلک) ارتفاعا مورثا للتهمة به، لا سیّما بجهة أنّ الغلاة کانوا مختفین فی الشیعة مخلوطین بهم مدلّسین.</w:t>
      </w:r>
    </w:p>
    <w:p>
      <w:pPr>
        <w:pStyle w:val="BookText"/>
      </w:pPr>
      <w:r>
        <w:rPr>
          <w:rFonts w:ascii="IRNazanin" w:hAnsi="IRNazanin" w:eastAsia="IRNazanin" w:cs="IRNazanin"/>
          <w:lang w:bidi="fa-IR"/>
          <w:color w:val="111111"/>
          <w:sz w:val="28"/>
          <w:szCs w:val="28"/>
          <w:rtl/>
        </w:rPr>
        <w:t xml:space="preserve">و بالجملة، الظّاهر أنّ القدماء کانوا مختلفین فی المسائل الاصولیة أیضا، فربّما کان شیء عند بعضهم فاسدا، أو کفرا، أو غلّوا، أو تفویضا، أو جبرا، أو تشبیها، أو غیر ذلک، و کان عند آخر ممّا یجب اعتقاده أو لا هذا و لا ذاک.</w:t>
      </w:r>
    </w:p>
    <w:p>
      <w:pPr>
        <w:pStyle w:val="BookText"/>
      </w:pPr>
      <w:r>
        <w:rPr>
          <w:rFonts w:ascii="IRNazanin" w:hAnsi="IRNazanin" w:eastAsia="IRNazanin" w:cs="IRNazanin"/>
          <w:lang w:bidi="fa-IR"/>
          <w:color w:val="111111"/>
          <w:sz w:val="28"/>
          <w:szCs w:val="28"/>
          <w:rtl/>
        </w:rPr>
        <w:t xml:space="preserve">و ربما کان منشأ جرحهم بالامور المذکورة وجدان الروایة الظاهرة فیها منهم - کما أشرنا آنفا - أو ادّعاء أرباب المذاهب کونهم منهم، أو روایتهم عنه، و ربّما کان المنشأ روایتهم المناکیر عنه، إلی غیر ذلک، فعلی هذا ربّما یحصل التأمّل فی جرحهم بأمثال الامور المذکورة.</w:t>
      </w:r>
    </w:p>
    <w:p>
      <w:pPr>
        <w:pStyle w:val="BookText"/>
      </w:pPr>
      <w:r>
        <w:rPr>
          <w:rFonts w:ascii="IRNazanin" w:hAnsi="IRNazanin" w:eastAsia="IRNazanin" w:cs="IRNazanin"/>
          <w:lang w:bidi="fa-IR"/>
          <w:color w:val="111111"/>
          <w:sz w:val="28"/>
          <w:szCs w:val="28"/>
          <w:rtl/>
        </w:rPr>
        <w:t xml:space="preserve">و ممّا ینبه بذلک علی ما ذکرنا ملاحظة ما سیذکر فی تراجم کثیرة مثل ترجمة إبراهیم بن هاشم و أحمد بن محمّد بن نوح، و أحمد بن محمد بن أبی نصر، و محمّد بن جعفر بن عوف، و هشام بن الحکم، و الحسین بن شاذویه، و الحسین بن یزید و سهل بن زیاد، و داود بن کثیر، و محمّد بن اورمة، و نصر بن الصباح، و إبراهیم بن عمر، و داود بن القاسم، و محمّد بن عیسی بن عبید، و محمّد بن سنان، و محمّد بن علی الصیرفی، و مفضّل بن عمر،</w:t>
      </w:r>
    </w:p>
    <w:p>
      <w:pPr>
        <w:pStyle w:val="BookText"/>
      </w:pPr>
      <w:r>
        <w:rPr>
          <w:rFonts w:ascii="IRNazanin" w:hAnsi="IRNazanin" w:eastAsia="IRNazanin" w:cs="IRNazanin"/>
          <w:lang w:bidi="fa-IR"/>
          <w:color w:val="111111"/>
          <w:sz w:val="28"/>
          <w:szCs w:val="28"/>
          <w:rtl/>
        </w:rPr>
        <w:t xml:space="preserve">[شماره صفحه واقعی : 430]</w:t>
      </w:r>
    </w:p>
    <w:p>
      <w:pPr>
        <w:pStyle w:val="BookText"/>
      </w:pPr>
      <w:r>
        <w:rPr>
          <w:rFonts w:ascii="IRNazanin" w:hAnsi="IRNazanin" w:eastAsia="IRNazanin" w:cs="IRNazanin"/>
          <w:lang w:bidi="fa-IR"/>
          <w:color w:val="111111"/>
          <w:sz w:val="28"/>
          <w:szCs w:val="28"/>
          <w:rtl/>
        </w:rPr>
        <w:t xml:space="preserve">ص: 1148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صالح بن عقبة، و معلّی بن خنیس، و جعفر بن محمد بن مالک، و إسحاق بن محمّد البصری، و إسحاق بن الحسن، و جعفر بن عیسی، و یونس بن عبد الرحمن، و عبد الکریم بن عمر، و غیر ذلک.</w:t>
      </w:r>
    </w:p>
    <w:p>
      <w:pPr>
        <w:pStyle w:val="BookText"/>
      </w:pPr>
      <w:r>
        <w:rPr>
          <w:rFonts w:ascii="IRNazanin" w:hAnsi="IRNazanin" w:eastAsia="IRNazanin" w:cs="IRNazanin"/>
          <w:lang w:bidi="fa-IR"/>
          <w:color w:val="111111"/>
          <w:sz w:val="28"/>
          <w:szCs w:val="28"/>
          <w:rtl/>
        </w:rPr>
        <w:t xml:space="preserve">ثمّ اعلم أنّ ابن عیسی و الغضائری ربّما ینسبان الراوی إلی الکذب و وضع الحدیث أیضا، بعد ما نسباه إلی الغلوّ، و کأنّه لروایته ما یدلّ علیه، و لا یخفی ما فیه و ربّما کان غیرهما أیضا کذلک فتأمّل»</w:t>
      </w:r>
      <w:r>
        <w:rPr>
          <w:rStyle w:val="FootnoteReference"/>
        </w:rPr>
        <w:footnoteReference w:id="4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فیجب علی العالم الباحث، التحقیق فی کثیر من النسب المرمیّ بها الأجلّة، لما عرفت من أنّه لم یکن فی تلک الأزمنة ضابطة واحدة لیتمیّز الغالی عن غیره.</w:t>
      </w:r>
    </w:p>
    <w:p>
      <w:pPr>
        <w:pStyle w:val="BookText"/>
      </w:pPr>
      <w:r>
        <w:rPr>
          <w:rFonts w:ascii="IRNazanin" w:hAnsi="IRNazanin" w:eastAsia="IRNazanin" w:cs="IRNazanin"/>
          <w:lang w:bidi="fa-IR"/>
          <w:color w:val="111111"/>
          <w:sz w:val="28"/>
          <w:szCs w:val="28"/>
          <w:rtl/>
        </w:rPr>
        <w:t xml:space="preserve">قال العلاّمة المامقانی: «لا بدّ من التأمل فی جرحهم بأمثال هذه الامور و من لحظ مواضع قدحهم فی کثیر من المشاهیر کیونس بن عبد الرحمن، و محمّد بن سنان، و المفضّل بن عمر و أمثالهم، عرف الوجه فی ذلک، و کفاک شاهدا إخراج أحمد بن محمّد بن عیسی، أحمد بن محمّد بن خالد البرقی من قم، بل عن المجلسی الأوّل، أنّه أخرج جماعة من قم، بل عن المحقّق الشیخ محمّد ابن صاحب المعالم، أنّ أهل قم کانوا یخرجون الراوی بمجرّد توهّم الریب فیه.</w:t>
      </w:r>
    </w:p>
    <w:p>
      <w:pPr>
        <w:pStyle w:val="BookText"/>
      </w:pPr>
      <w:r>
        <w:rPr>
          <w:rFonts w:ascii="IRNazanin" w:hAnsi="IRNazanin" w:eastAsia="IRNazanin" w:cs="IRNazanin"/>
          <w:lang w:bidi="fa-IR"/>
          <w:color w:val="111111"/>
          <w:sz w:val="28"/>
          <w:szCs w:val="28"/>
          <w:rtl/>
        </w:rPr>
        <w:t xml:space="preserve">فاذا کانت هذه حالتهم و ذا دیدنهم فکیف یعوّل علی جرحهم و قدحهم بمجرّده، بل لا بدّ من الترّوی و البحث عن سببه و الحمل علی الصحّة مهما أمکن، کیف لا، و لو کان الاعتقاد بما لیس بضروری البطلان عن اجتهاد، موجبا للقدح فی الرجل، للزم القدح فی کثیر من علمائنا المتقدّمین، لأنّ کلاّ منهم نسب إلیه القول بما ظاهره مستنکر فاسد»</w:t>
      </w:r>
      <w:r>
        <w:rPr>
          <w:rStyle w:val="FootnoteReference"/>
        </w:rPr>
        <w:footnoteReference w:id="4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431]</w:t>
      </w:r>
    </w:p>
    <w:p>
      <w:pPr>
        <w:pStyle w:val="BookText"/>
      </w:pPr>
      <w:r>
        <w:rPr>
          <w:rFonts w:ascii="IRNazanin" w:hAnsi="IRNazanin" w:eastAsia="IRNazanin" w:cs="IRNazanin"/>
          <w:lang w:bidi="fa-IR"/>
          <w:color w:val="111111"/>
          <w:sz w:val="28"/>
          <w:szCs w:val="28"/>
          <w:rtl/>
        </w:rPr>
        <w:t xml:space="preserve">ص: 1149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یؤیّد ذلک ما ذکره الوحید البهبانی فی ترجمة أحمد بن محمّد بن نوح السیرافی قال: «إنّه حکی فی الخلاصة أنّ الشیخ کان یذهب إلی مذهب الوعیدیة (و هم الذین یکفّرون صاحب الکبیرة و یقولون بتخلیده فی النار)، و هو و شیخه المفید إلی أنّه تعالی لا یقدر علی عین مقدور العبد کما هو مذهب الجبّائی، و السیّد المرتضی إلی مذهب البهشمیة من أنّ إرادته عرض لا فی محلّ، و الشیخ الجلیل إبراهیم بن نوبخت إلی جواز اللّذة العقلیة علیه سبحانه، و أنّ ماهیته معلومة کوجوده و أنّ ماهیّته الموجود، و المخالفین یخرجون من النار و لا یدخلون الجنّة، و الصدوق و شیخه ابن الولید و الطبرسی إلی جواز السهو علی النّبی، و محمّد بن عبد اللّه الأسدی إلی الجبر و التشبیه، و غیر ذلک ممّا یطول تعداده، و الحکم بعدم عدالة هؤلاء لا یلتزمه أحد یؤمن باللّه، و الذی ظهر لی من کلمات أصحابنا المتقدّمین، و سیرة أساطین المحدّثین، أنّ المخالفة فی غیر الاصول الخمسة لا یوجب الفسق، إلاّ أن یستلزم إنکار ضروری الدین کالتجسیم بالحقیقة لا بالتسمیة، و کذا القول بالرؤیة بالانطباع أو الانعکاس، و أمّا القول بها لا معهما فلا، لأنّه لا یبعد حملها علی إرادة الیقین التامّ، و الانکشاف العلمی، و أمّا تجویز السهو علیه و إدراک اللّذة العقلیة علیه تعالی مع تفسیرها بارادة الکمال من حیث إنّه کمال فلا یوجب فسقا.</w:t>
      </w:r>
    </w:p>
    <w:p>
      <w:pPr>
        <w:pStyle w:val="BookText"/>
      </w:pPr>
      <w:r>
        <w:rPr>
          <w:rFonts w:ascii="IRNazanin" w:hAnsi="IRNazanin" w:eastAsia="IRNazanin" w:cs="IRNazanin"/>
          <w:lang w:bidi="fa-IR"/>
          <w:color w:val="111111"/>
          <w:sz w:val="28"/>
          <w:szCs w:val="28"/>
          <w:rtl/>
        </w:rPr>
        <w:t xml:space="preserve">ثمّ قال: و نسب ابن طاووس و نصیر الدین المحقّق الطوسی و ابن فهد و الشهید الثانی و شیخنا البهائی و جدّی العلامة و غیرهم من الأجلّة إلی التصّوف، و غیر خفیّ أنّ ضرر التصّوف إنّما هو فساد الاعتقاد من القول بالحلول أو الوحدة فی الوجود أو الاتّحاد أو فساد الأعمال المخالفة للشرع الّتی یرتکبها کثیر من المتصّوفة فی مقام الریاضة أو العبادة، و غیر خفیّ علی المطّلعین علی أحوال هؤلاء الأجلّة من کتبهم و غیرهم أنّهم منزّهون من کلتا المفسدتین قطعا، و نسب جدی العالم الربانی و المقدس الصمدانی مولانا محمّد صالح المازندرانی و غیره من الأجلّة إلی القول باشتراک اللّفظ، و فیه أیضا ما أشرنا إلیه و نسب المحمّدون الثلاثة و الطبرسی إلی القول بتجویز السّهو علی</w:t>
      </w:r>
    </w:p>
    <w:p>
      <w:pPr>
        <w:pStyle w:val="BookText"/>
      </w:pPr>
      <w:r>
        <w:rPr>
          <w:rFonts w:ascii="IRNazanin" w:hAnsi="IRNazanin" w:eastAsia="IRNazanin" w:cs="IRNazanin"/>
          <w:lang w:bidi="fa-IR"/>
          <w:color w:val="111111"/>
          <w:sz w:val="28"/>
          <w:szCs w:val="28"/>
          <w:rtl/>
        </w:rPr>
        <w:t xml:space="preserve">[شماره صفحه واقعی : 432]</w:t>
      </w:r>
    </w:p>
    <w:p>
      <w:pPr>
        <w:pStyle w:val="BookText"/>
      </w:pPr>
      <w:r>
        <w:rPr>
          <w:rFonts w:ascii="IRNazanin" w:hAnsi="IRNazanin" w:eastAsia="IRNazanin" w:cs="IRNazanin"/>
          <w:lang w:bidi="fa-IR"/>
          <w:color w:val="111111"/>
          <w:sz w:val="28"/>
          <w:szCs w:val="28"/>
          <w:rtl/>
        </w:rPr>
        <w:t xml:space="preserve">ص: 1150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 نسب ابن الولید و الصدوق أیضا منکر السهو إلی الغلوّ، و بالجملة أکثر الأجلّة لیسوا بخالصین عن أمثال ما أشرنا إلیه، و من هذا یظهر التأمّل فی ثبوت الغلوّ و فساد المذهب بمجرّد رمی علماء الرجال من دون ظهور الحال»</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بعد ما قرأنا ذلک انتقلنا الی ما ذکره العلاّمة الزمخشری فی حقّ نفسه حیث یقول:</w:t>
      </w:r>
    </w:p>
    <w:p>
      <w:pPr>
        <w:pStyle w:val="BookText"/>
      </w:pPr>
      <w:r>
        <w:rPr>
          <w:rFonts w:ascii="IRNazanin" w:hAnsi="IRNazanin" w:eastAsia="IRNazanin" w:cs="IRNazanin"/>
          <w:lang w:bidi="fa-IR"/>
          <w:color w:val="111111"/>
          <w:sz w:val="28"/>
          <w:szCs w:val="28"/>
          <w:rtl/>
        </w:rPr>
        <w:t xml:space="preserve">تعجّبت من هذا الزمان و أهله فما أحد من السن الناس یسلم</w:t>
      </w:r>
      <w:r>
        <w:rPr>
          <w:rStyle w:val="FootnoteReference"/>
        </w:rPr>
        <w:footnoteReference w:id="4198"/>
      </w:r>
    </w:p>
    <w:p>
      <w:pPr>
        <w:pStyle w:val="BookText"/>
      </w:pPr>
      <w:r>
        <w:rPr>
          <w:rFonts w:ascii="IRNazanin" w:hAnsi="IRNazanin" w:eastAsia="IRNazanin" w:cs="IRNazanin"/>
          <w:lang w:bidi="fa-IR"/>
          <w:color w:val="111111"/>
          <w:sz w:val="28"/>
          <w:szCs w:val="28"/>
          <w:rtl/>
        </w:rPr>
        <w:t xml:space="preserve">و الذی تبیّن لنا من مراجعة هذه الکلم هو أنّ أکثر علماء الرجال، أو من کان ینقل عنه علماء الرجال لم یکن عندهم ضابطة خاصّة لتضعیف الراوی من حیث العقیدة، بل کلّما لم تنطبق عقیدة الراوی عقیدته رماه بالغلوّ و الضعف فی العقیدة، و ربّما یکون نفس الرامی مخطئا فی اعتقاده بحیث لو وقفنا علی عقیدته لحکمنا بخطئه، أو وقف فی کتاب الراوی علی أخبار نقلها هو من غیر اعتقاد بمضمونها فزعم الرامی أنّ المؤلّف معتقد به، إلی غیر ذلک مما یورث سوء الظنّ، مثل ما إذا ادّعی بعض أهل مذاهب الفاسدة أنّ الراوی منهم و لیس هو منهم.</w:t>
      </w:r>
    </w:p>
    <w:p>
      <w:pPr>
        <w:pStyle w:val="BookText"/>
      </w:pPr>
      <w:r>
        <w:rPr>
          <w:rFonts w:ascii="IRNazanin" w:hAnsi="IRNazanin" w:eastAsia="IRNazanin" w:cs="IRNazanin"/>
          <w:lang w:bidi="fa-IR"/>
          <w:color w:val="111111"/>
          <w:sz w:val="28"/>
          <w:szCs w:val="28"/>
          <w:rtl/>
        </w:rPr>
        <w:t xml:space="preserve">و جملة القول فی ذلک ما ذکره المحقّق المامقانی حیث قال: «إنّ الرمی بما یتضمّن عیبا، فضلا عن فساد العقیدة ممّا لا ینبغی الأخذ به بمجرّده إذ لعلّ الرامی قد اشتبه فی اجتهاده، أو عوّل علی من یراه أهلا فی ذلک و کان مخطئا فی اعتقاده، أو وجد فی کتابه أخبارا تدلّ علی ذلک و هو بریء منه و لا یقول به، أو ادّعی بعض أهل تلک المذاهب الفاسدة أنّه منهم و هو کاذب، أو روی أخبارا ربّما توهم من کان قاصرا أو ناقصا فی الادراک و العلم أنّ ذلک ارتفاع و غلوّ، و لیس کذلک، أو کان جملة من الأخبار یرویها و یحدّث بها و یعترف</w:t>
      </w:r>
    </w:p>
    <w:p>
      <w:pPr>
        <w:pStyle w:val="BookText"/>
      </w:pPr>
      <w:r>
        <w:rPr>
          <w:rFonts w:ascii="IRNazanin" w:hAnsi="IRNazanin" w:eastAsia="IRNazanin" w:cs="IRNazanin"/>
          <w:lang w:bidi="fa-IR"/>
          <w:color w:val="111111"/>
          <w:sz w:val="28"/>
          <w:szCs w:val="28"/>
          <w:rtl/>
        </w:rPr>
        <w:t xml:space="preserve">[شماره صفحه واقعی : 433]</w:t>
      </w:r>
    </w:p>
    <w:p>
      <w:pPr>
        <w:pStyle w:val="BookText"/>
      </w:pPr>
      <w:r>
        <w:rPr>
          <w:rFonts w:ascii="IRNazanin" w:hAnsi="IRNazanin" w:eastAsia="IRNazanin" w:cs="IRNazanin"/>
          <w:lang w:bidi="fa-IR"/>
          <w:color w:val="111111"/>
          <w:sz w:val="28"/>
          <w:szCs w:val="28"/>
          <w:rtl/>
        </w:rPr>
        <w:t xml:space="preserve">ص: 1151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469" w:name="pg14419_167867"/>
    <w:bookmarkEnd w:id="469"/>
    <w:p>
      <w:pPr>
        <w:pStyle w:val="BookText"/>
      </w:pPr>
      <w:r>
        <w:rPr>
          <w:rFonts w:ascii="IRNazanin" w:hAnsi="IRNazanin" w:eastAsia="IRNazanin" w:cs="IRNazanin"/>
          <w:lang w:bidi="fa-IR"/>
          <w:color w:val="111111"/>
          <w:sz w:val="28"/>
          <w:szCs w:val="28"/>
          <w:rtl/>
        </w:rPr>
        <w:t xml:space="preserve">بمضامینها و یصدق بها من غیر تحاش بها و اتّقاء من غیره من أهل زمانه، بل یتجاهر بما لا تتحمّلها أغلب العقول فلذا رمی»</w:t>
      </w:r>
      <w:r>
        <w:rPr>
          <w:rStyle w:val="FootnoteReference"/>
        </w:rPr>
        <w:footnoteReference w:id="4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أنّ تضعیف الراوی من جانب العقیدة لا یتمّ إلاّ بثبوت أمرین:</w:t>
      </w:r>
    </w:p>
    <w:p>
      <w:pPr>
        <w:pStyle w:val="BookText"/>
      </w:pPr>
      <w:r>
        <w:rPr>
          <w:rFonts w:ascii="IRNazanin" w:hAnsi="IRNazanin" w:eastAsia="IRNazanin" w:cs="IRNazanin"/>
          <w:lang w:bidi="fa-IR"/>
          <w:color w:val="111111"/>
          <w:sz w:val="28"/>
          <w:szCs w:val="28"/>
          <w:rtl/>
        </w:rPr>
        <w:t xml:space="preserve">الأوّل: أن یثبت أنّ النظریة ممّا توجب الفسق.</w:t>
      </w:r>
    </w:p>
    <w:p>
      <w:pPr>
        <w:pStyle w:val="BookText"/>
      </w:pPr>
      <w:r>
        <w:rPr>
          <w:rFonts w:ascii="IRNazanin" w:hAnsi="IRNazanin" w:eastAsia="IRNazanin" w:cs="IRNazanin"/>
          <w:lang w:bidi="fa-IR"/>
          <w:color w:val="111111"/>
          <w:sz w:val="28"/>
          <w:szCs w:val="28"/>
          <w:rtl/>
        </w:rPr>
        <w:t xml:space="preserve">الثانی: أن یثبت أنّ الراوی کان معتقدا بها.</w:t>
      </w:r>
    </w:p>
    <w:p>
      <w:pPr>
        <w:pStyle w:val="BookText"/>
      </w:pPr>
      <w:r>
        <w:rPr>
          <w:rFonts w:ascii="IRNazanin" w:hAnsi="IRNazanin" w:eastAsia="IRNazanin" w:cs="IRNazanin"/>
          <w:lang w:bidi="fa-IR"/>
          <w:color w:val="111111"/>
          <w:sz w:val="28"/>
          <w:szCs w:val="28"/>
          <w:rtl/>
        </w:rPr>
        <w:t xml:space="preserve">و أنّی لنا باثبات الأمرین.</w:t>
      </w:r>
    </w:p>
    <w:p>
      <w:pPr>
        <w:pStyle w:val="BookText"/>
      </w:pPr>
      <w:r>
        <w:rPr>
          <w:rFonts w:ascii="IRNazanin" w:hAnsi="IRNazanin" w:eastAsia="IRNazanin" w:cs="IRNazanin"/>
          <w:lang w:bidi="fa-IR"/>
          <w:color w:val="111111"/>
          <w:sz w:val="28"/>
          <w:szCs w:val="28"/>
          <w:rtl/>
        </w:rPr>
        <w:t xml:space="preserve">أمّا الاول، فلوجود الخلاف فی کثیر من المسائل العقیدیّة حتّی مثل سهو النبی فی جانب التفریط أو نسبة التفویض فی بعض معانیها فی جانب الافراط، فانّ بعض هذه المسائل و إن صارت من عقائد الشیعة الضروریة بحیث یعرفها العالی و الدانی، غیر أنّها لم تکن بهذه المثابة فی العصور الغابرة.</w:t>
      </w:r>
    </w:p>
    <w:p>
      <w:pPr>
        <w:pStyle w:val="BookText"/>
      </w:pPr>
      <w:r>
        <w:rPr>
          <w:rFonts w:ascii="IRNazanin" w:hAnsi="IRNazanin" w:eastAsia="IRNazanin" w:cs="IRNazanin"/>
          <w:lang w:bidi="fa-IR"/>
          <w:color w:val="111111"/>
          <w:sz w:val="28"/>
          <w:szCs w:val="28"/>
          <w:rtl/>
        </w:rPr>
        <w:t xml:space="preserve">و أمّا الثانی، فإنّ إثباته فی غایة الاشکال، خصوصا بالنّظر إلی بعض الأعمال الّتی کان یقوم بها بعض الرواة فی حقّ بعض، من الاخراج و التشدید بمجرد النقل عن الضعفاء و إن کان ثقة فی نفسه، أو لبعض الوجوه المحتملة الّتی ذکرها العلاّمة المامقانی، و ما لم یثبت الأمران لا یعتنی بهذه التضعیفات الراجعة إلی جانب العقیدة.</w:t>
      </w:r>
    </w:p>
    <w:p>
      <w:pPr>
        <w:pStyle w:val="Heading5"/>
      </w:pPr>
      <w:bookmarkStart w:id="1425" w:name="_Toc865"/>
      <w:r>
        <w:t>تضعیف الراوی من حیث العمل</w:t>
      </w:r>
      <w:bookmarkEnd w:id="1425"/>
    </w:p>
    <w:p>
      <w:pPr>
        <w:pStyle w:val="BookText"/>
      </w:pPr>
      <w:r>
        <w:rPr>
          <w:rFonts w:ascii="IRNazanin" w:hAnsi="IRNazanin" w:eastAsia="IRNazanin" w:cs="IRNazanin"/>
          <w:lang w:bidi="fa-IR"/>
          <w:color w:val="111111"/>
          <w:sz w:val="28"/>
          <w:szCs w:val="28"/>
          <w:rtl/>
        </w:rPr>
        <w:t xml:space="preserve">قد عرفت فی صدر البحث أنّ تضعیف الراوی یرجع إلی أحد الأمرین:</w:t>
      </w:r>
    </w:p>
    <w:p>
      <w:pPr>
        <w:pStyle w:val="BookText"/>
      </w:pPr>
      <w:r>
        <w:rPr>
          <w:rFonts w:ascii="IRNazanin" w:hAnsi="IRNazanin" w:eastAsia="IRNazanin" w:cs="IRNazanin"/>
          <w:lang w:bidi="fa-IR"/>
          <w:color w:val="111111"/>
          <w:sz w:val="28"/>
          <w:szCs w:val="28"/>
          <w:rtl/>
        </w:rPr>
        <w:t xml:space="preserve">إمّا تضعیف فی العقیدة أو تضعیف فی جانب العمل، و قد وقفت علی التضعیف من الجانب الأوّل و حان الوقت أن نبحث فی الضعف من الجانب الثانی.</w:t>
      </w:r>
    </w:p>
    <w:p>
      <w:pPr>
        <w:pStyle w:val="BookText"/>
      </w:pPr>
      <w:r>
        <w:rPr>
          <w:rFonts w:ascii="IRNazanin" w:hAnsi="IRNazanin" w:eastAsia="IRNazanin" w:cs="IRNazanin"/>
          <w:lang w:bidi="fa-IR"/>
          <w:color w:val="111111"/>
          <w:sz w:val="28"/>
          <w:szCs w:val="28"/>
          <w:rtl/>
        </w:rPr>
        <w:t xml:space="preserve">فنقول: إنّ تضعیف الراوی من جانب العمل علی قسمین: تارة یرجع</w:t>
      </w:r>
    </w:p>
    <w:p>
      <w:pPr>
        <w:pStyle w:val="BookText"/>
      </w:pPr>
      <w:r>
        <w:rPr>
          <w:rFonts w:ascii="IRNazanin" w:hAnsi="IRNazanin" w:eastAsia="IRNazanin" w:cs="IRNazanin"/>
          <w:lang w:bidi="fa-IR"/>
          <w:color w:val="111111"/>
          <w:sz w:val="28"/>
          <w:szCs w:val="28"/>
          <w:rtl/>
        </w:rPr>
        <w:t xml:space="preserve">[شماره صفحه واقعی : 434]</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عمله غیر المرتبط بنقله و حدیثه، کما إذا ارتکب بعض الکبائر و أصرّ بالصغائر و لم یکن مرتبطا بالحدیث، و اخری یکون مربوطا بالحدیث و یعرف ذلک بملاحظة الکلمات الواردة فی حقّه. منها قولهم: مضطرب الحدیث و مختلط الحدیث، و لیس بنقیّ الحدیث، یعرف حدیثه و ینکر، غمز علیه فی حدیثه، أو فی بعض حدیثه، و لیس حدیثه بذاک النقی، و هل هذه الألفاظ قادحة فی العدالة أو لا، قال المحقّق البهبهانی: إنّ هذه الالفاظ و أمثالها لیست بظاهرة فی القدح فی العدالة لورود هذه الألفاظ فی حقّ أحمد بن محمّد ابن خالد و أحمد بن عمر</w:t>
      </w:r>
      <w:r>
        <w:rPr>
          <w:rStyle w:val="FootnoteReference"/>
        </w:rPr>
        <w:footnoteReference w:id="4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الکلام حول فرق الشیعة الّتی ربّما یوجب الانتماء إلی بعضها تضعیف الراوی و عدم الاعتماد علی نقله. بقیت هناک فوائد رجالیة لا تجتمع تحت عنوان واحد، نبحث عنها فی الخاتمة - إن شاء اللّه -.</w:t>
      </w:r>
    </w:p>
    <w:p>
      <w:pPr>
        <w:pStyle w:val="BookText"/>
      </w:pPr>
      <w:r>
        <w:rPr>
          <w:rFonts w:ascii="IRNazanin" w:hAnsi="IRNazanin" w:eastAsia="IRNazanin" w:cs="IRNazanin"/>
          <w:lang w:bidi="fa-IR"/>
          <w:color w:val="111111"/>
          <w:sz w:val="28"/>
          <w:szCs w:val="28"/>
          <w:rtl/>
        </w:rPr>
        <w:t xml:space="preserve">[شماره صفحه واقعی : 435]</w:t>
      </w:r>
    </w:p>
    <w:p>
      <w:pPr>
        <w:pStyle w:val="BookText"/>
      </w:pPr>
      <w:r>
        <w:rPr>
          <w:rFonts w:ascii="IRNazanin" w:hAnsi="IRNazanin" w:eastAsia="IRNazanin" w:cs="IRNazanin"/>
          <w:lang w:bidi="fa-IR"/>
          <w:color w:val="111111"/>
          <w:sz w:val="28"/>
          <w:szCs w:val="28"/>
          <w:rtl/>
        </w:rPr>
        <w:t xml:space="preserve">ص: 1153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436]</w:t>
      </w:r>
    </w:p>
    <w:p>
      <w:pPr>
        <w:pStyle w:val="BookText"/>
      </w:pPr>
      <w:r>
        <w:rPr>
          <w:rFonts w:ascii="IRNazanin" w:hAnsi="IRNazanin" w:eastAsia="IRNazanin" w:cs="IRNazanin"/>
          <w:lang w:bidi="fa-IR"/>
          <w:color w:val="111111"/>
          <w:sz w:val="28"/>
          <w:szCs w:val="28"/>
          <w:rtl/>
        </w:rPr>
        <w:t xml:space="preserve">ص: 1154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470" w:name="pg14419_167870"/>
    <w:bookmarkEnd w:id="470"/>
    <w:p>
      <w:pPr>
        <w:pStyle w:val="Heading4"/>
      </w:pPr>
      <w:bookmarkStart w:id="1426" w:name="_Toc866"/>
      <w:r>
        <w:t>خاتمة فی فوائد رجالیة</w:t>
      </w:r>
      <w:bookmarkEnd w:id="1426"/>
    </w:p>
    <w:p>
      <w:pPr>
        <w:pStyle w:val="Heading5"/>
      </w:pPr>
      <w:bookmarkStart w:id="1427" w:name="_Toc867"/>
      <w:r>
        <w:t>اشارة</w:t>
      </w:r>
      <w:bookmarkEnd w:id="1427"/>
    </w:p>
    <w:p>
      <w:pPr>
        <w:pStyle w:val="BookText"/>
      </w:pPr>
      <w:r>
        <w:rPr>
          <w:rFonts w:ascii="IRNazanin" w:hAnsi="IRNazanin" w:eastAsia="IRNazanin" w:cs="IRNazanin"/>
          <w:lang w:bidi="fa-IR"/>
          <w:color w:val="111111"/>
          <w:sz w:val="28"/>
          <w:szCs w:val="28"/>
          <w:rtl/>
        </w:rPr>
        <w:t xml:space="preserve">[شماره صفحه واقعی : 437]</w:t>
      </w:r>
    </w:p>
    <w:p>
      <w:pPr>
        <w:pStyle w:val="BookText"/>
      </w:pPr>
      <w:r>
        <w:rPr>
          <w:rFonts w:ascii="IRNazanin" w:hAnsi="IRNazanin" w:eastAsia="IRNazanin" w:cs="IRNazanin"/>
          <w:lang w:bidi="fa-IR"/>
          <w:color w:val="111111"/>
          <w:sz w:val="28"/>
          <w:szCs w:val="28"/>
          <w:rtl/>
        </w:rPr>
        <w:t xml:space="preserve">ص: 1155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438]</w:t>
      </w:r>
    </w:p>
    <w:p>
      <w:pPr>
        <w:pStyle w:val="BookText"/>
      </w:pPr>
      <w:r>
        <w:rPr>
          <w:rFonts w:ascii="IRNazanin" w:hAnsi="IRNazanin" w:eastAsia="IRNazanin" w:cs="IRNazanin"/>
          <w:lang w:bidi="fa-IR"/>
          <w:color w:val="111111"/>
          <w:sz w:val="28"/>
          <w:szCs w:val="28"/>
          <w:rtl/>
        </w:rPr>
        <w:t xml:space="preserve">ص: 1156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471" w:name="pg14419_167872"/>
    <w:bookmarkEnd w:id="471"/>
    <w:p>
      <w:pPr>
        <w:pStyle w:val="BookText"/>
      </w:pPr>
      <w:r>
        <w:rPr>
          <w:rFonts w:ascii="IRNazanin" w:hAnsi="IRNazanin" w:eastAsia="IRNazanin" w:cs="IRNazanin"/>
          <w:lang w:bidi="fa-IR"/>
          <w:color w:val="111111"/>
          <w:sz w:val="28"/>
          <w:szCs w:val="28"/>
          <w:rtl/>
        </w:rPr>
        <w:t xml:space="preserve">ان هناک فوائد رجالیة متفرّقة لا تدخل تحت ضابطة واحدة و قد ذکرها الرجالیون فی کتبهم و نحن نکتفی بما هو الأهمّ من تلک الفوائد، التی لا غنی للمستنبط عن الاطّلاع علیها.</w:t>
      </w:r>
    </w:p>
    <w:p>
      <w:pPr>
        <w:pStyle w:val="BookText"/>
      </w:pPr>
      <w:r>
        <w:rPr>
          <w:rFonts w:ascii="IRNazanin" w:hAnsi="IRNazanin" w:eastAsia="IRNazanin" w:cs="IRNazanin"/>
          <w:lang w:bidi="fa-IR"/>
          <w:color w:val="111111"/>
          <w:sz w:val="28"/>
          <w:szCs w:val="28"/>
          <w:rtl/>
        </w:rPr>
        <w:t xml:space="preserve">و لأجل تسهیل الأمر نأتی بکلّ واحدة منها تحت فائدة خاصّة، عسی أن ینتفع بها القاریء الکریم، بفضله و منّه سبحانه.</w:t>
      </w:r>
    </w:p>
    <w:p>
      <w:pPr>
        <w:pStyle w:val="Heading5"/>
      </w:pPr>
      <w:bookmarkStart w:id="1428" w:name="_Toc868"/>
      <w:r>
        <w:t>الفائدة الأولی</w:t>
      </w:r>
      <w:bookmarkEnd w:id="1428"/>
    </w:p>
    <w:p>
      <w:pPr>
        <w:pStyle w:val="BookText"/>
      </w:pPr>
      <w:r>
        <w:rPr>
          <w:rFonts w:ascii="IRNazanin" w:hAnsi="IRNazanin" w:eastAsia="IRNazanin" w:cs="IRNazanin"/>
          <w:lang w:bidi="fa-IR"/>
          <w:color w:val="111111"/>
          <w:sz w:val="28"/>
          <w:szCs w:val="28"/>
          <w:rtl/>
        </w:rPr>
        <w:t xml:space="preserve">روی أصحابنا فی کتب الأخبار عن رجال یذکرون تارة کناهم أو ألقابهم، و اخری ما اشتهروا به، و ثالثة أسماءهم غیر المعروفة عند الأکثر. فیعسر تحصیل أسمائهم و معرفة حالهم. لأنّ الغالب فی کتب الفهرس و الرجال سرد الرواة بأسمائهم المشهورة، و عدم الاعتناء بما وقع فی أسناد الروایات، کما هو الحال فی فهرس النّجاشی مثلا. و لا یخفی أنّ کلّ من له کنیة أو لقب، لا یصحّ التعبیر عنه بکنیته أو لقبه إلاّ إذا کان مشتهرا بواحد منهما بحیث کان عنوانه فی الکنی صحیحا کأبی جمیلة و أبی المغرا و غیرهم. و قد جمع العلاّمة فی خاتمة الخلاصة</w:t>
      </w:r>
      <w:r>
        <w:rPr>
          <w:rStyle w:val="FootnoteReference"/>
        </w:rPr>
        <w:footnoteReference w:id="4201"/>
      </w:r>
      <w:r>
        <w:rPr>
          <w:rFonts w:ascii="IRNazanin" w:hAnsi="IRNazanin" w:eastAsia="IRNazanin" w:cs="IRNazanin"/>
          <w:lang w:bidi="fa-IR"/>
          <w:color w:val="111111"/>
          <w:sz w:val="28"/>
          <w:szCs w:val="28"/>
          <w:rtl/>
        </w:rPr>
        <w:t xml:space="preserve">و ابن داود فی خاتمة القسم الأوّل من الرجال</w:t>
      </w:r>
      <w:r>
        <w:rPr>
          <w:rStyle w:val="FootnoteReference"/>
        </w:rPr>
        <w:footnoteReference w:id="4202"/>
      </w:r>
      <w:r>
        <w:rPr>
          <w:rFonts w:ascii="IRNazanin" w:hAnsi="IRNazanin" w:eastAsia="IRNazanin" w:cs="IRNazanin"/>
          <w:lang w:bidi="fa-IR"/>
          <w:color w:val="111111"/>
          <w:sz w:val="28"/>
          <w:szCs w:val="28"/>
          <w:rtl/>
        </w:rPr>
        <w:t xml:space="preserve">أکثر</w:t>
      </w:r>
    </w:p>
    <w:p>
      <w:pPr>
        <w:pStyle w:val="BookText"/>
      </w:pPr>
      <w:r>
        <w:rPr>
          <w:rFonts w:ascii="IRNazanin" w:hAnsi="IRNazanin" w:eastAsia="IRNazanin" w:cs="IRNazanin"/>
          <w:lang w:bidi="fa-IR"/>
          <w:color w:val="111111"/>
          <w:sz w:val="28"/>
          <w:szCs w:val="28"/>
          <w:rtl/>
        </w:rPr>
        <w:t xml:space="preserve">[شماره صفحه واقعی : 439]</w:t>
      </w:r>
    </w:p>
    <w:p>
      <w:pPr>
        <w:pStyle w:val="BookText"/>
      </w:pPr>
      <w:r>
        <w:rPr>
          <w:rFonts w:ascii="IRNazanin" w:hAnsi="IRNazanin" w:eastAsia="IRNazanin" w:cs="IRNazanin"/>
          <w:lang w:bidi="fa-IR"/>
          <w:color w:val="111111"/>
          <w:sz w:val="28"/>
          <w:szCs w:val="28"/>
          <w:rtl/>
        </w:rPr>
        <w:t xml:space="preserve">ص: 1157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المشهورین بالکنی، فذکر أسماءهم لیعلم المراد بهم إذا وردوا فی الأخبار</w:t>
      </w:r>
      <w:r>
        <w:rPr>
          <w:rStyle w:val="FootnoteReference"/>
        </w:rPr>
        <w:footnoteReference w:id="4203"/>
      </w:r>
      <w:r>
        <w:rPr>
          <w:rFonts w:ascii="IRNazanin" w:hAnsi="IRNazanin" w:eastAsia="IRNazanin" w:cs="IRNazanin"/>
          <w:lang w:bidi="fa-IR"/>
          <w:color w:val="111111"/>
          <w:sz w:val="28"/>
          <w:szCs w:val="28"/>
          <w:rtl/>
        </w:rPr>
        <w:t xml:space="preserve">و نحن نأتی بالأهمّ منهم مع ذکر أشخاص اخر لم یذکروا فی الکتابین مرتّبین علی حروف التهجی، مبتدئین بالکنی فالألقاب.</w:t>
      </w:r>
    </w:p>
    <w:p>
      <w:pPr>
        <w:pStyle w:val="BookText"/>
      </w:pPr>
      <w:r>
        <w:rPr>
          <w:rFonts w:ascii="IRNazanin" w:hAnsi="IRNazanin" w:eastAsia="IRNazanin" w:cs="IRNazanin"/>
          <w:lang w:bidi="fa-IR"/>
          <w:color w:val="111111"/>
          <w:sz w:val="28"/>
          <w:szCs w:val="28"/>
          <w:rtl/>
        </w:rPr>
        <w:t xml:space="preserve">1 - أبو أحمد الأزدی هو محمّد بن أبی عمیر.</w:t>
      </w:r>
    </w:p>
    <w:p>
      <w:pPr>
        <w:pStyle w:val="BookText"/>
      </w:pPr>
      <w:r>
        <w:rPr>
          <w:rFonts w:ascii="IRNazanin" w:hAnsi="IRNazanin" w:eastAsia="IRNazanin" w:cs="IRNazanin"/>
          <w:lang w:bidi="fa-IR"/>
          <w:color w:val="111111"/>
          <w:sz w:val="28"/>
          <w:szCs w:val="28"/>
          <w:rtl/>
        </w:rPr>
        <w:t xml:space="preserve">2 - أبو أیّوب الانصاری، اسمه خالد بن زید.</w:t>
      </w:r>
    </w:p>
    <w:p>
      <w:pPr>
        <w:pStyle w:val="BookText"/>
      </w:pPr>
      <w:r>
        <w:rPr>
          <w:rFonts w:ascii="IRNazanin" w:hAnsi="IRNazanin" w:eastAsia="IRNazanin" w:cs="IRNazanin"/>
          <w:lang w:bidi="fa-IR"/>
          <w:color w:val="111111"/>
          <w:sz w:val="28"/>
          <w:szCs w:val="28"/>
          <w:rtl/>
        </w:rPr>
        <w:t xml:space="preserve">3 - أبو أیّوب الخراز (بالراء المهملة قبل الالف و المعجمة بعدها) هو ابراهیم بن عیسی. و قیل عثمان</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بکر الحضرمی، اسمه عبد اللّه بن محمّد. قال العلامة:</w:t>
      </w:r>
    </w:p>
    <w:p>
      <w:pPr>
        <w:pStyle w:val="BookText"/>
      </w:pPr>
      <w:r>
        <w:rPr>
          <w:rFonts w:ascii="IRNazanin" w:hAnsi="IRNazanin" w:eastAsia="IRNazanin" w:cs="IRNazanin"/>
          <w:lang w:bidi="fa-IR"/>
          <w:color w:val="111111"/>
          <w:sz w:val="28"/>
          <w:szCs w:val="28"/>
          <w:rtl/>
        </w:rPr>
        <w:t xml:space="preserve">«أخذت ذلک من کتاب من لا یحضره الفقیه».</w:t>
      </w:r>
    </w:p>
    <w:p>
      <w:pPr>
        <w:pStyle w:val="BookText"/>
      </w:pPr>
      <w:r>
        <w:rPr>
          <w:rFonts w:ascii="IRNazanin" w:hAnsi="IRNazanin" w:eastAsia="IRNazanin" w:cs="IRNazanin"/>
          <w:lang w:bidi="fa-IR"/>
          <w:color w:val="111111"/>
          <w:sz w:val="28"/>
          <w:szCs w:val="28"/>
          <w:rtl/>
        </w:rPr>
        <w:t xml:space="preserve">5 - أبو البلاد، اسمه یحیی بن سلیم.</w:t>
      </w:r>
    </w:p>
    <w:p>
      <w:pPr>
        <w:pStyle w:val="BookText"/>
      </w:pPr>
      <w:r>
        <w:rPr>
          <w:rFonts w:ascii="IRNazanin" w:hAnsi="IRNazanin" w:eastAsia="IRNazanin" w:cs="IRNazanin"/>
          <w:lang w:bidi="fa-IR"/>
          <w:color w:val="111111"/>
          <w:sz w:val="28"/>
          <w:szCs w:val="28"/>
          <w:rtl/>
        </w:rPr>
        <w:t xml:space="preserve">6 - أبو جعفر، روی الشیخ و غیره فی کثیر من الأخبار عن «سعد بن عبد اللّه، عن أبی جعفر». و المراد بأبی جعفر هنا هو أحمد بن محمّد بن عیسی</w:t>
      </w:r>
      <w:r>
        <w:rPr>
          <w:rStyle w:val="FootnoteReference"/>
        </w:rPr>
        <w:footnoteReference w:id="4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جعفر الأحول، هو محمّد بن النعمان یلقب ب «مؤمن الطاق».</w:t>
      </w:r>
    </w:p>
    <w:p>
      <w:pPr>
        <w:pStyle w:val="BookText"/>
      </w:pPr>
      <w:r>
        <w:rPr>
          <w:rFonts w:ascii="IRNazanin" w:hAnsi="IRNazanin" w:eastAsia="IRNazanin" w:cs="IRNazanin"/>
          <w:lang w:bidi="fa-IR"/>
          <w:color w:val="111111"/>
          <w:sz w:val="28"/>
          <w:szCs w:val="28"/>
          <w:rtl/>
        </w:rPr>
        <w:t xml:space="preserve">8 - أبو جعفر الزیّات، اسمه محمّد بن الحسین بن أبی الخطّاب الهمدانی.</w:t>
      </w:r>
    </w:p>
    <w:p>
      <w:pPr>
        <w:pStyle w:val="BookText"/>
      </w:pPr>
      <w:r>
        <w:rPr>
          <w:rFonts w:ascii="IRNazanin" w:hAnsi="IRNazanin" w:eastAsia="IRNazanin" w:cs="IRNazanin"/>
          <w:lang w:bidi="fa-IR"/>
          <w:color w:val="111111"/>
          <w:sz w:val="28"/>
          <w:szCs w:val="28"/>
          <w:rtl/>
        </w:rPr>
        <w:t xml:space="preserve">[شماره صفحه واقعی : 440]</w:t>
      </w:r>
    </w:p>
    <w:p>
      <w:pPr>
        <w:pStyle w:val="BookText"/>
      </w:pPr>
      <w:r>
        <w:rPr>
          <w:rFonts w:ascii="IRNazanin" w:hAnsi="IRNazanin" w:eastAsia="IRNazanin" w:cs="IRNazanin"/>
          <w:lang w:bidi="fa-IR"/>
          <w:color w:val="111111"/>
          <w:sz w:val="28"/>
          <w:szCs w:val="28"/>
          <w:rtl/>
        </w:rPr>
        <w:t xml:space="preserve">ص: 1158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أبو جعفر الرواسی، اسمه محمّد بن الحسن بن أبی سارة.</w:t>
      </w:r>
    </w:p>
    <w:p>
      <w:pPr>
        <w:pStyle w:val="BookText"/>
      </w:pPr>
      <w:r>
        <w:rPr>
          <w:rFonts w:ascii="IRNazanin" w:hAnsi="IRNazanin" w:eastAsia="IRNazanin" w:cs="IRNazanin"/>
          <w:lang w:bidi="fa-IR"/>
          <w:color w:val="111111"/>
          <w:sz w:val="28"/>
          <w:szCs w:val="28"/>
          <w:rtl/>
        </w:rPr>
        <w:t xml:space="preserve">10 - أبو جمیلة هو المفضّل بن صالح السکونی.</w:t>
      </w:r>
    </w:p>
    <w:p>
      <w:pPr>
        <w:pStyle w:val="BookText"/>
      </w:pPr>
      <w:r>
        <w:rPr>
          <w:rFonts w:ascii="IRNazanin" w:hAnsi="IRNazanin" w:eastAsia="IRNazanin" w:cs="IRNazanin"/>
          <w:lang w:bidi="fa-IR"/>
          <w:color w:val="111111"/>
          <w:sz w:val="28"/>
          <w:szCs w:val="28"/>
          <w:rtl/>
        </w:rPr>
        <w:t xml:space="preserve">11 - أبو الجوزاء، هو منبّه بن عبد اللّه.</w:t>
      </w:r>
    </w:p>
    <w:p>
      <w:pPr>
        <w:pStyle w:val="BookText"/>
      </w:pPr>
      <w:r>
        <w:rPr>
          <w:rFonts w:ascii="IRNazanin" w:hAnsi="IRNazanin" w:eastAsia="IRNazanin" w:cs="IRNazanin"/>
          <w:lang w:bidi="fa-IR"/>
          <w:color w:val="111111"/>
          <w:sz w:val="28"/>
          <w:szCs w:val="28"/>
          <w:rtl/>
        </w:rPr>
        <w:t xml:space="preserve">12 - أبو الجیش، اسمه مظفّر بن محمّد بن أحمد البلخی.</w:t>
      </w:r>
    </w:p>
    <w:p>
      <w:pPr>
        <w:pStyle w:val="BookText"/>
      </w:pPr>
      <w:r>
        <w:rPr>
          <w:rFonts w:ascii="IRNazanin" w:hAnsi="IRNazanin" w:eastAsia="IRNazanin" w:cs="IRNazanin"/>
          <w:lang w:bidi="fa-IR"/>
          <w:color w:val="111111"/>
          <w:sz w:val="28"/>
          <w:szCs w:val="28"/>
          <w:rtl/>
        </w:rPr>
        <w:t xml:space="preserve">13 - أبو حمران، اسمه موسی بن إبراهیم المروزی.</w:t>
      </w:r>
    </w:p>
    <w:p>
      <w:pPr>
        <w:pStyle w:val="BookText"/>
      </w:pPr>
      <w:r>
        <w:rPr>
          <w:rFonts w:ascii="IRNazanin" w:hAnsi="IRNazanin" w:eastAsia="IRNazanin" w:cs="IRNazanin"/>
          <w:lang w:bidi="fa-IR"/>
          <w:color w:val="111111"/>
          <w:sz w:val="28"/>
          <w:szCs w:val="28"/>
          <w:rtl/>
        </w:rPr>
        <w:t xml:space="preserve">14 - أبو حمزة الثمالی، اسمه ثابت بن أبی صفیّة دینار.</w:t>
      </w:r>
    </w:p>
    <w:p>
      <w:pPr>
        <w:pStyle w:val="BookText"/>
      </w:pPr>
      <w:r>
        <w:rPr>
          <w:rFonts w:ascii="IRNazanin" w:hAnsi="IRNazanin" w:eastAsia="IRNazanin" w:cs="IRNazanin"/>
          <w:lang w:bidi="fa-IR"/>
          <w:color w:val="111111"/>
          <w:sz w:val="28"/>
          <w:szCs w:val="28"/>
          <w:rtl/>
        </w:rPr>
        <w:t xml:space="preserve">15 - أبو حنیفة سائق الحاج، اسمه سعید بن بیان</w:t>
      </w:r>
      <w:r>
        <w:rPr>
          <w:rStyle w:val="FootnoteReference"/>
        </w:rPr>
        <w:footnoteReference w:id="4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أبو خالد القمّاط، اسمه یزید</w:t>
      </w:r>
      <w:r>
        <w:rPr>
          <w:rStyle w:val="FootnoteReference"/>
        </w:rPr>
        <w:footnoteReference w:id="4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أبو خدیجة، هو سالم بن مکرم.</w:t>
      </w:r>
    </w:p>
    <w:p>
      <w:pPr>
        <w:pStyle w:val="BookText"/>
      </w:pPr>
      <w:r>
        <w:rPr>
          <w:rFonts w:ascii="IRNazanin" w:hAnsi="IRNazanin" w:eastAsia="IRNazanin" w:cs="IRNazanin"/>
          <w:lang w:bidi="fa-IR"/>
          <w:color w:val="111111"/>
          <w:sz w:val="28"/>
          <w:szCs w:val="28"/>
          <w:rtl/>
        </w:rPr>
        <w:t xml:space="preserve">18 - أبو الخطّاب. ملعون، اسمه محمّد بن مقلاص، یکّنی أیضا أبو إسماعیل و أبو الظبیان</w:t>
      </w:r>
      <w:r>
        <w:rPr>
          <w:rStyle w:val="FootnoteReference"/>
        </w:rPr>
        <w:footnoteReference w:id="4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ابو داود المسترقّ (بتشدید القاف) المنشد، اسمه سلیمان بن سفیان. قال ابن داود: «انّما سمّی المسترق لأنّه کان یسترقّ الناس بشعر السید الحمیری».</w:t>
      </w:r>
    </w:p>
    <w:p>
      <w:pPr>
        <w:pStyle w:val="BookText"/>
      </w:pPr>
      <w:r>
        <w:rPr>
          <w:rFonts w:ascii="IRNazanin" w:hAnsi="IRNazanin" w:eastAsia="IRNazanin" w:cs="IRNazanin"/>
          <w:lang w:bidi="fa-IR"/>
          <w:color w:val="111111"/>
          <w:sz w:val="28"/>
          <w:szCs w:val="28"/>
          <w:rtl/>
        </w:rPr>
        <w:t xml:space="preserve">20 - أبو الربیع الشامی، اسمه خلید بن أوفی.</w:t>
      </w:r>
    </w:p>
    <w:p>
      <w:pPr>
        <w:pStyle w:val="BookText"/>
      </w:pPr>
      <w:r>
        <w:rPr>
          <w:rFonts w:ascii="IRNazanin" w:hAnsi="IRNazanin" w:eastAsia="IRNazanin" w:cs="IRNazanin"/>
          <w:lang w:bidi="fa-IR"/>
          <w:color w:val="111111"/>
          <w:sz w:val="28"/>
          <w:szCs w:val="28"/>
          <w:rtl/>
        </w:rPr>
        <w:t xml:space="preserve">[شماره صفحه واقعی : 441]</w:t>
      </w:r>
    </w:p>
    <w:p>
      <w:pPr>
        <w:pStyle w:val="BookText"/>
      </w:pPr>
      <w:r>
        <w:rPr>
          <w:rFonts w:ascii="IRNazanin" w:hAnsi="IRNazanin" w:eastAsia="IRNazanin" w:cs="IRNazanin"/>
          <w:lang w:bidi="fa-IR"/>
          <w:color w:val="111111"/>
          <w:sz w:val="28"/>
          <w:szCs w:val="28"/>
          <w:rtl/>
        </w:rPr>
        <w:t xml:space="preserve">ص: 1159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أبو سعید القمّاط، هو خالد بن سعید.</w:t>
      </w:r>
    </w:p>
    <w:p>
      <w:pPr>
        <w:pStyle w:val="BookText"/>
      </w:pPr>
      <w:r>
        <w:rPr>
          <w:rFonts w:ascii="IRNazanin" w:hAnsi="IRNazanin" w:eastAsia="IRNazanin" w:cs="IRNazanin"/>
          <w:lang w:bidi="fa-IR"/>
          <w:color w:val="111111"/>
          <w:sz w:val="28"/>
          <w:szCs w:val="28"/>
          <w:rtl/>
        </w:rPr>
        <w:t xml:space="preserve">22 - أبو سمینة، اسمه محمّد بن علیّ بن إبراهیم القرشی.</w:t>
      </w:r>
    </w:p>
    <w:p>
      <w:pPr>
        <w:pStyle w:val="BookText"/>
      </w:pPr>
      <w:r>
        <w:rPr>
          <w:rFonts w:ascii="IRNazanin" w:hAnsi="IRNazanin" w:eastAsia="IRNazanin" w:cs="IRNazanin"/>
          <w:lang w:bidi="fa-IR"/>
          <w:color w:val="111111"/>
          <w:sz w:val="28"/>
          <w:szCs w:val="28"/>
          <w:rtl/>
        </w:rPr>
        <w:t xml:space="preserve">23 - أبو الصباح الکنانی، اسمه إبراهیم بن نعیم العبدی.</w:t>
      </w:r>
    </w:p>
    <w:p>
      <w:pPr>
        <w:pStyle w:val="BookText"/>
      </w:pPr>
      <w:r>
        <w:rPr>
          <w:rFonts w:ascii="IRNazanin" w:hAnsi="IRNazanin" w:eastAsia="IRNazanin" w:cs="IRNazanin"/>
          <w:lang w:bidi="fa-IR"/>
          <w:color w:val="111111"/>
          <w:sz w:val="28"/>
          <w:szCs w:val="28"/>
          <w:rtl/>
        </w:rPr>
        <w:t xml:space="preserve">24 - أبو علی الأشعری، اسمه محمّد بن عیسی بن عبد اللّه بن سعد بن مالک، شیخ القمیین، من أصحاب الرضا و أبی جعفر الثانی - علیهما السلام -.</w:t>
      </w:r>
    </w:p>
    <w:p>
      <w:pPr>
        <w:pStyle w:val="BookText"/>
      </w:pPr>
      <w:r>
        <w:rPr>
          <w:rFonts w:ascii="IRNazanin" w:hAnsi="IRNazanin" w:eastAsia="IRNazanin" w:cs="IRNazanin"/>
          <w:lang w:bidi="fa-IR"/>
          <w:color w:val="111111"/>
          <w:sz w:val="28"/>
          <w:szCs w:val="28"/>
          <w:rtl/>
        </w:rPr>
        <w:t xml:space="preserve">25 - أبو علی الأشعری القمی، اسمه أحمد بن إدریس، من مشایخ أبی جعفر الکلینی. مات سنة 306 بالقرعاء.</w:t>
      </w:r>
    </w:p>
    <w:p>
      <w:pPr>
        <w:pStyle w:val="BookText"/>
      </w:pPr>
      <w:r>
        <w:rPr>
          <w:rFonts w:ascii="IRNazanin" w:hAnsi="IRNazanin" w:eastAsia="IRNazanin" w:cs="IRNazanin"/>
          <w:lang w:bidi="fa-IR"/>
          <w:color w:val="111111"/>
          <w:sz w:val="28"/>
          <w:szCs w:val="28"/>
          <w:rtl/>
        </w:rPr>
        <w:t xml:space="preserve">26 - أبو عبیدة الحذّاء اسمه زیاد بن عیسی.</w:t>
      </w:r>
    </w:p>
    <w:p>
      <w:pPr>
        <w:pStyle w:val="BookText"/>
      </w:pPr>
      <w:r>
        <w:rPr>
          <w:rFonts w:ascii="IRNazanin" w:hAnsi="IRNazanin" w:eastAsia="IRNazanin" w:cs="IRNazanin"/>
          <w:lang w:bidi="fa-IR"/>
          <w:color w:val="111111"/>
          <w:sz w:val="28"/>
          <w:szCs w:val="28"/>
          <w:rtl/>
        </w:rPr>
        <w:t xml:space="preserve">27 - أبو غالب الزراری، اسمه أحمد بن محمّد بن سلیمان.</w:t>
      </w:r>
    </w:p>
    <w:p>
      <w:pPr>
        <w:pStyle w:val="BookText"/>
      </w:pPr>
      <w:r>
        <w:rPr>
          <w:rFonts w:ascii="IRNazanin" w:hAnsi="IRNazanin" w:eastAsia="IRNazanin" w:cs="IRNazanin"/>
          <w:lang w:bidi="fa-IR"/>
          <w:color w:val="111111"/>
          <w:sz w:val="28"/>
          <w:szCs w:val="28"/>
          <w:rtl/>
        </w:rPr>
        <w:t xml:space="preserve">28 - أبو الفضل الحنّاط اسمه سالم.</w:t>
      </w:r>
    </w:p>
    <w:p>
      <w:pPr>
        <w:pStyle w:val="BookText"/>
      </w:pPr>
      <w:r>
        <w:rPr>
          <w:rFonts w:ascii="IRNazanin" w:hAnsi="IRNazanin" w:eastAsia="IRNazanin" w:cs="IRNazanin"/>
          <w:lang w:bidi="fa-IR"/>
          <w:color w:val="111111"/>
          <w:sz w:val="28"/>
          <w:szCs w:val="28"/>
          <w:rtl/>
        </w:rPr>
        <w:t xml:space="preserve">29 - أبو القاسم. قال العلاّمة: «یرد فی بعض الاخبار: الحسن بن محبوب، عن أبی القاسم. و المراد به معاویة بن عمّار»</w:t>
      </w:r>
      <w:r>
        <w:rPr>
          <w:rStyle w:val="FootnoteReference"/>
        </w:rPr>
        <w:footnoteReference w:id="4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أبو المغرا، اسمه حمید بن المثنّی</w:t>
      </w:r>
      <w:r>
        <w:rPr>
          <w:rStyle w:val="FootnoteReference"/>
        </w:rPr>
        <w:footnoteReference w:id="4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أبو ولاّد الحناط، اسمه حفص بن سالم.</w:t>
      </w:r>
    </w:p>
    <w:p>
      <w:pPr>
        <w:pStyle w:val="BookText"/>
      </w:pPr>
      <w:r>
        <w:rPr>
          <w:rFonts w:ascii="IRNazanin" w:hAnsi="IRNazanin" w:eastAsia="IRNazanin" w:cs="IRNazanin"/>
          <w:lang w:bidi="fa-IR"/>
          <w:color w:val="111111"/>
          <w:sz w:val="28"/>
          <w:szCs w:val="28"/>
          <w:rtl/>
        </w:rPr>
        <w:t xml:space="preserve">32 - أبو هاشم الجعفری، اسمه داود بن القاسم بن إسحاق.</w:t>
      </w:r>
    </w:p>
    <w:p>
      <w:pPr>
        <w:pStyle w:val="BookText"/>
      </w:pPr>
      <w:r>
        <w:rPr>
          <w:rFonts w:ascii="IRNazanin" w:hAnsi="IRNazanin" w:eastAsia="IRNazanin" w:cs="IRNazanin"/>
          <w:lang w:bidi="fa-IR"/>
          <w:color w:val="111111"/>
          <w:sz w:val="28"/>
          <w:szCs w:val="28"/>
          <w:rtl/>
        </w:rPr>
        <w:t xml:space="preserve">33 - أبو همّام، اسمه إسماعیل بن همّام.</w:t>
      </w:r>
    </w:p>
    <w:p>
      <w:pPr>
        <w:pStyle w:val="BookText"/>
      </w:pPr>
      <w:r>
        <w:rPr>
          <w:rFonts w:ascii="IRNazanin" w:hAnsi="IRNazanin" w:eastAsia="IRNazanin" w:cs="IRNazanin"/>
          <w:lang w:bidi="fa-IR"/>
          <w:color w:val="111111"/>
          <w:sz w:val="28"/>
          <w:szCs w:val="28"/>
          <w:rtl/>
        </w:rPr>
        <w:t xml:space="preserve">[شماره صفحه واقعی : 442]</w:t>
      </w:r>
    </w:p>
    <w:p>
      <w:pPr>
        <w:pStyle w:val="BookText"/>
      </w:pPr>
      <w:r>
        <w:rPr>
          <w:rFonts w:ascii="IRNazanin" w:hAnsi="IRNazanin" w:eastAsia="IRNazanin" w:cs="IRNazanin"/>
          <w:lang w:bidi="fa-IR"/>
          <w:color w:val="111111"/>
          <w:sz w:val="28"/>
          <w:szCs w:val="28"/>
          <w:rtl/>
        </w:rPr>
        <w:t xml:space="preserve">ص: 1160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ابن حمدون الکاتب، هو أحمد بن إبراهیم بن إسماعیل.</w:t>
      </w:r>
    </w:p>
    <w:p>
      <w:pPr>
        <w:pStyle w:val="BookText"/>
      </w:pPr>
      <w:r>
        <w:rPr>
          <w:rFonts w:ascii="IRNazanin" w:hAnsi="IRNazanin" w:eastAsia="IRNazanin" w:cs="IRNazanin"/>
          <w:lang w:bidi="fa-IR"/>
          <w:color w:val="111111"/>
          <w:sz w:val="28"/>
          <w:szCs w:val="28"/>
          <w:rtl/>
        </w:rPr>
        <w:t xml:space="preserve">35 - ابن عقدة، اسمه أحمد بن محمّد بن سعید (المتوفّی عام 333).</w:t>
      </w:r>
    </w:p>
    <w:p>
      <w:pPr>
        <w:pStyle w:val="BookText"/>
      </w:pPr>
      <w:r>
        <w:rPr>
          <w:rFonts w:ascii="IRNazanin" w:hAnsi="IRNazanin" w:eastAsia="IRNazanin" w:cs="IRNazanin"/>
          <w:lang w:bidi="fa-IR"/>
          <w:color w:val="111111"/>
          <w:sz w:val="28"/>
          <w:szCs w:val="28"/>
          <w:rtl/>
        </w:rPr>
        <w:t xml:space="preserve">36 - البزوفری، اسمه الحسین بن علیّ بن سفیان.</w:t>
      </w:r>
    </w:p>
    <w:p>
      <w:pPr>
        <w:pStyle w:val="BookText"/>
      </w:pPr>
      <w:r>
        <w:rPr>
          <w:rFonts w:ascii="IRNazanin" w:hAnsi="IRNazanin" w:eastAsia="IRNazanin" w:cs="IRNazanin"/>
          <w:lang w:bidi="fa-IR"/>
          <w:color w:val="111111"/>
          <w:sz w:val="28"/>
          <w:szCs w:val="28"/>
          <w:rtl/>
        </w:rPr>
        <w:t xml:space="preserve">37 - البقباق، اسمه الفضل بن عبد الملک.</w:t>
      </w:r>
    </w:p>
    <w:p>
      <w:pPr>
        <w:pStyle w:val="BookText"/>
      </w:pPr>
      <w:r>
        <w:rPr>
          <w:rFonts w:ascii="IRNazanin" w:hAnsi="IRNazanin" w:eastAsia="IRNazanin" w:cs="IRNazanin"/>
          <w:lang w:bidi="fa-IR"/>
          <w:color w:val="111111"/>
          <w:sz w:val="28"/>
          <w:szCs w:val="28"/>
          <w:rtl/>
        </w:rPr>
        <w:t xml:space="preserve">38 - الحجّال، اسمه عبد اللّه بن محمّد الأسدی</w:t>
      </w:r>
      <w:r>
        <w:rPr>
          <w:rStyle w:val="FootnoteReference"/>
        </w:rPr>
        <w:footnoteReference w:id="4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الخشّاب، اسمه الحسن بن موسی.</w:t>
      </w:r>
    </w:p>
    <w:p>
      <w:pPr>
        <w:pStyle w:val="BookText"/>
      </w:pPr>
      <w:r>
        <w:rPr>
          <w:rFonts w:ascii="IRNazanin" w:hAnsi="IRNazanin" w:eastAsia="IRNazanin" w:cs="IRNazanin"/>
          <w:lang w:bidi="fa-IR"/>
          <w:color w:val="111111"/>
          <w:sz w:val="28"/>
          <w:szCs w:val="28"/>
          <w:rtl/>
        </w:rPr>
        <w:t xml:space="preserve">40 - سجّادة، اسمه الحسن بن أبی عثمان.</w:t>
      </w:r>
    </w:p>
    <w:p>
      <w:pPr>
        <w:pStyle w:val="BookText"/>
      </w:pPr>
      <w:r>
        <w:rPr>
          <w:rFonts w:ascii="IRNazanin" w:hAnsi="IRNazanin" w:eastAsia="IRNazanin" w:cs="IRNazanin"/>
          <w:lang w:bidi="fa-IR"/>
          <w:color w:val="111111"/>
          <w:sz w:val="28"/>
          <w:szCs w:val="28"/>
          <w:rtl/>
        </w:rPr>
        <w:t xml:space="preserve">41 - السمکة، اسمه أحمد بن إسماعیل.</w:t>
      </w:r>
    </w:p>
    <w:p>
      <w:pPr>
        <w:pStyle w:val="BookText"/>
      </w:pPr>
      <w:r>
        <w:rPr>
          <w:rFonts w:ascii="IRNazanin" w:hAnsi="IRNazanin" w:eastAsia="IRNazanin" w:cs="IRNazanin"/>
          <w:lang w:bidi="fa-IR"/>
          <w:color w:val="111111"/>
          <w:sz w:val="28"/>
          <w:szCs w:val="28"/>
          <w:rtl/>
        </w:rPr>
        <w:t xml:space="preserve">42 - الشاذانی هو محمّد بن أحمد بن نعیم.</w:t>
      </w:r>
    </w:p>
    <w:p>
      <w:pPr>
        <w:pStyle w:val="BookText"/>
      </w:pPr>
      <w:r>
        <w:rPr>
          <w:rFonts w:ascii="IRNazanin" w:hAnsi="IRNazanin" w:eastAsia="IRNazanin" w:cs="IRNazanin"/>
          <w:lang w:bidi="fa-IR"/>
          <w:color w:val="111111"/>
          <w:sz w:val="28"/>
          <w:szCs w:val="28"/>
          <w:rtl/>
        </w:rPr>
        <w:t xml:space="preserve">43 - الصفوانی، اسمه محمّد بن أحمد بن عبد اللّه بن قضاعة</w:t>
      </w:r>
      <w:r>
        <w:rPr>
          <w:rStyle w:val="FootnoteReference"/>
        </w:rPr>
        <w:footnoteReference w:id="4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 الطاطری، اسمه علیّ بن الحسن بن محمّد الطائی.</w:t>
      </w:r>
    </w:p>
    <w:p>
      <w:pPr>
        <w:pStyle w:val="BookText"/>
      </w:pPr>
      <w:r>
        <w:rPr>
          <w:rFonts w:ascii="IRNazanin" w:hAnsi="IRNazanin" w:eastAsia="IRNazanin" w:cs="IRNazanin"/>
          <w:lang w:bidi="fa-IR"/>
          <w:color w:val="111111"/>
          <w:sz w:val="28"/>
          <w:szCs w:val="28"/>
          <w:rtl/>
        </w:rPr>
        <w:t xml:space="preserve">45 - علاّن، اسمه علیّ بن محمّد بن إبراهیم الکلینی.</w:t>
      </w:r>
    </w:p>
    <w:p>
      <w:pPr>
        <w:pStyle w:val="BookText"/>
      </w:pPr>
      <w:r>
        <w:rPr>
          <w:rFonts w:ascii="IRNazanin" w:hAnsi="IRNazanin" w:eastAsia="IRNazanin" w:cs="IRNazanin"/>
          <w:lang w:bidi="fa-IR"/>
          <w:color w:val="111111"/>
          <w:sz w:val="28"/>
          <w:szCs w:val="28"/>
          <w:rtl/>
        </w:rPr>
        <w:t xml:space="preserve">46 - القلانسی أبو جعفر، هو محمّد بن أحمد بن خاقان (حمدان النهدی).</w:t>
      </w:r>
    </w:p>
    <w:p>
      <w:pPr>
        <w:pStyle w:val="BookText"/>
      </w:pPr>
      <w:r>
        <w:rPr>
          <w:rFonts w:ascii="IRNazanin" w:hAnsi="IRNazanin" w:eastAsia="IRNazanin" w:cs="IRNazanin"/>
          <w:lang w:bidi="fa-IR"/>
          <w:color w:val="111111"/>
          <w:sz w:val="28"/>
          <w:szCs w:val="28"/>
          <w:rtl/>
        </w:rPr>
        <w:t xml:space="preserve">47 - القلانسی أبو عبد اللّه، هو الحسین بن مختار.</w:t>
      </w:r>
    </w:p>
    <w:p>
      <w:pPr>
        <w:pStyle w:val="BookText"/>
      </w:pPr>
      <w:r>
        <w:rPr>
          <w:rFonts w:ascii="IRNazanin" w:hAnsi="IRNazanin" w:eastAsia="IRNazanin" w:cs="IRNazanin"/>
          <w:lang w:bidi="fa-IR"/>
          <w:color w:val="111111"/>
          <w:sz w:val="28"/>
          <w:szCs w:val="28"/>
          <w:rtl/>
        </w:rPr>
        <w:t xml:space="preserve">48 - النوفلی، اسمه الحسین بن یزید. یروی عن السکونی.</w:t>
      </w:r>
    </w:p>
    <w:p>
      <w:pPr>
        <w:pStyle w:val="BookText"/>
      </w:pPr>
      <w:r>
        <w:rPr>
          <w:rFonts w:ascii="IRNazanin" w:hAnsi="IRNazanin" w:eastAsia="IRNazanin" w:cs="IRNazanin"/>
          <w:lang w:bidi="fa-IR"/>
          <w:color w:val="111111"/>
          <w:sz w:val="28"/>
          <w:szCs w:val="28"/>
          <w:rtl/>
        </w:rPr>
        <w:t xml:space="preserve">[شماره صفحه واقعی : 443]</w:t>
      </w:r>
    </w:p>
    <w:p>
      <w:pPr>
        <w:pStyle w:val="BookText"/>
      </w:pPr>
      <w:r>
        <w:rPr>
          <w:rFonts w:ascii="IRNazanin" w:hAnsi="IRNazanin" w:eastAsia="IRNazanin" w:cs="IRNazanin"/>
          <w:lang w:bidi="fa-IR"/>
          <w:color w:val="111111"/>
          <w:sz w:val="28"/>
          <w:szCs w:val="28"/>
          <w:rtl/>
        </w:rPr>
        <w:t xml:space="preserve">ص: 1161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472" w:name="pg14419_167877"/>
    <w:bookmarkEnd w:id="472"/>
    <w:p>
      <w:pPr>
        <w:pStyle w:val="BookText"/>
      </w:pPr>
      <w:r>
        <w:rPr>
          <w:rFonts w:ascii="IRNazanin" w:hAnsi="IRNazanin" w:eastAsia="IRNazanin" w:cs="IRNazanin"/>
          <w:lang w:bidi="fa-IR"/>
          <w:color w:val="111111"/>
          <w:sz w:val="28"/>
          <w:szCs w:val="28"/>
          <w:rtl/>
        </w:rPr>
        <w:t xml:space="preserve">49 - الوشّاء، اسمه الحسن بن علیّ بن زیاد.</w:t>
      </w:r>
    </w:p>
    <w:p>
      <w:pPr>
        <w:pStyle w:val="BookText"/>
      </w:pPr>
      <w:r>
        <w:rPr>
          <w:rFonts w:ascii="IRNazanin" w:hAnsi="IRNazanin" w:eastAsia="IRNazanin" w:cs="IRNazanin"/>
          <w:lang w:bidi="fa-IR"/>
          <w:color w:val="111111"/>
          <w:sz w:val="28"/>
          <w:szCs w:val="28"/>
          <w:rtl/>
        </w:rPr>
        <w:t xml:space="preserve">50 - حمدان النهدی، اسمه محمّد بن أحمد بن خاقان.</w:t>
      </w:r>
    </w:p>
    <w:p>
      <w:pPr>
        <w:pStyle w:val="BookText"/>
      </w:pPr>
      <w:r>
        <w:rPr>
          <w:rFonts w:ascii="IRNazanin" w:hAnsi="IRNazanin" w:eastAsia="IRNazanin" w:cs="IRNazanin"/>
          <w:lang w:bidi="fa-IR"/>
          <w:color w:val="111111"/>
          <w:sz w:val="28"/>
          <w:szCs w:val="28"/>
          <w:rtl/>
        </w:rPr>
        <w:t xml:space="preserve">51 - محمّد بن زیاد الأزدی هو محمّد بن أبی عمیر.</w:t>
      </w:r>
    </w:p>
    <w:p>
      <w:pPr>
        <w:pStyle w:val="BookText"/>
      </w:pPr>
      <w:r>
        <w:rPr>
          <w:rFonts w:ascii="IRNazanin" w:hAnsi="IRNazanin" w:eastAsia="IRNazanin" w:cs="IRNazanin"/>
          <w:lang w:bidi="fa-IR"/>
          <w:color w:val="111111"/>
          <w:sz w:val="28"/>
          <w:szCs w:val="28"/>
          <w:rtl/>
        </w:rPr>
        <w:t xml:space="preserve">52 - محمد بن زیاد البزاز، متّحد مع ما قبله.</w:t>
      </w:r>
    </w:p>
    <w:p>
      <w:pPr>
        <w:pStyle w:val="Heading5"/>
      </w:pPr>
      <w:bookmarkStart w:id="1429" w:name="_Toc869"/>
      <w:r>
        <w:t>الفائدة الثانیة</w:t>
      </w:r>
      <w:bookmarkEnd w:id="1429"/>
    </w:p>
    <w:p>
      <w:pPr>
        <w:pStyle w:val="BookText"/>
      </w:pPr>
      <w:r>
        <w:rPr>
          <w:rFonts w:ascii="IRNazanin" w:hAnsi="IRNazanin" w:eastAsia="IRNazanin" w:cs="IRNazanin"/>
          <w:lang w:bidi="fa-IR"/>
          <w:color w:val="111111"/>
          <w:sz w:val="28"/>
          <w:szCs w:val="28"/>
          <w:rtl/>
        </w:rPr>
        <w:t xml:space="preserve">توجد فی کثیر من طرق الکافی لا سیّما فی أوائلها، عبارة «عدّة من أصحابنا» بعنوان مطلق، مع ذکر بعضهم أحیانا. کما فی الحدیث الأوّل من کتاب العقل و الجهل: «عدّة من اصحابنا منهم محمّد بن یحیی العطار، عن أحمد بن محمّد، عن الحسن بن محبوب...»</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فی الحدیث الثانی من باب «أنّ الائمة - علیهم السلام - یعلمون علم ما کان و علم ما یکون...» من کتاب الحجّة: «عدّة من أصحابنا، عن أحمد بن محمّد، عن محمّد بن سنان، عن یونس بن یعقوب، عن الحارث بن المغیرة، و عدّة من أصحابنا، منهم عبد الأعلی، و أبو عبیدة، و عبد اللّه بن بشر الخثعمی، سمعوا أبا عبد اللّه - علیه السلام -...»</w:t>
      </w:r>
      <w:r>
        <w:rPr>
          <w:rStyle w:val="FootnoteReference"/>
        </w:rPr>
        <w:footnoteReference w:id="4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فوقع البحث عند المحدّثین و الرجالیّین قدیما و حدیثا فی تعیین المراد منهم، کما بحثوا فی أنّه هل یجب معرفة أسمائهم و تمییز ما ابهم منهم لأجل الحکم بصحّة الحدیث أو عدم صحّته أو لا یجب ذلک، و أنّ الطریق المذکور فیه «عدّة من أصحابنا» لیس مرسلا أو ضعیفا من هذه الجهة؟ حتّی إنّ بعضهم أفرد رسالة مستقلّة حول المذکورین بهذا العنوان، کما حکی فی المستدرک</w:t>
      </w:r>
      <w:r>
        <w:rPr>
          <w:rStyle w:val="FootnoteReference"/>
        </w:rPr>
        <w:footnoteReference w:id="4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444]</w:t>
      </w:r>
    </w:p>
    <w:p>
      <w:pPr>
        <w:pStyle w:val="BookText"/>
      </w:pPr>
      <w:r>
        <w:rPr>
          <w:rFonts w:ascii="IRNazanin" w:hAnsi="IRNazanin" w:eastAsia="IRNazanin" w:cs="IRNazanin"/>
          <w:lang w:bidi="fa-IR"/>
          <w:color w:val="111111"/>
          <w:sz w:val="28"/>
          <w:szCs w:val="28"/>
          <w:rtl/>
        </w:rPr>
        <w:t xml:space="preserve">ص: 1162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نذکر ملخّص ما قیل فی هذا المضمار لما فیه من الفوائد فنقول:</w:t>
      </w:r>
    </w:p>
    <w:p>
      <w:pPr>
        <w:pStyle w:val="BookText"/>
      </w:pPr>
      <w:r>
        <w:rPr>
          <w:rFonts w:ascii="IRNazanin" w:hAnsi="IRNazanin" w:eastAsia="IRNazanin" w:cs="IRNazanin"/>
          <w:lang w:bidi="fa-IR"/>
          <w:color w:val="111111"/>
          <w:sz w:val="28"/>
          <w:szCs w:val="28"/>
          <w:rtl/>
        </w:rPr>
        <w:t xml:space="preserve">حکی النّجاشی - رحمه اللّه - فی کتابه عند ترجمة أبی جعفر محمّد بن یعقوب الکلینی هذه العبارة عنه «کلّ ما کان فی کتابی: «عدّة من أصحابنا، عن أحمد بن محمّد بن عیسی» فیهم: محمّد بن یحیی (العطّار) و علیّ بن موسی الکمیذانی و داود بن کورة، و أحمد بن إدریس، و علیّ بن إبراهیم بن هاشم»</w:t>
      </w:r>
      <w:r>
        <w:rPr>
          <w:rStyle w:val="FootnoteReference"/>
        </w:rPr>
        <w:footnoteReference w:id="4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العلاّمة فی الخلاصة عن النّجاشی</w:t>
      </w:r>
      <w:r>
        <w:rPr>
          <w:rStyle w:val="FootnoteReference"/>
        </w:rPr>
        <w:footnoteReference w:id="4217"/>
      </w:r>
      <w:r>
        <w:rPr>
          <w:rFonts w:ascii="IRNazanin" w:hAnsi="IRNazanin" w:eastAsia="IRNazanin" w:cs="IRNazanin"/>
          <w:lang w:bidi="fa-IR"/>
          <w:color w:val="111111"/>
          <w:sz w:val="28"/>
          <w:szCs w:val="28"/>
          <w:rtl/>
        </w:rPr>
        <w:t xml:space="preserve">و زاد علیه أنّ الکلینی قال أیضا: «و کلّ ما ذکرته فی کتابی المشار إلیه: «عدّة من أصحابنا، عن أحمد بن محمّد بن خالد البرقی» فهم: علیّ بن إبراهیم، و علیّ بن محمد بن عبد اللّه بن اذینة، و أحمد بن عبد اللّه بن امیّة</w:t>
      </w:r>
      <w:r>
        <w:rPr>
          <w:rStyle w:val="FootnoteReference"/>
        </w:rPr>
        <w:footnoteReference w:id="4218"/>
      </w:r>
      <w:r>
        <w:rPr>
          <w:rFonts w:ascii="IRNazanin" w:hAnsi="IRNazanin" w:eastAsia="IRNazanin" w:cs="IRNazanin"/>
          <w:lang w:bidi="fa-IR"/>
          <w:color w:val="111111"/>
          <w:sz w:val="28"/>
          <w:szCs w:val="28"/>
          <w:rtl/>
        </w:rPr>
        <w:t xml:space="preserve">و علیّ بن الحسن</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445]</w:t>
      </w:r>
    </w:p>
    <w:p>
      <w:pPr>
        <w:pStyle w:val="BookText"/>
      </w:pPr>
      <w:r>
        <w:rPr>
          <w:rFonts w:ascii="IRNazanin" w:hAnsi="IRNazanin" w:eastAsia="IRNazanin" w:cs="IRNazanin"/>
          <w:lang w:bidi="fa-IR"/>
          <w:color w:val="111111"/>
          <w:sz w:val="28"/>
          <w:szCs w:val="28"/>
          <w:rtl/>
        </w:rPr>
        <w:t xml:space="preserve">ص: 1163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کلّ ما ذکرته فی کتابی المشار الیه: «عدّة من أصحابنا عن سهل بن زیاد» فهم: علیّ بن محمد بن علان</w:t>
      </w:r>
      <w:r>
        <w:rPr>
          <w:rStyle w:val="FootnoteReference"/>
        </w:rPr>
        <w:footnoteReference w:id="4220"/>
      </w:r>
      <w:r>
        <w:rPr>
          <w:rFonts w:ascii="IRNazanin" w:hAnsi="IRNazanin" w:eastAsia="IRNazanin" w:cs="IRNazanin"/>
          <w:lang w:bidi="fa-IR"/>
          <w:color w:val="111111"/>
          <w:sz w:val="28"/>
          <w:szCs w:val="28"/>
          <w:rtl/>
        </w:rPr>
        <w:t xml:space="preserve">، و محمّد بن أبی عبد اللّه و محمّد بن الحسن، و محمّد بن عقیل الکلینی».</w:t>
      </w:r>
    </w:p>
    <w:p>
      <w:pPr>
        <w:pStyle w:val="BookText"/>
      </w:pPr>
      <w:r>
        <w:rPr>
          <w:rFonts w:ascii="IRNazanin" w:hAnsi="IRNazanin" w:eastAsia="IRNazanin" w:cs="IRNazanin"/>
          <w:lang w:bidi="fa-IR"/>
          <w:color w:val="111111"/>
          <w:sz w:val="28"/>
          <w:szCs w:val="28"/>
          <w:rtl/>
        </w:rPr>
        <w:t xml:space="preserve">هذا ما تبیّن من أسامی الرواة المذکورین بعنوان العدّة، و لکنّه لم یتبیّن کثیر منهم، مثل:</w:t>
      </w:r>
    </w:p>
    <w:p>
      <w:pPr>
        <w:pStyle w:val="BookText"/>
      </w:pPr>
      <w:r>
        <w:rPr>
          <w:rFonts w:ascii="IRNazanin" w:hAnsi="IRNazanin" w:eastAsia="IRNazanin" w:cs="IRNazanin"/>
          <w:lang w:bidi="fa-IR"/>
          <w:color w:val="111111"/>
          <w:sz w:val="28"/>
          <w:szCs w:val="28"/>
          <w:rtl/>
        </w:rPr>
        <w:t xml:space="preserve">1 - عدّة من أصحابنا، عن أحمد بن محمّد بن أبی نصر.</w:t>
      </w:r>
    </w:p>
    <w:p>
      <w:pPr>
        <w:pStyle w:val="BookText"/>
      </w:pPr>
      <w:r>
        <w:rPr>
          <w:rFonts w:ascii="IRNazanin" w:hAnsi="IRNazanin" w:eastAsia="IRNazanin" w:cs="IRNazanin"/>
          <w:lang w:bidi="fa-IR"/>
          <w:color w:val="111111"/>
          <w:sz w:val="28"/>
          <w:szCs w:val="28"/>
          <w:rtl/>
        </w:rPr>
        <w:t xml:space="preserve">2 - عدّة من أصحابنا، عن أحمد بن محمّد بن عیسی بن یزید.</w:t>
      </w:r>
    </w:p>
    <w:p>
      <w:pPr>
        <w:pStyle w:val="BookText"/>
      </w:pPr>
      <w:r>
        <w:rPr>
          <w:rFonts w:ascii="Amiri" w:hAnsi="Amiri" w:eastAsia="Amiri" w:cs="Amiri"/>
          <w:lang w:bidi="ar-SA"/>
          <w:color w:val="111111"/>
          <w:sz w:val="28"/>
          <w:szCs w:val="28"/>
          <w:rtl/>
        </w:rPr>
        <w:t xml:space="preserve">3 - عدّة من أصحابنا، عن أبان بن عثمان، عن زرارة.</w:t>
      </w:r>
    </w:p>
    <w:p>
      <w:pPr>
        <w:pStyle w:val="BookText"/>
      </w:pPr>
      <w:r>
        <w:rPr>
          <w:rFonts w:ascii="Amiri" w:hAnsi="Amiri" w:eastAsia="Amiri" w:cs="Amiri"/>
          <w:lang w:bidi="ar-SA"/>
          <w:color w:val="111111"/>
          <w:sz w:val="28"/>
          <w:szCs w:val="28"/>
          <w:rtl/>
        </w:rPr>
        <w:t xml:space="preserve">4 - عدّة من أصحابنا، عن جعفر بن محمّد، عن ابن الفضّال.</w:t>
      </w:r>
    </w:p>
    <w:p>
      <w:pPr>
        <w:pStyle w:val="BookText"/>
      </w:pPr>
      <w:r>
        <w:rPr>
          <w:rFonts w:ascii="Amiri" w:hAnsi="Amiri" w:eastAsia="Amiri" w:cs="Amiri"/>
          <w:lang w:bidi="ar-SA"/>
          <w:color w:val="111111"/>
          <w:sz w:val="28"/>
          <w:szCs w:val="28"/>
          <w:rtl/>
        </w:rPr>
        <w:t xml:space="preserve">5 - عدّة من أصحابنا، عن سعد بن عبد اللّه.</w:t>
      </w:r>
    </w:p>
    <w:p>
      <w:pPr>
        <w:pStyle w:val="BookText"/>
      </w:pPr>
      <w:r>
        <w:rPr>
          <w:rFonts w:ascii="IRNazanin" w:hAnsi="IRNazanin" w:eastAsia="IRNazanin" w:cs="IRNazanin"/>
          <w:lang w:bidi="fa-IR"/>
          <w:color w:val="111111"/>
          <w:sz w:val="28"/>
          <w:szCs w:val="28"/>
          <w:rtl/>
        </w:rPr>
        <w:t xml:space="preserve">و قد استوفی المحدّث المتتبّع النوری فی خاتمة مستدرکه و العلامة الکلباسی فی سماء المقال البحث عن أکثر العدد المذکورة فی الکافی مع ذکر مواضیعها، فلیراجع</w:t>
      </w:r>
      <w:r>
        <w:rPr>
          <w:rStyle w:val="FootnoteReference"/>
        </w:rPr>
        <w:footnoteReference w:id="4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الشیخ حسن بن زین الدین صاحب المنتقی ادّعی فی کتابه بعد حکایة کلام النّجاشی و العلاّمة، أنّ محمّد بن یحیی العطّار أحد العدّة مطلقا، و استنتج أنّ الطریق صحیح من جهة العدّة مطلقا، لأنّ الرجل کان شیخ أصحابه فی زمانه و کان ثقة عینا کثیر الحدیث</w:t>
      </w:r>
      <w:r>
        <w:rPr>
          <w:rStyle w:val="FootnoteReference"/>
        </w:rPr>
        <w:footnoteReference w:id="4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446]</w:t>
      </w:r>
    </w:p>
    <w:p>
      <w:pPr>
        <w:pStyle w:val="BookText"/>
      </w:pPr>
      <w:r>
        <w:rPr>
          <w:rFonts w:ascii="IRNazanin" w:hAnsi="IRNazanin" w:eastAsia="IRNazanin" w:cs="IRNazanin"/>
          <w:lang w:bidi="fa-IR"/>
          <w:color w:val="111111"/>
          <w:sz w:val="28"/>
          <w:szCs w:val="28"/>
          <w:rtl/>
        </w:rPr>
        <w:t xml:space="preserve">ص: 1164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یستفاد من کلامه - أی أبی جعفر الکلینی رحمه اللّه - فی الکافی، أنّ محمّد بن یحیی أحد العدّة مطلقا، و هو کاف فی المطلوب. و قد اتّفق هذا البیان فی أوّل حدیث ذکره فی الکتاب</w:t>
      </w:r>
      <w:r>
        <w:rPr>
          <w:rStyle w:val="FootnoteReference"/>
        </w:rPr>
        <w:footnoteReference w:id="4223"/>
      </w:r>
      <w:r>
        <w:rPr>
          <w:rFonts w:ascii="IRNazanin" w:hAnsi="IRNazanin" w:eastAsia="IRNazanin" w:cs="IRNazanin"/>
          <w:lang w:bidi="fa-IR"/>
          <w:color w:val="111111"/>
          <w:sz w:val="28"/>
          <w:szCs w:val="28"/>
          <w:rtl/>
        </w:rPr>
        <w:t xml:space="preserve">، و ظاهره أنّه أحال الباقی علیه. و مقتضی ذلک عدم الفرق بین کون روایة العدّة عن أحمد بن محمّد بن عیسی و أحمد بن محمّد بن خالد، و إن کان البیان إنّما وقع فی محلّ الروایة عن ابن عیسی، فإنّه روی عن العدّة عن ابن خالد بعد البیان بجملة یسیرة من الأخبار</w:t>
      </w:r>
      <w:r>
        <w:rPr>
          <w:rStyle w:val="FootnoteReference"/>
        </w:rPr>
        <w:footnoteReference w:id="4224"/>
      </w:r>
      <w:r>
        <w:rPr>
          <w:rFonts w:ascii="IRNazanin" w:hAnsi="IRNazanin" w:eastAsia="IRNazanin" w:cs="IRNazanin"/>
          <w:lang w:bidi="fa-IR"/>
          <w:color w:val="111111"/>
          <w:sz w:val="28"/>
          <w:szCs w:val="28"/>
          <w:rtl/>
        </w:rPr>
        <w:t xml:space="preserve">، و یبعد أن لا یکون محمّد بن یحیی فی العدّة عن ابن خالد و لا یتعرّض مع ذلک للبیان فی أوّل روایته عنه، کما بیّن فی أوّل روایته عن ابن عیسی»</w:t>
      </w:r>
      <w:r>
        <w:rPr>
          <w:rStyle w:val="FootnoteReference"/>
        </w:rPr>
        <w:footnoteReference w:id="4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یلاحظ علیه: «أنّه بعد تصریح الکلینی علی ما نقل عنه العلاّمة، بأسماء العدّة عن أحمد بن محمّد بن خالد (إذ لم یذکر فیه محمّد بن یحیی) لا سبیل لهذا الاحتمال. و لذا ذکر الکلباسی أنّ الکلام المزبور أشبه شیء بالاجتهاد فی مقابلة النصّ</w:t>
      </w:r>
      <w:r>
        <w:rPr>
          <w:rStyle w:val="FootnoteReference"/>
        </w:rPr>
        <w:footnoteReference w:id="4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قیل: یمکن استظهار ما ذکره صاحب المنتقی، ممّا حکاه المحدّث النوری عند نقل کلام العلاّمة فی العدّة عن البرقی بأنّه یوجد فی بعض نسخ الکافی فی الباب التاسع من کتاب العتق هذا الاسناد: «عدّة من أصحابنا علیّ بن إبراهیم، و محمّد بن جعفر، و محمّد بن یحیی، و علیّ بن محمد بن عبد اللّه القمی و أحمد بن عبد اللّه و علیّ بن الحسین جمیعا عن أحمد بن محمّد ابن خالد عن عثمان بن عیسی».</w:t>
      </w:r>
    </w:p>
    <w:p>
      <w:pPr>
        <w:pStyle w:val="BookText"/>
      </w:pPr>
      <w:r>
        <w:rPr>
          <w:rFonts w:ascii="IRNazanin" w:hAnsi="IRNazanin" w:eastAsia="IRNazanin" w:cs="IRNazanin"/>
          <w:lang w:bidi="fa-IR"/>
          <w:color w:val="111111"/>
          <w:sz w:val="28"/>
          <w:szCs w:val="28"/>
          <w:rtl/>
        </w:rPr>
        <w:t xml:space="preserve">[شماره صفحه واقعی : 447]</w:t>
      </w:r>
    </w:p>
    <w:p>
      <w:pPr>
        <w:pStyle w:val="BookText"/>
      </w:pPr>
      <w:r>
        <w:rPr>
          <w:rFonts w:ascii="IRNazanin" w:hAnsi="IRNazanin" w:eastAsia="IRNazanin" w:cs="IRNazanin"/>
          <w:lang w:bidi="fa-IR"/>
          <w:color w:val="111111"/>
          <w:sz w:val="28"/>
          <w:szCs w:val="28"/>
          <w:rtl/>
        </w:rPr>
        <w:t xml:space="preserve">ص: 1165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أوّلا - إنّ ورود هؤلاء فی طریق هذه الروایة لا یدلّ علی أنّ المراد من العدّة عن البرقی فی جمیع الموارد هم المذکورون هنا، بل یدلّ علی أنّ الوارد فی طریق هذه الروایة، غیر الذین اشتهروا بعنوان العدّة عن البرقی فیما حکاه العلاّمة. و بعبارة اخری: إنّ السبب لذکر أسامی أفراد العدّة فی هذا الطریق هو التنبیه علی أنّ المراد من العدّة هنا، غیر المراد من العدّة فی الروایات الاخر عن البرقی.</w:t>
      </w:r>
    </w:p>
    <w:p>
      <w:pPr>
        <w:pStyle w:val="BookText"/>
      </w:pPr>
      <w:r>
        <w:rPr>
          <w:rFonts w:ascii="IRNazanin" w:hAnsi="IRNazanin" w:eastAsia="IRNazanin" w:cs="IRNazanin"/>
          <w:lang w:bidi="fa-IR"/>
          <w:color w:val="111111"/>
          <w:sz w:val="28"/>
          <w:szCs w:val="28"/>
          <w:rtl/>
        </w:rPr>
        <w:t xml:space="preserve">ثانیا - ما أفاده المحقّق التستری و أجاد فی إفادته بأنّ المنقول لا ینبغی أن یعتمد علیه، لأنّه نقل عن نسخة مختلطة الحواشی بالمتن. و الصّحیح ما نقله الحرّ العاملی فی «الوسائل» و موجود فی أکثر نسخ الکافی و هو: «عدّة من أصحابنا، عن أحمد بن محمّد بن خالد»</w:t>
      </w:r>
      <w:r>
        <w:rPr>
          <w:rStyle w:val="FootnoteReference"/>
        </w:rPr>
        <w:footnoteReference w:id="4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الذی یسهّل الخطب هو أنّ المذکورین بعنوان العدّة فی طرق الکلینی هم مشایخ إجازته إلی کتب رواة کابن البرقی، و سهل بن زیاد، و ابن عیسی، و البزنطی، و سعد بن عبد اللّه و غیرهم من أصحاب المصنّفات و الکتب</w:t>
      </w:r>
      <w:r>
        <w:rPr>
          <w:rStyle w:val="FootnoteReference"/>
        </w:rPr>
        <w:footnoteReference w:id="4228"/>
      </w:r>
      <w:r>
        <w:rPr>
          <w:rFonts w:ascii="IRNazanin" w:hAnsi="IRNazanin" w:eastAsia="IRNazanin" w:cs="IRNazanin"/>
          <w:lang w:bidi="fa-IR"/>
          <w:color w:val="111111"/>
          <w:sz w:val="28"/>
          <w:szCs w:val="28"/>
          <w:rtl/>
        </w:rPr>
        <w:t xml:space="preserve">، کما صرّح بذلک العلاّمة النوری فی خاتمة کتاب المستدرک</w:t>
      </w:r>
      <w:r>
        <w:rPr>
          <w:rStyle w:val="FootnoteReference"/>
        </w:rPr>
        <w:footnoteReference w:id="4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 أکثر هذه الکتب و المؤلّفات معلومة الانتساب إلی مؤلّفیها، و قد رام الکلینی من ذکر العدّة إکثار الطّریق إلی الکتب المذکورة فقط و قد عرفت</w:t>
      </w:r>
    </w:p>
    <w:p>
      <w:pPr>
        <w:pStyle w:val="BookText"/>
      </w:pPr>
      <w:r>
        <w:rPr>
          <w:rFonts w:ascii="IRNazanin" w:hAnsi="IRNazanin" w:eastAsia="IRNazanin" w:cs="IRNazanin"/>
          <w:lang w:bidi="fa-IR"/>
          <w:color w:val="111111"/>
          <w:sz w:val="28"/>
          <w:szCs w:val="28"/>
          <w:rtl/>
        </w:rPr>
        <w:t xml:space="preserve">[شماره صفحه واقعی : 448]</w:t>
      </w:r>
    </w:p>
    <w:p>
      <w:pPr>
        <w:pStyle w:val="BookText"/>
      </w:pPr>
      <w:r>
        <w:rPr>
          <w:rFonts w:ascii="IRNazanin" w:hAnsi="IRNazanin" w:eastAsia="IRNazanin" w:cs="IRNazanin"/>
          <w:lang w:bidi="fa-IR"/>
          <w:color w:val="111111"/>
          <w:sz w:val="28"/>
          <w:szCs w:val="28"/>
          <w:rtl/>
        </w:rPr>
        <w:t xml:space="preserve">ص: 1166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المختار فی باب «شیخوخة الاجازة» أنه لا حاجة إلی إثبات وثاقة المجیر بالنسبة إلی کتاب مشهور، فلا یهمّنا التعرّض لتشخیص هؤلاء العدد و تمییز ما ابهم منهم و جرحهم أو تعدیلهم، و إن کان أکثر المذکورین منهم من أجلاّء الأصحاب و أعاظم الرواة.</w:t>
      </w:r>
    </w:p>
    <w:p>
      <w:pPr>
        <w:pStyle w:val="BookText"/>
      </w:pPr>
      <w:r>
        <w:rPr>
          <w:rFonts w:ascii="IRNazanin" w:hAnsi="IRNazanin" w:eastAsia="IRNazanin" w:cs="IRNazanin"/>
          <w:lang w:bidi="fa-IR"/>
          <w:color w:val="111111"/>
          <w:sz w:val="28"/>
          <w:szCs w:val="28"/>
          <w:rtl/>
        </w:rPr>
        <w:t xml:space="preserve">بقی أنّه ربما یروی الکلینی معبّرا بلفظ «الجماعة»، کما فی کتاب العقل و الجهل، الحدیث 15: «جماعة من أصحابنا، عن أحمد بن محمّد بن عیسی...»</w:t>
      </w:r>
      <w:r>
        <w:rPr>
          <w:rStyle w:val="FootnoteReference"/>
        </w:rPr>
        <w:footnoteReference w:id="4230"/>
      </w:r>
      <w:r>
        <w:rPr>
          <w:rFonts w:ascii="IRNazanin" w:hAnsi="IRNazanin" w:eastAsia="IRNazanin" w:cs="IRNazanin"/>
          <w:lang w:bidi="fa-IR"/>
          <w:color w:val="111111"/>
          <w:sz w:val="28"/>
          <w:szCs w:val="28"/>
          <w:rtl/>
        </w:rPr>
        <w:t xml:space="preserve">أو یروی معبّرا بلفظ «غیر واحد من أصحابنا» کما فی باب زکاة مال الغائب الحدیث 11: «غیر واحد من أصحابنا، عن سهل بن زیاد، عن علیّ بن مهزیار»</w:t>
      </w:r>
      <w:r>
        <w:rPr>
          <w:rStyle w:val="FootnoteReference"/>
        </w:rPr>
        <w:footnoteReference w:id="4231"/>
      </w:r>
      <w:r>
        <w:rPr>
          <w:rFonts w:ascii="IRNazanin" w:hAnsi="IRNazanin" w:eastAsia="IRNazanin" w:cs="IRNazanin"/>
          <w:lang w:bidi="fa-IR"/>
          <w:color w:val="111111"/>
          <w:sz w:val="28"/>
          <w:szCs w:val="28"/>
          <w:rtl/>
        </w:rPr>
        <w:t xml:space="preserve">و یظهر من العلاّمة الکلباسی فی کلا التعبیرین، و من المحقّق التستری فی التعبیر الأوّل أنّه علی منوال العدّة، فلا فرق بین «جماعة من أصحابنا، عن أحمد بن محمّد» و «عدّة من أصحابنا، عن أحمد بن محمّد»</w:t>
      </w:r>
      <w:r>
        <w:rPr>
          <w:rStyle w:val="FootnoteReference"/>
        </w:rPr>
        <w:footnoteReference w:id="4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للعلامة بحر العلوم اشعار فی ضبط العدة لا بأس بذکرها:</w:t>
      </w:r>
    </w:p>
    <w:p>
      <w:pPr>
        <w:pStyle w:val="BookText"/>
      </w:pPr>
      <w:r>
        <w:rPr>
          <w:rFonts w:ascii="IRNazanin" w:hAnsi="IRNazanin" w:eastAsia="IRNazanin" w:cs="IRNazanin"/>
          <w:lang w:bidi="fa-IR"/>
          <w:color w:val="111111"/>
          <w:sz w:val="28"/>
          <w:szCs w:val="28"/>
          <w:rtl/>
        </w:rPr>
        <w:t xml:space="preserve">عدّة أحمد بن عیسی بالعدد خمسة أشخاص بهم تمّ السند</w:t>
      </w:r>
    </w:p>
    <w:p>
      <w:pPr>
        <w:pStyle w:val="BookText"/>
      </w:pPr>
      <w:r>
        <w:rPr>
          <w:rFonts w:ascii="IRNazanin" w:hAnsi="IRNazanin" w:eastAsia="IRNazanin" w:cs="IRNazanin"/>
          <w:lang w:bidi="fa-IR"/>
          <w:color w:val="111111"/>
          <w:sz w:val="28"/>
          <w:szCs w:val="28"/>
          <w:rtl/>
        </w:rPr>
        <w:t xml:space="preserve">علیّ العلی و العطار ثمّ ابن ادریس و هم أخیار</w:t>
      </w:r>
    </w:p>
    <w:p>
      <w:pPr>
        <w:pStyle w:val="BookText"/>
      </w:pPr>
      <w:r>
        <w:rPr>
          <w:rFonts w:ascii="IRNazanin" w:hAnsi="IRNazanin" w:eastAsia="IRNazanin" w:cs="IRNazanin"/>
          <w:lang w:bidi="fa-IR"/>
          <w:color w:val="111111"/>
          <w:sz w:val="28"/>
          <w:szCs w:val="28"/>
          <w:rtl/>
        </w:rPr>
        <w:t xml:space="preserve">ثمّ ابن کورة، کذا ابن موسی فهؤلاء عدّة ابن عیسی</w:t>
      </w:r>
    </w:p>
    <w:p>
      <w:pPr>
        <w:pStyle w:val="BookText"/>
      </w:pPr>
      <w:r>
        <w:rPr>
          <w:rFonts w:ascii="IRNazanin" w:hAnsi="IRNazanin" w:eastAsia="IRNazanin" w:cs="IRNazanin"/>
          <w:lang w:bidi="fa-IR"/>
          <w:color w:val="111111"/>
          <w:sz w:val="28"/>
          <w:szCs w:val="28"/>
          <w:rtl/>
        </w:rPr>
        <w:t xml:space="preserve">و إنّ عدّة الّتی عن سهل من کان الأمر فیه غیر سله</w:t>
      </w:r>
    </w:p>
    <w:p>
      <w:pPr>
        <w:pStyle w:val="BookText"/>
      </w:pPr>
      <w:r>
        <w:rPr>
          <w:rFonts w:ascii="IRNazanin" w:hAnsi="IRNazanin" w:eastAsia="IRNazanin" w:cs="IRNazanin"/>
          <w:lang w:bidi="fa-IR"/>
          <w:color w:val="111111"/>
          <w:sz w:val="28"/>
          <w:szCs w:val="28"/>
          <w:rtl/>
        </w:rPr>
        <w:t xml:space="preserve">ابن عقیل و ابن عون الأسدی کذا علیّ بعده محمّد</w:t>
      </w:r>
    </w:p>
    <w:p>
      <w:pPr>
        <w:pStyle w:val="BookText"/>
      </w:pPr>
      <w:r>
        <w:rPr>
          <w:rFonts w:ascii="IRNazanin" w:hAnsi="IRNazanin" w:eastAsia="IRNazanin" w:cs="IRNazanin"/>
          <w:lang w:bidi="fa-IR"/>
          <w:color w:val="111111"/>
          <w:sz w:val="28"/>
          <w:szCs w:val="28"/>
          <w:rtl/>
        </w:rPr>
        <w:t xml:space="preserve">و عدة البرقی و هو أحمد</w:t>
      </w:r>
      <w:r>
        <w:rPr>
          <w:rStyle w:val="FootnoteReference"/>
        </w:rPr>
        <w:footnoteReference w:id="4233"/>
      </w:r>
      <w:r>
        <w:rPr>
          <w:rFonts w:ascii="IRNazanin" w:hAnsi="IRNazanin" w:eastAsia="IRNazanin" w:cs="IRNazanin"/>
          <w:lang w:bidi="fa-IR"/>
          <w:color w:val="111111"/>
          <w:sz w:val="28"/>
          <w:szCs w:val="28"/>
          <w:rtl/>
        </w:rPr>
        <w:t xml:space="preserve">علیّ بن الحسن و أحمد</w:t>
      </w:r>
    </w:p>
    <w:p>
      <w:pPr>
        <w:pStyle w:val="BookText"/>
      </w:pPr>
      <w:r>
        <w:rPr>
          <w:rFonts w:ascii="IRNazanin" w:hAnsi="IRNazanin" w:eastAsia="IRNazanin" w:cs="IRNazanin"/>
          <w:lang w:bidi="fa-IR"/>
          <w:color w:val="111111"/>
          <w:sz w:val="28"/>
          <w:szCs w:val="28"/>
          <w:rtl/>
        </w:rPr>
        <w:t xml:space="preserve">[شماره صفحه واقعی : 449]</w:t>
      </w:r>
    </w:p>
    <w:p>
      <w:pPr>
        <w:pStyle w:val="BookText"/>
      </w:pPr>
      <w:r>
        <w:rPr>
          <w:rFonts w:ascii="IRNazanin" w:hAnsi="IRNazanin" w:eastAsia="IRNazanin" w:cs="IRNazanin"/>
          <w:lang w:bidi="fa-IR"/>
          <w:color w:val="111111"/>
          <w:sz w:val="28"/>
          <w:szCs w:val="28"/>
          <w:rtl/>
        </w:rPr>
        <w:t xml:space="preserve">ص: 1167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473" w:name="pg14419_167883"/>
    <w:bookmarkEnd w:id="473"/>
    <w:p>
      <w:pPr>
        <w:pStyle w:val="BookText"/>
      </w:pPr>
      <w:r>
        <w:rPr>
          <w:rFonts w:ascii="IRNazanin" w:hAnsi="IRNazanin" w:eastAsia="IRNazanin" w:cs="IRNazanin"/>
          <w:lang w:bidi="fa-IR"/>
          <w:color w:val="111111"/>
          <w:sz w:val="28"/>
          <w:szCs w:val="28"/>
          <w:rtl/>
        </w:rPr>
        <w:t xml:space="preserve">و بعد ذین ابن اذینة علیّ و ابن لابراهیم و اسمه علیّ</w:t>
      </w:r>
    </w:p>
    <w:p>
      <w:pPr>
        <w:pStyle w:val="BookText"/>
      </w:pPr>
      <w:r>
        <w:rPr>
          <w:rFonts w:ascii="IRNazanin" w:hAnsi="IRNazanin" w:eastAsia="IRNazanin" w:cs="IRNazanin"/>
          <w:lang w:bidi="fa-IR"/>
          <w:color w:val="111111"/>
          <w:sz w:val="28"/>
          <w:szCs w:val="28"/>
          <w:rtl/>
        </w:rPr>
        <w:t xml:space="preserve">هذا تمام الکلام فی عدّة الکلینی.</w:t>
      </w:r>
    </w:p>
    <w:p>
      <w:pPr>
        <w:pStyle w:val="Heading5"/>
      </w:pPr>
      <w:bookmarkStart w:id="1430" w:name="_Toc870"/>
      <w:r>
        <w:t>الفائدة الثالثة</w:t>
      </w:r>
      <w:bookmarkEnd w:id="1430"/>
    </w:p>
    <w:p>
      <w:pPr>
        <w:pStyle w:val="BookText"/>
      </w:pPr>
      <w:r>
        <w:rPr>
          <w:rFonts w:ascii="IRNazanin" w:hAnsi="IRNazanin" w:eastAsia="IRNazanin" w:cs="IRNazanin"/>
          <w:lang w:bidi="fa-IR"/>
          <w:color w:val="111111"/>
          <w:sz w:val="28"/>
          <w:szCs w:val="28"/>
          <w:rtl/>
        </w:rPr>
        <w:t xml:space="preserve">قد یحذف الکلینی صدر السند فی خبر مبتنیا علی الخبر الّذی قبله و هذا ما یعبّر عنه فی کلام أهل الدرایة بالتعلیق فمثلا یقول فی الخبر الأوّل من الباب:</w:t>
      </w:r>
    </w:p>
    <w:p>
      <w:pPr>
        <w:pStyle w:val="BookText"/>
      </w:pPr>
      <w:r>
        <w:rPr>
          <w:rFonts w:ascii="IRNazanin" w:hAnsi="IRNazanin" w:eastAsia="IRNazanin" w:cs="IRNazanin"/>
          <w:lang w:bidi="fa-IR"/>
          <w:color w:val="111111"/>
          <w:sz w:val="28"/>
          <w:szCs w:val="28"/>
          <w:rtl/>
        </w:rPr>
        <w:t xml:space="preserve">«علیّ بن ابراهیم، عن أبیه، عن ابن أبی عمیر، عن منصور بن یونس...» و فی الخبر الثانی منه: «ابن أبی عمیر، عن الحسن بن عطیة، عن عمر بن یزید»</w:t>
      </w:r>
      <w:r>
        <w:rPr>
          <w:rStyle w:val="FootnoteReference"/>
        </w:rPr>
        <w:footnoteReference w:id="4234"/>
      </w:r>
      <w:r>
        <w:rPr>
          <w:rFonts w:ascii="IRNazanin" w:hAnsi="IRNazanin" w:eastAsia="IRNazanin" w:cs="IRNazanin"/>
          <w:lang w:bidi="fa-IR"/>
          <w:color w:val="111111"/>
          <w:sz w:val="28"/>
          <w:szCs w:val="28"/>
          <w:rtl/>
        </w:rPr>
        <w:t xml:space="preserve">او یقول فی الخبر الأوّل من الباب: «علیّ، عن أبیه، عن أبن أبی عمیر، عن أبی عبد اللّه صاحب السابری...» و فی الخبر الثانی منه: «ابن أبی عمیر، عن ابن رئاب، عن إسماعیل بن الفضل». و فی الخبر الثالث منه: «ابن أبی عمیر، عن حفص بن البختری، عن أبی عبد اللّه - علیه السلام -...»</w:t>
      </w:r>
      <w:r>
        <w:rPr>
          <w:rStyle w:val="FootnoteReference"/>
        </w:rPr>
        <w:footnoteReference w:id="4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یقول فی الخبر الأوّل: «عدّة من أصحابنا، عن أحمد بن محمّد بن عیسی و أحمد بن محمّد بن خالد، و علیّ بن ابراهیم عن أبیه، و سهل بن زیاد جمیعا عن ابن محبوب عن علیّ بن رئاب عن أبی عبیدة الحذّاء، عن أبی عبد اللّه - علیه السلام -»، و فی الخبر الثانی منه: «ابن محبوب، عن مالک بن عطّیة، عن سعید الأعرج، عن أبی عبد اللّه - علیه السلام -». و فی الخبر</w:t>
      </w:r>
    </w:p>
    <w:p>
      <w:pPr>
        <w:pStyle w:val="BookText"/>
      </w:pPr>
      <w:r>
        <w:rPr>
          <w:rFonts w:ascii="IRNazanin" w:hAnsi="IRNazanin" w:eastAsia="IRNazanin" w:cs="IRNazanin"/>
          <w:lang w:bidi="fa-IR"/>
          <w:color w:val="111111"/>
          <w:sz w:val="28"/>
          <w:szCs w:val="28"/>
          <w:rtl/>
        </w:rPr>
        <w:t xml:space="preserve">[شماره صفحه واقعی : 450]</w:t>
      </w:r>
    </w:p>
    <w:p>
      <w:pPr>
        <w:pStyle w:val="BookText"/>
      </w:pPr>
      <w:r>
        <w:rPr>
          <w:rFonts w:ascii="IRNazanin" w:hAnsi="IRNazanin" w:eastAsia="IRNazanin" w:cs="IRNazanin"/>
          <w:lang w:bidi="fa-IR"/>
          <w:color w:val="111111"/>
          <w:sz w:val="28"/>
          <w:szCs w:val="28"/>
          <w:rtl/>
        </w:rPr>
        <w:t xml:space="preserve">ص: 1168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منه یقول: «ابن محبوب، عن أبی جعفر محمّد بن النعمان الأحول صاحب الطاق، عن سلام بن المستنیر، عن أبی جعفر - علیه السلام -...»</w:t>
      </w:r>
      <w:r>
        <w:rPr>
          <w:rStyle w:val="FootnoteReference"/>
        </w:rPr>
        <w:footnoteReference w:id="4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 أنّ أمثال هذه الأخبار مسندة لا مرسلة کما صرّح به جماعة کالمجلسی الأوّل و السید الجزائری و صاحب المعالم</w:t>
      </w:r>
      <w:r>
        <w:rPr>
          <w:rStyle w:val="FootnoteReference"/>
        </w:rPr>
        <w:footnoteReference w:id="4237"/>
      </w:r>
      <w:r>
        <w:rPr>
          <w:rFonts w:ascii="IRNazanin" w:hAnsi="IRNazanin" w:eastAsia="IRNazanin" w:cs="IRNazanin"/>
          <w:lang w:bidi="fa-IR"/>
          <w:color w:val="111111"/>
          <w:sz w:val="28"/>
          <w:szCs w:val="28"/>
          <w:rtl/>
        </w:rPr>
        <w:t xml:space="preserve">. قال الأخیر فی المنتقی:</w:t>
      </w:r>
    </w:p>
    <w:p>
      <w:pPr>
        <w:pStyle w:val="BookText"/>
      </w:pPr>
      <w:r>
        <w:rPr>
          <w:rFonts w:ascii="IRNazanin" w:hAnsi="IRNazanin" w:eastAsia="IRNazanin" w:cs="IRNazanin"/>
          <w:lang w:bidi="fa-IR"/>
          <w:color w:val="111111"/>
          <w:sz w:val="28"/>
          <w:szCs w:val="28"/>
          <w:rtl/>
        </w:rPr>
        <w:t xml:space="preserve">«اعلم أنّه اتّفق لبعض الأصحاب توهّم الانقطاع فی جملة من أسانید الکافی لغفلتهم عن ملاحظة بنائه لکثیر منها علی طرق سابقة و هی طریقة معروفة بین القدماء، و العجب أنّ الشیخ - رحمه اللّه - ربّما غفل عن مراعاتها فأورد الاسناد من الکافی بصورته و وصله بطرقه عن الکلینی من غیر ذکر للواسطة المتروکة. فیصیر الاسناد فی روایة الشیخ له منقطعا و لکن مراجعة الکافی تفید وصله. و منشأ التوهّم الذی أشرنا إلیه فقد الممارسة المطلعة علی التزام تلک الطریقة»</w:t>
      </w:r>
      <w:r>
        <w:rPr>
          <w:rStyle w:val="FootnoteReference"/>
        </w:rPr>
        <w:footnoteReference w:id="4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تعجّب صاحب «سماء المقال» عن الشیخ فی تهذیبه، حیث نقل روایة عن الکلینی و ادّعی أنّها مرسلة مع أنّه من باب التعلیق</w:t>
      </w:r>
      <w:r>
        <w:rPr>
          <w:rStyle w:val="FootnoteReference"/>
        </w:rPr>
        <w:footnoteReference w:id="4239"/>
      </w:r>
      <w:r>
        <w:rPr>
          <w:rFonts w:ascii="IRNazanin" w:hAnsi="IRNazanin" w:eastAsia="IRNazanin" w:cs="IRNazanin"/>
          <w:lang w:bidi="fa-IR"/>
          <w:color w:val="111111"/>
          <w:sz w:val="28"/>
          <w:szCs w:val="28"/>
          <w:rtl/>
        </w:rPr>
        <w:t xml:space="preserve">، و الروایة موجودة فی باب الزیادات فی الزّکاة من «التهذیب» بهذا السند:</w:t>
      </w:r>
    </w:p>
    <w:p>
      <w:pPr>
        <w:pStyle w:val="BookText"/>
      </w:pPr>
      <w:r>
        <w:rPr>
          <w:rFonts w:ascii="IRNazanin" w:hAnsi="IRNazanin" w:eastAsia="IRNazanin" w:cs="IRNazanin"/>
          <w:lang w:bidi="fa-IR"/>
          <w:color w:val="111111"/>
          <w:sz w:val="28"/>
          <w:szCs w:val="28"/>
          <w:rtl/>
        </w:rPr>
        <w:t xml:space="preserve">«محمّد بن یعقوب مرسلا عن یونس بن عبد الرحمن، عن علیّ بن أبی حمزة، عن ابی بصیر، عن أبی عبد اللّه - علیه السلام -»</w:t>
      </w:r>
      <w:r>
        <w:rPr>
          <w:rStyle w:val="FootnoteReference"/>
        </w:rPr>
        <w:footnoteReference w:id="4240"/>
      </w:r>
      <w:r>
        <w:rPr>
          <w:rFonts w:ascii="IRNazanin" w:hAnsi="IRNazanin" w:eastAsia="IRNazanin" w:cs="IRNazanin"/>
          <w:lang w:bidi="fa-IR"/>
          <w:color w:val="111111"/>
          <w:sz w:val="28"/>
          <w:szCs w:val="28"/>
          <w:rtl/>
        </w:rPr>
        <w:t xml:space="preserve">، و الروایة موجودة فی «الکافی» کتاب الزکاة، باب منع الزکاة، (الحدیث 3)، و لکنّها مبتنیة</w:t>
      </w:r>
    </w:p>
    <w:p>
      <w:pPr>
        <w:pStyle w:val="BookText"/>
      </w:pPr>
      <w:r>
        <w:rPr>
          <w:rFonts w:ascii="IRNazanin" w:hAnsi="IRNazanin" w:eastAsia="IRNazanin" w:cs="IRNazanin"/>
          <w:lang w:bidi="fa-IR"/>
          <w:color w:val="111111"/>
          <w:sz w:val="28"/>
          <w:szCs w:val="28"/>
          <w:rtl/>
        </w:rPr>
        <w:t xml:space="preserve">[شماره صفحه واقعی : 451]</w:t>
      </w:r>
    </w:p>
    <w:p>
      <w:pPr>
        <w:pStyle w:val="BookText"/>
      </w:pPr>
      <w:r>
        <w:rPr>
          <w:rFonts w:ascii="IRNazanin" w:hAnsi="IRNazanin" w:eastAsia="IRNazanin" w:cs="IRNazanin"/>
          <w:lang w:bidi="fa-IR"/>
          <w:color w:val="111111"/>
          <w:sz w:val="28"/>
          <w:szCs w:val="28"/>
          <w:rtl/>
        </w:rPr>
        <w:t xml:space="preserve">ص: 1169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474" w:name="pg14419_167885"/>
    <w:bookmarkEnd w:id="474"/>
    <w:p>
      <w:pPr>
        <w:pStyle w:val="BookText"/>
      </w:pPr>
      <w:r>
        <w:rPr>
          <w:rFonts w:ascii="IRNazanin" w:hAnsi="IRNazanin" w:eastAsia="IRNazanin" w:cs="IRNazanin"/>
          <w:lang w:bidi="fa-IR"/>
          <w:color w:val="111111"/>
          <w:sz w:val="28"/>
          <w:szCs w:val="28"/>
          <w:rtl/>
        </w:rPr>
        <w:t xml:space="preserve">علی الروایة الّتی نقلها قبلها بهذا السند:</w:t>
      </w:r>
    </w:p>
    <w:p>
      <w:pPr>
        <w:pStyle w:val="BookText"/>
      </w:pPr>
      <w:r>
        <w:rPr>
          <w:rFonts w:ascii="IRNazanin" w:hAnsi="IRNazanin" w:eastAsia="IRNazanin" w:cs="IRNazanin"/>
          <w:lang w:bidi="fa-IR"/>
          <w:color w:val="111111"/>
          <w:sz w:val="28"/>
          <w:szCs w:val="28"/>
          <w:rtl/>
        </w:rPr>
        <w:t xml:space="preserve">«علیّ بن ابراهیم، عن أبیه، عن إسماعیل بن مرار، عن یونس، عن ابن مسکان یرفعه عن رجل عن أبی جعفر - علیه السلام -»</w:t>
      </w:r>
      <w:r>
        <w:rPr>
          <w:rStyle w:val="FootnoteReference"/>
        </w:rPr>
        <w:footnoteReference w:id="4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رواه الشیخ عن الکلینی عن یونس لیس مرسلا، کما أنّ المحدث الحرّ العاملی التفت إلی التّعلیق و أتی بتمام السند، هکذا:</w:t>
      </w:r>
    </w:p>
    <w:p>
      <w:pPr>
        <w:pStyle w:val="BookText"/>
      </w:pPr>
      <w:r>
        <w:rPr>
          <w:rFonts w:ascii="IRNazanin" w:hAnsi="IRNazanin" w:eastAsia="IRNazanin" w:cs="IRNazanin"/>
          <w:lang w:bidi="fa-IR"/>
          <w:color w:val="111111"/>
          <w:sz w:val="28"/>
          <w:szCs w:val="28"/>
          <w:rtl/>
        </w:rPr>
        <w:t xml:space="preserve">«محمّد بن یعقوب عن علیّ، عن أبیه، عن إسماعیل بن مرار، عن یونس، عن علیّ بن أبی حمزة، عن أبی بصیر، عن أبی عبد اللّه - علیه السلام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 بعض أنّ حذف الکلینی صدر السند لعلّه لنقله عن الأصل المروی عنه. و أجاب عنه صاحب «قاموس الرجال» أنّ الحذف للنقل عن أصل من لم یلقه، بعید عن دأب القدماء. و هذا هو المفید فی «الارشاد» حیث ینقل عن «الکافی» بقوله: «جعفر بن محمّد بن قولویه عن محمّد بن یعقوب». نعم، قد یفعلون ذلک مع ذکر طرقهم إلی الاصل بعنوان المشیخة، کما فعل ذلک الصّدوق و الشیخ فی الفقیه و التهذیبین</w:t>
      </w:r>
      <w:r>
        <w:rPr>
          <w:rStyle w:val="FootnoteReference"/>
        </w:rPr>
        <w:footnoteReference w:id="4243"/>
      </w:r>
      <w:r>
        <w:rPr>
          <w:rFonts w:ascii="Times New Roman" w:hAnsi="Times New Roman" w:eastAsia="Times New Roman" w:cs="Times New Roman"/>
          <w:lang w:val="en-US" w:bidi="en-US"/>
          <w:color w:val="111111"/>
          <w:sz w:val="28"/>
          <w:szCs w:val="28"/>
          <w:rtl/>
        </w:rPr>
        <w:t xml:space="preserve">.</w:t>
      </w:r>
    </w:p>
    <w:p>
      <w:pPr>
        <w:pStyle w:val="Heading5"/>
      </w:pPr>
      <w:bookmarkStart w:id="1431" w:name="_Toc871"/>
      <w:r>
        <w:t>الفائدة الرابعة</w:t>
      </w:r>
      <w:bookmarkEnd w:id="1431"/>
    </w:p>
    <w:p>
      <w:pPr>
        <w:pStyle w:val="BookText"/>
      </w:pPr>
      <w:r>
        <w:rPr>
          <w:rFonts w:ascii="IRNazanin" w:hAnsi="IRNazanin" w:eastAsia="IRNazanin" w:cs="IRNazanin"/>
          <w:lang w:bidi="fa-IR"/>
          <w:color w:val="111111"/>
          <w:sz w:val="28"/>
          <w:szCs w:val="28"/>
          <w:rtl/>
        </w:rPr>
        <w:t xml:space="preserve">إنّه قد صدّر الکلینی جملة من الأسانید بعلیّ بن محمّد و قد اضطربوا فی تعیینه، منهم من جزم بکونه علیّ بن محمّد بن إبراهیم علان، و منهم من اختار کونه علیّ بن محمّد بن اذینة، و منهم من رجّح أنّ المراد علیّ بن محمّد بن بندار، و منهم من توقّف و لم یعیّن أحدهم.</w:t>
      </w:r>
    </w:p>
    <w:p>
      <w:pPr>
        <w:pStyle w:val="BookText"/>
      </w:pPr>
      <w:r>
        <w:rPr>
          <w:rFonts w:ascii="IRNazanin" w:hAnsi="IRNazanin" w:eastAsia="IRNazanin" w:cs="IRNazanin"/>
          <w:lang w:bidi="fa-IR"/>
          <w:color w:val="111111"/>
          <w:sz w:val="28"/>
          <w:szCs w:val="28"/>
          <w:rtl/>
        </w:rPr>
        <w:t xml:space="preserve">[شماره صفحه واقعی : 452]</w:t>
      </w:r>
    </w:p>
    <w:p>
      <w:pPr>
        <w:pStyle w:val="BookText"/>
      </w:pPr>
      <w:r>
        <w:rPr>
          <w:rFonts w:ascii="IRNazanin" w:hAnsi="IRNazanin" w:eastAsia="IRNazanin" w:cs="IRNazanin"/>
          <w:lang w:bidi="fa-IR"/>
          <w:color w:val="111111"/>
          <w:sz w:val="28"/>
          <w:szCs w:val="28"/>
          <w:rtl/>
        </w:rPr>
        <w:t xml:space="preserve">ص: 1170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المولی صالح المازندرانی فی شرحه علی الکافی: «یروی مصنّف هذا الکتاب کثیرا عن علیّ بن محمّد و هو علیّ بن محمد بن ابراهیم الکلینی المعروف بعلاّن»</w:t>
      </w:r>
      <w:r>
        <w:rPr>
          <w:rStyle w:val="FootnoteReference"/>
        </w:rPr>
        <w:footnoteReference w:id="4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العلاّمة المجلسی فی مواضع من «مرآة العقول» کون المراد منه علیّ بن محمّد بن عبد اللّه بن اذینة الّذی ذکره العلاّمة فی العدّة الّتی تروی عن البرقی</w:t>
      </w:r>
      <w:r>
        <w:rPr>
          <w:rStyle w:val="FootnoteReference"/>
        </w:rPr>
        <w:footnoteReference w:id="4245"/>
      </w:r>
      <w:r>
        <w:rPr>
          <w:rFonts w:ascii="IRNazanin" w:hAnsi="IRNazanin" w:eastAsia="IRNazanin" w:cs="IRNazanin"/>
          <w:lang w:bidi="fa-IR"/>
          <w:color w:val="111111"/>
          <w:sz w:val="28"/>
          <w:szCs w:val="28"/>
          <w:rtl/>
        </w:rPr>
        <w:t xml:space="preserve">و قال فی موضع آخر - علی ما حکی عنه -:</w:t>
      </w:r>
    </w:p>
    <w:p>
      <w:pPr>
        <w:pStyle w:val="BookText"/>
      </w:pPr>
      <w:r>
        <w:rPr>
          <w:rFonts w:ascii="IRNazanin" w:hAnsi="IRNazanin" w:eastAsia="IRNazanin" w:cs="IRNazanin"/>
          <w:lang w:bidi="fa-IR"/>
          <w:color w:val="111111"/>
          <w:sz w:val="28"/>
          <w:szCs w:val="28"/>
          <w:rtl/>
        </w:rPr>
        <w:t xml:space="preserve">«إنّ تعیین علیّ بن محمّد المصدّر فی أوائل السند من بین الثلاثة المذکورة مشکل»</w:t>
      </w:r>
      <w:r>
        <w:rPr>
          <w:rStyle w:val="FootnoteReference"/>
        </w:rPr>
        <w:footnoteReference w:id="4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العلامة المامقانی إلی أنّ علیّ بن محمّد هذا مردّد بین ثلاثة و هم: علیّ بن محمّد بن عبد اللّه بن اذینة، و علاّن، و المعروف ب - ماجیلویه و کلّ منهم شیخ الکلینی. ثمّ قال: «فحمله علی أحدهم دون الآخرین تحکّم. و الصالح لم یذکر دلیله»</w:t>
      </w:r>
      <w:r>
        <w:rPr>
          <w:rStyle w:val="FootnoteReference"/>
        </w:rPr>
        <w:footnoteReference w:id="4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ادّعی صاحب «قاموس الرجال» أنّ الظاهر تعیّن إرادة علاّن دون صاحبیه. و ذلک لأنّه کلّما ورد «علیّ بن محمد» عن سهل و قد فسّر الکلینی «عدّة سهل» بجمع منهم «علاّن». و أضاف أنّ کون «ابن اذینة» غیر ماجیلویه غیر معلوم، بل الظاهر کون «ابن اذینة» محرّف «ابن لإبنته» فهو متّحد مع ماجیلویه</w:t>
      </w:r>
      <w:r>
        <w:rPr>
          <w:rStyle w:val="FootnoteReference"/>
        </w:rPr>
        <w:footnoteReference w:id="4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أنّ علیّ بن محمد بن عبد اللّه المعروف أبوه ب - ماجیلویه هو</w:t>
      </w:r>
    </w:p>
    <w:p>
      <w:pPr>
        <w:pStyle w:val="BookText"/>
      </w:pPr>
      <w:r>
        <w:rPr>
          <w:rFonts w:ascii="IRNazanin" w:hAnsi="IRNazanin" w:eastAsia="IRNazanin" w:cs="IRNazanin"/>
          <w:lang w:bidi="fa-IR"/>
          <w:color w:val="111111"/>
          <w:sz w:val="28"/>
          <w:szCs w:val="28"/>
          <w:rtl/>
        </w:rPr>
        <w:t xml:space="preserve">[شماره صفحه واقعی : 453]</w:t>
      </w:r>
    </w:p>
    <w:p>
      <w:pPr>
        <w:pStyle w:val="BookText"/>
      </w:pPr>
      <w:r>
        <w:rPr>
          <w:rFonts w:ascii="IRNazanin" w:hAnsi="IRNazanin" w:eastAsia="IRNazanin" w:cs="IRNazanin"/>
          <w:lang w:bidi="fa-IR"/>
          <w:color w:val="111111"/>
          <w:sz w:val="28"/>
          <w:szCs w:val="28"/>
          <w:rtl/>
        </w:rPr>
        <w:t xml:space="preserve">ص: 1171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بنت البرقی، کما صرح النجاشی فی کتابه</w:t>
      </w:r>
      <w:r>
        <w:rPr>
          <w:rStyle w:val="FootnoteReference"/>
        </w:rPr>
        <w:footnoteReference w:id="4249"/>
      </w:r>
      <w:r>
        <w:rPr>
          <w:rFonts w:ascii="IRNazanin" w:hAnsi="IRNazanin" w:eastAsia="IRNazanin" w:cs="IRNazanin"/>
          <w:lang w:bidi="fa-IR"/>
          <w:color w:val="111111"/>
          <w:sz w:val="28"/>
          <w:szCs w:val="28"/>
          <w:rtl/>
        </w:rPr>
        <w:t xml:space="preserve">أمّا علیّ بن محمّد بن عبد اللّه ابن اذینة فهو مذکور فقط فی عدّة الکلینی عن البرقی و لیس له عین و لا أثر فی موضع آخر و من هنا استظهر المحقّق التستری أنّ «اذینة» محرّف «إبنته» و الضمیر راجع إلی البرقی فهو متّحد مع ماجیلویه المذکور الّذی تأدّب علی البرقی و أخذ عنه العلم و الأدب و روی بواسطته کتب الحسین بن سعید الأهوازی.</w:t>
      </w:r>
    </w:p>
    <w:p>
      <w:pPr>
        <w:pStyle w:val="BookText"/>
      </w:pPr>
      <w:r>
        <w:rPr>
          <w:rFonts w:ascii="IRNazanin" w:hAnsi="IRNazanin" w:eastAsia="IRNazanin" w:cs="IRNazanin"/>
          <w:lang w:bidi="fa-IR"/>
          <w:color w:val="111111"/>
          <w:sz w:val="28"/>
          <w:szCs w:val="28"/>
          <w:rtl/>
        </w:rPr>
        <w:t xml:space="preserve">و غیر خفیّ أیضا أنّ علیّ بن محمد المعروف ب - ماجیلویه متّحد مع علی ابن محمّد بن بندار الّذی یروی عنه الکلینی کثیرا.</w:t>
      </w:r>
    </w:p>
    <w:p>
      <w:pPr>
        <w:pStyle w:val="BookText"/>
      </w:pPr>
      <w:r>
        <w:rPr>
          <w:rFonts w:ascii="IRNazanin" w:hAnsi="IRNazanin" w:eastAsia="IRNazanin" w:cs="IRNazanin"/>
          <w:lang w:bidi="fa-IR"/>
          <w:color w:val="111111"/>
          <w:sz w:val="28"/>
          <w:szCs w:val="28"/>
          <w:rtl/>
        </w:rPr>
        <w:t xml:space="preserve">و علی ضوء هذا فلو صحّ ما استظهره المحقّق التستری یرجع التردید إلی اثنین و هما علاّن و ماجیلویه.</w:t>
      </w:r>
    </w:p>
    <w:p>
      <w:pPr>
        <w:pStyle w:val="BookText"/>
      </w:pPr>
      <w:r>
        <w:rPr>
          <w:rFonts w:ascii="IRNazanin" w:hAnsi="IRNazanin" w:eastAsia="IRNazanin" w:cs="IRNazanin"/>
          <w:lang w:bidi="fa-IR"/>
          <w:color w:val="111111"/>
          <w:sz w:val="28"/>
          <w:szCs w:val="28"/>
          <w:rtl/>
        </w:rPr>
        <w:t xml:space="preserve">و لکن ما ادّعاه (دام ظله) من تعیّن إرادة علاّن دون ماجیلویه، لیس بتامّ.</w:t>
      </w:r>
    </w:p>
    <w:p>
      <w:pPr>
        <w:pStyle w:val="BookText"/>
      </w:pPr>
      <w:r>
        <w:rPr>
          <w:rFonts w:ascii="IRNazanin" w:hAnsi="IRNazanin" w:eastAsia="IRNazanin" w:cs="IRNazanin"/>
          <w:lang w:bidi="fa-IR"/>
          <w:color w:val="111111"/>
          <w:sz w:val="28"/>
          <w:szCs w:val="28"/>
          <w:rtl/>
        </w:rPr>
        <w:t xml:space="preserve">لأنّه قد وقع فی الکافی روایة علیّ بن محمد عن علی بن الحسن</w:t>
      </w:r>
      <w:r>
        <w:rPr>
          <w:rStyle w:val="FootnoteReference"/>
        </w:rPr>
        <w:footnoteReference w:id="4250"/>
      </w:r>
      <w:r>
        <w:rPr>
          <w:rFonts w:ascii="IRNazanin" w:hAnsi="IRNazanin" w:eastAsia="IRNazanin" w:cs="IRNazanin"/>
          <w:lang w:bidi="fa-IR"/>
          <w:color w:val="111111"/>
          <w:sz w:val="28"/>
          <w:szCs w:val="28"/>
          <w:rtl/>
        </w:rPr>
        <w:t xml:space="preserve">و عن ابن جمهور</w:t>
      </w:r>
      <w:r>
        <w:rPr>
          <w:rStyle w:val="FootnoteReference"/>
        </w:rPr>
        <w:footnoteReference w:id="4251"/>
      </w:r>
      <w:r>
        <w:rPr>
          <w:rFonts w:ascii="IRNazanin" w:hAnsi="IRNazanin" w:eastAsia="IRNazanin" w:cs="IRNazanin"/>
          <w:lang w:bidi="fa-IR"/>
          <w:color w:val="111111"/>
          <w:sz w:val="28"/>
          <w:szCs w:val="28"/>
          <w:rtl/>
        </w:rPr>
        <w:t xml:space="preserve">و عن الفضل بن محمّد</w:t>
      </w:r>
      <w:r>
        <w:rPr>
          <w:rStyle w:val="FootnoteReference"/>
        </w:rPr>
        <w:footnoteReference w:id="4252"/>
      </w:r>
      <w:r>
        <w:rPr>
          <w:rFonts w:ascii="IRNazanin" w:hAnsi="IRNazanin" w:eastAsia="IRNazanin" w:cs="IRNazanin"/>
          <w:lang w:bidi="fa-IR"/>
          <w:color w:val="111111"/>
          <w:sz w:val="28"/>
          <w:szCs w:val="28"/>
          <w:rtl/>
        </w:rPr>
        <w:t xml:space="preserve">و عن محمّد بن موسی</w:t>
      </w:r>
      <w:r>
        <w:rPr>
          <w:rStyle w:val="FootnoteReference"/>
        </w:rPr>
        <w:footnoteReference w:id="4253"/>
      </w:r>
      <w:r>
        <w:rPr>
          <w:rFonts w:ascii="IRNazanin" w:hAnsi="IRNazanin" w:eastAsia="IRNazanin" w:cs="IRNazanin"/>
          <w:lang w:bidi="fa-IR"/>
          <w:color w:val="111111"/>
          <w:sz w:val="28"/>
          <w:szCs w:val="28"/>
          <w:rtl/>
        </w:rPr>
        <w:t xml:space="preserve">و غیرهم من الرجال، و إن کانت روایة علیّ بن محمد عن سهل کثیرة جدّا و علی سبیل المثال نذکر أنّه یوجد فی «الکافی» من أوّل کتاب الطهارة إلی آخر الزکاة أکثر من مائة مورد، روی الکلینی فی سبعین موردا منها عن علیّ بن محمد، عن سهل، و فی سائرها عن رجال آخرین. فاطلاق کلام المحقّق المذکور لیس فی محلّه. کما أنّ ما ذکره صاحب «معجم رجال الحدیث» بعدم ظفره فی الکافی</w:t>
      </w:r>
    </w:p>
    <w:p>
      <w:pPr>
        <w:pStyle w:val="BookText"/>
      </w:pPr>
      <w:r>
        <w:rPr>
          <w:rFonts w:ascii="IRNazanin" w:hAnsi="IRNazanin" w:eastAsia="IRNazanin" w:cs="IRNazanin"/>
          <w:lang w:bidi="fa-IR"/>
          <w:color w:val="111111"/>
          <w:sz w:val="28"/>
          <w:szCs w:val="28"/>
          <w:rtl/>
        </w:rPr>
        <w:t xml:space="preserve">[شماره صفحه واقعی : 454]</w:t>
      </w:r>
    </w:p>
    <w:p>
      <w:pPr>
        <w:pStyle w:val="BookText"/>
      </w:pPr>
      <w:r>
        <w:rPr>
          <w:rFonts w:ascii="IRNazanin" w:hAnsi="IRNazanin" w:eastAsia="IRNazanin" w:cs="IRNazanin"/>
          <w:lang w:bidi="fa-IR"/>
          <w:color w:val="111111"/>
          <w:sz w:val="28"/>
          <w:szCs w:val="28"/>
          <w:rtl/>
        </w:rPr>
        <w:t xml:space="preserve">ص: 1172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غیره علی روایة محمّد بن یعقوب الکلینی عن علاّن غریب جدّا</w:t>
      </w:r>
      <w:r>
        <w:rPr>
          <w:rStyle w:val="FootnoteReference"/>
        </w:rPr>
        <w:footnoteReference w:id="4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ادّعی - دام ظلّه - أیضا أنّ المراد من علیّ بن محمد المذکور فی أوائل أسناد الکافی هو ابن بندار. و إلیک نصّ کلامه:</w:t>
      </w:r>
    </w:p>
    <w:p>
      <w:pPr>
        <w:pStyle w:val="BookText"/>
      </w:pPr>
      <w:r>
        <w:rPr>
          <w:rFonts w:ascii="IRNazanin" w:hAnsi="IRNazanin" w:eastAsia="IRNazanin" w:cs="IRNazanin"/>
          <w:lang w:bidi="fa-IR"/>
          <w:color w:val="111111"/>
          <w:sz w:val="28"/>
          <w:szCs w:val="28"/>
          <w:rtl/>
        </w:rPr>
        <w:t xml:space="preserve">«علیّ بن محمّد من مشایخ الکلینی و قد أکثر الروایة عنه فی الکافی فی جمیع أجزائه و أطلق. و من ثمّ قد یقال بجهالته. و لکنّ الظاهر أنّه علی بن محمّد بن بندار الّذی روی عنه کثیرا. فقد روی عنه فی أبواب الأطعمة ثلاثة و ثلاثین موردا</w:t>
      </w:r>
      <w:r>
        <w:rPr>
          <w:rStyle w:val="FootnoteReference"/>
        </w:rPr>
        <w:footnoteReference w:id="4255"/>
      </w:r>
      <w:r>
        <w:rPr>
          <w:rFonts w:ascii="IRNazanin" w:hAnsi="IRNazanin" w:eastAsia="IRNazanin" w:cs="IRNazanin"/>
          <w:lang w:bidi="fa-IR"/>
          <w:color w:val="111111"/>
          <w:sz w:val="28"/>
          <w:szCs w:val="28"/>
          <w:rtl/>
        </w:rPr>
        <w:t xml:space="preserve">. و بهذا یتعیّن أنّ المراد بعلیّ بن محمّد فی سائر الموارد هو علیّ بن محمّد بن بندار»</w:t>
      </w:r>
      <w:r>
        <w:rPr>
          <w:rStyle w:val="FootnoteReference"/>
        </w:rPr>
        <w:footnoteReference w:id="4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 هذا القول من النظر، لأنّ موارد روایة علیّ بن محمد عن سهل کثیرة - کما أشرنا الیه - و المراد منه «علاّن» قطعا لدخوله فی العدّة الراوین عن سهل، کما مرّ.</w:t>
      </w:r>
    </w:p>
    <w:p>
      <w:pPr>
        <w:pStyle w:val="BookText"/>
      </w:pPr>
      <w:r>
        <w:rPr>
          <w:rFonts w:ascii="IRNazanin" w:hAnsi="IRNazanin" w:eastAsia="IRNazanin" w:cs="IRNazanin"/>
          <w:lang w:bidi="fa-IR"/>
          <w:color w:val="111111"/>
          <w:sz w:val="28"/>
          <w:szCs w:val="28"/>
          <w:rtl/>
        </w:rPr>
        <w:t xml:space="preserve">و من عجیب ما وقع له - بناء علی ما اختاره - أنّ علیّ بن محمد بن بندار غیر علیّ بن محمد بن عبد اللّه</w:t>
      </w:r>
      <w:r>
        <w:rPr>
          <w:rStyle w:val="FootnoteReference"/>
        </w:rPr>
        <w:footnoteReference w:id="4257"/>
      </w:r>
      <w:r>
        <w:rPr>
          <w:rFonts w:ascii="Amiri" w:hAnsi="Amiri" w:eastAsia="Amiri" w:cs="Amiri"/>
          <w:lang w:bidi="ar-SA"/>
          <w:color w:val="111111"/>
          <w:sz w:val="28"/>
          <w:szCs w:val="28"/>
          <w:rtl/>
        </w:rPr>
        <w:t xml:space="preserve">، مع أنّهما متّحدان جزما.</w:t>
      </w:r>
    </w:p>
    <w:p>
      <w:pPr>
        <w:pStyle w:val="BookText"/>
      </w:pPr>
      <w:r>
        <w:rPr>
          <w:rFonts w:ascii="IRNazanin" w:hAnsi="IRNazanin" w:eastAsia="IRNazanin" w:cs="IRNazanin"/>
          <w:lang w:bidi="fa-IR"/>
          <w:color w:val="111111"/>
          <w:sz w:val="28"/>
          <w:szCs w:val="28"/>
          <w:rtl/>
        </w:rPr>
        <w:t xml:space="preserve">و الّذی ظهر لنا بعد النظر فی عبائر المحقّقین أنّ علیّ بن محمّد المصدّر فی أوائل اسناد «الکافی» کثیرا لیس مجهولا قطعا، بل هو إمّا علیّ بن محمّد</w:t>
      </w:r>
    </w:p>
    <w:p>
      <w:pPr>
        <w:pStyle w:val="BookText"/>
      </w:pPr>
      <w:r>
        <w:rPr>
          <w:rFonts w:ascii="IRNazanin" w:hAnsi="IRNazanin" w:eastAsia="IRNazanin" w:cs="IRNazanin"/>
          <w:lang w:bidi="fa-IR"/>
          <w:color w:val="111111"/>
          <w:sz w:val="28"/>
          <w:szCs w:val="28"/>
          <w:rtl/>
        </w:rPr>
        <w:t xml:space="preserve">[شماره صفحه واقعی : 455]</w:t>
      </w:r>
    </w:p>
    <w:p>
      <w:pPr>
        <w:pStyle w:val="BookText"/>
      </w:pPr>
      <w:r>
        <w:rPr>
          <w:rFonts w:ascii="IRNazanin" w:hAnsi="IRNazanin" w:eastAsia="IRNazanin" w:cs="IRNazanin"/>
          <w:lang w:bidi="fa-IR"/>
          <w:color w:val="111111"/>
          <w:sz w:val="28"/>
          <w:szCs w:val="28"/>
          <w:rtl/>
        </w:rPr>
        <w:t xml:space="preserve">ص: 1173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475" w:name="pg14419_167889"/>
    <w:bookmarkEnd w:id="475"/>
    <w:p>
      <w:pPr>
        <w:pStyle w:val="BookText"/>
      </w:pPr>
      <w:r>
        <w:rPr>
          <w:rFonts w:ascii="IRNazanin" w:hAnsi="IRNazanin" w:eastAsia="IRNazanin" w:cs="IRNazanin"/>
          <w:lang w:bidi="fa-IR"/>
          <w:color w:val="111111"/>
          <w:sz w:val="28"/>
          <w:szCs w:val="28"/>
          <w:rtl/>
        </w:rPr>
        <w:t xml:space="preserve">بن إبراهیم المعروف بعلاّن، و إمّا علیّ بن محمّد بن بندار المعروف أبوه بماجیلویه. و کلاهما ثقتان. فما ادّعاه صاحب التنقیح کان أقرب إلی الصّواب ممّا ذکر فی القاموس و المعجم.</w:t>
      </w:r>
    </w:p>
    <w:p>
      <w:pPr>
        <w:pStyle w:val="Heading5"/>
      </w:pPr>
      <w:bookmarkStart w:id="1432" w:name="_Toc872"/>
      <w:r>
        <w:t>الفائدة الخامسة</w:t>
      </w:r>
      <w:bookmarkEnd w:id="1432"/>
    </w:p>
    <w:p>
      <w:pPr>
        <w:pStyle w:val="BookText"/>
      </w:pPr>
      <w:r>
        <w:rPr>
          <w:rFonts w:ascii="IRNazanin" w:hAnsi="IRNazanin" w:eastAsia="IRNazanin" w:cs="IRNazanin"/>
          <w:lang w:bidi="fa-IR"/>
          <w:color w:val="111111"/>
          <w:sz w:val="28"/>
          <w:szCs w:val="28"/>
          <w:rtl/>
        </w:rPr>
        <w:t xml:space="preserve">نقل عن الاسترآبادی و حجة الإسلام الشفتی و المحقّق الکاظمی أنّ محمّد بن الحسن الّذی یروی عنه الکلینی هو محمّد بن الحسن الصفّار (المتوفّی عام 290) و قوّی هذا القول العلاّمة الکلباسی و المحقّق التستری</w:t>
      </w:r>
      <w:r>
        <w:rPr>
          <w:rStyle w:val="FootnoteReference"/>
        </w:rPr>
        <w:footnoteReference w:id="4258"/>
      </w:r>
      <w:r>
        <w:rPr>
          <w:rFonts w:ascii="IRNazanin" w:hAnsi="IRNazanin" w:eastAsia="IRNazanin" w:cs="IRNazanin"/>
          <w:lang w:bidi="fa-IR"/>
          <w:color w:val="111111"/>
          <w:sz w:val="28"/>
          <w:szCs w:val="28"/>
          <w:rtl/>
        </w:rPr>
        <w:t xml:space="preserve">، أمّا المحدّث النوری فهو بعد ما نقل الوجوه المؤیّدة لکون محمّد بن الحسن هو الصّفار، زیّفها و استدلّ علی خلافه بوجوه سبعة. ثمّ ذکر بعض من کانوا فی طبقة مشایخ الکلینی و شارکوا الصفّار فی الاسم، مثل محمد بن الحسن بن علیّ المحاربی، و محمّد بن الحسن القمّی، و محمّد بن الحسن بن بندار و محمّد بن الحسن البرنانی</w:t>
      </w:r>
      <w:r>
        <w:rPr>
          <w:rStyle w:val="FootnoteReference"/>
        </w:rPr>
        <w:footnoteReference w:id="4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احتمال کون محمّد بن الحسن هذا هو ابن الولید - کما زعمه بعض - فبعید غایته، لأنّه من مشایخ الصّدوق و قد توفّی عام 343، أی بعد أربعة عشر عاما من موت الکلینی.</w:t>
      </w:r>
    </w:p>
    <w:p>
      <w:pPr>
        <w:pStyle w:val="Heading5"/>
      </w:pPr>
      <w:bookmarkStart w:id="1433" w:name="_Toc873"/>
      <w:r>
        <w:t>الفائدة السادسة</w:t>
      </w:r>
      <w:bookmarkEnd w:id="1433"/>
    </w:p>
    <w:p>
      <w:pPr>
        <w:pStyle w:val="BookText"/>
      </w:pPr>
      <w:r>
        <w:rPr>
          <w:rFonts w:ascii="IRNazanin" w:hAnsi="IRNazanin" w:eastAsia="IRNazanin" w:cs="IRNazanin"/>
          <w:lang w:bidi="fa-IR"/>
          <w:color w:val="111111"/>
          <w:sz w:val="28"/>
          <w:szCs w:val="28"/>
          <w:rtl/>
        </w:rPr>
        <w:t xml:space="preserve">قال صاحب «المعالم» فی الفائدة الثانیة عشر من مقدّمة کتابه المنتقی:</w:t>
      </w:r>
    </w:p>
    <w:p>
      <w:pPr>
        <w:pStyle w:val="BookText"/>
      </w:pPr>
      <w:r>
        <w:rPr>
          <w:rFonts w:ascii="IRNazanin" w:hAnsi="IRNazanin" w:eastAsia="IRNazanin" w:cs="IRNazanin"/>
          <w:lang w:bidi="fa-IR"/>
          <w:color w:val="111111"/>
          <w:sz w:val="28"/>
          <w:szCs w:val="28"/>
          <w:rtl/>
        </w:rPr>
        <w:t xml:space="preserve">«یأتی فی أوائل أسانید الکافی: محمّد بن اسماعیل عن الفضل بن</w:t>
      </w:r>
    </w:p>
    <w:p>
      <w:pPr>
        <w:pStyle w:val="BookText"/>
      </w:pPr>
      <w:r>
        <w:rPr>
          <w:rFonts w:ascii="IRNazanin" w:hAnsi="IRNazanin" w:eastAsia="IRNazanin" w:cs="IRNazanin"/>
          <w:lang w:bidi="fa-IR"/>
          <w:color w:val="111111"/>
          <w:sz w:val="28"/>
          <w:szCs w:val="28"/>
          <w:rtl/>
        </w:rPr>
        <w:t xml:space="preserve">[شماره صفحه واقعی : 456]</w:t>
      </w:r>
    </w:p>
    <w:p>
      <w:pPr>
        <w:pStyle w:val="BookText"/>
      </w:pPr>
      <w:r>
        <w:rPr>
          <w:rFonts w:ascii="IRNazanin" w:hAnsi="IRNazanin" w:eastAsia="IRNazanin" w:cs="IRNazanin"/>
          <w:lang w:bidi="fa-IR"/>
          <w:color w:val="111111"/>
          <w:sz w:val="28"/>
          <w:szCs w:val="28"/>
          <w:rtl/>
        </w:rPr>
        <w:t xml:space="preserve">ص: 1174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شاذان، و أمر محمد بن إسماعیل هذا ملتبس، لأنّ الاسم مشترک فی الظاهر بین سبعة رجال و هم محمّد بن إسماعیل بن بزیع الثقة الجلیل، و محمّد بن إسماعیل البرمکی، و محمّد بن إسماعیل الزعفرانی - و هذان وثّقهما النجاشی</w:t>
      </w:r>
      <w:r>
        <w:rPr>
          <w:rStyle w:val="FootnoteReference"/>
        </w:rPr>
        <w:footnoteReference w:id="4260"/>
      </w:r>
      <w:r>
        <w:rPr>
          <w:rFonts w:ascii="IRNazanin" w:hAnsi="IRNazanin" w:eastAsia="IRNazanin" w:cs="IRNazanin"/>
          <w:lang w:bidi="fa-IR"/>
          <w:color w:val="111111"/>
          <w:sz w:val="28"/>
          <w:szCs w:val="28"/>
          <w:rtl/>
        </w:rPr>
        <w:t xml:space="preserve">- و محمّد بن إسماعیل الکنانی، و محمّد بن إسماعیل الجعفری، و محمّد بن إسماعیل الصیمری القمی، و محمّد بن إسماعیل البلخی، و کلّهم مجهولو الحال»</w:t>
      </w:r>
      <w:r>
        <w:rPr>
          <w:rStyle w:val="FootnoteReference"/>
        </w:rPr>
        <w:footnoteReference w:id="4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علی نفی کون محمّد بن إسماعیل المذکور أحد السبعة المذکورین و أضاف: «و یحتمل کونه غیرهم، بل هو أقرب. فانّ الکشّی ذکر فی ترجمة فضل بن شاذان حکایة عنه و قال: إنّ أبا الحسن محمّد بن إسماعیل البندقی النیسابوری ذکرها. و لا یخفی ما فی التزام صاحب الاسم المبحوث عنه، للروایة عن الفضل بن شاذان من الدلالة علی الاختصاص به و نقل الحکایة عن الرجل المذکور یؤذن بنحو ذلک فیقرب کونه هو... ثم ان حال هذا الرجل مجهول أیضا إذ لم یعلم له ذکر إلاّ بما رأیت. فلیس فی هذا التعیین کثیر فائدة و لعلّ فی إکثار الکلینی من الروایة عنه شهادة بحسن حاله»</w:t>
      </w:r>
      <w:r>
        <w:rPr>
          <w:rStyle w:val="FootnoteReference"/>
        </w:rPr>
        <w:footnoteReference w:id="4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احتمله صاحب المعالم هو ما قوّاه الکلباسی فی «سماء المقال» و التستری فی «قاموس الرجال»</w:t>
      </w:r>
      <w:r>
        <w:rPr>
          <w:rStyle w:val="FootnoteReference"/>
        </w:rPr>
        <w:footnoteReference w:id="4263"/>
      </w:r>
      <w:r>
        <w:rPr>
          <w:rFonts w:ascii="IRNazanin" w:hAnsi="IRNazanin" w:eastAsia="IRNazanin" w:cs="IRNazanin"/>
          <w:lang w:bidi="fa-IR"/>
          <w:color w:val="111111"/>
          <w:sz w:val="28"/>
          <w:szCs w:val="28"/>
          <w:rtl/>
        </w:rPr>
        <w:t xml:space="preserve">. و مال إلیه کثیر من الاعلام، خلافا لشیخنا البهائی فی مقدّمة «مشرق الشمسین» حیث اختار کون الرجل هو البرمکی الثقة، و خلافا لابن داود فانه قال:</w:t>
      </w:r>
    </w:p>
    <w:p>
      <w:pPr>
        <w:pStyle w:val="BookText"/>
      </w:pPr>
      <w:r>
        <w:rPr>
          <w:rFonts w:ascii="IRNazanin" w:hAnsi="IRNazanin" w:eastAsia="IRNazanin" w:cs="IRNazanin"/>
          <w:lang w:bidi="fa-IR"/>
          <w:color w:val="111111"/>
          <w:sz w:val="28"/>
          <w:szCs w:val="28"/>
          <w:rtl/>
        </w:rPr>
        <w:t xml:space="preserve">[شماره صفحه واقعی : 457]</w:t>
      </w:r>
    </w:p>
    <w:p>
      <w:pPr>
        <w:pStyle w:val="BookText"/>
      </w:pPr>
      <w:r>
        <w:rPr>
          <w:rFonts w:ascii="IRNazanin" w:hAnsi="IRNazanin" w:eastAsia="IRNazanin" w:cs="IRNazanin"/>
          <w:lang w:bidi="fa-IR"/>
          <w:color w:val="111111"/>
          <w:sz w:val="28"/>
          <w:szCs w:val="28"/>
          <w:rtl/>
        </w:rPr>
        <w:t xml:space="preserve">ص: 1175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476" w:name="pg14419_167891"/>
    <w:bookmarkEnd w:id="476"/>
    <w:p>
      <w:pPr>
        <w:pStyle w:val="BookText"/>
      </w:pPr>
      <w:r>
        <w:rPr>
          <w:rFonts w:ascii="IRNazanin" w:hAnsi="IRNazanin" w:eastAsia="IRNazanin" w:cs="IRNazanin"/>
          <w:lang w:bidi="fa-IR"/>
          <w:color w:val="111111"/>
          <w:sz w:val="28"/>
          <w:szCs w:val="28"/>
          <w:rtl/>
        </w:rPr>
        <w:t xml:space="preserve">«إذا وردت روایة عن محمّد بن یعقوب عن محمّد بن إسماعیل ففی صحّتها قولان. فانّ فی لقائه له إشکالا فتقف الروایة بجهالة الواسطة بینهما و إن کانا مرضیّین معظّمین»</w:t>
      </w:r>
      <w:r>
        <w:rPr>
          <w:rStyle w:val="FootnoteReference"/>
        </w:rPr>
        <w:footnoteReference w:id="4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هذا الکلام أنّه ابن بزیع، کما قال صاحب المنتقی و ناقش فیه بأنّ الکلینی أجلّ من أن ینسب إلیه هذا التدلیس الفاحش</w:t>
      </w:r>
      <w:r>
        <w:rPr>
          <w:rStyle w:val="FootnoteReference"/>
        </w:rPr>
        <w:footnoteReference w:id="4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سلّمنا کون الرجل هو محمّد بن إسماعیل النیسابوری فهل یحکم بصحّة حدیثه لکونه ثقة أو یحکم بجسنه أو ضعفه لکونه مجهول الحال. قال صاحب المعالم: «و یقوی فی خاطری إدخال الحدیث المشتمل علیه فی قسم الحسن». و ذکر الکلباسی أنّه الثقة الإمامی الجلیل و العالم النبیل و استشهد لقوله تارة باکثار الکلینی فی الکافی من الروایة عنه، حتّی قیل إنّه روی عنه ما یزید علی خمسمائة حدیث، و اخری باستظهار کون الرجل من مشایخ إجازة الکلینی. فحینئذ یکون حدیثه صحیحا، کما جری علیه المحقّق الداماد و الفاضل البحرانی. و فی مقابله جماعة من الأعاظم کالمجلسی الثانی و صاحب المدارک و التفرشی. و لهذا الفریق أیضا دلائل و شواهد عدیدة، ذکرها العلاّمة الکلباسی فی المقصد الثالث من کتابه</w:t>
      </w:r>
      <w:r>
        <w:rPr>
          <w:rStyle w:val="FootnoteReference"/>
        </w:rPr>
        <w:footnoteReference w:id="4266"/>
      </w:r>
      <w:r>
        <w:rPr>
          <w:rFonts w:ascii="Times New Roman" w:hAnsi="Times New Roman" w:eastAsia="Times New Roman" w:cs="Times New Roman"/>
          <w:lang w:val="en-US" w:bidi="en-US"/>
          <w:color w:val="111111"/>
          <w:sz w:val="28"/>
          <w:szCs w:val="28"/>
          <w:rtl/>
        </w:rPr>
        <w:t xml:space="preserve">.</w:t>
      </w:r>
    </w:p>
    <w:p>
      <w:pPr>
        <w:pStyle w:val="Heading5"/>
      </w:pPr>
      <w:bookmarkStart w:id="1434" w:name="_Toc874"/>
      <w:r>
        <w:t>الفائدة السابعة</w:t>
      </w:r>
      <w:bookmarkEnd w:id="1434"/>
    </w:p>
    <w:p>
      <w:pPr>
        <w:pStyle w:val="BookText"/>
      </w:pPr>
      <w:r>
        <w:rPr>
          <w:rFonts w:ascii="IRNazanin" w:hAnsi="IRNazanin" w:eastAsia="IRNazanin" w:cs="IRNazanin"/>
          <w:lang w:bidi="fa-IR"/>
          <w:color w:val="111111"/>
          <w:sz w:val="28"/>
          <w:szCs w:val="28"/>
          <w:rtl/>
        </w:rPr>
        <w:t xml:space="preserve">ذکر العلاّمة فی الفائدة التاسعة من «الخلاصة» و ابن داود فی رجاله أنّه قد یغلط جماعة فی الاسناد من إبراهیم بن هاشم إلی حمّاد بن عیسی، فیتوهّمونه حمّاد بن عثمان و هو غلط فإنّ إبراهیم بن هاشم لم یلق حمّاد بن عثمان، بل حمّاد بن عیسی</w:t>
      </w:r>
      <w:r>
        <w:rPr>
          <w:rStyle w:val="FootnoteReference"/>
        </w:rPr>
        <w:footnoteReference w:id="4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458]</w:t>
      </w:r>
    </w:p>
    <w:p>
      <w:pPr>
        <w:pStyle w:val="BookText"/>
      </w:pPr>
      <w:r>
        <w:rPr>
          <w:rFonts w:ascii="IRNazanin" w:hAnsi="IRNazanin" w:eastAsia="IRNazanin" w:cs="IRNazanin"/>
          <w:lang w:bidi="fa-IR"/>
          <w:color w:val="111111"/>
          <w:sz w:val="28"/>
          <w:szCs w:val="28"/>
          <w:rtl/>
        </w:rPr>
        <w:t xml:space="preserve">ص: 1176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 توفّی سنة 190 و الثانی سنة 209 (أو 208) کما صرّح به النّجاشی</w:t>
      </w:r>
      <w:r>
        <w:rPr>
          <w:rStyle w:val="FootnoteReference"/>
        </w:rPr>
        <w:footnoteReference w:id="4268"/>
      </w:r>
      <w:r>
        <w:rPr>
          <w:rFonts w:ascii="IRNazanin" w:hAnsi="IRNazanin" w:eastAsia="IRNazanin" w:cs="IRNazanin"/>
          <w:lang w:bidi="fa-IR"/>
          <w:color w:val="111111"/>
          <w:sz w:val="28"/>
          <w:szCs w:val="28"/>
          <w:rtl/>
        </w:rPr>
        <w:t xml:space="preserve">. حکی صاحب المنتقی کلام العلاّمة عن الخلاصة و أضاف:</w:t>
      </w:r>
    </w:p>
    <w:p>
      <w:pPr>
        <w:pStyle w:val="BookText"/>
      </w:pPr>
      <w:r>
        <w:rPr>
          <w:rFonts w:ascii="IRNazanin" w:hAnsi="IRNazanin" w:eastAsia="IRNazanin" w:cs="IRNazanin"/>
          <w:lang w:bidi="fa-IR"/>
          <w:color w:val="111111"/>
          <w:sz w:val="28"/>
          <w:szCs w:val="28"/>
          <w:rtl/>
        </w:rPr>
        <w:t xml:space="preserve">«نبّه علی هذا غیر العلاّمة أیضا من أصحاب الرجال و الاعتبار شاهد به»</w:t>
      </w:r>
      <w:r>
        <w:rPr>
          <w:rStyle w:val="FootnoteReference"/>
        </w:rPr>
        <w:footnoteReference w:id="4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أصل هذا الکلام - کما تفطّن به السید بحر العلوم</w:t>
      </w:r>
      <w:r>
        <w:rPr>
          <w:rStyle w:val="FootnoteReference"/>
        </w:rPr>
        <w:footnoteReference w:id="4270"/>
      </w:r>
      <w:r>
        <w:rPr>
          <w:rFonts w:ascii="IRNazanin" w:hAnsi="IRNazanin" w:eastAsia="IRNazanin" w:cs="IRNazanin"/>
          <w:lang w:bidi="fa-IR"/>
          <w:color w:val="111111"/>
          <w:sz w:val="28"/>
          <w:szCs w:val="28"/>
          <w:rtl/>
        </w:rPr>
        <w:t xml:space="preserve">- مأخوذ ممّا ذکره الصّدوق فی مشیخة الفقیه بقوله:</w:t>
      </w:r>
    </w:p>
    <w:p>
      <w:pPr>
        <w:pStyle w:val="BookText"/>
      </w:pPr>
      <w:r>
        <w:rPr>
          <w:rFonts w:ascii="IRNazanin" w:hAnsi="IRNazanin" w:eastAsia="IRNazanin" w:cs="IRNazanin"/>
          <w:lang w:bidi="fa-IR"/>
          <w:color w:val="111111"/>
          <w:sz w:val="28"/>
          <w:szCs w:val="28"/>
          <w:rtl/>
        </w:rPr>
        <w:t xml:space="preserve">«و ما کان فیه من وصیّة أمیر المؤمنین لابنه محمّد بن الحنفیة - رضی اللّه عنه - فقد رویته عن أبی - رضی اللّه عنه -، عن علیّ بن إبراهیم بن هاشم، عن أبیه، عن حمّاد بن عیسی عمّن ذکره، عن أبی عبد اللّه - علیه السلام -.</w:t>
      </w:r>
    </w:p>
    <w:p>
      <w:pPr>
        <w:pStyle w:val="BookText"/>
      </w:pPr>
      <w:r>
        <w:rPr>
          <w:rFonts w:ascii="IRNazanin" w:hAnsi="IRNazanin" w:eastAsia="IRNazanin" w:cs="IRNazanin"/>
          <w:lang w:bidi="fa-IR"/>
          <w:color w:val="111111"/>
          <w:sz w:val="28"/>
          <w:szCs w:val="28"/>
          <w:rtl/>
        </w:rPr>
        <w:t xml:space="preserve">و یغلط أکثر الناس فی هذا الاسناد فیجعلون مکان حمّاد بن عیسی، حمّاد بن عثمان. و إبراهیم بن هاشم لم یلق حمّاد بن عثمان و إنّما لقی حمّاد بن عیسی و روی عنه»</w:t>
      </w:r>
      <w:r>
        <w:rPr>
          <w:rStyle w:val="FootnoteReference"/>
        </w:rPr>
        <w:footnoteReference w:id="4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«سماء المقال»:</w:t>
      </w:r>
    </w:p>
    <w:p>
      <w:pPr>
        <w:pStyle w:val="BookText"/>
      </w:pPr>
      <w:r>
        <w:rPr>
          <w:rFonts w:ascii="IRNazanin" w:hAnsi="IRNazanin" w:eastAsia="IRNazanin" w:cs="IRNazanin"/>
          <w:lang w:bidi="fa-IR"/>
          <w:color w:val="111111"/>
          <w:sz w:val="28"/>
          <w:szCs w:val="28"/>
          <w:rtl/>
        </w:rPr>
        <w:t xml:space="preserve">«و الظاهر من کلام الصدوق أنّه اطّلع من الخارج علی عدم اللقاء»</w:t>
      </w:r>
      <w:r>
        <w:rPr>
          <w:rStyle w:val="FootnoteReference"/>
        </w:rPr>
        <w:footnoteReference w:id="4272"/>
      </w:r>
      <w:r>
        <w:rPr>
          <w:rFonts w:ascii="IRNazanin" w:hAnsi="IRNazanin" w:eastAsia="IRNazanin" w:cs="IRNazanin"/>
          <w:lang w:bidi="fa-IR"/>
          <w:color w:val="111111"/>
          <w:sz w:val="28"/>
          <w:szCs w:val="28"/>
          <w:rtl/>
        </w:rPr>
        <w:t xml:space="preserve">، فلا جدوی لما صنعه بعض کالمحدّث المتتبع النوری - قدّس سره - من إثبات إمکان اللّقاء، لأنّ المدّعی عدم اللقاء، لا عدم إمکانه رأسا</w:t>
      </w:r>
      <w:r>
        <w:rPr>
          <w:rStyle w:val="FootnoteReference"/>
        </w:rPr>
        <w:footnoteReference w:id="4273"/>
      </w:r>
      <w:r>
        <w:rPr>
          <w:rFonts w:ascii="IRNazanin" w:hAnsi="IRNazanin" w:eastAsia="IRNazanin" w:cs="IRNazanin"/>
          <w:lang w:bidi="fa-IR"/>
          <w:color w:val="111111"/>
          <w:sz w:val="28"/>
          <w:szCs w:val="28"/>
          <w:rtl/>
        </w:rPr>
        <w:t xml:space="preserve">و أمّا ما یوجد فی قلیل من الروایات من روایة إبراهیم بن هاشم عن حمّاد بن عثمان فلا یضرّ أیضا، لأنّ ظاهر مقالة الصدوق و تابعیه حصول التغلیط فی تعیین المطلق فی المقیّد المخصوص أو تبدیل المقیّد بالمقیّد و حینئذ إن ثبت عدم اللقاء یحکم إمّا</w:t>
      </w:r>
    </w:p>
    <w:p>
      <w:pPr>
        <w:pStyle w:val="BookText"/>
      </w:pPr>
      <w:r>
        <w:rPr>
          <w:rFonts w:ascii="IRNazanin" w:hAnsi="IRNazanin" w:eastAsia="IRNazanin" w:cs="IRNazanin"/>
          <w:lang w:bidi="fa-IR"/>
          <w:color w:val="111111"/>
          <w:sz w:val="28"/>
          <w:szCs w:val="28"/>
          <w:rtl/>
        </w:rPr>
        <w:t xml:space="preserve">[شماره صفحه واقعی : 459]</w:t>
      </w:r>
    </w:p>
    <w:p>
      <w:pPr>
        <w:pStyle w:val="BookText"/>
      </w:pPr>
      <w:r>
        <w:rPr>
          <w:rFonts w:ascii="IRNazanin" w:hAnsi="IRNazanin" w:eastAsia="IRNazanin" w:cs="IRNazanin"/>
          <w:lang w:bidi="fa-IR"/>
          <w:color w:val="111111"/>
          <w:sz w:val="28"/>
          <w:szCs w:val="28"/>
          <w:rtl/>
        </w:rPr>
        <w:t xml:space="preserve">ص: 1177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477" w:name="pg14419_167893"/>
    <w:bookmarkEnd w:id="477"/>
    <w:p>
      <w:pPr>
        <w:pStyle w:val="BookText"/>
      </w:pPr>
      <w:r>
        <w:rPr>
          <w:rFonts w:ascii="IRNazanin" w:hAnsi="IRNazanin" w:eastAsia="IRNazanin" w:cs="IRNazanin"/>
          <w:lang w:bidi="fa-IR"/>
          <w:color w:val="111111"/>
          <w:sz w:val="28"/>
          <w:szCs w:val="28"/>
          <w:rtl/>
        </w:rPr>
        <w:t xml:space="preserve">بارسال الحدیث أو بتصحیفه. مع أنّ ما ذکر من موارد الخلاف لم یتحقّق إلاّ نادرا فی الغایة</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الشواهد الّتی ذکروها هی الروایة الخامسة من باب (تحنیط المیّت و تکفینه) بهذا الاسناد: «علیّ بن ابراهیم، عن أبیه، عن حمّاد بن عثمان، عن حریز، عن زرارة و محمّد بن مسلم، قالا:...»</w:t>
      </w:r>
      <w:r>
        <w:rPr>
          <w:rStyle w:val="FootnoteReference"/>
        </w:rPr>
        <w:footnoteReference w:id="4275"/>
      </w:r>
      <w:r>
        <w:rPr>
          <w:rFonts w:ascii="IRNazanin" w:hAnsi="IRNazanin" w:eastAsia="IRNazanin" w:cs="IRNazanin"/>
          <w:lang w:bidi="fa-IR"/>
          <w:color w:val="111111"/>
          <w:sz w:val="28"/>
          <w:szCs w:val="28"/>
          <w:rtl/>
        </w:rPr>
        <w:t xml:space="preserve">قال صاحب المنتقی بعد نقل هذا الحدیث و تقویة کلام العلاّمة فی الخلاصة، ما هذا لفظه:</w:t>
      </w:r>
    </w:p>
    <w:p>
      <w:pPr>
        <w:pStyle w:val="BookText"/>
      </w:pPr>
      <w:r>
        <w:rPr>
          <w:rFonts w:ascii="IRNazanin" w:hAnsi="IRNazanin" w:eastAsia="IRNazanin" w:cs="IRNazanin"/>
          <w:lang w:bidi="fa-IR"/>
          <w:color w:val="111111"/>
          <w:sz w:val="28"/>
          <w:szCs w:val="28"/>
          <w:rtl/>
        </w:rPr>
        <w:t xml:space="preserve">«و قد وقع هذا الغلط فی إسناد هذا الخبر علی ما وجدته فی نسختین عندی الآن للکافی. و یزید وجه الغلط فی خصوص هذا السند بأنّ حماد بن عثمان لا تعهد له روایة عن حریز، بل المعروف المتکرّر روایة حمّاد بن عیسی عنه»</w:t>
      </w:r>
      <w:r>
        <w:rPr>
          <w:rStyle w:val="FootnoteReference"/>
        </w:rPr>
        <w:footnoteReference w:id="4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ممّا ذکرنا أنّه إذا وجد فی روایة: «إبراهیم بن هاشم عن حماد» فالمراد منه حمّاد بن عیسی لا حمّاد بن عثمان، حتّی یحکم بارسال السند أو تصحیفه بناء علی عدم لقاء إبراهیم لابن عثمان.</w:t>
      </w:r>
    </w:p>
    <w:p>
      <w:pPr>
        <w:pStyle w:val="Heading5"/>
      </w:pPr>
      <w:bookmarkStart w:id="1435" w:name="_Toc875"/>
      <w:r>
        <w:t>الفائدة الثامنة</w:t>
      </w:r>
      <w:bookmarkEnd w:id="1435"/>
    </w:p>
    <w:p>
      <w:pPr>
        <w:pStyle w:val="BookText"/>
      </w:pPr>
      <w:r>
        <w:rPr>
          <w:rFonts w:ascii="IRNazanin" w:hAnsi="IRNazanin" w:eastAsia="IRNazanin" w:cs="IRNazanin"/>
          <w:lang w:bidi="fa-IR"/>
          <w:color w:val="111111"/>
          <w:sz w:val="28"/>
          <w:szCs w:val="28"/>
          <w:rtl/>
        </w:rPr>
        <w:t xml:space="preserve">قال ابن داود فی رجاله: «إذا وردت روایة یروی فیها موسی بن القاسم عن حمّاد، فلا تتوهّمها مرسلة لکون حمّاد من رجال الصادق - علیه السلام -، لأنّ حمّادا إمّا ابن عثمان و قد بقی إلی زمن الرضا - علیه السلام - و روی عن الصادق و الکاظم و الرضا - علیهم السلام - و إمّا ابن عیسی فقد لقی الإمام الصادق - علیه السلام - و بقی إلی زمن أبی جعفر الثانی - علیه السلام -، و مات غریقا</w:t>
      </w:r>
    </w:p>
    <w:p>
      <w:pPr>
        <w:pStyle w:val="BookText"/>
      </w:pPr>
      <w:r>
        <w:rPr>
          <w:rFonts w:ascii="IRNazanin" w:hAnsi="IRNazanin" w:eastAsia="IRNazanin" w:cs="IRNazanin"/>
          <w:lang w:bidi="fa-IR"/>
          <w:color w:val="111111"/>
          <w:sz w:val="28"/>
          <w:szCs w:val="28"/>
          <w:rtl/>
        </w:rPr>
        <w:t xml:space="preserve">[شماره صفحه واقعی : 460]</w:t>
      </w:r>
    </w:p>
    <w:p>
      <w:pPr>
        <w:pStyle w:val="BookText"/>
      </w:pPr>
      <w:r>
        <w:rPr>
          <w:rFonts w:ascii="IRNazanin" w:hAnsi="IRNazanin" w:eastAsia="IRNazanin" w:cs="IRNazanin"/>
          <w:lang w:bidi="fa-IR"/>
          <w:color w:val="111111"/>
          <w:sz w:val="28"/>
          <w:szCs w:val="28"/>
          <w:rtl/>
        </w:rPr>
        <w:t xml:space="preserve">ص: 1178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478" w:name="pg14419_167894"/>
    <w:bookmarkEnd w:id="478"/>
    <w:p>
      <w:pPr>
        <w:pStyle w:val="BookText"/>
      </w:pPr>
      <w:r>
        <w:rPr>
          <w:rFonts w:ascii="IRNazanin" w:hAnsi="IRNazanin" w:eastAsia="IRNazanin" w:cs="IRNazanin"/>
          <w:lang w:bidi="fa-IR"/>
          <w:color w:val="111111"/>
          <w:sz w:val="28"/>
          <w:szCs w:val="28"/>
          <w:rtl/>
        </w:rPr>
        <w:t xml:space="preserve">بالجحفة عن نیّف و تسعین سنة حیث أراد الغسل للاحرام»</w:t>
      </w:r>
      <w:r>
        <w:rPr>
          <w:rStyle w:val="FootnoteReference"/>
        </w:rPr>
        <w:footnoteReference w:id="4277"/>
      </w:r>
      <w:r>
        <w:rPr>
          <w:rFonts w:ascii="Times New Roman" w:hAnsi="Times New Roman" w:eastAsia="Times New Roman" w:cs="Times New Roman"/>
          <w:lang w:val="en-US" w:bidi="en-US"/>
          <w:color w:val="111111"/>
          <w:sz w:val="28"/>
          <w:szCs w:val="28"/>
          <w:rtl/>
        </w:rPr>
        <w:t xml:space="preserve">.</w:t>
      </w:r>
    </w:p>
    <w:p>
      <w:pPr>
        <w:pStyle w:val="Heading5"/>
      </w:pPr>
      <w:bookmarkStart w:id="1436" w:name="_Toc876"/>
      <w:r>
        <w:t>الفائدة التاسعة</w:t>
      </w:r>
      <w:bookmarkEnd w:id="1436"/>
    </w:p>
    <w:p>
      <w:pPr>
        <w:pStyle w:val="BookText"/>
      </w:pPr>
      <w:r>
        <w:rPr>
          <w:rFonts w:ascii="IRNazanin" w:hAnsi="IRNazanin" w:eastAsia="IRNazanin" w:cs="IRNazanin"/>
          <w:lang w:bidi="fa-IR"/>
          <w:color w:val="111111"/>
          <w:sz w:val="28"/>
          <w:szCs w:val="28"/>
          <w:rtl/>
        </w:rPr>
        <w:t xml:space="preserve">إنّ کلاّ من الشیخ أبی جعفر محمّد بن الحسن الطوسی و الشیخ الصدوق أبی جعفر محمّد بن بابویه روی عن رجال لم یلقهم، لکنّه بینه و بینهم رجال، فمنهم المستقیمون مذهبا، فذاک السند صحیح، و منهم الموثّقون مع فساد مذهبهم، فذاک قویّ. و منهم المجروحون فذاک السند ضعیف. و قد سرد ابن داود أسامی هؤلاء فی التنبیه التاسع من رجاله فلیرجع من أراد</w:t>
      </w:r>
      <w:r>
        <w:rPr>
          <w:rStyle w:val="FootnoteReference"/>
        </w:rPr>
        <w:footnoteReference w:id="4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حقیقة المقال عند البحث عن «شیخوخة الاجازة» و أنّ ضعف المشایخ لا یضرّ بصحّة الروایة إذا کان الکتاب المنقول عنه من الکتب المشهورة.</w:t>
      </w:r>
    </w:p>
    <w:p>
      <w:pPr>
        <w:pStyle w:val="Heading5"/>
      </w:pPr>
      <w:bookmarkStart w:id="1437" w:name="_Toc877"/>
      <w:r>
        <w:t>الفائدة العاشرة</w:t>
      </w:r>
      <w:bookmarkEnd w:id="1437"/>
    </w:p>
    <w:p>
      <w:pPr>
        <w:pStyle w:val="BookText"/>
      </w:pPr>
      <w:r>
        <w:rPr>
          <w:rFonts w:ascii="IRNazanin" w:hAnsi="IRNazanin" w:eastAsia="IRNazanin" w:cs="IRNazanin"/>
          <w:lang w:bidi="fa-IR"/>
          <w:color w:val="111111"/>
          <w:sz w:val="28"/>
          <w:szCs w:val="28"/>
          <w:rtl/>
        </w:rPr>
        <w:t xml:space="preserve">وقع فی أسناد کثیر من الروایات تبلغ ألفین و مائتین و خمسة و سبعین موردا عنوان «أبی بصیر»</w:t>
      </w:r>
      <w:r>
        <w:rPr>
          <w:rStyle w:val="FootnoteReference"/>
        </w:rPr>
        <w:footnoteReference w:id="4279"/>
      </w:r>
      <w:r>
        <w:rPr>
          <w:rFonts w:ascii="IRNazanin" w:hAnsi="IRNazanin" w:eastAsia="IRNazanin" w:cs="IRNazanin"/>
          <w:lang w:bidi="fa-IR"/>
          <w:color w:val="111111"/>
          <w:sz w:val="28"/>
          <w:szCs w:val="28"/>
          <w:rtl/>
        </w:rPr>
        <w:t xml:space="preserve">فاختلف فی تعیین المراد منه، کما اختلف فی تحقیق عدد من یطلق علیه هذه الکنیة. فذهب بعضهم إلی إطلاقها علی اثنین، و بعض آخر علی ثلاثة، و جمع کثیر علی أربعة. و ربّما یظهر من بعضهم أکثر من هذا العدد أیضا. قال المحقّق التستری فی رسالته الموسومة بالدر النظیر فی المکنیّن بأبی بصیر:</w:t>
      </w:r>
    </w:p>
    <w:p>
      <w:pPr>
        <w:pStyle w:val="BookText"/>
      </w:pPr>
      <w:r>
        <w:rPr>
          <w:rFonts w:ascii="IRNazanin" w:hAnsi="IRNazanin" w:eastAsia="IRNazanin" w:cs="IRNazanin"/>
          <w:lang w:bidi="fa-IR"/>
          <w:color w:val="111111"/>
          <w:sz w:val="28"/>
          <w:szCs w:val="28"/>
          <w:rtl/>
        </w:rPr>
        <w:t xml:space="preserve">«إنّ هذه الکنیة جعلوها مشترکة بین عدّة ذکر القدماء بعضهم، و بعضهم الآخر المتأخرون، یصل جمعهم إلی ثمانیة»</w:t>
      </w:r>
      <w:r>
        <w:rPr>
          <w:rStyle w:val="FootnoteReference"/>
        </w:rPr>
        <w:footnoteReference w:id="4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461]</w:t>
      </w:r>
    </w:p>
    <w:p>
      <w:pPr>
        <w:pStyle w:val="BookText"/>
      </w:pPr>
      <w:r>
        <w:rPr>
          <w:rFonts w:ascii="IRNazanin" w:hAnsi="IRNazanin" w:eastAsia="IRNazanin" w:cs="IRNazanin"/>
          <w:lang w:bidi="fa-IR"/>
          <w:color w:val="111111"/>
          <w:sz w:val="28"/>
          <w:szCs w:val="28"/>
          <w:rtl/>
        </w:rPr>
        <w:t xml:space="preserve">ص: 1179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المشهور کما ذکرنا اشتراکها بین أربعة رجال، کما ذهب إلیه ابن داود و التفرشی و العلاّمة المامقانی. قال الأوّل: «أبو بصیر مشترک بین أربعة:</w:t>
      </w:r>
    </w:p>
    <w:p>
      <w:pPr>
        <w:pStyle w:val="BookText"/>
      </w:pPr>
      <w:r>
        <w:rPr>
          <w:rFonts w:ascii="IRNazanin" w:hAnsi="IRNazanin" w:eastAsia="IRNazanin" w:cs="IRNazanin"/>
          <w:lang w:bidi="fa-IR"/>
          <w:color w:val="111111"/>
          <w:sz w:val="28"/>
          <w:szCs w:val="28"/>
          <w:rtl/>
        </w:rPr>
        <w:t xml:space="preserve">«1 - لیث بن البختری 2 - یحیی بن أبی القاسم 3 - یوسف بن الحارث البتری 4 - عبد اللّه بن محمّد الأسدی»</w:t>
      </w:r>
      <w:r>
        <w:rPr>
          <w:rStyle w:val="FootnoteReference"/>
        </w:rPr>
        <w:footnoteReference w:id="4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هؤلاء الأربعة لیسوا کلّهم ثقات، کما جاء فی «معجم رجال الحدیث»:</w:t>
      </w:r>
    </w:p>
    <w:p>
      <w:pPr>
        <w:pStyle w:val="BookText"/>
      </w:pPr>
      <w:r>
        <w:rPr>
          <w:rFonts w:ascii="IRNazanin" w:hAnsi="IRNazanin" w:eastAsia="IRNazanin" w:cs="IRNazanin"/>
          <w:lang w:bidi="fa-IR"/>
          <w:color w:val="111111"/>
          <w:sz w:val="28"/>
          <w:szCs w:val="28"/>
          <w:rtl/>
        </w:rPr>
        <w:t xml:space="preserve">«و قد ذکر بعضهم أنّ أبا بصیر مشترک بین الثقة و غیره. و لأجل ذلک تسقط هذه الروایات الکثیرة عن الحجّیة»</w:t>
      </w:r>
      <w:r>
        <w:rPr>
          <w:rStyle w:val="FootnoteReference"/>
        </w:rPr>
        <w:footnoteReference w:id="4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الحق کما صرّح به المحقّق التستری فی قاموسه و فی رسالته المذکورة آنفا و العلاّمة النحریر الخوانساری فی تألیفه المنیف الموسوم ب «رسالة عدیمة النظیر فی أحوال أبی بصیر» و جمع آخر من المحقّقین أنّ المراد منه «یحیی بن أبی القاسم الأسدی» الثقة، أحد فقهاء الطّبقة الاولی من أصحاب الاجماع.</w:t>
      </w:r>
    </w:p>
    <w:p>
      <w:pPr>
        <w:pStyle w:val="BookText"/>
      </w:pPr>
      <w:r>
        <w:rPr>
          <w:rFonts w:ascii="IRNazanin" w:hAnsi="IRNazanin" w:eastAsia="IRNazanin" w:cs="IRNazanin"/>
          <w:lang w:bidi="fa-IR"/>
          <w:color w:val="111111"/>
          <w:sz w:val="28"/>
          <w:szCs w:val="28"/>
          <w:rtl/>
        </w:rPr>
        <w:t xml:space="preserve">و لو تنزّلنا عن هذا لقلنا بأنّه مردد بین شخصین ثقتین: یحیی و لیث، کما فی «معجم رجال الحدیث» فإنّه قال:</w:t>
      </w:r>
    </w:p>
    <w:p>
      <w:pPr>
        <w:pStyle w:val="BookText"/>
      </w:pPr>
      <w:r>
        <w:rPr>
          <w:rFonts w:ascii="IRNazanin" w:hAnsi="IRNazanin" w:eastAsia="IRNazanin" w:cs="IRNazanin"/>
          <w:lang w:bidi="fa-IR"/>
          <w:color w:val="111111"/>
          <w:sz w:val="28"/>
          <w:szCs w:val="28"/>
          <w:rtl/>
        </w:rPr>
        <w:t xml:space="preserve">«إنّ أبا بصیر عند ما اطلق فالمراد به هو یحیی بن أبی القاسم. و علی تقدیر الاغماض فالأمر یتردّد بینه و بین لیث بن البختری الثقة. و أمّا غیرهما فلیس بمعروف بهذه الکنیة. بل لم یوجد مورد یطلق فیه أبو بصیر و یراد به غیر هذین»</w:t>
      </w:r>
      <w:r>
        <w:rPr>
          <w:rStyle w:val="FootnoteReference"/>
        </w:rPr>
        <w:footnoteReference w:id="4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462]</w:t>
      </w:r>
    </w:p>
    <w:p>
      <w:pPr>
        <w:pStyle w:val="BookText"/>
      </w:pPr>
      <w:r>
        <w:rPr>
          <w:rFonts w:ascii="IRNazanin" w:hAnsi="IRNazanin" w:eastAsia="IRNazanin" w:cs="IRNazanin"/>
          <w:lang w:bidi="fa-IR"/>
          <w:color w:val="111111"/>
          <w:sz w:val="28"/>
          <w:szCs w:val="28"/>
          <w:rtl/>
        </w:rPr>
        <w:t xml:space="preserve">ص: 1180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خلاصة القول فی المکنّین بأبی بصیر. و نشیر إلی بعض التفاصیل الواردة فی المقام.</w:t>
      </w:r>
    </w:p>
    <w:p>
      <w:pPr>
        <w:pStyle w:val="BookText"/>
      </w:pPr>
      <w:r>
        <w:rPr>
          <w:rFonts w:ascii="IRNazanin" w:hAnsi="IRNazanin" w:eastAsia="IRNazanin" w:cs="IRNazanin"/>
          <w:lang w:bidi="fa-IR"/>
          <w:color w:val="111111"/>
          <w:sz w:val="28"/>
          <w:szCs w:val="28"/>
          <w:rtl/>
        </w:rPr>
        <w:t xml:space="preserve">الف - إنّ عبد اللّه بن محمّد الأسدی المذکور فی الکتب الرجالیة هو الّذی یعبر عنه فی الأسانید بالحجّال، و عبد اللّه الحجّال، و عبد اللّه بن محمّد الحجّال، و أبی محمّد الحجّال، و عبد اللّه المزخرف، و المزخرف</w:t>
      </w:r>
      <w:r>
        <w:rPr>
          <w:rStyle w:val="FootnoteReference"/>
        </w:rPr>
        <w:footnoteReference w:id="4284"/>
      </w:r>
      <w:r>
        <w:rPr>
          <w:rFonts w:ascii="IRNazanin" w:hAnsi="IRNazanin" w:eastAsia="IRNazanin" w:cs="IRNazanin"/>
          <w:lang w:bidi="fa-IR"/>
          <w:color w:val="111111"/>
          <w:sz w:val="28"/>
          <w:szCs w:val="28"/>
          <w:rtl/>
        </w:rPr>
        <w:t xml:space="preserve">و هو من أصحاب الرضا - علیه السلام -</w:t>
      </w:r>
      <w:r>
        <w:rPr>
          <w:rStyle w:val="FootnoteReference"/>
        </w:rPr>
        <w:footnoteReference w:id="4285"/>
      </w:r>
      <w:r>
        <w:rPr>
          <w:rFonts w:ascii="IRNazanin" w:hAnsi="IRNazanin" w:eastAsia="IRNazanin" w:cs="IRNazanin"/>
          <w:lang w:bidi="fa-IR"/>
          <w:color w:val="111111"/>
          <w:sz w:val="28"/>
          <w:szCs w:val="28"/>
          <w:rtl/>
        </w:rPr>
        <w:t xml:space="preserve">،فلا اشتراک بینه و بین لیث بن البختری، و یحیی بن أبی القاسم من حیث الطّبقة، مع أنّ کنیته أبو محمّد و لم یذکره أحد من الرجالیین بعنوان أبی بصیر.</w:t>
      </w:r>
    </w:p>
    <w:p>
      <w:pPr>
        <w:pStyle w:val="BookText"/>
      </w:pPr>
      <w:r>
        <w:rPr>
          <w:rFonts w:ascii="IRNazanin" w:hAnsi="IRNazanin" w:eastAsia="IRNazanin" w:cs="IRNazanin"/>
          <w:lang w:bidi="fa-IR"/>
          <w:color w:val="111111"/>
          <w:sz w:val="28"/>
          <w:szCs w:val="28"/>
          <w:rtl/>
        </w:rPr>
        <w:t xml:space="preserve">أما «أبو بصیر عبد اللّه بن محمّد الأسدی» فلیس له ذکر فی الکتب الرجالیة إلاّ ما عنونه الکشّی فی رجاله و اعتمد علیه الشیخ الطوسی و من تبعه فإنّه بعد ما ذکر أبا بصیر لیث بن البختری المرادی، و نقل الروایات الواردة فیه</w:t>
      </w:r>
      <w:r>
        <w:rPr>
          <w:rStyle w:val="FootnoteReference"/>
        </w:rPr>
        <w:footnoteReference w:id="4286"/>
      </w:r>
      <w:r>
        <w:rPr>
          <w:rFonts w:ascii="IRNazanin" w:hAnsi="IRNazanin" w:eastAsia="IRNazanin" w:cs="IRNazanin"/>
          <w:lang w:bidi="fa-IR"/>
          <w:color w:val="111111"/>
          <w:sz w:val="28"/>
          <w:szCs w:val="28"/>
          <w:rtl/>
        </w:rPr>
        <w:t xml:space="preserve">، أتی بهذا العنوان: «فی أبی بصیر عبد اللّه بن محمّد الأسدی» و نقل فی ذیله روایة واحدة لیس فی سندها و لا فی متنها أیّة دلالة علی المعنون</w:t>
      </w:r>
      <w:r>
        <w:rPr>
          <w:rStyle w:val="FootnoteReference"/>
        </w:rPr>
        <w:footnoteReference w:id="4287"/>
      </w:r>
      <w:r>
        <w:rPr>
          <w:rFonts w:ascii="IRNazanin" w:hAnsi="IRNazanin" w:eastAsia="IRNazanin" w:cs="IRNazanin"/>
          <w:lang w:bidi="fa-IR"/>
          <w:color w:val="111111"/>
          <w:sz w:val="28"/>
          <w:szCs w:val="28"/>
          <w:rtl/>
        </w:rPr>
        <w:t xml:space="preserve">لأنّ أبا بصیر المذکور فیها مطلق و الراوی عنه هو «عبد اللّه بن وضّاح» الّذی کان من رواة یحیی بن أبی القاسم</w:t>
      </w:r>
      <w:r>
        <w:rPr>
          <w:rStyle w:val="FootnoteReference"/>
        </w:rPr>
        <w:footnoteReference w:id="4288"/>
      </w:r>
      <w:r>
        <w:rPr>
          <w:rFonts w:ascii="IRNazanin" w:hAnsi="IRNazanin" w:eastAsia="IRNazanin" w:cs="IRNazanin"/>
          <w:lang w:bidi="fa-IR"/>
          <w:color w:val="111111"/>
          <w:sz w:val="28"/>
          <w:szCs w:val="28"/>
          <w:rtl/>
        </w:rPr>
        <w:t xml:space="preserve">و من ممیّزات مرویّاته کما سنشیر إلیه. و الروایة منقولة عن أبی عبد اللّه - علیه السلام - و فیها أنّ الإمام خاطب أبا بصیر بقوله: «یا أبا</w:t>
      </w:r>
    </w:p>
    <w:p>
      <w:pPr>
        <w:pStyle w:val="BookText"/>
      </w:pPr>
      <w:r>
        <w:rPr>
          <w:rFonts w:ascii="IRNazanin" w:hAnsi="IRNazanin" w:eastAsia="IRNazanin" w:cs="IRNazanin"/>
          <w:lang w:bidi="fa-IR"/>
          <w:color w:val="111111"/>
          <w:sz w:val="28"/>
          <w:szCs w:val="28"/>
          <w:rtl/>
        </w:rPr>
        <w:t xml:space="preserve">[شماره صفحه واقعی : 463]</w:t>
      </w:r>
    </w:p>
    <w:p>
      <w:pPr>
        <w:pStyle w:val="BookText"/>
      </w:pPr>
      <w:r>
        <w:rPr>
          <w:rFonts w:ascii="IRNazanin" w:hAnsi="IRNazanin" w:eastAsia="IRNazanin" w:cs="IRNazanin"/>
          <w:lang w:bidi="fa-IR"/>
          <w:color w:val="111111"/>
          <w:sz w:val="28"/>
          <w:szCs w:val="28"/>
          <w:rtl/>
        </w:rPr>
        <w:t xml:space="preserve">ص: 1181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مع أنّ أبا محمّد کنیة یحیی أیضا.</w:t>
      </w:r>
    </w:p>
    <w:p>
      <w:pPr>
        <w:pStyle w:val="BookText"/>
      </w:pPr>
      <w:r>
        <w:rPr>
          <w:rFonts w:ascii="IRNazanin" w:hAnsi="IRNazanin" w:eastAsia="IRNazanin" w:cs="IRNazanin"/>
          <w:lang w:bidi="fa-IR"/>
          <w:color w:val="111111"/>
          <w:sz w:val="28"/>
          <w:szCs w:val="28"/>
          <w:rtl/>
        </w:rPr>
        <w:t xml:space="preserve">فحینئذ نسأل الکشّی من أین وقف علی أنّ أبا بصیر هذا لیس یحیی بن أبی القاسم، بل هو عبد اللّه بن محمّد الأسدی الّذی یشترک مع یحیی فی الطبقة و الراوی، و فی کونه مکنّی بأبی بصیر و أبی محمّد، و لم یتفطّن أحد غیره بوجود هذا الرجل فی أصحاب الصادق - علیه السلام -؟</w:t>
      </w:r>
      <w:r>
        <w:rPr>
          <w:rStyle w:val="FootnoteReference"/>
        </w:rPr>
        <w:footnoteReference w:id="4289"/>
      </w:r>
      <w:r>
        <w:rPr>
          <w:rFonts w:ascii="IRNazanin" w:hAnsi="IRNazanin" w:eastAsia="IRNazanin" w:cs="IRNazanin"/>
          <w:lang w:bidi="fa-IR"/>
          <w:color w:val="111111"/>
          <w:sz w:val="28"/>
          <w:szCs w:val="28"/>
          <w:rtl/>
        </w:rPr>
        <w:t xml:space="preserve">. قال العلاّمة الکلباسی: «فلقد أجاد من قال: إنّ ظنّی أنّ إیراده - أی الکشّی - هذا الخبر فی هذا المقام ممّا لا وجه له»</w:t>
      </w:r>
      <w:r>
        <w:rPr>
          <w:rStyle w:val="FootnoteReference"/>
        </w:rPr>
        <w:footnoteReference w:id="4290"/>
      </w:r>
      <w:r>
        <w:rPr>
          <w:rFonts w:ascii="IRNazanin" w:hAnsi="IRNazanin" w:eastAsia="IRNazanin" w:cs="IRNazanin"/>
          <w:lang w:bidi="fa-IR"/>
          <w:color w:val="111111"/>
          <w:sz w:val="28"/>
          <w:szCs w:val="28"/>
          <w:rtl/>
        </w:rPr>
        <w:t xml:space="preserve">، و جزم المحقّق التستری أنّ الرجل المذکور لیس له وجود أصلا و أنّ منشأ ذکره فی الکتب الرجالیة المتأخرة تصحیف العنوان المذکور فی الکشّی و اعتماد الشیخ - رحمه اللّه - علیه و ذکره فی رجاله، کذکره فی اختیاره. ثمّ اتبّاع من تأخّر عن الشیخ کابن داود، لحسن ظنّهم به</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أغمضنا عن هذا و فرضنا وجود هذا الرجل المکنّی بأبی بصیر، فلا أقلّ من عدم اشتهاره بهذه الکنیة بحیث لو اطلقت احتمل انصرافها إلیه کانصرافها إلی یحیی. یدلّنا علی ذلک ما أجاب به علیّ بن الحسن بن فضّال حینما سئل عن أبی بصیر فقال: اسمه یحیی بن أبی القاسم، کان یکنّی أبا محمّد و کان مولی لبنی أسد و کان مکفوفا»</w:t>
      </w:r>
      <w:r>
        <w:rPr>
          <w:rStyle w:val="FootnoteReference"/>
        </w:rPr>
        <w:footnoteReference w:id="4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 رجل آخر مشتهرا بأبی بصیر و مشترکا مع یحیی فی کنیته الاخری، و فی کونه أسدیّا، و فی کونه من أصحاب الصادق - علیه السلام -، کان من الواجب علی ابن فضّال أن ینبّه علیه و لم ینبّه.</w:t>
      </w:r>
    </w:p>
    <w:p>
      <w:pPr>
        <w:pStyle w:val="BookText"/>
      </w:pPr>
      <w:r>
        <w:rPr>
          <w:rFonts w:ascii="IRNazanin" w:hAnsi="IRNazanin" w:eastAsia="IRNazanin" w:cs="IRNazanin"/>
          <w:lang w:bidi="fa-IR"/>
          <w:color w:val="111111"/>
          <w:sz w:val="28"/>
          <w:szCs w:val="28"/>
          <w:rtl/>
        </w:rPr>
        <w:t xml:space="preserve">[شماره صفحه واقعی : 464]</w:t>
      </w:r>
    </w:p>
    <w:p>
      <w:pPr>
        <w:pStyle w:val="BookText"/>
      </w:pPr>
      <w:r>
        <w:rPr>
          <w:rFonts w:ascii="IRNazanin" w:hAnsi="IRNazanin" w:eastAsia="IRNazanin" w:cs="IRNazanin"/>
          <w:lang w:bidi="fa-IR"/>
          <w:color w:val="111111"/>
          <w:sz w:val="28"/>
          <w:szCs w:val="28"/>
          <w:rtl/>
        </w:rPr>
        <w:t xml:space="preserve">ص: 1182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ذکر الشیخ فی رجاله: «یوسف بن الحارث، بتریّ یکنّی أبا بصیر»</w:t>
      </w:r>
      <w:r>
        <w:rPr>
          <w:rStyle w:val="FootnoteReference"/>
        </w:rPr>
        <w:footnoteReference w:id="4293"/>
      </w:r>
      <w:r>
        <w:rPr>
          <w:rFonts w:ascii="IRNazanin" w:hAnsi="IRNazanin" w:eastAsia="IRNazanin" w:cs="IRNazanin"/>
          <w:lang w:bidi="fa-IR"/>
          <w:color w:val="111111"/>
          <w:sz w:val="28"/>
          <w:szCs w:val="28"/>
          <w:rtl/>
        </w:rPr>
        <w:t xml:space="preserve">و مستنده بعض نسخ الکشّی حیث جاء فیه فی عنوان «محمّد بن اسحاق صاحب المغازی»: «أبو بصیر یوسف بن الحارث بتری»</w:t>
      </w:r>
      <w:r>
        <w:rPr>
          <w:rStyle w:val="FootnoteReference"/>
        </w:rPr>
        <w:footnoteReference w:id="4294"/>
      </w:r>
      <w:r>
        <w:rPr>
          <w:rFonts w:ascii="IRNazanin" w:hAnsi="IRNazanin" w:eastAsia="IRNazanin" w:cs="IRNazanin"/>
          <w:lang w:bidi="fa-IR"/>
          <w:color w:val="111111"/>
          <w:sz w:val="28"/>
          <w:szCs w:val="28"/>
          <w:rtl/>
        </w:rPr>
        <w:t xml:space="preserve">فتبعهما العلاّمة و ابن داود فی رجالهما و ذکرا الرجل بعنوان أبی بصیر یوسف بن الحارث. ثمّ ادّعی ابن داود اشتراک أبی بصیر بینه و بین عبد اللّه المتقدّم و لیث و یحیی الآتیان، کما مرّ.</w:t>
      </w:r>
    </w:p>
    <w:p>
      <w:pPr>
        <w:pStyle w:val="BookText"/>
      </w:pPr>
      <w:r>
        <w:rPr>
          <w:rFonts w:ascii="IRNazanin" w:hAnsi="IRNazanin" w:eastAsia="IRNazanin" w:cs="IRNazanin"/>
          <w:lang w:bidi="fa-IR"/>
          <w:color w:val="111111"/>
          <w:sz w:val="28"/>
          <w:szCs w:val="28"/>
          <w:rtl/>
        </w:rPr>
        <w:t xml:space="preserve">و لکنّه یظهر من القهبائی فی مجمعه أنّ الموجود فی النسخ المصحّحة من الکشّی هو «أبو نصر بن یوسف بن الحارث بتری» و الشیخ إمّا استعجل فی قراءته و إمّا أخذه من نسخة اخری و ذکره بالعنوان المذکور و مال جمع من المتأخّرین إلی هذا القول، کما یظهر من «سماء المقال»</w:t>
      </w:r>
      <w:r>
        <w:rPr>
          <w:rStyle w:val="FootnoteReference"/>
        </w:rPr>
        <w:footnoteReference w:id="4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 ذلک أنّ کون الرجل مکنّی بکنیة لا یستلزم اشتهاره بتلک الکنیة و انصرافها عند الاطلاق إلیه. یؤیّد هذا أنّ الکشی - مع فرض صحّة نسخة الشیخ - قیّد الکنیة باسم الرجل و لم یطلقها. فلا یبعد أنّ الشیخ أیضا لم یرد اشتهاره بهذه الکنیة، لکّن ابن داود - رحمه اللّه - اشتبه علیه الأمر و أفتی بالاشتراک.</w:t>
      </w:r>
    </w:p>
    <w:p>
      <w:pPr>
        <w:pStyle w:val="BookText"/>
      </w:pPr>
      <w:r>
        <w:rPr>
          <w:rFonts w:ascii="IRNazanin" w:hAnsi="IRNazanin" w:eastAsia="IRNazanin" w:cs="IRNazanin"/>
          <w:lang w:bidi="fa-IR"/>
          <w:color w:val="111111"/>
          <w:sz w:val="28"/>
          <w:szCs w:val="28"/>
          <w:rtl/>
        </w:rPr>
        <w:t xml:space="preserve">بقی شیء و هو أنّ الرجل المذکور لم یکن ثقة قطعا، بل هو - کما صرّح الکشّی و الشیخ - کان بتریّا و البتریة هم الّذین قال الصّادق - علیه السلام - فی شأنهم: «لو أنّ البتریّة صفّ واحد ما بین المشرق إلی المغرب ما أعزّ اللّه بهم دینا». و البتریّة هم أصحاب کثیر النوا، و الحسن بن صالح بن حیّ، و سالم بن أبی حفصة، و الحکم بن عتیبة، و سلمة بن کهیل و أبی المقدام ثابت</w:t>
      </w:r>
    </w:p>
    <w:p>
      <w:pPr>
        <w:pStyle w:val="BookText"/>
      </w:pPr>
      <w:r>
        <w:rPr>
          <w:rFonts w:ascii="IRNazanin" w:hAnsi="IRNazanin" w:eastAsia="IRNazanin" w:cs="IRNazanin"/>
          <w:lang w:bidi="fa-IR"/>
          <w:color w:val="111111"/>
          <w:sz w:val="28"/>
          <w:szCs w:val="28"/>
          <w:rtl/>
        </w:rPr>
        <w:t xml:space="preserve">[شماره صفحه واقعی : 465]</w:t>
      </w:r>
    </w:p>
    <w:p>
      <w:pPr>
        <w:pStyle w:val="BookText"/>
      </w:pPr>
      <w:r>
        <w:rPr>
          <w:rFonts w:ascii="IRNazanin" w:hAnsi="IRNazanin" w:eastAsia="IRNazanin" w:cs="IRNazanin"/>
          <w:lang w:bidi="fa-IR"/>
          <w:color w:val="111111"/>
          <w:sz w:val="28"/>
          <w:szCs w:val="28"/>
          <w:rtl/>
        </w:rPr>
        <w:t xml:space="preserve">ص: 1183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الحدّاد. و هم الّذین دعوا إلی ولایة علیّ - علیه السلام -، ثمّ خلطوها بولایة أبی بکر و عمر و یثبتون لهما إمامتهما، و ینتقصون عثمان و طلحة و الزبیر، و یرون الخروج مع بطون ولد علیّ بن أبی طالب، یذهبون فی ذلک إلی الامر بالمعروف و النهی عن المنکر، و یثبتون لکلّ من خرج من ولد علی - علیه السلام - عند خروجه الامامة</w:t>
      </w:r>
      <w:r>
        <w:rPr>
          <w:rStyle w:val="FootnoteReference"/>
        </w:rPr>
        <w:footnoteReference w:id="4296"/>
      </w:r>
      <w:r>
        <w:rPr>
          <w:rFonts w:ascii="IRNazanin" w:hAnsi="IRNazanin" w:eastAsia="IRNazanin" w:cs="IRNazanin"/>
          <w:lang w:bidi="fa-IR"/>
          <w:color w:val="111111"/>
          <w:sz w:val="28"/>
          <w:szCs w:val="28"/>
          <w:rtl/>
        </w:rPr>
        <w:t xml:space="preserve">. و لکن الکلام فی کونه أبا بصیر یوسف ابن الحارث «أو» أبا نصر بن یوسف بن الحارث. و الأظهر الثانی.</w:t>
      </w:r>
    </w:p>
    <w:p>
      <w:pPr>
        <w:pStyle w:val="BookText"/>
      </w:pPr>
      <w:r>
        <w:rPr>
          <w:rFonts w:ascii="IRNazanin" w:hAnsi="IRNazanin" w:eastAsia="IRNazanin" w:cs="IRNazanin"/>
          <w:lang w:bidi="fa-IR"/>
          <w:color w:val="111111"/>
          <w:sz w:val="28"/>
          <w:szCs w:val="28"/>
          <w:rtl/>
        </w:rPr>
        <w:t xml:space="preserve">کما أنّه یوجد رجل مسمّی بیوسف بن الحارث فی أسانید «نوادر الحکمة» لمحمّد بن أحمد بن یحیی، و لکنّه لا دلیل علی تکنیته بأبی بصیر.</w:t>
      </w:r>
    </w:p>
    <w:p>
      <w:pPr>
        <w:pStyle w:val="BookText"/>
      </w:pPr>
      <w:r>
        <w:rPr>
          <w:rFonts w:ascii="IRNazanin" w:hAnsi="IRNazanin" w:eastAsia="IRNazanin" w:cs="IRNazanin"/>
          <w:lang w:bidi="fa-IR"/>
          <w:color w:val="111111"/>
          <w:sz w:val="28"/>
          <w:szCs w:val="28"/>
          <w:rtl/>
        </w:rPr>
        <w:t xml:space="preserve">و إلی هذا أشار المحقّق التستری و قال: «استثنی ابن الولید من روایات محمّد ابن أحمد بن یحیی ما رواه عن یوسف بن الحارث. فهو ضعیف. و لا یبعد کونه یوسف بن الحارث الکمیدانی، و إنّما ننکر وجود أبی بصیر مسمّی بیوسف ابن الحارث، لعدم شاهد له من خبر أو رجال معتبر»</w:t>
      </w:r>
      <w:r>
        <w:rPr>
          <w:rStyle w:val="FootnoteReference"/>
        </w:rPr>
        <w:footnoteReference w:id="4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یظهر من مطاوی کلمات أئمّة الرجال و علماء الحدیث أنّ لیثا بن البختری</w:t>
      </w:r>
      <w:r>
        <w:rPr>
          <w:rStyle w:val="FootnoteReference"/>
        </w:rPr>
        <w:footnoteReference w:id="4298"/>
      </w:r>
      <w:r>
        <w:rPr>
          <w:rFonts w:ascii="IRNazanin" w:hAnsi="IRNazanin" w:eastAsia="IRNazanin" w:cs="IRNazanin"/>
          <w:lang w:bidi="fa-IR"/>
          <w:color w:val="111111"/>
          <w:sz w:val="28"/>
          <w:szCs w:val="28"/>
          <w:rtl/>
        </w:rPr>
        <w:t xml:space="preserve">المرادی کان من أصحاب الباقر و الصادق و الکاظم - علیهم السلام - فقد عدّه البرقی فی أصحاب الباقر - علیه السلام - و المفید و النجاشی من أصحاب الباقر و الصادق - علیهما السلام - و الشیخ فی فهرسه من رواة الصادق و الکاظم - علیهما السلام - و فی رجاله من أصحاب الثلاثة - علیهم السلام -.</w:t>
      </w:r>
    </w:p>
    <w:p>
      <w:pPr>
        <w:pStyle w:val="BookText"/>
      </w:pPr>
      <w:r>
        <w:rPr>
          <w:rFonts w:ascii="IRNazanin" w:hAnsi="IRNazanin" w:eastAsia="IRNazanin" w:cs="IRNazanin"/>
          <w:lang w:bidi="fa-IR"/>
          <w:color w:val="111111"/>
          <w:sz w:val="28"/>
          <w:szCs w:val="28"/>
          <w:rtl/>
        </w:rPr>
        <w:t xml:space="preserve">و یمکن ادّعاء إطباق الکلّ علی أنّ الرجل کان یکنّی بأبی بصیر و أنّه کان مشهورا بهذه الکنیة کما صرّح بها فی بعض الروایات. غیر أنّ النجاشی حکی فی رجاله عن بعض کونه مکنّی بأبی بصیر الأصغر</w:t>
      </w:r>
      <w:r>
        <w:rPr>
          <w:rStyle w:val="FootnoteReference"/>
        </w:rPr>
        <w:footnoteReference w:id="4299"/>
      </w:r>
      <w:r>
        <w:rPr>
          <w:rFonts w:ascii="IRNazanin" w:hAnsi="IRNazanin" w:eastAsia="IRNazanin" w:cs="IRNazanin"/>
          <w:lang w:bidi="fa-IR"/>
          <w:color w:val="111111"/>
          <w:sz w:val="28"/>
          <w:szCs w:val="28"/>
          <w:rtl/>
        </w:rPr>
        <w:t xml:space="preserve">و لکنّه لا یقاوم ما علیه سائر</w:t>
      </w:r>
    </w:p>
    <w:p>
      <w:pPr>
        <w:pStyle w:val="BookText"/>
      </w:pPr>
      <w:r>
        <w:rPr>
          <w:rFonts w:ascii="IRNazanin" w:hAnsi="IRNazanin" w:eastAsia="IRNazanin" w:cs="IRNazanin"/>
          <w:lang w:bidi="fa-IR"/>
          <w:color w:val="111111"/>
          <w:sz w:val="28"/>
          <w:szCs w:val="28"/>
          <w:rtl/>
        </w:rPr>
        <w:t xml:space="preserve">[شماره صفحه واقعی : 466]</w:t>
      </w:r>
    </w:p>
    <w:p>
      <w:pPr>
        <w:pStyle w:val="BookText"/>
      </w:pPr>
      <w:r>
        <w:rPr>
          <w:rFonts w:ascii="IRNazanin" w:hAnsi="IRNazanin" w:eastAsia="IRNazanin" w:cs="IRNazanin"/>
          <w:lang w:bidi="fa-IR"/>
          <w:color w:val="111111"/>
          <w:sz w:val="28"/>
          <w:szCs w:val="28"/>
          <w:rtl/>
        </w:rPr>
        <w:t xml:space="preserve">ص: 1184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مهرة الفنّ. فکون الرجل مشهورا بأبی بصیر ممّا لا ریب فیه.</w:t>
      </w:r>
    </w:p>
    <w:p>
      <w:pPr>
        <w:pStyle w:val="BookText"/>
      </w:pPr>
      <w:r>
        <w:rPr>
          <w:rFonts w:ascii="IRNazanin" w:hAnsi="IRNazanin" w:eastAsia="IRNazanin" w:cs="IRNazanin"/>
          <w:lang w:bidi="fa-IR"/>
          <w:color w:val="111111"/>
          <w:sz w:val="28"/>
          <w:szCs w:val="28"/>
          <w:rtl/>
        </w:rPr>
        <w:t xml:space="preserve">أمّا تکنیته بأبی محمّد و أبی یحیی و کذا مکفوفیّته کما ادّعاه بعض، کالمولی محمد تقی المجلسی</w:t>
      </w:r>
      <w:r>
        <w:rPr>
          <w:rStyle w:val="FootnoteReference"/>
        </w:rPr>
        <w:footnoteReference w:id="4300"/>
      </w:r>
      <w:r>
        <w:rPr>
          <w:rFonts w:ascii="IRNazanin" w:hAnsi="IRNazanin" w:eastAsia="IRNazanin" w:cs="IRNazanin"/>
          <w:lang w:bidi="fa-IR"/>
          <w:color w:val="111111"/>
          <w:sz w:val="28"/>
          <w:szCs w:val="28"/>
          <w:rtl/>
        </w:rPr>
        <w:t xml:space="preserve">، فلا دلیل علیه و لعلّه ناش من خلط العبائر الواردة فیه و فی عدیله یحیی.</w:t>
      </w:r>
    </w:p>
    <w:p>
      <w:pPr>
        <w:pStyle w:val="BookText"/>
      </w:pPr>
      <w:r>
        <w:rPr>
          <w:rFonts w:ascii="IRNazanin" w:hAnsi="IRNazanin" w:eastAsia="IRNazanin" w:cs="IRNazanin"/>
          <w:lang w:bidi="fa-IR"/>
          <w:color w:val="111111"/>
          <w:sz w:val="28"/>
          <w:szCs w:val="28"/>
          <w:rtl/>
        </w:rPr>
        <w:t xml:space="preserve">أمّا وثاقته، فلا تردید فیها و إن لم یصرّح بها فی کتب القدماء</w:t>
      </w:r>
      <w:r>
        <w:rPr>
          <w:rStyle w:val="FootnoteReference"/>
        </w:rPr>
        <w:footnoteReference w:id="4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الدّلیل علی ذلک جملة من الروایات الصحیحة الواردة فیه. منها ما رواه الکشّی بسند صحیح عن جمیل بن درّاج قال: سمعت أبا عبد اللّه - علیه السلام - یقول: بشّر المخبتین بالجنّة، برید بن معاویة العجلی و أبا بصیر لیث ابن البختری المرادی و محمّد بن مسلم و زرارة، أربعة نجباء، امناء اللّه علی حلاله و حرامه. لولا هؤلاء انقطعت آثار النبوّة و اندرست</w:t>
      </w:r>
      <w:r>
        <w:rPr>
          <w:rStyle w:val="FootnoteReference"/>
        </w:rPr>
        <w:footnoteReference w:id="4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رواه أیضا فی ترجمة زرارة بن أعین بسند صحیح عن سلیمان بن خالد الأقطع، قال: سمعت أبا عبد اللّه - علیه السلام - یقول: ما أحد أحیی ذکرنا و أحادیث أبی - علیه السلام - إلاّ زرارة و أبو بصیر لیث المرادی و محمّد ابن مسلم و برید بن معاویة العجلی. و لولا هؤلاء ما کان أحد یستنبط هذا.</w:t>
      </w:r>
    </w:p>
    <w:p>
      <w:pPr>
        <w:pStyle w:val="BookText"/>
      </w:pPr>
      <w:r>
        <w:rPr>
          <w:rFonts w:ascii="IRNazanin" w:hAnsi="IRNazanin" w:eastAsia="IRNazanin" w:cs="IRNazanin"/>
          <w:lang w:bidi="fa-IR"/>
          <w:color w:val="111111"/>
          <w:sz w:val="28"/>
          <w:szCs w:val="28"/>
          <w:rtl/>
        </w:rPr>
        <w:t xml:space="preserve">هؤلاء حفّاظ الدین و امناء أبی - علیه السلام - علی حلال اللّه و حرامه. و هم السابقون إلینا فی الدنیا و السابقون إلینا فی الاخرة</w:t>
      </w:r>
      <w:r>
        <w:rPr>
          <w:rStyle w:val="FootnoteReference"/>
        </w:rPr>
        <w:footnoteReference w:id="4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هذین الخبرین علی أنّ لیثا کان فی مستوی عال من الوثاقة غیر خفیّ، و لذا قال بعض: إنّ المدح المستفاد من هذه النصوص ممّا لا یتصوّر</w:t>
      </w:r>
    </w:p>
    <w:p>
      <w:pPr>
        <w:pStyle w:val="BookText"/>
      </w:pPr>
      <w:r>
        <w:rPr>
          <w:rFonts w:ascii="IRNazanin" w:hAnsi="IRNazanin" w:eastAsia="IRNazanin" w:cs="IRNazanin"/>
          <w:lang w:bidi="fa-IR"/>
          <w:color w:val="111111"/>
          <w:sz w:val="28"/>
          <w:szCs w:val="28"/>
          <w:rtl/>
        </w:rPr>
        <w:t xml:space="preserve">[شماره صفحه واقعی : 467]</w:t>
      </w:r>
    </w:p>
    <w:p>
      <w:pPr>
        <w:pStyle w:val="BookText"/>
      </w:pPr>
      <w:r>
        <w:rPr>
          <w:rFonts w:ascii="IRNazanin" w:hAnsi="IRNazanin" w:eastAsia="IRNazanin" w:cs="IRNazanin"/>
          <w:lang w:bidi="fa-IR"/>
          <w:color w:val="111111"/>
          <w:sz w:val="28"/>
          <w:szCs w:val="28"/>
          <w:rtl/>
        </w:rPr>
        <w:t xml:space="preserve">ص: 1185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فوقه مدح و لا یعقل أعلی منه ثناء</w:t>
      </w:r>
      <w:r>
        <w:rPr>
          <w:rStyle w:val="FootnoteReference"/>
        </w:rPr>
        <w:footnoteReference w:id="4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اعتضادها بمقالة غیر واحد من الأصحاب فی شأنه کالعلاّمة فی «الخلاصة» و الشهید الثانی فی «المسالک» و العلاّمة المجلسی فی «الوجیزة»</w:t>
      </w:r>
      <w:r>
        <w:rPr>
          <w:rStyle w:val="FootnoteReference"/>
        </w:rPr>
        <w:footnoteReference w:id="4305"/>
      </w:r>
      <w:r>
        <w:rPr>
          <w:rFonts w:ascii="IRNazanin" w:hAnsi="IRNazanin" w:eastAsia="IRNazanin" w:cs="IRNazanin"/>
          <w:lang w:bidi="fa-IR"/>
          <w:color w:val="111111"/>
          <w:sz w:val="28"/>
          <w:szCs w:val="28"/>
          <w:rtl/>
        </w:rPr>
        <w:t xml:space="preserve">. و یؤیّده توثیق ابن الغضائری المعروف بکثرة التضعیف لحدیثه و إن طعن فی دینه</w:t>
      </w:r>
      <w:r>
        <w:rPr>
          <w:rStyle w:val="FootnoteReference"/>
        </w:rPr>
        <w:footnoteReference w:id="4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الروایات الواردة فی قدحه، فلا تعارض ما دلّت علی مدحه قطعا لأنّها إمّا مرسلة أو موثّقة مع احتمال صدورها عن تقیّة کما صدرت فی حقّ سائر الأجلاّء کزرارة و هشام بن الحکم، فقد روی الکشّی عن عبد اللّه بن زرارة أنّه قال: قال لی أبو عبد اللّه - علیه السلام -: اقرأ منّی علی والدک السلام، و قل له إنّی إنّما أعیبک دفاعا منّی عنک. فإنّ الناس و العدوّ یسارعون إلی کلّ من قرّبناه و حمدنا مکانه لادخال الأذی فی من نحبّه و نقرّبه... فإنّما أعیبک لأنّک رجل اشتهرت بنا - إلی آخر الحدیث</w:t>
      </w:r>
      <w:r>
        <w:rPr>
          <w:rStyle w:val="FootnoteReference"/>
        </w:rPr>
        <w:footnoteReference w:id="4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فاذن نقطع بوثاقة لیث بن البختری المرادی المکنّی بأبی بصیر.</w:t>
      </w:r>
    </w:p>
    <w:p>
      <w:pPr>
        <w:pStyle w:val="BookText"/>
      </w:pPr>
      <w:r>
        <w:rPr>
          <w:rFonts w:ascii="IRNazanin" w:hAnsi="IRNazanin" w:eastAsia="IRNazanin" w:cs="IRNazanin"/>
          <w:lang w:bidi="fa-IR"/>
          <w:color w:val="111111"/>
          <w:sz w:val="28"/>
          <w:szCs w:val="28"/>
          <w:rtl/>
        </w:rPr>
        <w:t xml:space="preserve">د - إنّ یحیی بن أبی القاسم الأسدی کان من أصحاب و رواة الائمة الثلاثة الباقر و الصادق و الکاظم - علیهم السلام - و کان مکفوفا ضریر البصر قد رأی الدنیا مرّة أو مرّتین. مات سنة خمسین و مائة فلم یدرک الرضا - علیه السلام - و کان هو مکنّی بأبی بصیر و أبی محمّد و کان اسم أبیه إسحاق. روی الکشّی عن محمّد بن مسعود العیّاشی أنّه قال: سألت علیّ بن الحسن بن فضّال عن أبی بصیر، فقال: اسمه یحیی بن أبی القاسم فقال: أبو بصیر کان</w:t>
      </w:r>
    </w:p>
    <w:p>
      <w:pPr>
        <w:pStyle w:val="BookText"/>
      </w:pPr>
      <w:r>
        <w:rPr>
          <w:rFonts w:ascii="IRNazanin" w:hAnsi="IRNazanin" w:eastAsia="IRNazanin" w:cs="IRNazanin"/>
          <w:lang w:bidi="fa-IR"/>
          <w:color w:val="111111"/>
          <w:sz w:val="28"/>
          <w:szCs w:val="28"/>
          <w:rtl/>
        </w:rPr>
        <w:t xml:space="preserve">[شماره صفحه واقعی : 468]</w:t>
      </w:r>
    </w:p>
    <w:p>
      <w:pPr>
        <w:pStyle w:val="BookText"/>
      </w:pPr>
      <w:r>
        <w:rPr>
          <w:rFonts w:ascii="IRNazanin" w:hAnsi="IRNazanin" w:eastAsia="IRNazanin" w:cs="IRNazanin"/>
          <w:lang w:bidi="fa-IR"/>
          <w:color w:val="111111"/>
          <w:sz w:val="28"/>
          <w:szCs w:val="28"/>
          <w:rtl/>
        </w:rPr>
        <w:t xml:space="preserve">ص: 1186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یکنّی أبا محمّد و کان مولی لبنی أسد و کان مکفوفا</w:t>
      </w:r>
      <w:r>
        <w:rPr>
          <w:rStyle w:val="FootnoteReference"/>
        </w:rPr>
        <w:footnoteReference w:id="4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لکنّ النجاشی ذکره بعنوان «یحیی بن القاسم أبو بصیر الأسدی» و زاد علیه: «و قیل یحیی بن أبی القاسم و اسم أبی القاسم إسحاق»</w:t>
      </w:r>
      <w:r>
        <w:rPr>
          <w:rStyle w:val="FootnoteReference"/>
        </w:rPr>
        <w:footnoteReference w:id="4309"/>
      </w:r>
      <w:r>
        <w:rPr>
          <w:rFonts w:ascii="IRNazanin" w:hAnsi="IRNazanin" w:eastAsia="IRNazanin" w:cs="IRNazanin"/>
          <w:lang w:bidi="fa-IR"/>
          <w:color w:val="111111"/>
          <w:sz w:val="28"/>
          <w:szCs w:val="28"/>
          <w:rtl/>
        </w:rPr>
        <w:t xml:space="preserve">، و کلامه صریح فی اختیاره القول الأوّل و تمریض القول الثانی و هو و إن کان خبیرا بالأنساب و متضلّعا فی علم الرجال</w:t>
      </w:r>
      <w:r>
        <w:rPr>
          <w:rStyle w:val="FootnoteReference"/>
        </w:rPr>
        <w:footnoteReference w:id="4310"/>
      </w:r>
      <w:r>
        <w:rPr>
          <w:rFonts w:ascii="IRNazanin" w:hAnsi="IRNazanin" w:eastAsia="IRNazanin" w:cs="IRNazanin"/>
          <w:lang w:bidi="fa-IR"/>
          <w:color w:val="111111"/>
          <w:sz w:val="28"/>
          <w:szCs w:val="28"/>
          <w:rtl/>
        </w:rPr>
        <w:t xml:space="preserve">، لکن مع کثرة الأقوال و الأخبار الدالّة علی کونه یحیی بن أبی القاسم لا مجال لما ادّعاه.</w:t>
      </w:r>
    </w:p>
    <w:p>
      <w:pPr>
        <w:pStyle w:val="BookText"/>
      </w:pPr>
      <w:r>
        <w:rPr>
          <w:rFonts w:ascii="IRNazanin" w:hAnsi="IRNazanin" w:eastAsia="IRNazanin" w:cs="IRNazanin"/>
          <w:lang w:bidi="fa-IR"/>
          <w:color w:val="111111"/>
          <w:sz w:val="28"/>
          <w:szCs w:val="28"/>
          <w:rtl/>
        </w:rPr>
        <w:t xml:space="preserve">أمّا وثاقته و جلالة قدره فلا ریب فیهما لما صرّح به علماء الرجال کالنّجاشی و الکشّی و الشیخ فی عدّته و ابن الغضائری و من تأخّر عنهم. و روی الکشّی بسند صحیح عن شعیب العقرقوفی ابن اخت أبی بصیر أنّه قال: قلت لأبی عبد اللّه - علیه السلام -: ربّما احتجنا أن نسأل عن الشیء فمن نسأل؟ قال علیک بالأسدی، یعنی أبا بصیر</w:t>
      </w:r>
      <w:r>
        <w:rPr>
          <w:rStyle w:val="FootnoteReference"/>
        </w:rPr>
        <w:footnoteReference w:id="4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أیضا فی أخبار عدیدة أنّ الامامین الباقر و الصادق - علیهما السلام - کانا یخاطبانه «یا أبا محمّد» تعظیما له، کما أنّ الباقر - علیه السلام - ضمن له الجنّة. و بالجملة وثاقته و فقاهته أظهر من أن یتردّد فیه.</w:t>
      </w:r>
    </w:p>
    <w:p>
      <w:pPr>
        <w:pStyle w:val="BookText"/>
      </w:pPr>
      <w:r>
        <w:rPr>
          <w:rFonts w:ascii="IRNazanin" w:hAnsi="IRNazanin" w:eastAsia="IRNazanin" w:cs="IRNazanin"/>
          <w:lang w:bidi="fa-IR"/>
          <w:color w:val="111111"/>
          <w:sz w:val="28"/>
          <w:szCs w:val="28"/>
          <w:rtl/>
        </w:rPr>
        <w:t xml:space="preserve">أمّا نسبة الوقف إلیه، فوهم ناش من زعم اتّحاد أبی بصیر هذا مع یحیی ابن القاسم الحذّاء الواقفی. و الحال أنّه مات سنة خمسین و مائة و الوقف حدث بعد شهادة مولانا الکاظم - علیه السلام - و الحذّاء المذکور بقی إلی زمن الإمام الرضا - علیه السلام -، و أمّا نسبة الغلوّ فیه، فلم یقله أحد و أنکره ابن فضّال،</w:t>
      </w:r>
    </w:p>
    <w:p>
      <w:pPr>
        <w:pStyle w:val="BookText"/>
      </w:pPr>
      <w:r>
        <w:rPr>
          <w:rFonts w:ascii="IRNazanin" w:hAnsi="IRNazanin" w:eastAsia="IRNazanin" w:cs="IRNazanin"/>
          <w:lang w:bidi="fa-IR"/>
          <w:color w:val="111111"/>
          <w:sz w:val="28"/>
          <w:szCs w:val="28"/>
          <w:rtl/>
        </w:rPr>
        <w:t xml:space="preserve">[شماره صفحه واقعی : 469]</w:t>
      </w:r>
    </w:p>
    <w:p>
      <w:pPr>
        <w:pStyle w:val="BookText"/>
      </w:pPr>
      <w:r>
        <w:rPr>
          <w:rFonts w:ascii="IRNazanin" w:hAnsi="IRNazanin" w:eastAsia="IRNazanin" w:cs="IRNazanin"/>
          <w:lang w:bidi="fa-IR"/>
          <w:color w:val="111111"/>
          <w:sz w:val="28"/>
          <w:szCs w:val="28"/>
          <w:rtl/>
        </w:rPr>
        <w:t xml:space="preserve">ص: 1187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نسبه إلی التّخلیط و لم یبیّن المراد منه. فنحن نأخذ بما أطبق علیه الجلّ بل الکلّ و لا نبالی بهذا القول المجمل من ابن فضّال الفطحی و لا نرفع الید عن الأدلّة القویّة الدالّة علی جلالته باخبار آحاد غیر قطعیّة السند و المفاد.</w:t>
      </w:r>
    </w:p>
    <w:p>
      <w:pPr>
        <w:pStyle w:val="BookText"/>
      </w:pPr>
      <w:r>
        <w:rPr>
          <w:rFonts w:ascii="IRNazanin" w:hAnsi="IRNazanin" w:eastAsia="IRNazanin" w:cs="IRNazanin"/>
          <w:lang w:bidi="fa-IR"/>
          <w:color w:val="111111"/>
          <w:sz w:val="28"/>
          <w:szCs w:val="28"/>
          <w:rtl/>
        </w:rPr>
        <w:t xml:space="preserve">ه - ذکر الأصحاب فی تمییز روایات کلّ من المرادی و الأسدی عن الآخر قرائن و شواهد. و حیث إنّ کلاّ منهما ثقة جلیل، فلا فائدة مهمّة فی التمییز إلاّ عند تعارض روایاتهما. لأنّ المشهور ترجیح المرادی علی الأسدی. و خیرة بعض آخر کالسید الداماد و المحقّق الخوانساری العکس.</w:t>
      </w:r>
    </w:p>
    <w:p>
      <w:pPr>
        <w:pStyle w:val="BookText"/>
      </w:pPr>
      <w:r>
        <w:rPr>
          <w:rFonts w:ascii="IRNazanin" w:hAnsi="IRNazanin" w:eastAsia="IRNazanin" w:cs="IRNazanin"/>
          <w:lang w:bidi="fa-IR"/>
          <w:color w:val="111111"/>
          <w:sz w:val="28"/>
          <w:szCs w:val="28"/>
          <w:rtl/>
        </w:rPr>
        <w:t xml:space="preserve">لکنّا نذکر ما ذکره الرجالیون تتمیما للفائدة و استیفاءا للبحث فنقول: إنّ علیّ بن أبی حمزة روی عن الأسدیّ کثیرا و کان قائده</w:t>
      </w:r>
      <w:r>
        <w:rPr>
          <w:rStyle w:val="FootnoteReference"/>
        </w:rPr>
        <w:footnoteReference w:id="4312"/>
      </w:r>
      <w:r>
        <w:rPr>
          <w:rFonts w:ascii="IRNazanin" w:hAnsi="IRNazanin" w:eastAsia="IRNazanin" w:cs="IRNazanin"/>
          <w:lang w:bidi="fa-IR"/>
          <w:color w:val="111111"/>
          <w:sz w:val="28"/>
          <w:szCs w:val="28"/>
          <w:rtl/>
        </w:rPr>
        <w:t xml:space="preserve">و الظاهر أنّه لم یرو عن المرادی أصلا. کما أنّ روایة شعیب العقرقوفی و عبد اللّه بن وضاح و الحسین بن أبی العلاء و جعفر بن عثمان قرینة علی کون المراد من أبی بصیر هو الأسدی.</w:t>
      </w:r>
    </w:p>
    <w:p>
      <w:pPr>
        <w:pStyle w:val="BookText"/>
      </w:pPr>
      <w:r>
        <w:rPr>
          <w:rFonts w:ascii="IRNazanin" w:hAnsi="IRNazanin" w:eastAsia="IRNazanin" w:cs="IRNazanin"/>
          <w:lang w:bidi="fa-IR"/>
          <w:color w:val="111111"/>
          <w:sz w:val="28"/>
          <w:szCs w:val="28"/>
          <w:rtl/>
        </w:rPr>
        <w:t xml:space="preserve">و إذا کان الراوی عن أبی بصیر عبد اللّه بن مسکان أو أبا جمیلة مفضّل بن صالح أو أبان بن عثمان فالمراد به اللّیث المرادی.</w:t>
      </w:r>
    </w:p>
    <w:p>
      <w:pPr>
        <w:pStyle w:val="BookText"/>
      </w:pPr>
      <w:r>
        <w:rPr>
          <w:rFonts w:ascii="IRNazanin" w:hAnsi="IRNazanin" w:eastAsia="IRNazanin" w:cs="IRNazanin"/>
          <w:lang w:bidi="fa-IR"/>
          <w:color w:val="111111"/>
          <w:sz w:val="28"/>
          <w:szCs w:val="28"/>
          <w:rtl/>
        </w:rPr>
        <w:t xml:space="preserve">قال المحقّق التستری بعد ذکر ممیّزات الأسدی و تزییف بعضها ما هذا لفظه: «إذا کان یحیی و لیث فی عصر واحد فأیّ مانع من أن یروی کلّ من روی عن أحدهما عن الآخر؟ حتّی إنّ البطائنی الذی اتّفقوا علی أنّه من رواة یحیی و قائد یحیی یجوز أن یروی عن لیث و إن لم نقف علیه محقّقا»</w:t>
      </w:r>
      <w:r>
        <w:rPr>
          <w:rStyle w:val="FootnoteReference"/>
        </w:rPr>
        <w:footnoteReference w:id="4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 ما أفاده العلاّمة الکلباسی فی «سماء المقال» بعد الفحص عن ممیّزات کلّ من الأسدی و المرادی عن الآخر</w:t>
      </w:r>
      <w:r>
        <w:rPr>
          <w:rStyle w:val="FootnoteReference"/>
        </w:rPr>
        <w:footnoteReference w:id="4314"/>
      </w:r>
      <w:r>
        <w:rPr>
          <w:rFonts w:ascii="IRNazanin" w:hAnsi="IRNazanin" w:eastAsia="IRNazanin" w:cs="IRNazanin"/>
          <w:lang w:bidi="fa-IR"/>
          <w:color w:val="111111"/>
          <w:sz w:val="28"/>
          <w:szCs w:val="28"/>
          <w:rtl/>
        </w:rPr>
        <w:t xml:space="preserve">. هذا، و سیوافیک ما یدلّ</w:t>
      </w:r>
    </w:p>
    <w:p>
      <w:pPr>
        <w:pStyle w:val="BookText"/>
      </w:pPr>
      <w:r>
        <w:rPr>
          <w:rFonts w:ascii="IRNazanin" w:hAnsi="IRNazanin" w:eastAsia="IRNazanin" w:cs="IRNazanin"/>
          <w:lang w:bidi="fa-IR"/>
          <w:color w:val="111111"/>
          <w:sz w:val="28"/>
          <w:szCs w:val="28"/>
          <w:rtl/>
        </w:rPr>
        <w:t xml:space="preserve">[شماره صفحه واقعی : 470]</w:t>
      </w:r>
    </w:p>
    <w:p>
      <w:pPr>
        <w:pStyle w:val="BookText"/>
      </w:pPr>
      <w:r>
        <w:rPr>
          <w:rFonts w:ascii="IRNazanin" w:hAnsi="IRNazanin" w:eastAsia="IRNazanin" w:cs="IRNazanin"/>
          <w:lang w:bidi="fa-IR"/>
          <w:color w:val="111111"/>
          <w:sz w:val="28"/>
          <w:szCs w:val="28"/>
          <w:rtl/>
        </w:rPr>
        <w:t xml:space="preserve">ص: 1188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أبا بصیر بقول مطلق، هو یحیی بن أبی القاسم، لیس غیر.</w:t>
      </w:r>
    </w:p>
    <w:p>
      <w:pPr>
        <w:pStyle w:val="BookText"/>
      </w:pPr>
      <w:r>
        <w:rPr>
          <w:rFonts w:ascii="IRNazanin" w:hAnsi="IRNazanin" w:eastAsia="IRNazanin" w:cs="IRNazanin"/>
          <w:lang w:bidi="fa-IR"/>
          <w:color w:val="111111"/>
          <w:sz w:val="28"/>
          <w:szCs w:val="28"/>
          <w:rtl/>
        </w:rPr>
        <w:t xml:space="preserve">و - إنّ کلاّ من المحقّق التستری و العلاّمة الخوانساری أفرد رسالة فی تحقیق حال المکنیّن بأبی بصیر و المراد من هذه الکنیة حیثما اطلقت، و ذهب کلاهما إلی أنّ المراد منه یحیی بن أبی القاسم الأسدی و أقاما دلائل و شواهد عدیدة. و نحن نأتی بما هو المهمّ منها:</w:t>
      </w:r>
    </w:p>
    <w:p>
      <w:pPr>
        <w:pStyle w:val="BookText"/>
      </w:pPr>
      <w:r>
        <w:rPr>
          <w:rFonts w:ascii="IRNazanin" w:hAnsi="IRNazanin" w:eastAsia="IRNazanin" w:cs="IRNazanin"/>
          <w:lang w:bidi="fa-IR"/>
          <w:color w:val="111111"/>
          <w:sz w:val="28"/>
          <w:szCs w:val="28"/>
          <w:rtl/>
        </w:rPr>
        <w:t xml:space="preserve">قال المحقّق التستری: «إنّ أبا بصیر لا یطلق إلاّ علی یحیی... أمّا لیث فإمّا یعبّر عنه بالاسم و هو الغالب، و اما بالکنیة مع التقیید بالمرادی.</w:t>
      </w:r>
    </w:p>
    <w:p>
      <w:pPr>
        <w:pStyle w:val="BookText"/>
      </w:pPr>
      <w:r>
        <w:rPr>
          <w:rFonts w:ascii="IRNazanin" w:hAnsi="IRNazanin" w:eastAsia="IRNazanin" w:cs="IRNazanin"/>
          <w:lang w:bidi="fa-IR"/>
          <w:color w:val="111111"/>
          <w:sz w:val="28"/>
          <w:szCs w:val="28"/>
          <w:rtl/>
        </w:rPr>
        <w:t xml:space="preserve">بخلاف یحیی، فلم نقف فی الکتب الأربعة و غیرها علی التعبیر عنه بالإسم إلاّ فی سبعة مواضع بلفظ یحیی، و تقیید کنیته بالاسدی أو المکفوف أو المکنّی بأبی محمّد یسیر أیضا. و التعبیر عنه بالکنیة المجرّدة کثیر و هو دلیل الانصراف.</w:t>
      </w:r>
    </w:p>
    <w:p>
      <w:pPr>
        <w:pStyle w:val="BookText"/>
      </w:pPr>
      <w:r>
        <w:rPr>
          <w:rFonts w:ascii="IRNazanin" w:hAnsi="IRNazanin" w:eastAsia="IRNazanin" w:cs="IRNazanin"/>
          <w:lang w:bidi="fa-IR"/>
          <w:color w:val="111111"/>
          <w:sz w:val="28"/>
          <w:szCs w:val="28"/>
          <w:rtl/>
        </w:rPr>
        <w:t xml:space="preserve">و یدلّ علی ما قلنا امور:</w:t>
      </w:r>
    </w:p>
    <w:p>
      <w:pPr>
        <w:pStyle w:val="BookText"/>
      </w:pPr>
      <w:r>
        <w:rPr>
          <w:rFonts w:ascii="IRNazanin" w:hAnsi="IRNazanin" w:eastAsia="IRNazanin" w:cs="IRNazanin"/>
          <w:lang w:bidi="fa-IR"/>
          <w:color w:val="111111"/>
          <w:sz w:val="28"/>
          <w:szCs w:val="28"/>
          <w:rtl/>
        </w:rPr>
        <w:t xml:space="preserve">منها: قول الصدوق فی المشیخة: «و ما کان فیه عن أبی بصیر فقد رویته عن محمّد بن علیّ ماجیلویه - إلی أن قال: عن علیّ بن أبی حمزة، عن أبی بصیر»</w:t>
      </w:r>
      <w:r>
        <w:rPr>
          <w:rStyle w:val="FootnoteReference"/>
        </w:rPr>
        <w:footnoteReference w:id="4315"/>
      </w:r>
      <w:r>
        <w:rPr>
          <w:rFonts w:ascii="IRNazanin" w:hAnsi="IRNazanin" w:eastAsia="IRNazanin" w:cs="IRNazanin"/>
          <w:lang w:bidi="fa-IR"/>
          <w:color w:val="111111"/>
          <w:sz w:val="28"/>
          <w:szCs w:val="28"/>
          <w:rtl/>
        </w:rPr>
        <w:t xml:space="preserve">و کذا قوله: «ما کان فیه عن عبد الکریم بن عقبة فقد رویته عن أبی - رضی اللّه عنه... - إلی أن قال: عن لیث المرادی، عن عبد الکریم ابن عتبة الهاشمی»</w:t>
      </w:r>
      <w:r>
        <w:rPr>
          <w:rStyle w:val="FootnoteReference"/>
        </w:rPr>
        <w:footnoteReference w:id="4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فالصدوق لم یعبّر عن یحیی بغیر کنیة مجرّدة</w:t>
      </w:r>
      <w:r>
        <w:rPr>
          <w:rStyle w:val="FootnoteReference"/>
        </w:rPr>
        <w:footnoteReference w:id="4317"/>
      </w:r>
      <w:r>
        <w:rPr>
          <w:rFonts w:ascii="IRNazanin" w:hAnsi="IRNazanin" w:eastAsia="IRNazanin" w:cs="IRNazanin"/>
          <w:lang w:bidi="fa-IR"/>
          <w:color w:val="111111"/>
          <w:sz w:val="28"/>
          <w:szCs w:val="28"/>
          <w:rtl/>
        </w:rPr>
        <w:t xml:space="preserve">و لم یعبّر عن لیث بغیر اسمه. کما أنّه قد روی فی الفقیه فی مواضع مختلفة عن لیث، مصرّحا تارة</w:t>
      </w:r>
    </w:p>
    <w:p>
      <w:pPr>
        <w:pStyle w:val="BookText"/>
      </w:pPr>
      <w:r>
        <w:rPr>
          <w:rFonts w:ascii="IRNazanin" w:hAnsi="IRNazanin" w:eastAsia="IRNazanin" w:cs="IRNazanin"/>
          <w:lang w:bidi="fa-IR"/>
          <w:color w:val="111111"/>
          <w:sz w:val="28"/>
          <w:szCs w:val="28"/>
          <w:rtl/>
        </w:rPr>
        <w:t xml:space="preserve">[شماره صفحه واقعی : 471]</w:t>
      </w:r>
    </w:p>
    <w:p>
      <w:pPr>
        <w:pStyle w:val="BookText"/>
      </w:pPr>
      <w:r>
        <w:rPr>
          <w:rFonts w:ascii="IRNazanin" w:hAnsi="IRNazanin" w:eastAsia="IRNazanin" w:cs="IRNazanin"/>
          <w:lang w:bidi="fa-IR"/>
          <w:color w:val="111111"/>
          <w:sz w:val="28"/>
          <w:szCs w:val="28"/>
          <w:rtl/>
        </w:rPr>
        <w:t xml:space="preserve">ص: 1189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479" w:name="pg14419_167905"/>
    <w:bookmarkEnd w:id="479"/>
    <w:p>
      <w:pPr>
        <w:pStyle w:val="BookText"/>
      </w:pPr>
      <w:r>
        <w:rPr>
          <w:rFonts w:ascii="IRNazanin" w:hAnsi="IRNazanin" w:eastAsia="IRNazanin" w:cs="IRNazanin"/>
          <w:lang w:bidi="fa-IR"/>
          <w:color w:val="111111"/>
          <w:sz w:val="28"/>
          <w:szCs w:val="28"/>
          <w:rtl/>
        </w:rPr>
        <w:t xml:space="preserve">باسمه و اخری بکنیته مقیّدا بالمرادی</w:t>
      </w:r>
      <w:r>
        <w:rPr>
          <w:rStyle w:val="FootnoteReference"/>
        </w:rPr>
        <w:footnoteReference w:id="4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 العیّاشی فی سؤاله عن ابن فضّال عن أبی بصیر. فلولا الانصراف لقال: سألته عن أبی بصیر الأسدی، و لأجابه ابن فضّال أنّ أبا بصیر یطلق علی شخصین، أحدهما یحیی و الآخر لیث. و لم یجبه کذلک کما مرّ، بل یمکن أن نقول إنّ سؤال العیّاشی دالّ علی أنّ یحیی کان فی الاشتهار بالکنیة بمثابة حتّی کأنّ الکنیة اسمه و لا یعلم اسمه کلّ أحد، بل أوحدیّ مثل ابن فضّال.</w:t>
      </w:r>
    </w:p>
    <w:p>
      <w:pPr>
        <w:pStyle w:val="BookText"/>
      </w:pPr>
      <w:r>
        <w:rPr>
          <w:rFonts w:ascii="IRNazanin" w:hAnsi="IRNazanin" w:eastAsia="IRNazanin" w:cs="IRNazanin"/>
          <w:lang w:bidi="fa-IR"/>
          <w:color w:val="111111"/>
          <w:sz w:val="28"/>
          <w:szCs w:val="28"/>
          <w:rtl/>
        </w:rPr>
        <w:t xml:space="preserve">و منها: أنّ النجاشی لم یذکر التکنیة بأبی بصیر لغیر یحیی. و حکی فی ترجمة لیث أنّ بعضهم عرّفه بأبی بصیر الأصغر.</w:t>
      </w:r>
    </w:p>
    <w:p>
      <w:pPr>
        <w:pStyle w:val="BookText"/>
      </w:pPr>
      <w:r>
        <w:rPr>
          <w:rFonts w:ascii="IRNazanin" w:hAnsi="IRNazanin" w:eastAsia="IRNazanin" w:cs="IRNazanin"/>
          <w:lang w:bidi="fa-IR"/>
          <w:color w:val="111111"/>
          <w:sz w:val="28"/>
          <w:szCs w:val="28"/>
          <w:rtl/>
        </w:rPr>
        <w:t xml:space="preserve">فتلخّص من جمیع ما ذکرنا أنّ أبا بصیر المذکور فی أسانید الأخبار إمّا یحیی جزما و إمّا مردّد بین یحیی و لیث، و حیث إنّ کلا الرجلین فی ذروة من الجلالة و الوثاقة، فلا یوجب الاشتراک جهالة أو ضعفا فی السند.</w:t>
      </w:r>
    </w:p>
    <w:p>
      <w:pPr>
        <w:pStyle w:val="Heading5"/>
      </w:pPr>
      <w:bookmarkStart w:id="1438" w:name="_Toc878"/>
      <w:r>
        <w:t>الفائدة الحادیة عشر</w:t>
      </w:r>
      <w:bookmarkEnd w:id="1438"/>
    </w:p>
    <w:p>
      <w:pPr>
        <w:pStyle w:val="BookText"/>
      </w:pPr>
      <w:r>
        <w:rPr>
          <w:rFonts w:ascii="IRNazanin" w:hAnsi="IRNazanin" w:eastAsia="IRNazanin" w:cs="IRNazanin"/>
          <w:lang w:bidi="fa-IR"/>
          <w:color w:val="111111"/>
          <w:sz w:val="28"/>
          <w:szCs w:val="28"/>
          <w:rtl/>
        </w:rPr>
        <w:t xml:space="preserve">قال صاحب «المعالم» فی مقدّمة المنتقی</w:t>
      </w:r>
      <w:r>
        <w:rPr>
          <w:rStyle w:val="FootnoteReference"/>
        </w:rPr>
        <w:footnoteReference w:id="4319"/>
      </w:r>
      <w:r>
        <w:rPr>
          <w:rFonts w:ascii="IRNazanin" w:hAnsi="IRNazanin" w:eastAsia="IRNazanin" w:cs="IRNazanin"/>
          <w:lang w:bidi="fa-IR"/>
          <w:color w:val="111111"/>
          <w:sz w:val="28"/>
          <w:szCs w:val="28"/>
          <w:rtl/>
        </w:rPr>
        <w:t xml:space="preserve">: «قد یری فی بعض الأحادیث عدم التّصریح باسم الإمام الّذی یروی عنه الحدیث، بل یشار إلیه بالضّمیر. و ظنّ جمع من الأصحاب أنّ مثله قطع، ینافی الصحّة. و لیس ذلک علی إطلاقه بصحیح، إذ القرائن فی أکثر تلک المواضع تشهد بعود الضّمیر إلی المعصوم. و هذا لأنّ کثیرا من قدماء رواة حدیثنا و مصنّفی کتبه کانوا یروون عن الائمّة مشافهة و یوردون ما یروونه فی کتبهم جملة، و إن کانت الأحکام الّتی فی</w:t>
      </w:r>
    </w:p>
    <w:p>
      <w:pPr>
        <w:pStyle w:val="BookText"/>
      </w:pPr>
      <w:r>
        <w:rPr>
          <w:rFonts w:ascii="IRNazanin" w:hAnsi="IRNazanin" w:eastAsia="IRNazanin" w:cs="IRNazanin"/>
          <w:lang w:bidi="fa-IR"/>
          <w:color w:val="111111"/>
          <w:sz w:val="28"/>
          <w:szCs w:val="28"/>
          <w:rtl/>
        </w:rPr>
        <w:t xml:space="preserve">[شماره صفحه واقعی : 472]</w:t>
      </w:r>
    </w:p>
    <w:p>
      <w:pPr>
        <w:pStyle w:val="BookText"/>
      </w:pPr>
      <w:r>
        <w:rPr>
          <w:rFonts w:ascii="IRNazanin" w:hAnsi="IRNazanin" w:eastAsia="IRNazanin" w:cs="IRNazanin"/>
          <w:lang w:bidi="fa-IR"/>
          <w:color w:val="111111"/>
          <w:sz w:val="28"/>
          <w:szCs w:val="28"/>
          <w:rtl/>
        </w:rPr>
        <w:t xml:space="preserve">ص: 1190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480" w:name="pg14419_167906"/>
    <w:bookmarkEnd w:id="480"/>
    <w:p>
      <w:pPr>
        <w:pStyle w:val="BookText"/>
      </w:pPr>
      <w:r>
        <w:rPr>
          <w:rFonts w:ascii="IRNazanin" w:hAnsi="IRNazanin" w:eastAsia="IRNazanin" w:cs="IRNazanin"/>
          <w:lang w:bidi="fa-IR"/>
          <w:color w:val="111111"/>
          <w:sz w:val="28"/>
          <w:szCs w:val="28"/>
          <w:rtl/>
        </w:rPr>
        <w:t xml:space="preserve">الروایات مختلفة.</w:t>
      </w:r>
    </w:p>
    <w:p>
      <w:pPr>
        <w:pStyle w:val="BookText"/>
      </w:pPr>
      <w:r>
        <w:rPr>
          <w:rFonts w:ascii="IRNazanin" w:hAnsi="IRNazanin" w:eastAsia="IRNazanin" w:cs="IRNazanin"/>
          <w:lang w:bidi="fa-IR"/>
          <w:color w:val="111111"/>
          <w:sz w:val="28"/>
          <w:szCs w:val="28"/>
          <w:rtl/>
        </w:rPr>
        <w:t xml:space="preserve">فیقول أحدهم فی أوّل الکلام: «سألت فلانا» و یسمّی الإمام الّذی یروی عنه. ثمّ یکتفی فی الباقی بالضمیر و یقول: «سألته» أو نحو هذا. و لا ریب أنّ رعایة البلاغة تقتضی ذلک. و لمّا أن نقلت تلک الأخبار إلی کتاب آخر صار لها ما صار فی إطلاق الاسماء بعینه. و لکنّ الممارسة تطلع علی أنّه لا فرق فی التعبیر بین الظاهر و الضمیر».</w:t>
      </w:r>
    </w:p>
    <w:p>
      <w:pPr>
        <w:pStyle w:val="Heading5"/>
      </w:pPr>
      <w:bookmarkStart w:id="1439" w:name="_Toc879"/>
      <w:r>
        <w:t>الفائدة الثانیة عشر</w:t>
      </w:r>
      <w:bookmarkEnd w:id="1439"/>
    </w:p>
    <w:p>
      <w:pPr>
        <w:pStyle w:val="BookText"/>
      </w:pPr>
      <w:r>
        <w:rPr>
          <w:rFonts w:ascii="IRNazanin" w:hAnsi="IRNazanin" w:eastAsia="IRNazanin" w:cs="IRNazanin"/>
          <w:lang w:bidi="fa-IR"/>
          <w:color w:val="111111"/>
          <w:sz w:val="28"/>
          <w:szCs w:val="28"/>
          <w:rtl/>
        </w:rPr>
        <w:t xml:space="preserve">قال المحقّق المتقدّم أیضا: «یوجد فی کثیر من الأسانید أسماء مطلقة مع اشتراکها بین الثقة و غیرها و هو مناف للصحة فی ظاهر الحال. و السبب فی ذلک أنّ مصنّفی کتب أخبارنا القدیمة کانوا یوردون فیها الأخبار المتعدّدة فی المعانی المختلفة من طریق واحد، فیذکرون السند فی أوّل حدیث مفصّلا ثمّ یجملون فی الباقی اعتمادا علی التفصیل أوّلا. و لمّا طرء علی تلک الأخبار، التحویل إلی کتاب آخر یخالف فی الترتیب الکتاب الأوّل، تقطّعت تلک الاخبار. بحسب اختلاف مضامینها، و إذا بعد العهد وقع الالتباس و الإشکال.</w:t>
      </w:r>
    </w:p>
    <w:p>
      <w:pPr>
        <w:pStyle w:val="BookText"/>
      </w:pPr>
      <w:r>
        <w:rPr>
          <w:rFonts w:ascii="IRNazanin" w:hAnsi="IRNazanin" w:eastAsia="IRNazanin" w:cs="IRNazanin"/>
          <w:lang w:bidi="fa-IR"/>
          <w:color w:val="111111"/>
          <w:sz w:val="28"/>
          <w:szCs w:val="28"/>
          <w:rtl/>
        </w:rPr>
        <w:t xml:space="preserve">و لکنّ الطریق إلی معرفة المراد فیه تتبّع الأسانید فی تضاعیف أبواب المجامیع الروائیة و مراجعة کتب الرجال المتضمّنة لذکر الطرق کالفهرس و کتاب النّجاشی و تعاهد ما ذکره الصدوق - رحمه اللّه - من الطرق إلی روایة ما أورده فی کتاب «من لا یحضره الفقیه» و للتضّلع من معرفة الطبقات فی ذلک أثر عظیم»</w:t>
      </w:r>
      <w:r>
        <w:rPr>
          <w:rStyle w:val="FootnoteReference"/>
        </w:rPr>
        <w:footnoteReference w:id="4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یذکر المراد من عدّة من الأسماء المطلقة کحمّاد، و عبّاس، و علاء، و محمّد، و ابن مسکان، و ابن سنان و عبد الرحمن، فمن أراد الوقوف، فعلیه</w:t>
      </w:r>
    </w:p>
    <w:p>
      <w:pPr>
        <w:pStyle w:val="BookText"/>
      </w:pPr>
      <w:r>
        <w:rPr>
          <w:rFonts w:ascii="IRNazanin" w:hAnsi="IRNazanin" w:eastAsia="IRNazanin" w:cs="IRNazanin"/>
          <w:lang w:bidi="fa-IR"/>
          <w:color w:val="111111"/>
          <w:sz w:val="28"/>
          <w:szCs w:val="28"/>
          <w:rtl/>
        </w:rPr>
        <w:t xml:space="preserve">[شماره صفحه واقعی : 473]</w:t>
      </w:r>
    </w:p>
    <w:p>
      <w:pPr>
        <w:pStyle w:val="BookText"/>
      </w:pPr>
      <w:r>
        <w:rPr>
          <w:rFonts w:ascii="IRNazanin" w:hAnsi="IRNazanin" w:eastAsia="IRNazanin" w:cs="IRNazanin"/>
          <w:lang w:bidi="fa-IR"/>
          <w:color w:val="111111"/>
          <w:sz w:val="28"/>
          <w:szCs w:val="28"/>
          <w:rtl/>
        </w:rPr>
        <w:t xml:space="preserve">ص: 1191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481" w:name="pg14419_167907"/>
    <w:bookmarkEnd w:id="481"/>
    <w:p>
      <w:pPr>
        <w:pStyle w:val="BookText"/>
      </w:pPr>
      <w:r>
        <w:rPr>
          <w:rFonts w:ascii="IRNazanin" w:hAnsi="IRNazanin" w:eastAsia="IRNazanin" w:cs="IRNazanin"/>
          <w:lang w:bidi="fa-IR"/>
          <w:color w:val="111111"/>
          <w:sz w:val="28"/>
          <w:szCs w:val="28"/>
          <w:rtl/>
        </w:rPr>
        <w:t xml:space="preserve">بالمراجعة إلیه.</w:t>
      </w:r>
    </w:p>
    <w:p>
      <w:pPr>
        <w:pStyle w:val="Heading5"/>
      </w:pPr>
      <w:bookmarkStart w:id="1440" w:name="_Toc880"/>
      <w:r>
        <w:t>الفائدة الثالثة عشر</w:t>
      </w:r>
      <w:bookmarkEnd w:id="1440"/>
    </w:p>
    <w:p>
      <w:pPr>
        <w:pStyle w:val="Heading6"/>
      </w:pPr>
      <w:bookmarkStart w:id="1441" w:name="_Toc881"/>
      <w:r>
        <w:t>اشارة</w:t>
      </w:r>
      <w:bookmarkEnd w:id="1441"/>
    </w:p>
    <w:p>
      <w:pPr>
        <w:pStyle w:val="BookText"/>
      </w:pPr>
      <w:r>
        <w:rPr>
          <w:rFonts w:ascii="IRNazanin" w:hAnsi="IRNazanin" w:eastAsia="IRNazanin" w:cs="IRNazanin"/>
          <w:lang w:bidi="fa-IR"/>
          <w:color w:val="111111"/>
          <w:sz w:val="28"/>
          <w:szCs w:val="28"/>
          <w:rtl/>
        </w:rPr>
        <w:t xml:space="preserve">إنّ من المصطلحات الرائجة فی ألسن ائمّة الرجال و التراجم و المحدّثین و الفقهاء ألفاظ أربعة و هی: الکتاب، الأصل، التصنیف (أو المصنّف) و النوادر. و ربّما یظهر من بعضهم أنّ کون الرجل ذا أصل أو ذا کتاب و تصنیف من أسباب الحسن و الوثاقة. فیجب علینا أن نعرف المراد من هذه الألفاظ و الفرق بینها أوّلا، و المعرفة الاجمالیّة بالاصول المدوّنة للاصحاب فی عهد الائمّة - علیهم السلام - ثانیا، و وجه العنایة بهذه الاصول و مدی دلالتها علی وثاقة المؤلّف ثالثا. فنقول: یقع البحث فی مقامات:</w:t>
      </w:r>
    </w:p>
    <w:p>
      <w:pPr>
        <w:pStyle w:val="Heading6"/>
      </w:pPr>
      <w:bookmarkStart w:id="1442" w:name="_Toc882"/>
      <w:r>
        <w:t>الاول: فی الالفاظ الاربعة</w:t>
      </w:r>
      <w:bookmarkEnd w:id="1442"/>
    </w:p>
    <w:p>
      <w:pPr>
        <w:pStyle w:val="Heading6"/>
      </w:pPr>
      <w:bookmarkStart w:id="1443" w:name="_Toc883"/>
      <w:r>
        <w:t>1 - الکتاب</w:t>
      </w:r>
      <w:bookmarkEnd w:id="1443"/>
    </w:p>
    <w:p>
      <w:pPr>
        <w:pStyle w:val="BookText"/>
      </w:pPr>
      <w:r>
        <w:rPr>
          <w:rFonts w:ascii="IRNazanin" w:hAnsi="IRNazanin" w:eastAsia="IRNazanin" w:cs="IRNazanin"/>
          <w:lang w:bidi="fa-IR"/>
          <w:color w:val="111111"/>
          <w:sz w:val="28"/>
          <w:szCs w:val="28"/>
          <w:rtl/>
        </w:rPr>
        <w:t xml:space="preserve">إنّ الکتاب مستعمل فی کلمات العلماء بمعناه المتعارف و هو أعمّ من الأصل و النوادر - و کذا من التصنیف علی المشهور - و لا تقابل بینه و بینهما. بل یطلق علی کل منهما الکتاب. فمثلا یقول الشیخ فی رجاله فی ترجمة أحمد بن میثم: «روی عنه حمید بن زیاد کتاب الملاحم و کتاب الدلالة و غیر ذلک من الاصول»</w:t>
      </w:r>
      <w:r>
        <w:rPr>
          <w:rStyle w:val="FootnoteReference"/>
        </w:rPr>
        <w:footnoteReference w:id="4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أسباط بن سالم: «له کتاب أصل»</w:t>
      </w:r>
      <w:r>
        <w:rPr>
          <w:rStyle w:val="FootnoteReference"/>
        </w:rPr>
        <w:footnoteReference w:id="4322"/>
      </w:r>
      <w:r>
        <w:rPr>
          <w:rFonts w:ascii="IRNazanin" w:hAnsi="IRNazanin" w:eastAsia="IRNazanin" w:cs="IRNazanin"/>
          <w:lang w:bidi="fa-IR"/>
          <w:color w:val="111111"/>
          <w:sz w:val="28"/>
          <w:szCs w:val="28"/>
          <w:rtl/>
        </w:rPr>
        <w:t xml:space="preserve">و مثله ما قاله النجاشی</w:t>
      </w:r>
    </w:p>
    <w:p>
      <w:pPr>
        <w:pStyle w:val="BookText"/>
      </w:pPr>
      <w:r>
        <w:rPr>
          <w:rFonts w:ascii="IRNazanin" w:hAnsi="IRNazanin" w:eastAsia="IRNazanin" w:cs="IRNazanin"/>
          <w:lang w:bidi="fa-IR"/>
          <w:color w:val="111111"/>
          <w:sz w:val="28"/>
          <w:szCs w:val="28"/>
          <w:rtl/>
        </w:rPr>
        <w:t xml:space="preserve">[شماره صفحه واقعی : 474]</w:t>
      </w:r>
    </w:p>
    <w:p>
      <w:pPr>
        <w:pStyle w:val="BookText"/>
      </w:pPr>
      <w:r>
        <w:rPr>
          <w:rFonts w:ascii="IRNazanin" w:hAnsi="IRNazanin" w:eastAsia="IRNazanin" w:cs="IRNazanin"/>
          <w:lang w:bidi="fa-IR"/>
          <w:color w:val="111111"/>
          <w:sz w:val="28"/>
          <w:szCs w:val="28"/>
          <w:rtl/>
        </w:rPr>
        <w:t xml:space="preserve">ص: 1192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482" w:name="pg14419_167908"/>
    <w:bookmarkEnd w:id="482"/>
    <w:p>
      <w:pPr>
        <w:pStyle w:val="BookText"/>
      </w:pPr>
      <w:r>
        <w:rPr>
          <w:rFonts w:ascii="IRNazanin" w:hAnsi="IRNazanin" w:eastAsia="IRNazanin" w:cs="IRNazanin"/>
          <w:lang w:bidi="fa-IR"/>
          <w:color w:val="111111"/>
          <w:sz w:val="28"/>
          <w:szCs w:val="28"/>
          <w:rtl/>
        </w:rPr>
        <w:t xml:space="preserve">فی ترجمة الحسن بن أیّوب: «له کتاب أصل»</w:t>
      </w:r>
      <w:r>
        <w:rPr>
          <w:rStyle w:val="FootnoteReference"/>
        </w:rPr>
        <w:footnoteReference w:id="4323"/>
      </w:r>
      <w:r>
        <w:rPr>
          <w:rFonts w:ascii="IRNazanin" w:hAnsi="IRNazanin" w:eastAsia="IRNazanin" w:cs="IRNazanin"/>
          <w:lang w:bidi="fa-IR"/>
          <w:color w:val="111111"/>
          <w:sz w:val="28"/>
          <w:szCs w:val="28"/>
          <w:rtl/>
        </w:rPr>
        <w:t xml:space="preserve">. و یؤیّد ذلک أنّ کثیرا ممّا أسماه الطوسی أصلا، سمّاه النجاشی کتابا، و بالعکس یعبّر هو کثیرا عمّا سمّاه النجاشی «النوادر» بعنوان الکتاب و قلیلا ما یتّفق عکس ذلک</w:t>
      </w:r>
      <w:r>
        <w:rPr>
          <w:rStyle w:val="FootnoteReference"/>
        </w:rPr>
        <w:footnoteReference w:id="4324"/>
      </w:r>
      <w:r>
        <w:rPr>
          <w:rFonts w:ascii="Times New Roman" w:hAnsi="Times New Roman" w:eastAsia="Times New Roman" w:cs="Times New Roman"/>
          <w:lang w:val="en-US" w:bidi="en-US"/>
          <w:color w:val="111111"/>
          <w:sz w:val="28"/>
          <w:szCs w:val="28"/>
          <w:rtl/>
        </w:rPr>
        <w:t xml:space="preserve">.</w:t>
      </w:r>
    </w:p>
    <w:p>
      <w:pPr>
        <w:pStyle w:val="Heading6"/>
      </w:pPr>
      <w:bookmarkStart w:id="1444" w:name="_Toc884"/>
      <w:r>
        <w:t>2 - الاصل</w:t>
      </w:r>
      <w:bookmarkEnd w:id="1444"/>
    </w:p>
    <w:p>
      <w:pPr>
        <w:pStyle w:val="BookText"/>
      </w:pPr>
      <w:r>
        <w:rPr>
          <w:rFonts w:ascii="IRNazanin" w:hAnsi="IRNazanin" w:eastAsia="IRNazanin" w:cs="IRNazanin"/>
          <w:lang w:bidi="fa-IR"/>
          <w:color w:val="111111"/>
          <w:sz w:val="28"/>
          <w:szCs w:val="28"/>
          <w:rtl/>
        </w:rPr>
        <w:t xml:space="preserve">عرّف الأصل بأنّه الکتاب الّذی یمتاز عن غیره بأن جمع فیه مصنّفه الأحادیث الّتی رواها عن المعصوم - علیه السلام - أو عن الراوی عنه</w:t>
      </w:r>
      <w:r>
        <w:rPr>
          <w:rStyle w:val="FootnoteReference"/>
        </w:rPr>
        <w:footnoteReference w:id="4325"/>
      </w:r>
      <w:r>
        <w:rPr>
          <w:rFonts w:ascii="IRNazanin" w:hAnsi="IRNazanin" w:eastAsia="IRNazanin" w:cs="IRNazanin"/>
          <w:lang w:bidi="fa-IR"/>
          <w:color w:val="111111"/>
          <w:sz w:val="28"/>
          <w:szCs w:val="28"/>
          <w:rtl/>
        </w:rPr>
        <w:t xml:space="preserve">و بیّن العلاّمة الطهرانی سبب هذه التسمیة بقوله:</w:t>
      </w:r>
    </w:p>
    <w:p>
      <w:pPr>
        <w:pStyle w:val="BookText"/>
      </w:pPr>
      <w:r>
        <w:rPr>
          <w:rFonts w:ascii="IRNazanin" w:hAnsi="IRNazanin" w:eastAsia="IRNazanin" w:cs="IRNazanin"/>
          <w:lang w:bidi="fa-IR"/>
          <w:color w:val="111111"/>
          <w:sz w:val="28"/>
          <w:szCs w:val="28"/>
          <w:rtl/>
        </w:rPr>
        <w:t xml:space="preserve">«إنّ کتاب الحدیث إن کان جمیع أحادیثه سماعا من مؤلّفه عن الإمام - علیه السلام - أو سماعا منه عمّن سمع عن الإمام - علیه السلام -، فوجود تلک الاحادیث فی عالم الکتابة من صنع مؤلّفها وجود أصلی بدوی ارتجالی غیر متفرّع من وجود آخر... کما أنّ أصل کلّ کتاب هو المکتوب الأوّلی منه الذی کتبه المؤلّف فیطلق علیه النسخة الأصلیة أو الأصل لذلک»</w:t>
      </w:r>
      <w:r>
        <w:rPr>
          <w:rStyle w:val="FootnoteReference"/>
        </w:rPr>
        <w:footnoteReference w:id="4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الوحید - قدّس سره - أنّ بعضهم قال: إنّ الکتاب ما کان مبوّبا و مفصّلا و الاصول مجمع أخبار و آثار. و ردّ بأنّ کثیرا من الاصول مبوّبة</w:t>
      </w:r>
      <w:r>
        <w:rPr>
          <w:rStyle w:val="FootnoteReference"/>
        </w:rPr>
        <w:footnoteReference w:id="4327"/>
      </w:r>
      <w:r>
        <w:rPr>
          <w:rFonts w:ascii="Times New Roman" w:hAnsi="Times New Roman" w:eastAsia="Times New Roman" w:cs="Times New Roman"/>
          <w:lang w:val="en-US" w:bidi="en-US"/>
          <w:color w:val="111111"/>
          <w:sz w:val="28"/>
          <w:szCs w:val="28"/>
          <w:rtl/>
        </w:rPr>
        <w:t xml:space="preserve">.</w:t>
      </w:r>
    </w:p>
    <w:p>
      <w:pPr>
        <w:pStyle w:val="Heading6"/>
      </w:pPr>
      <w:bookmarkStart w:id="1445" w:name="_Toc885"/>
      <w:r>
        <w:t>3 - التصنیف (المصنّف)</w:t>
      </w:r>
      <w:bookmarkEnd w:id="1445"/>
    </w:p>
    <w:p>
      <w:pPr>
        <w:pStyle w:val="BookText"/>
      </w:pPr>
      <w:r>
        <w:rPr>
          <w:rFonts w:ascii="IRNazanin" w:hAnsi="IRNazanin" w:eastAsia="IRNazanin" w:cs="IRNazanin"/>
          <w:lang w:bidi="fa-IR"/>
          <w:color w:val="111111"/>
          <w:sz w:val="28"/>
          <w:szCs w:val="28"/>
          <w:rtl/>
        </w:rPr>
        <w:t xml:space="preserve">ظاهر کلام الشیخ فی دیباجة «الفهرس» دالّ علی أنّ التصنیف مقابل</w:t>
      </w:r>
    </w:p>
    <w:p>
      <w:pPr>
        <w:pStyle w:val="BookText"/>
      </w:pPr>
      <w:r>
        <w:rPr>
          <w:rFonts w:ascii="IRNazanin" w:hAnsi="IRNazanin" w:eastAsia="IRNazanin" w:cs="IRNazanin"/>
          <w:lang w:bidi="fa-IR"/>
          <w:color w:val="111111"/>
          <w:sz w:val="28"/>
          <w:szCs w:val="28"/>
          <w:rtl/>
        </w:rPr>
        <w:t xml:space="preserve">[شماره صفحه واقعی : 475]</w:t>
      </w:r>
    </w:p>
    <w:p>
      <w:pPr>
        <w:pStyle w:val="BookText"/>
      </w:pPr>
      <w:r>
        <w:rPr>
          <w:rFonts w:ascii="IRNazanin" w:hAnsi="IRNazanin" w:eastAsia="IRNazanin" w:cs="IRNazanin"/>
          <w:lang w:bidi="fa-IR"/>
          <w:color w:val="111111"/>
          <w:sz w:val="28"/>
          <w:szCs w:val="28"/>
          <w:rtl/>
        </w:rPr>
        <w:t xml:space="preserve">ص: 1193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 حیث قال فیها:</w:t>
      </w:r>
    </w:p>
    <w:p>
      <w:pPr>
        <w:pStyle w:val="BookText"/>
      </w:pPr>
      <w:r>
        <w:rPr>
          <w:rFonts w:ascii="IRNazanin" w:hAnsi="IRNazanin" w:eastAsia="IRNazanin" w:cs="IRNazanin"/>
          <w:lang w:bidi="fa-IR"/>
          <w:color w:val="111111"/>
          <w:sz w:val="28"/>
          <w:szCs w:val="28"/>
          <w:rtl/>
        </w:rPr>
        <w:t xml:space="preserve">«إنّ أحمد بن الحسین بن عبید اللّه الغضائری عمل کتابین: أحدهما ذکر فیه المصنّفات و الآخر ذکر فیه الاصول».</w:t>
      </w:r>
    </w:p>
    <w:p>
      <w:pPr>
        <w:pStyle w:val="BookText"/>
      </w:pPr>
      <w:r>
        <w:rPr>
          <w:rFonts w:ascii="IRNazanin" w:hAnsi="IRNazanin" w:eastAsia="IRNazanin" w:cs="IRNazanin"/>
          <w:lang w:bidi="fa-IR"/>
          <w:color w:val="111111"/>
          <w:sz w:val="28"/>
          <w:szCs w:val="28"/>
          <w:rtl/>
        </w:rPr>
        <w:t xml:space="preserve">ثمّ ذکر أنّه نفسه جمع بینهما فی «الفهرس» و اعتذر عن ذلک بقوله:</w:t>
      </w:r>
    </w:p>
    <w:p>
      <w:pPr>
        <w:pStyle w:val="BookText"/>
      </w:pPr>
      <w:r>
        <w:rPr>
          <w:rFonts w:ascii="IRNazanin" w:hAnsi="IRNazanin" w:eastAsia="IRNazanin" w:cs="IRNazanin"/>
          <w:lang w:bidi="fa-IR"/>
          <w:color w:val="111111"/>
          <w:sz w:val="28"/>
          <w:szCs w:val="28"/>
          <w:rtl/>
        </w:rPr>
        <w:t xml:space="preserve">«لأنّ فی المصنّفین من له أصل فیحتاج إلی أن یعاد ذکره فی کلّ واحد من الکتابین»</w:t>
      </w:r>
      <w:r>
        <w:rPr>
          <w:rStyle w:val="FootnoteReference"/>
        </w:rPr>
        <w:footnoteReference w:id="4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هارون بن موسی التّلعکبری «روی جمیع الاصول و المصنّفات»</w:t>
      </w:r>
      <w:r>
        <w:rPr>
          <w:rStyle w:val="FootnoteReference"/>
        </w:rPr>
        <w:footnoteReference w:id="4329"/>
      </w:r>
      <w:r>
        <w:rPr>
          <w:rFonts w:ascii="IRNazanin" w:hAnsi="IRNazanin" w:eastAsia="IRNazanin" w:cs="IRNazanin"/>
          <w:lang w:bidi="fa-IR"/>
          <w:color w:val="111111"/>
          <w:sz w:val="28"/>
          <w:szCs w:val="28"/>
          <w:rtl/>
        </w:rPr>
        <w:t xml:space="preserve">کما أنّه قال فی حیدر بن محمّد بن نعیم السمرقندی: «یروی جمیع مصنّفات الشیعة و اصولهم»</w:t>
      </w:r>
      <w:r>
        <w:rPr>
          <w:rStyle w:val="FootnoteReference"/>
        </w:rPr>
        <w:footnoteReference w:id="4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جزم المحقّق التستری أنّ بین الأصل و التصنیف تقابلا، و أنّ الکتاب أعمّ منهما. فکأنّه أراد أن یقول فی تعریف المصنّف (التصنیف) أنّه الکتاب الذی کان جمیع أحادیثه أو أکثرها منقولا عن کتاب آخر سابق وجوده علیه أو کان فیه کلام المؤلّف کثیرا بحیث یخرجه عن إطلاق القول بأنّه کتاب روایة.</w:t>
      </w:r>
    </w:p>
    <w:p>
      <w:pPr>
        <w:pStyle w:val="BookText"/>
      </w:pPr>
      <w:r>
        <w:rPr>
          <w:rFonts w:ascii="IRNazanin" w:hAnsi="IRNazanin" w:eastAsia="IRNazanin" w:cs="IRNazanin"/>
          <w:lang w:bidi="fa-IR"/>
          <w:color w:val="111111"/>
          <w:sz w:val="28"/>
          <w:szCs w:val="28"/>
          <w:rtl/>
        </w:rPr>
        <w:t xml:space="preserve">و إنّما قلنا «أکثرها» لأنّه ربّما کان بعض الروایات و قلیلها، یصل معنعنا و لا یؤخذ من أصل أو کتاب سابق علیه و لکنّه لا یوجب ذکره فی عداد الاصول قطعا</w:t>
      </w:r>
      <w:r>
        <w:rPr>
          <w:rStyle w:val="FootnoteReference"/>
        </w:rPr>
        <w:footnoteReference w:id="4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الوحید البهبهانی فیظهر منه أنّ المصنّف أعمّ من الأصل و النوادر لأنّه</w:t>
      </w:r>
    </w:p>
    <w:p>
      <w:pPr>
        <w:pStyle w:val="BookText"/>
      </w:pPr>
      <w:r>
        <w:rPr>
          <w:rFonts w:ascii="IRNazanin" w:hAnsi="IRNazanin" w:eastAsia="IRNazanin" w:cs="IRNazanin"/>
          <w:lang w:bidi="fa-IR"/>
          <w:color w:val="111111"/>
          <w:sz w:val="28"/>
          <w:szCs w:val="28"/>
          <w:rtl/>
        </w:rPr>
        <w:t xml:space="preserve">[شماره صفحه واقعی : 476]</w:t>
      </w:r>
    </w:p>
    <w:p>
      <w:pPr>
        <w:pStyle w:val="BookText"/>
      </w:pPr>
      <w:r>
        <w:rPr>
          <w:rFonts w:ascii="IRNazanin" w:hAnsi="IRNazanin" w:eastAsia="IRNazanin" w:cs="IRNazanin"/>
          <w:lang w:bidi="fa-IR"/>
          <w:color w:val="111111"/>
          <w:sz w:val="28"/>
          <w:szCs w:val="28"/>
          <w:rtl/>
        </w:rPr>
        <w:t xml:space="preserve">ص: 1194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483" w:name="pg14419_167910"/>
    <w:bookmarkEnd w:id="483"/>
    <w:p>
      <w:pPr>
        <w:pStyle w:val="BookText"/>
      </w:pPr>
      <w:r>
        <w:rPr>
          <w:rFonts w:ascii="IRNazanin" w:hAnsi="IRNazanin" w:eastAsia="IRNazanin" w:cs="IRNazanin"/>
          <w:lang w:bidi="fa-IR"/>
          <w:color w:val="111111"/>
          <w:sz w:val="28"/>
          <w:szCs w:val="28"/>
          <w:rtl/>
        </w:rPr>
        <w:t xml:space="preserve">یطلق علیهما، کما فی ترجمة أحمد بن میثم فی فهرس الشیخ، حیث قال: له مصنّفات منها کتاب الدلائل، کتاب المتعة، کتاب النوادر، کتاب الملاحم و...</w:t>
      </w:r>
      <w:r>
        <w:rPr>
          <w:rStyle w:val="FootnoteReference"/>
        </w:rPr>
        <w:footnoteReference w:id="4332"/>
      </w:r>
      <w:r>
        <w:rPr>
          <w:rFonts w:ascii="IRNazanin" w:hAnsi="IRNazanin" w:eastAsia="IRNazanin" w:cs="IRNazanin"/>
          <w:lang w:bidi="fa-IR"/>
          <w:color w:val="111111"/>
          <w:sz w:val="28"/>
          <w:szCs w:val="28"/>
          <w:rtl/>
        </w:rPr>
        <w:t xml:space="preserve">و لا یبعد صحّة هذا القول، کما یظهر من عبائر الأجلاّء کالمحقّق و الشهید الثانی و شیخنا البهائی عند ذکر الاصول الأربعمائة و سیوافیک کلماتهم - إن شاء اللّه -.</w:t>
      </w:r>
    </w:p>
    <w:p>
      <w:pPr>
        <w:pStyle w:val="BookText"/>
      </w:pPr>
      <w:r>
        <w:rPr>
          <w:rFonts w:ascii="IRNazanin" w:hAnsi="IRNazanin" w:eastAsia="IRNazanin" w:cs="IRNazanin"/>
          <w:lang w:bidi="fa-IR"/>
          <w:color w:val="111111"/>
          <w:sz w:val="28"/>
          <w:szCs w:val="28"/>
          <w:rtl/>
        </w:rPr>
        <w:t xml:space="preserve">فالذی یقوی فی النظر أنّ الکتاب و المصنّف مصطلحان مترادفان و المراد منهما کل ما دوّنه الأصحاب - رحمهم اللّه - </w:t>
      </w:r>
      <w:r>
        <w:rPr>
          <w:rStyle w:val="FootnoteReference"/>
        </w:rPr>
        <w:footnoteReference w:id="4333"/>
      </w:r>
      <w:r>
        <w:rPr>
          <w:rFonts w:ascii="IRNazanin" w:hAnsi="IRNazanin" w:eastAsia="IRNazanin" w:cs="IRNazanin"/>
          <w:lang w:bidi="fa-IR"/>
          <w:color w:val="111111"/>
          <w:sz w:val="28"/>
          <w:szCs w:val="28"/>
          <w:rtl/>
        </w:rPr>
        <w:t xml:space="preserve">و الأصل قسم خاصّ من الکتاب أو المصنّف. و ذکره فی قبال التصنیف لا یدلّ علی کونهما متقابلین، بل الغرض منه بیان اختصاص بعض مصنّفات الرجل بکونه أصلا. کما أنّ ذکر الأصل فی قبال الکتاب لا یدلّ علی التقابل أیضا. و لعلّ منشأ هذا الاختصاص بالذکر هو العنایة بشأن الاصول.</w:t>
      </w:r>
    </w:p>
    <w:p>
      <w:pPr>
        <w:pStyle w:val="Heading6"/>
      </w:pPr>
      <w:bookmarkStart w:id="1446" w:name="_Toc886"/>
      <w:r>
        <w:t>4 - النوادر</w:t>
      </w:r>
      <w:bookmarkEnd w:id="1446"/>
    </w:p>
    <w:p>
      <w:pPr>
        <w:pStyle w:val="BookText"/>
      </w:pPr>
      <w:r>
        <w:rPr>
          <w:rFonts w:ascii="IRNazanin" w:hAnsi="IRNazanin" w:eastAsia="IRNazanin" w:cs="IRNazanin"/>
          <w:lang w:bidi="fa-IR"/>
          <w:color w:val="111111"/>
          <w:sz w:val="28"/>
          <w:szCs w:val="28"/>
          <w:rtl/>
        </w:rPr>
        <w:t xml:space="preserve">ذکر النجاشی عند عدّ کتب کثیر من الأصحاب أنّ لهم کتاب «النوادر».</w:t>
      </w:r>
    </w:p>
    <w:p>
      <w:pPr>
        <w:pStyle w:val="BookText"/>
      </w:pPr>
      <w:r>
        <w:rPr>
          <w:rFonts w:ascii="IRNazanin" w:hAnsi="IRNazanin" w:eastAsia="IRNazanin" w:cs="IRNazanin"/>
          <w:lang w:bidi="fa-IR"/>
          <w:color w:val="111111"/>
          <w:sz w:val="28"/>
          <w:szCs w:val="28"/>
          <w:rtl/>
        </w:rPr>
        <w:t xml:space="preserve">فمثلا یقول: «الحسین بن عبید اللّه السعدی.. له کتب صحیحة الحدیث، منها: التوحید، المؤمن، و المسلم... النوادر، المزار و...»</w:t>
      </w:r>
      <w:r>
        <w:rPr>
          <w:rStyle w:val="FootnoteReference"/>
        </w:rPr>
        <w:footnoteReference w:id="4334"/>
      </w:r>
      <w:r>
        <w:rPr>
          <w:rFonts w:ascii="IRNazanin" w:hAnsi="IRNazanin" w:eastAsia="IRNazanin" w:cs="IRNazanin"/>
          <w:lang w:bidi="fa-IR"/>
          <w:color w:val="111111"/>
          <w:sz w:val="28"/>
          <w:szCs w:val="28"/>
          <w:rtl/>
        </w:rPr>
        <w:t xml:space="preserve">أو یقول: «الحسن بن الحسین اللؤلؤی، کوفیّ ثقة کثیر الروایة، له کتاب مجموع، نوادر»</w:t>
      </w:r>
      <w:r>
        <w:rPr>
          <w:rStyle w:val="FootnoteReference"/>
        </w:rPr>
        <w:footnoteReference w:id="4335"/>
      </w:r>
      <w:r>
        <w:rPr>
          <w:rFonts w:ascii="IRNazanin" w:hAnsi="IRNazanin" w:eastAsia="IRNazanin" w:cs="IRNazanin"/>
          <w:lang w:bidi="fa-IR"/>
          <w:color w:val="111111"/>
          <w:sz w:val="28"/>
          <w:szCs w:val="28"/>
          <w:rtl/>
        </w:rPr>
        <w:t xml:space="preserve">. و کذا یقول: «الحسین بن عبید اللّه بن إبراهیم الغضائری، شیخنا - رحمه اللّه -، له کتب، منها: کتاب کشف التمویه و الغمّة، کتاب التسلیم علی أمیر المؤمنین - علیه السلام - بامرة</w:t>
      </w:r>
    </w:p>
    <w:p>
      <w:pPr>
        <w:pStyle w:val="BookText"/>
      </w:pPr>
      <w:r>
        <w:rPr>
          <w:rFonts w:ascii="IRNazanin" w:hAnsi="IRNazanin" w:eastAsia="IRNazanin" w:cs="IRNazanin"/>
          <w:lang w:bidi="fa-IR"/>
          <w:color w:val="111111"/>
          <w:sz w:val="28"/>
          <w:szCs w:val="28"/>
          <w:rtl/>
        </w:rPr>
        <w:t xml:space="preserve">[شماره صفحه واقعی : 477]</w:t>
      </w:r>
    </w:p>
    <w:p>
      <w:pPr>
        <w:pStyle w:val="BookText"/>
      </w:pPr>
      <w:r>
        <w:rPr>
          <w:rFonts w:ascii="IRNazanin" w:hAnsi="IRNazanin" w:eastAsia="IRNazanin" w:cs="IRNazanin"/>
          <w:lang w:bidi="fa-IR"/>
          <w:color w:val="111111"/>
          <w:sz w:val="28"/>
          <w:szCs w:val="28"/>
          <w:rtl/>
        </w:rPr>
        <w:t xml:space="preserve">ص: 1195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کتاب النوادر فی الفقه، کتاب مناسک الحج...»</w:t>
      </w:r>
      <w:r>
        <w:rPr>
          <w:rStyle w:val="FootnoteReference"/>
        </w:rPr>
        <w:footnoteReference w:id="4336"/>
      </w:r>
      <w:r>
        <w:rPr>
          <w:rFonts w:ascii="IRNazanin" w:hAnsi="IRNazanin" w:eastAsia="IRNazanin" w:cs="IRNazanin"/>
          <w:lang w:bidi="fa-IR"/>
          <w:color w:val="111111"/>
          <w:sz w:val="28"/>
          <w:szCs w:val="28"/>
          <w:rtl/>
        </w:rPr>
        <w:t xml:space="preserve">و یقول فی ترجمة صفوان بن یحیی «و صنّف ثلاثین کتابا کما ذکر أصحابنا. یعرف منها الآن: کتاب الوضوء، کتاب الصّلاة، کتاب الصوم... کتاب البشارات، نوادر»</w:t>
      </w:r>
      <w:r>
        <w:rPr>
          <w:rStyle w:val="FootnoteReference"/>
        </w:rPr>
        <w:footnoteReference w:id="4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التأمّل فی الموارد الّتی ذکرها هو - و تبلغ خمسین و مائة مورد - یرشدنا إلی أنّ النوادر اسم للکتب المدوّنة الّتی لیس لمطالبها موضوع معیّن أو لیست لروایاتها شهرة متحقّقة، سواء کانت الأحادیث الواردة فیها عن إمام واحد أو أکثر، أو کان موضوع الکتاب واحدا مع تفرّق مضامین روایاته بحیث لا یمکن تبویبها. و إلی هذا اشیر فی الموسوعة القیّمة «الذریعة» حیث جاء فیها:</w:t>
      </w:r>
    </w:p>
    <w:p>
      <w:pPr>
        <w:pStyle w:val="BookText"/>
      </w:pPr>
      <w:r>
        <w:rPr>
          <w:rFonts w:ascii="IRNazanin" w:hAnsi="IRNazanin" w:eastAsia="IRNazanin" w:cs="IRNazanin"/>
          <w:lang w:bidi="fa-IR"/>
          <w:color w:val="111111"/>
          <w:sz w:val="28"/>
          <w:szCs w:val="28"/>
          <w:rtl/>
        </w:rPr>
        <w:t xml:space="preserve">«إنّ النوادر عنوان عام لنوع من مؤلّفات الأصحاب فی القرون الأربعة الاولی کان یجمع فیها الأحادیث غیر المشهورة أو الّتی تشتمل علی أحکام غیر متداولة أو استثنائیة أو مستدرکة لغیرها»</w:t>
      </w:r>
      <w:r>
        <w:rPr>
          <w:rStyle w:val="FootnoteReference"/>
        </w:rPr>
        <w:footnoteReference w:id="4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سرد عددا من أسامی هذه الکتب یقرب من مائتی کتاب و ذکر أنّه استخرجها من کتب الکشّی و النّجاشی و الطوسی، مصنّفی الاصول الرجالیة - قدّس اللّه أسرارهم -.</w:t>
      </w:r>
    </w:p>
    <w:p>
      <w:pPr>
        <w:pStyle w:val="BookText"/>
      </w:pPr>
      <w:r>
        <w:rPr>
          <w:rFonts w:ascii="IRNazanin" w:hAnsi="IRNazanin" w:eastAsia="IRNazanin" w:cs="IRNazanin"/>
          <w:lang w:bidi="fa-IR"/>
          <w:color w:val="111111"/>
          <w:sz w:val="28"/>
          <w:szCs w:val="28"/>
          <w:rtl/>
        </w:rPr>
        <w:t xml:space="preserve">و من هنا یظهر وجه تسمیة بعض الأبواب الموجودة فی الجوامع الحدیثیة بعنوان النوادر، کنوادر الصلاة، و نوادر الزکاة و نحوه. لأنّ الأحادیث المذکورة</w:t>
      </w:r>
    </w:p>
    <w:p>
      <w:pPr>
        <w:pStyle w:val="BookText"/>
      </w:pPr>
      <w:r>
        <w:rPr>
          <w:rFonts w:ascii="IRNazanin" w:hAnsi="IRNazanin" w:eastAsia="IRNazanin" w:cs="IRNazanin"/>
          <w:lang w:bidi="fa-IR"/>
          <w:color w:val="111111"/>
          <w:sz w:val="28"/>
          <w:szCs w:val="28"/>
          <w:rtl/>
        </w:rPr>
        <w:t xml:space="preserve">[شماره صفحه واقعی : 478]</w:t>
      </w:r>
    </w:p>
    <w:p>
      <w:pPr>
        <w:pStyle w:val="BookText"/>
      </w:pPr>
      <w:r>
        <w:rPr>
          <w:rFonts w:ascii="IRNazanin" w:hAnsi="IRNazanin" w:eastAsia="IRNazanin" w:cs="IRNazanin"/>
          <w:lang w:bidi="fa-IR"/>
          <w:color w:val="111111"/>
          <w:sz w:val="28"/>
          <w:szCs w:val="28"/>
          <w:rtl/>
        </w:rPr>
        <w:t xml:space="preserve">ص: 1196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الأبواب إمّا مستدرکة و إمّا شاذّة غیر معمول بها عند الأصحاب</w:t>
      </w:r>
      <w:r>
        <w:rPr>
          <w:rStyle w:val="FootnoteReference"/>
        </w:rPr>
        <w:footnoteReference w:id="4339"/>
      </w:r>
      <w:r>
        <w:rPr>
          <w:rFonts w:ascii="IRNazanin" w:hAnsi="IRNazanin" w:eastAsia="IRNazanin" w:cs="IRNazanin"/>
          <w:lang w:bidi="fa-IR"/>
          <w:color w:val="111111"/>
          <w:sz w:val="28"/>
          <w:szCs w:val="28"/>
          <w:rtl/>
        </w:rPr>
        <w:t xml:space="preserve">، و إمّا غیر قابل لذکر العنوان لها بسبب قلّته.</w:t>
      </w:r>
    </w:p>
    <w:p>
      <w:pPr>
        <w:pStyle w:val="BookText"/>
      </w:pPr>
      <w:r>
        <w:rPr>
          <w:rFonts w:ascii="IRNazanin" w:hAnsi="IRNazanin" w:eastAsia="IRNazanin" w:cs="IRNazanin"/>
          <w:lang w:bidi="fa-IR"/>
          <w:color w:val="111111"/>
          <w:sz w:val="28"/>
          <w:szCs w:val="28"/>
          <w:rtl/>
        </w:rPr>
        <w:t xml:space="preserve">قال الوحید فی فوائده: «أمّا النوادر فالظّاهر أنّه ما اجتمع فیه أحادیث لا تضبط فی باب، لقلّته بأن یکون واحدا أو متعدّدا لکن یکون قلیلا جدّا...</w:t>
      </w:r>
    </w:p>
    <w:p>
      <w:pPr>
        <w:pStyle w:val="BookText"/>
      </w:pPr>
      <w:r>
        <w:rPr>
          <w:rFonts w:ascii="IRNazanin" w:hAnsi="IRNazanin" w:eastAsia="IRNazanin" w:cs="IRNazanin"/>
          <w:lang w:bidi="fa-IR"/>
          <w:color w:val="111111"/>
          <w:sz w:val="28"/>
          <w:szCs w:val="28"/>
          <w:rtl/>
        </w:rPr>
        <w:t xml:space="preserve">و ربّما یطلق النادر علی الشاذّ. و المراد من الشاذّ ما رواه الراوی الثقة مخالفا لما رواه الأکثر و هو مقابل المشهور. و نقل عن بعض أنّ النادر ما قلّ روایته و ندر العمل به، و ادّعی أنّه الظاهر من کلام الأصحاب. و لا یخلو من تأمل»</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من الکتب المشهورة فی هذا المضمار نوادر محمّد بن أحمد بن یحیی المشهور بدبّة شبیب. قال النجاشی: «و لمحمّد بن أحمد بن یحیی کتب، منها: کتاب «نوادر الحکمة» و هو کتاب حسن کبیر یعرفه القمیّون بدبّة شبیب. قال: و شبیب فامی کان بقم له دبّة ذات بیوت، یعطی منها ما یطلب منه من دهن. فشبّهوا هذا الکتاب بذلک»</w:t>
      </w:r>
      <w:r>
        <w:rPr>
          <w:rStyle w:val="FootnoteReference"/>
        </w:rPr>
        <w:footnoteReference w:id="4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النسبة بین الأصل و النوادر، فقال الوحید - قدّس سره -: «الأصل أنّ النوادر غیر الأصل و ربّما یعدّ من الاصول، کما یظهر فی أحمد بن الحسن بن سعید و أحمد بن سلمة و حریز بن عبد اللّه»</w:t>
      </w:r>
      <w:r>
        <w:rPr>
          <w:rStyle w:val="FootnoteReference"/>
        </w:rPr>
        <w:footnoteReference w:id="4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الأوّل فقد قال الشیخ فی الفهرس: «أحمد بن الحسین بن سعید، له کتاب النوادر. و من أصحابنا من عدّه من جملة الاصول»</w:t>
      </w:r>
      <w:r>
        <w:rPr>
          <w:rStyle w:val="FootnoteReference"/>
        </w:rPr>
        <w:footnoteReference w:id="4343"/>
      </w:r>
      <w:r>
        <w:rPr>
          <w:rFonts w:ascii="IRNazanin" w:hAnsi="IRNazanin" w:eastAsia="IRNazanin" w:cs="IRNazanin"/>
          <w:lang w:bidi="fa-IR"/>
          <w:color w:val="111111"/>
          <w:sz w:val="28"/>
          <w:szCs w:val="28"/>
          <w:rtl/>
        </w:rPr>
        <w:t xml:space="preserve">و قال فی الثالث: «حریز بن عبد اللّه السجستانی، له کتب، منها کتاب الصّلاة، کتاب</w:t>
      </w:r>
    </w:p>
    <w:p>
      <w:pPr>
        <w:pStyle w:val="BookText"/>
      </w:pPr>
      <w:r>
        <w:rPr>
          <w:rFonts w:ascii="IRNazanin" w:hAnsi="IRNazanin" w:eastAsia="IRNazanin" w:cs="IRNazanin"/>
          <w:lang w:bidi="fa-IR"/>
          <w:color w:val="111111"/>
          <w:sz w:val="28"/>
          <w:szCs w:val="28"/>
          <w:rtl/>
        </w:rPr>
        <w:t xml:space="preserve">[شماره صفحه واقعی : 479]</w:t>
      </w:r>
    </w:p>
    <w:p>
      <w:pPr>
        <w:pStyle w:val="BookText"/>
      </w:pPr>
      <w:r>
        <w:rPr>
          <w:rFonts w:ascii="IRNazanin" w:hAnsi="IRNazanin" w:eastAsia="IRNazanin" w:cs="IRNazanin"/>
          <w:lang w:bidi="fa-IR"/>
          <w:color w:val="111111"/>
          <w:sz w:val="28"/>
          <w:szCs w:val="28"/>
          <w:rtl/>
        </w:rPr>
        <w:t xml:space="preserve">ص: 1197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484" w:name="pg14419_167913"/>
    <w:bookmarkEnd w:id="484"/>
    <w:p>
      <w:pPr>
        <w:pStyle w:val="BookText"/>
      </w:pPr>
      <w:r>
        <w:rPr>
          <w:rFonts w:ascii="IRNazanin" w:hAnsi="IRNazanin" w:eastAsia="IRNazanin" w:cs="IRNazanin"/>
          <w:lang w:bidi="fa-IR"/>
          <w:color w:val="111111"/>
          <w:sz w:val="28"/>
          <w:szCs w:val="28"/>
          <w:rtl/>
        </w:rPr>
        <w:t xml:space="preserve">النوادر، تعدّ کلّها فی الاصول»</w:t>
      </w:r>
      <w:r>
        <w:rPr>
          <w:rStyle w:val="FootnoteReference"/>
        </w:rPr>
        <w:footnoteReference w:id="4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النجاشی قال فی مروک بن عبید: «قال أصحابنا القمّیون:</w:t>
      </w:r>
    </w:p>
    <w:p>
      <w:pPr>
        <w:pStyle w:val="BookText"/>
      </w:pPr>
      <w:r>
        <w:rPr>
          <w:rFonts w:ascii="IRNazanin" w:hAnsi="IRNazanin" w:eastAsia="IRNazanin" w:cs="IRNazanin"/>
          <w:lang w:bidi="fa-IR"/>
          <w:color w:val="111111"/>
          <w:sz w:val="28"/>
          <w:szCs w:val="28"/>
          <w:rtl/>
        </w:rPr>
        <w:t xml:space="preserve">نوادره أصل»</w:t>
      </w:r>
      <w:r>
        <w:rPr>
          <w:rStyle w:val="FootnoteReference"/>
        </w:rPr>
        <w:footnoteReference w:id="4345"/>
      </w:r>
      <w:r>
        <w:rPr>
          <w:rFonts w:ascii="IRNazanin" w:hAnsi="IRNazanin" w:eastAsia="IRNazanin" w:cs="IRNazanin"/>
          <w:lang w:bidi="fa-IR"/>
          <w:color w:val="111111"/>
          <w:sz w:val="28"/>
          <w:szCs w:val="28"/>
          <w:rtl/>
        </w:rPr>
        <w:t xml:space="preserve">. و علی هذا لا یبعد صحّة القول بأنّ النسبة بین الأصل و النوادر هو العموم و الخصوص من وجه. بمعنی جواز أن یکون المؤلّف أصلا من جهة و نوادر من جهة اخری</w:t>
      </w:r>
      <w:r>
        <w:rPr>
          <w:rStyle w:val="FootnoteReference"/>
        </w:rPr>
        <w:footnoteReference w:id="4346"/>
      </w:r>
      <w:r>
        <w:rPr>
          <w:rFonts w:ascii="IRNazanin" w:hAnsi="IRNazanin" w:eastAsia="IRNazanin" w:cs="IRNazanin"/>
          <w:lang w:bidi="fa-IR"/>
          <w:color w:val="111111"/>
          <w:sz w:val="28"/>
          <w:szCs w:val="28"/>
          <w:rtl/>
        </w:rPr>
        <w:t xml:space="preserve">. و استیفاء البحث و الرأی الجازم متوقّف علی التتبّع التامّ فی کتب الفهرس.</w:t>
      </w:r>
    </w:p>
    <w:p>
      <w:pPr>
        <w:pStyle w:val="BookText"/>
      </w:pPr>
      <w:r>
        <w:rPr>
          <w:rFonts w:ascii="IRNazanin" w:hAnsi="IRNazanin" w:eastAsia="IRNazanin" w:cs="IRNazanin"/>
          <w:lang w:bidi="fa-IR"/>
          <w:color w:val="111111"/>
          <w:sz w:val="28"/>
          <w:szCs w:val="28"/>
          <w:rtl/>
        </w:rPr>
        <w:t xml:space="preserve">بقی شیء و هو أنّه قد یقع النوادر و الأصل مقابلین للکتاب، کما فی ترجمة معاویة بن الحکیم و عبّاس بن معروف</w:t>
      </w:r>
      <w:r>
        <w:rPr>
          <w:rStyle w:val="FootnoteReference"/>
        </w:rPr>
        <w:footnoteReference w:id="4347"/>
      </w:r>
      <w:r>
        <w:rPr>
          <w:rFonts w:ascii="IRNazanin" w:hAnsi="IRNazanin" w:eastAsia="IRNazanin" w:cs="IRNazanin"/>
          <w:lang w:bidi="fa-IR"/>
          <w:color w:val="111111"/>
          <w:sz w:val="28"/>
          <w:szCs w:val="28"/>
          <w:rtl/>
        </w:rPr>
        <w:t xml:space="preserve">، و من المعلوم - کما أشرنا آنفا - أنّ الغرض بیان الفرق بین الکتاب الّذی لیس بأصل أو لیس من النوادر و بین ما هو أصل أو من النوادر، و هذا لا یدلّ علی التقابل بینه و بینهما.</w:t>
      </w:r>
    </w:p>
    <w:p>
      <w:pPr>
        <w:pStyle w:val="BookText"/>
      </w:pPr>
      <w:r>
        <w:rPr>
          <w:rFonts w:ascii="IRNazanin" w:hAnsi="IRNazanin" w:eastAsia="IRNazanin" w:cs="IRNazanin"/>
          <w:lang w:bidi="fa-IR"/>
          <w:color w:val="111111"/>
          <w:sz w:val="28"/>
          <w:szCs w:val="28"/>
          <w:rtl/>
        </w:rPr>
        <w:t xml:space="preserve">و ملخّص القول أنّ الکتاب أعمّ من الأصل و النوادر، و کذا التصنیف أعمّ منهما علی ما اخترنا و النسبة بین الأصل و النوادر التباین ظاهرا و إن لم یکن احتمال نسبة العموم و الخصوص من وجه بینهما ببعید.</w:t>
      </w:r>
    </w:p>
    <w:p>
      <w:pPr>
        <w:pStyle w:val="Heading6"/>
      </w:pPr>
      <w:bookmarkStart w:id="1447" w:name="_Toc887"/>
      <w:r>
        <w:t>الثانی: فی الاصول المدوّنة فی عصر ائمتنا (علیهم السلام)</w:t>
      </w:r>
      <w:bookmarkEnd w:id="1447"/>
    </w:p>
    <w:p>
      <w:pPr>
        <w:pStyle w:val="BookText"/>
      </w:pPr>
      <w:r>
        <w:rPr>
          <w:rFonts w:ascii="IRNazanin" w:hAnsi="IRNazanin" w:eastAsia="IRNazanin" w:cs="IRNazanin"/>
          <w:lang w:bidi="fa-IR"/>
          <w:color w:val="111111"/>
          <w:sz w:val="28"/>
          <w:szCs w:val="28"/>
          <w:rtl/>
        </w:rPr>
        <w:t xml:space="preserve">صرّح جمع من أعاظم المحدّثین و المؤرّخین أنّ أصحاب الأئمة - علیهم السلام - صنّفوا اصولا و أدرجوا فیها ما سمعوا عن کلّ من موالیهم - علیهم السلام -، لئلاّ یعرض لهم نسیان و خلط، أو یقع فیه دسّ و تصحیف.</w:t>
      </w:r>
    </w:p>
    <w:p>
      <w:pPr>
        <w:pStyle w:val="BookText"/>
      </w:pPr>
      <w:r>
        <w:rPr>
          <w:rFonts w:ascii="IRNazanin" w:hAnsi="IRNazanin" w:eastAsia="IRNazanin" w:cs="IRNazanin"/>
          <w:lang w:bidi="fa-IR"/>
          <w:color w:val="111111"/>
          <w:sz w:val="28"/>
          <w:szCs w:val="28"/>
          <w:rtl/>
        </w:rPr>
        <w:t xml:space="preserve">[شماره صفحه واقعی : 480]</w:t>
      </w:r>
    </w:p>
    <w:p>
      <w:pPr>
        <w:pStyle w:val="BookText"/>
      </w:pPr>
      <w:r>
        <w:rPr>
          <w:rFonts w:ascii="IRNazanin" w:hAnsi="IRNazanin" w:eastAsia="IRNazanin" w:cs="IRNazanin"/>
          <w:lang w:bidi="fa-IR"/>
          <w:color w:val="111111"/>
          <w:sz w:val="28"/>
          <w:szCs w:val="28"/>
          <w:rtl/>
        </w:rPr>
        <w:t xml:space="preserve">ص: 1198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هو السیّد رضی الدین علیّ بن طاوس ینقل فی کتابه «مهج الدعوات» قسم أدعیة موسی بن جعفر - علیه السلام -، قبل ذکر الدعاء المعروف بالجوشن عن أبی الوضّاح محمد بن عبد اللّه بن زید النهشلی (راوی الدعاء) أنّه قال:</w:t>
      </w:r>
    </w:p>
    <w:p>
      <w:pPr>
        <w:pStyle w:val="BookText"/>
      </w:pPr>
      <w:r>
        <w:rPr>
          <w:rFonts w:ascii="IRNazanin" w:hAnsi="IRNazanin" w:eastAsia="IRNazanin" w:cs="IRNazanin"/>
          <w:lang w:bidi="fa-IR"/>
          <w:color w:val="111111"/>
          <w:sz w:val="28"/>
          <w:szCs w:val="28"/>
          <w:rtl/>
        </w:rPr>
        <w:t xml:space="preserve">«حدّثنی أبی قال: کان جماعة من خاصّة أبی الحسن - علیه السلام - من أهل بیته و شیعته یحضرون مجلسه و معهم فی أکمامهم ألواح آبنوس لطاف و أمیال فاذا نطق أبو الحسن - علیه السلام - بکلمة أو أفتی فی نازلة أثبت القوم ما سمعوا منه فی ذلک»</w:t>
      </w:r>
      <w:r>
        <w:rPr>
          <w:rStyle w:val="FootnoteReference"/>
        </w:rPr>
        <w:footnoteReference w:id="4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الشیخ البهائی فی «مشرق الشمسین» أنّه قال:</w:t>
      </w:r>
    </w:p>
    <w:p>
      <w:pPr>
        <w:pStyle w:val="BookText"/>
      </w:pPr>
      <w:r>
        <w:rPr>
          <w:rFonts w:ascii="IRNazanin" w:hAnsi="IRNazanin" w:eastAsia="IRNazanin" w:cs="IRNazanin"/>
          <w:lang w:bidi="fa-IR"/>
          <w:color w:val="111111"/>
          <w:sz w:val="28"/>
          <w:szCs w:val="28"/>
          <w:rtl/>
        </w:rPr>
        <w:t xml:space="preserve">«قد بلغنا عن مشایخنا - قدّس سرهم - أنّه کان من دأب أصحاب الاصول أنّهم إذا سمعوا عن أحد من الائمّة - علیهم السلام - حدیثا بادروا إلی إثباته فی اصولهم لئلاّ یعرض لهم نسیان لبعضه أو کلّه بتمادی الأیّام»</w:t>
      </w:r>
      <w:r>
        <w:rPr>
          <w:rStyle w:val="FootnoteReference"/>
        </w:rPr>
        <w:footnoteReference w:id="4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 ما أفاده السیّد الداماد فی رواشحه</w:t>
      </w:r>
      <w:r>
        <w:rPr>
          <w:rStyle w:val="FootnoteReference"/>
        </w:rPr>
        <w:footnoteReference w:id="4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من المؤسف جدّا أنّه لم یتعیّن لنا عدّة أصحاب الاصول لا تحقیقا و لا تقریبا و لم یتعیّن فی کتبنا الرجالیة و الفهارس تاریخ تألیف هذه الاصول بعینه و لا تواریخ وفیات مصنّفیها</w:t>
      </w:r>
      <w:r>
        <w:rPr>
          <w:rStyle w:val="FootnoteReference"/>
        </w:rPr>
        <w:footnoteReference w:id="4351"/>
      </w:r>
      <w:r>
        <w:rPr>
          <w:rFonts w:ascii="IRNazanin" w:hAnsi="IRNazanin" w:eastAsia="IRNazanin" w:cs="IRNazanin"/>
          <w:lang w:bidi="fa-IR"/>
          <w:color w:val="111111"/>
          <w:sz w:val="28"/>
          <w:szCs w:val="28"/>
          <w:rtl/>
        </w:rPr>
        <w:t xml:space="preserve">. و یظهر من الشیخ الطوسی فی أوّل فهرسه أنّ عدم ضبط عدد تصانیف الأصحاب و اصولهم نشأ من کثرة انتشار الأصحاب فی البلدان</w:t>
      </w:r>
      <w:r>
        <w:rPr>
          <w:rStyle w:val="FootnoteReference"/>
        </w:rPr>
        <w:footnoteReference w:id="4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یستفاد من بعض الأعلام کالمحقّق الحلّی و أمین الاسلام الطّبرسی</w:t>
      </w:r>
    </w:p>
    <w:p>
      <w:pPr>
        <w:pStyle w:val="BookText"/>
      </w:pPr>
      <w:r>
        <w:rPr>
          <w:rFonts w:ascii="IRNazanin" w:hAnsi="IRNazanin" w:eastAsia="IRNazanin" w:cs="IRNazanin"/>
          <w:lang w:bidi="fa-IR"/>
          <w:color w:val="111111"/>
          <w:sz w:val="28"/>
          <w:szCs w:val="28"/>
          <w:rtl/>
        </w:rPr>
        <w:t xml:space="preserve">[شماره صفحه واقعی : 481]</w:t>
      </w:r>
    </w:p>
    <w:p>
      <w:pPr>
        <w:pStyle w:val="BookText"/>
      </w:pPr>
      <w:r>
        <w:rPr>
          <w:rFonts w:ascii="IRNazanin" w:hAnsi="IRNazanin" w:eastAsia="IRNazanin" w:cs="IRNazanin"/>
          <w:lang w:bidi="fa-IR"/>
          <w:color w:val="111111"/>
          <w:sz w:val="28"/>
          <w:szCs w:val="28"/>
          <w:rtl/>
        </w:rPr>
        <w:t xml:space="preserve">ص: 1199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الشّهید الأوّل و الشیخ حسین بن عبد الصمد العاملی و السید الداماد و الشهید الثانی - قدّس اللّه أسرارهم - أنّ الاصول المذکورة و کذا مؤلّفیها لم تکن أقلّ من أربعمائة و أنّ أکثرها کانت من صنع أصحاب الصادق - علیه السلام -، و ناهیک بعض عبائرهم:</w:t>
      </w:r>
    </w:p>
    <w:p>
      <w:pPr>
        <w:pStyle w:val="BookText"/>
      </w:pPr>
      <w:r>
        <w:rPr>
          <w:rFonts w:ascii="IRNazanin" w:hAnsi="IRNazanin" w:eastAsia="IRNazanin" w:cs="IRNazanin"/>
          <w:lang w:bidi="fa-IR"/>
          <w:color w:val="111111"/>
          <w:sz w:val="28"/>
          <w:szCs w:val="28"/>
          <w:rtl/>
        </w:rPr>
        <w:t xml:space="preserve">1 - قال المحقّق الحّلی فی «المعتبر»: «کتب من أجوبة مسائله - أی جعفر بن محمّد - علیهما السلام - أربعمائة مصنّف سمّوها اصولا»</w:t>
      </w:r>
      <w:r>
        <w:rPr>
          <w:rStyle w:val="FootnoteReference"/>
        </w:rPr>
        <w:footnoteReference w:id="4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الطبرسی فی «إعلام الوری بأعلام الهدی»: «روی عن الإمام الصادق - علیه السلام - من مشهوری أهل العلم أربعة آلاف إنسان و صنّف من جواباته فی المسائل أربعمائة کتاب تسمّی الاصول، رواها أصحابه و أصحاب ابنه موسی الکاظم - علیه السلام -»</w:t>
      </w:r>
      <w:r>
        <w:rPr>
          <w:rStyle w:val="FootnoteReference"/>
        </w:rPr>
        <w:footnoteReference w:id="4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الشهید الثانی فی شرح الدرایة: «استقرّ أمر المتقدّمین علی أربعمائة مصنّف لأربعمائة مصنّف سمّوها اصولا فکان علیها اعتمادهم»</w:t>
      </w:r>
      <w:r>
        <w:rPr>
          <w:rStyle w:val="FootnoteReference"/>
        </w:rPr>
        <w:footnoteReference w:id="4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الشیخ الحسین بن عبد الصمد فی درایته: «قد کتبت من أجوبة مسائل الإمام الصادق - علیه السلام - فقط أربعمائة مصنّف لأربعمائة مصنّف تسمّی الاصول فی أنواع العلوم»</w:t>
      </w:r>
      <w:r>
        <w:rPr>
          <w:rStyle w:val="FootnoteReference"/>
        </w:rPr>
        <w:footnoteReference w:id="4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المحقّق الداماد فی «الرواشح»: «المشهور أنّ الاصول أربعمائة مصنّف لأربعمائة مصنّف من رجال أبی عبد اللّه الصادق - علیه السلام -، بل و فی مجالس السماع و الروایة عنه و رجاله زهاء أربعة آلاف</w:t>
      </w:r>
    </w:p>
    <w:p>
      <w:pPr>
        <w:pStyle w:val="BookText"/>
      </w:pPr>
      <w:r>
        <w:rPr>
          <w:rFonts w:ascii="IRNazanin" w:hAnsi="IRNazanin" w:eastAsia="IRNazanin" w:cs="IRNazanin"/>
          <w:lang w:bidi="fa-IR"/>
          <w:color w:val="111111"/>
          <w:sz w:val="28"/>
          <w:szCs w:val="28"/>
          <w:rtl/>
        </w:rPr>
        <w:t xml:space="preserve">[شماره صفحه واقعی : 482]</w:t>
      </w:r>
    </w:p>
    <w:p>
      <w:pPr>
        <w:pStyle w:val="BookText"/>
      </w:pPr>
      <w:r>
        <w:rPr>
          <w:rFonts w:ascii="IRNazanin" w:hAnsi="IRNazanin" w:eastAsia="IRNazanin" w:cs="IRNazanin"/>
          <w:lang w:bidi="fa-IR"/>
          <w:color w:val="111111"/>
          <w:sz w:val="28"/>
          <w:szCs w:val="28"/>
          <w:rtl/>
        </w:rPr>
        <w:t xml:space="preserve">ص: 1200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 کتبهم و مصنّفاتهم کثیرة. إلاّ أنّ ما استقرّ الأمر علی اعتبارها و التّعویل علیها و تسمیتها بالاصول هذه الأربعمائة»</w:t>
      </w:r>
      <w:r>
        <w:rPr>
          <w:rStyle w:val="FootnoteReference"/>
        </w:rPr>
        <w:footnoteReference w:id="4357"/>
      </w:r>
    </w:p>
    <w:p>
      <w:pPr>
        <w:pStyle w:val="BookText"/>
      </w:pPr>
      <w:r>
        <w:rPr>
          <w:rFonts w:ascii="IRNazanin" w:hAnsi="IRNazanin" w:eastAsia="IRNazanin" w:cs="IRNazanin"/>
          <w:lang w:bidi="fa-IR"/>
          <w:color w:val="111111"/>
          <w:sz w:val="28"/>
          <w:szCs w:val="28"/>
          <w:rtl/>
        </w:rPr>
        <w:t xml:space="preserve">و الظّاهر من عبارة الطبرسی أنّ مؤلّفی الاصول تلامذة الإمام الصادق و الکاظم - علیهما السلام - و الظّاهر من غیره أنّهم من تلامذة الإمام الصادق - علیه السلام - فقط. و لعلّ الحصر لأجل کون الغالب من تلامذة الوالد دون الولد.</w:t>
      </w:r>
    </w:p>
    <w:p>
      <w:pPr>
        <w:pStyle w:val="BookText"/>
      </w:pPr>
      <w:r>
        <w:rPr>
          <w:rFonts w:ascii="IRNazanin" w:hAnsi="IRNazanin" w:eastAsia="IRNazanin" w:cs="IRNazanin"/>
          <w:lang w:bidi="fa-IR"/>
          <w:color w:val="111111"/>
          <w:sz w:val="28"/>
          <w:szCs w:val="28"/>
          <w:rtl/>
        </w:rPr>
        <w:t xml:space="preserve">کما أنّ الظاهر من الشیخ المفید - علی ما حکی عنه - أنّها لا تختصّ بأصحابهما بل یعمّ غیرهما أیضا. قال: «و صنّف الإمامیّة من عهد أمیر المؤمنین - علیه السلام - إلی عصر أبی محمد العسکری - علیه السلام - أربعمائة کتاب تسمّی الاصول و هذا معنی قولهم: له أصل»</w:t>
      </w:r>
      <w:r>
        <w:rPr>
          <w:rStyle w:val="FootnoteReference"/>
        </w:rPr>
        <w:footnoteReference w:id="4358"/>
      </w:r>
      <w:r>
        <w:rPr>
          <w:rFonts w:ascii="IRNazanin" w:hAnsi="IRNazanin" w:eastAsia="IRNazanin" w:cs="IRNazanin"/>
          <w:lang w:bidi="fa-IR"/>
          <w:color w:val="111111"/>
          <w:sz w:val="28"/>
          <w:szCs w:val="28"/>
          <w:rtl/>
        </w:rPr>
        <w:t xml:space="preserve">و لکنّه لم یرد أنّ تألیف هذه الاصول کان فی جمیع تلک المدّة بل أخبر بأنّها ألّفت بین هذین العصرین، بمعنی أنّه لم یؤلّف شیء من هذه الأصول قبل أیّام أمیر المؤمنین - علیه السلام - و لا بعد عصر العسکری - علیه السلام -، کما أنّه لم یرد حصر جمیع مصنّفات الأصحاب فی هذه الکتب الموسومة بالاصول، کیف و هو أعلم بکتبهم و بأحوال المصنّفین منهم کفضل بن شاذان و ابن أبی عمیر الذین صنّفوا و أکثروا</w:t>
      </w:r>
      <w:r>
        <w:rPr>
          <w:rStyle w:val="FootnoteReference"/>
        </w:rPr>
        <w:footnoteReference w:id="4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الطهرانی اعتمادا علی ما مرّ، ما هذا لفظه: «إذا یسعنا</w:t>
      </w:r>
    </w:p>
    <w:p>
      <w:pPr>
        <w:pStyle w:val="BookText"/>
      </w:pPr>
      <w:r>
        <w:rPr>
          <w:rFonts w:ascii="IRNazanin" w:hAnsi="IRNazanin" w:eastAsia="IRNazanin" w:cs="IRNazanin"/>
          <w:lang w:bidi="fa-IR"/>
          <w:color w:val="111111"/>
          <w:sz w:val="28"/>
          <w:szCs w:val="28"/>
          <w:rtl/>
        </w:rPr>
        <w:t xml:space="preserve">[شماره صفحه واقعی : 483]</w:t>
      </w:r>
    </w:p>
    <w:p>
      <w:pPr>
        <w:pStyle w:val="BookText"/>
      </w:pPr>
      <w:r>
        <w:rPr>
          <w:rFonts w:ascii="IRNazanin" w:hAnsi="IRNazanin" w:eastAsia="IRNazanin" w:cs="IRNazanin"/>
          <w:lang w:bidi="fa-IR"/>
          <w:color w:val="111111"/>
          <w:sz w:val="28"/>
          <w:szCs w:val="28"/>
          <w:rtl/>
        </w:rPr>
        <w:t xml:space="preserve">ص: 1201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485" w:name="pg14419_167917"/>
    <w:bookmarkEnd w:id="485"/>
    <w:p>
      <w:pPr>
        <w:pStyle w:val="BookText"/>
      </w:pPr>
      <w:r>
        <w:rPr>
          <w:rFonts w:ascii="IRNazanin" w:hAnsi="IRNazanin" w:eastAsia="IRNazanin" w:cs="IRNazanin"/>
          <w:lang w:bidi="fa-IR"/>
          <w:color w:val="111111"/>
          <w:sz w:val="28"/>
          <w:szCs w:val="28"/>
          <w:rtl/>
        </w:rPr>
        <w:t xml:space="preserve">دعوی العلم الاجمالی بأنّ تاریخ تألیف جلّ هذه الاصول إلاّ أقلّ قلیل منها کان فی عصر أصحاب الإمام الصادق - علیه السلام - و هو عصر ضعف الدولتین و هو من أواخر ملک بنی أمیّة إلی أوائل أیّام هارون الرشید، أی من سنة 95 عام هلاک حجّاج بن یوسف إلی عام 170 الّذی ولی فیه هارون الرشید»</w:t>
      </w:r>
      <w:r>
        <w:rPr>
          <w:rStyle w:val="FootnoteReference"/>
        </w:rPr>
        <w:footnoteReference w:id="4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لم یکن للاصول ترتیب خاصّ، لأنّ جلّها من إملاءات المجالس و أجوبة المسائل النازلة المختلفة، عمد أصحاب الجوامع إلی نقل روایاتها مرتّبة مبوّبة منقّحة تسهیلا للتناول و الانتفاع. و لأجل ذلک قلّت الرغبات فی استنساخ أعیانها فقلّت نسخها و ضاعت النسخ القدیمة تدریجا و تلفت کثیر منها فی حوادث تاریخیّة کإحراق ما کان منها موجودا فی مکتبة سابور بکرخ عند ورود طغرل بیک إلی بغداد سنة 448، کما ذکره فی «معجم البلدان»</w:t>
      </w:r>
      <w:r>
        <w:rPr>
          <w:rStyle w:val="FootnoteReference"/>
        </w:rPr>
        <w:footnoteReference w:id="4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قسم من تلک الاصول باقیا بالصورة الأوّلیة إلی عهد ابن إدریس الحلّی - المتوفّی عام 598 - و قد استخرج من جملة منها ما جعله مستطرفات السرائر. و حصلت جملة منها عند السید رضی الدّین ابن طاوس کما ذکرها فی «کشف المحجّة». ثمّ تدرّج التلف و قلّت النسخ إلی حدّ لم یبق منها إلا ستّة عشر. و قد وقف علیها استاذنا السیّد محمّد الحجّة الکوه کمری - رضوان اللّه علیه - فقام بطبعها.</w:t>
      </w:r>
    </w:p>
    <w:p>
      <w:pPr>
        <w:pStyle w:val="Heading6"/>
      </w:pPr>
      <w:bookmarkStart w:id="1448" w:name="_Toc888"/>
      <w:r>
        <w:t>الثالث: وجه العنایة بالاصول و مدی دلالتها علی الوثاقة</w:t>
      </w:r>
      <w:bookmarkEnd w:id="1448"/>
    </w:p>
    <w:p>
      <w:pPr>
        <w:pStyle w:val="BookText"/>
      </w:pPr>
      <w:r>
        <w:rPr>
          <w:rFonts w:ascii="IRNazanin" w:hAnsi="IRNazanin" w:eastAsia="IRNazanin" w:cs="IRNazanin"/>
          <w:lang w:bidi="fa-IR"/>
          <w:color w:val="111111"/>
          <w:sz w:val="28"/>
          <w:szCs w:val="28"/>
          <w:rtl/>
        </w:rPr>
        <w:t xml:space="preserve">إنّ من الواضح أنّ احتمال الخطأ و الغلط و السهو و النسیان و غیرها فی الأصل المسموع شفاها عن الإمام أو عمّن سمع منه أقلّ منها فی الکتاب المنقول عن کتاب آخر، لتطرّق احتمالات زائدة فی النقل عن الکتاب فالاطمئنان بصدور عین الألفاظ المندرجة فی الاصول أکثر و الوثوق به آکد.</w:t>
      </w:r>
    </w:p>
    <w:p>
      <w:pPr>
        <w:pStyle w:val="BookText"/>
      </w:pPr>
      <w:r>
        <w:rPr>
          <w:rFonts w:ascii="IRNazanin" w:hAnsi="IRNazanin" w:eastAsia="IRNazanin" w:cs="IRNazanin"/>
          <w:lang w:bidi="fa-IR"/>
          <w:color w:val="111111"/>
          <w:sz w:val="28"/>
          <w:szCs w:val="28"/>
          <w:rtl/>
        </w:rPr>
        <w:t xml:space="preserve">[شماره صفحه واقعی : 484]</w:t>
      </w:r>
    </w:p>
    <w:p>
      <w:pPr>
        <w:pStyle w:val="BookText"/>
      </w:pPr>
      <w:r>
        <w:rPr>
          <w:rFonts w:ascii="IRNazanin" w:hAnsi="IRNazanin" w:eastAsia="IRNazanin" w:cs="IRNazanin"/>
          <w:lang w:bidi="fa-IR"/>
          <w:color w:val="111111"/>
          <w:sz w:val="28"/>
          <w:szCs w:val="28"/>
          <w:rtl/>
        </w:rPr>
        <w:t xml:space="preserve">ص: 1202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کان الأخذ من الاصول المصحّحة المعتمدة أحد أرکان تصحیح الروایة، کما قال المحقّق الداماد</w:t>
      </w:r>
      <w:r>
        <w:rPr>
          <w:rStyle w:val="FootnoteReference"/>
        </w:rPr>
        <w:footnoteReference w:id="4362"/>
      </w:r>
      <w:r>
        <w:rPr>
          <w:rFonts w:ascii="IRNazanin" w:hAnsi="IRNazanin" w:eastAsia="IRNazanin" w:cs="IRNazanin"/>
          <w:lang w:bidi="fa-IR"/>
          <w:color w:val="111111"/>
          <w:sz w:val="28"/>
          <w:szCs w:val="28"/>
          <w:rtl/>
        </w:rPr>
        <w:t xml:space="preserve">و صرّح به المحقّق البهائی فی «مشرق الشمسین» حیث ذکر فیه بعض ما یوجب الوثوق بالحدیث و الرکون إلیه، منها وجوده فی کثیر من الاصول الأربعمائة. و منها تکرّره فی أصل أو أصلین منها فصاعدا بطرق مختلفة و أسانید عدیدة معتبرة و منها وجوده فی أصل معروف الانتساب إلی أحد الجماعة الّذین أجمعوا علی تصدیقهم أو علی تصحیح ما یصحّ عنهم</w:t>
      </w:r>
      <w:r>
        <w:rPr>
          <w:rStyle w:val="FootnoteReference"/>
        </w:rPr>
        <w:footnoteReference w:id="4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المیزة ترشّحت إلی الاصول من قبل المثابرة الأکیدة علی کیفیّة تألیفها و التحفّظ علی ما لا یتحفّظ علیه غیرهم من المؤلّفین غالبا.</w:t>
      </w:r>
    </w:p>
    <w:p>
      <w:pPr>
        <w:pStyle w:val="BookText"/>
      </w:pPr>
      <w:r>
        <w:rPr>
          <w:rFonts w:ascii="IRNazanin" w:hAnsi="IRNazanin" w:eastAsia="IRNazanin" w:cs="IRNazanin"/>
          <w:lang w:bidi="fa-IR"/>
          <w:color w:val="111111"/>
          <w:sz w:val="28"/>
          <w:szCs w:val="28"/>
          <w:rtl/>
        </w:rPr>
        <w:t xml:space="preserve">و یظهر من الشیخ - رحمه اللّه - أنّ الاصول الأربعمائة ممّا أجمع الأصحاب علی صحّتها و علی العمل بها.</w:t>
      </w:r>
    </w:p>
    <w:p>
      <w:pPr>
        <w:pStyle w:val="BookText"/>
      </w:pPr>
      <w:r>
        <w:rPr>
          <w:rFonts w:ascii="IRNazanin" w:hAnsi="IRNazanin" w:eastAsia="IRNazanin" w:cs="IRNazanin"/>
          <w:lang w:bidi="fa-IR"/>
          <w:color w:val="111111"/>
          <w:sz w:val="28"/>
          <w:szCs w:val="28"/>
          <w:rtl/>
        </w:rPr>
        <w:t xml:space="preserve">قال المولی التقی المجلسی: «ذکر الشیخ فی دیباجة الاستبصار أنّ هذه الأخبار المستودعة فی هذه الکتب - أی الکتب الأربعة - مجمع علیها فی النقل. و الظّاهر أنّ مراده أنّهم أخذوها من الاصول الأربعمائة الّتی أجمع الأصحاب علی صحّتها و علی العمل بها»</w:t>
      </w:r>
      <w:r>
        <w:rPr>
          <w:rStyle w:val="FootnoteReference"/>
        </w:rPr>
        <w:footnoteReference w:id="4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الشیخ أیضا فی مبحث التعادل و الترجیح من «العدّة» أنّ روایة السامع مقدّم علی روایة المستجیز، إلاّ أن یروی المستجیز أصلا معروفا أو مصنّفا مشهورا</w:t>
      </w:r>
      <w:r>
        <w:rPr>
          <w:rStyle w:val="FootnoteReference"/>
        </w:rPr>
        <w:footnoteReference w:id="4365"/>
      </w:r>
      <w:r>
        <w:rPr>
          <w:rFonts w:ascii="IRNazanin" w:hAnsi="IRNazanin" w:eastAsia="IRNazanin" w:cs="IRNazanin"/>
          <w:lang w:bidi="fa-IR"/>
          <w:color w:val="111111"/>
          <w:sz w:val="28"/>
          <w:szCs w:val="28"/>
          <w:rtl/>
        </w:rPr>
        <w:t xml:space="preserve">، و دلالة هذه العبارة علی شدّة الاهتمام بالاصول المدوّنة من قبل أصحاب الائمّة - علیهم السلام - ظاهرة.</w:t>
      </w:r>
    </w:p>
    <w:p>
      <w:pPr>
        <w:pStyle w:val="BookText"/>
      </w:pPr>
      <w:r>
        <w:rPr>
          <w:rFonts w:ascii="IRNazanin" w:hAnsi="IRNazanin" w:eastAsia="IRNazanin" w:cs="IRNazanin"/>
          <w:lang w:bidi="fa-IR"/>
          <w:color w:val="111111"/>
          <w:sz w:val="28"/>
          <w:szCs w:val="28"/>
          <w:rtl/>
        </w:rPr>
        <w:t xml:space="preserve">أمّا دلالة کون الرجل ذا تصنیف أو ذا أصل علی وثاقته و مدحه فغیر</w:t>
      </w:r>
    </w:p>
    <w:p>
      <w:pPr>
        <w:pStyle w:val="BookText"/>
      </w:pPr>
      <w:r>
        <w:rPr>
          <w:rFonts w:ascii="IRNazanin" w:hAnsi="IRNazanin" w:eastAsia="IRNazanin" w:cs="IRNazanin"/>
          <w:lang w:bidi="fa-IR"/>
          <w:color w:val="111111"/>
          <w:sz w:val="28"/>
          <w:szCs w:val="28"/>
          <w:rtl/>
        </w:rPr>
        <w:t xml:space="preserve">[شماره صفحه واقعی : 485]</w:t>
      </w:r>
    </w:p>
    <w:p>
      <w:pPr>
        <w:pStyle w:val="BookText"/>
      </w:pPr>
      <w:r>
        <w:rPr>
          <w:rFonts w:ascii="IRNazanin" w:hAnsi="IRNazanin" w:eastAsia="IRNazanin" w:cs="IRNazanin"/>
          <w:lang w:bidi="fa-IR"/>
          <w:color w:val="111111"/>
          <w:sz w:val="28"/>
          <w:szCs w:val="28"/>
          <w:rtl/>
        </w:rPr>
        <w:t xml:space="preserve">ص: 1203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486" w:name="pg14419_167919"/>
    <w:bookmarkEnd w:id="486"/>
    <w:p>
      <w:pPr>
        <w:pStyle w:val="BookText"/>
      </w:pPr>
      <w:r>
        <w:rPr>
          <w:rFonts w:ascii="IRNazanin" w:hAnsi="IRNazanin" w:eastAsia="IRNazanin" w:cs="IRNazanin"/>
          <w:lang w:bidi="fa-IR"/>
          <w:color w:val="111111"/>
          <w:sz w:val="28"/>
          <w:szCs w:val="28"/>
          <w:rtl/>
        </w:rPr>
        <w:t xml:space="preserve">معلوم. لأنّ کثیرا من مصنّفی الاصول مالوا إلی المذاهب الفاسدة کالواقفیة و الفطحیّة، و إن کانت کتبهم معتمدة. و ذلک لأنّ مصطلح الصحیح عند القدماء غیره عند المتأخّرین، و لا یستتبع صحّة حدیث رجل عند القدماء وثاقته عندهم، کما ذکر فی کتب الدرایة.</w:t>
      </w:r>
    </w:p>
    <w:p>
      <w:pPr>
        <w:pStyle w:val="BookText"/>
      </w:pPr>
      <w:r>
        <w:rPr>
          <w:rFonts w:ascii="IRNazanin" w:hAnsi="IRNazanin" w:eastAsia="IRNazanin" w:cs="IRNazanin"/>
          <w:lang w:bidi="fa-IR"/>
          <w:color w:val="111111"/>
          <w:sz w:val="28"/>
          <w:szCs w:val="28"/>
          <w:rtl/>
        </w:rPr>
        <w:t xml:space="preserve">قال الوحید فی فوائده: «ثمّ اعلم أنّه عند خالی، بل و جدّی أیضا، علی ما هو ببالی أنّ کون الرجل ذا أصل من أسباب الحسن. و عندی فیه تأمّل لأنّ کثیرا من مصنّفی أصحابنا و أصحاب الاصول کانوا ینتحلون المذاهب الفاسدة و إن کانت کتبهم معتمدة و أضعف من ذلک کون الرجل ذا کتاب من أسباب الحسن. و لکنّ الظاهر أنّ کون الرجل صاحب أصل یفید حسنا لا الحسن الاصطلاحی. و کذا کونه کثیر التّصنیف و کذا جیّد التصنیف و أمثال ذلک. بل و کونه ذا کتاب أیضا یشیر إلی حسن ما. و لعلّ ذلک مرادهم ممّا ذکروا»</w:t>
      </w:r>
      <w:r>
        <w:rPr>
          <w:rStyle w:val="FootnoteReference"/>
        </w:rPr>
        <w:footnoteReference w:id="4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ذکره المحقّق الطهرانی فی ذریعته من أنّ قول أئمّة الرجال فی ترجمة أحدهم أنّ له أصلا یعدّ من ألفاظ المدح</w:t>
      </w:r>
      <w:r>
        <w:rPr>
          <w:rStyle w:val="FootnoteReference"/>
        </w:rPr>
        <w:footnoteReference w:id="4367"/>
      </w:r>
      <w:r>
        <w:rPr>
          <w:rFonts w:ascii="IRNazanin" w:hAnsi="IRNazanin" w:eastAsia="IRNazanin" w:cs="IRNazanin"/>
          <w:lang w:bidi="fa-IR"/>
          <w:color w:val="111111"/>
          <w:sz w:val="28"/>
          <w:szCs w:val="28"/>
          <w:rtl/>
        </w:rPr>
        <w:t xml:space="preserve">، یجب حمله علی ما أفاده الوحید بمعنی أنّه یکشف عن وجود مزایا شخصیّة فیه من الضبط و الحفظ و التحرّز عن بواعث النسیان و الاشتباه و التحفّظ عن موجبات الغلط و السهو، لا بمعنی وثاقته و عدالته و صحّة مذهبه.</w:t>
      </w:r>
    </w:p>
    <w:p>
      <w:pPr>
        <w:pStyle w:val="BookText"/>
      </w:pPr>
      <w:r>
        <w:rPr>
          <w:rFonts w:ascii="IRNazanin" w:hAnsi="IRNazanin" w:eastAsia="IRNazanin" w:cs="IRNazanin"/>
          <w:lang w:bidi="fa-IR"/>
          <w:color w:val="111111"/>
          <w:sz w:val="28"/>
          <w:szCs w:val="28"/>
          <w:rtl/>
        </w:rPr>
        <w:t xml:space="preserve">هذا تمام الکلام فی معرفة الأصل و التّصنیف و النوادر.</w:t>
      </w:r>
    </w:p>
    <w:p>
      <w:pPr>
        <w:pStyle w:val="Heading5"/>
      </w:pPr>
      <w:bookmarkStart w:id="1449" w:name="_Toc889"/>
      <w:r>
        <w:t>الفائدة الرابعة عشر</w:t>
      </w:r>
      <w:bookmarkEnd w:id="1449"/>
    </w:p>
    <w:p>
      <w:pPr>
        <w:pStyle w:val="Heading6"/>
      </w:pPr>
      <w:bookmarkStart w:id="1450" w:name="_Toc890"/>
      <w:r>
        <w:t>اشارة</w:t>
      </w:r>
      <w:bookmarkEnd w:id="1450"/>
    </w:p>
    <w:p>
      <w:pPr>
        <w:pStyle w:val="BookText"/>
      </w:pPr>
      <w:r>
        <w:rPr>
          <w:rFonts w:ascii="IRNazanin" w:hAnsi="IRNazanin" w:eastAsia="IRNazanin" w:cs="IRNazanin"/>
          <w:lang w:bidi="fa-IR"/>
          <w:color w:val="111111"/>
          <w:sz w:val="28"/>
          <w:szCs w:val="28"/>
          <w:rtl/>
        </w:rPr>
        <w:t xml:space="preserve">قد وقفت علی دلائل الحاجة إلی علم الرجال فی التمسک بالروایات المرویة عن النبی و عترته الطاهرة - علیهم السلام - الواردة فی کتب أصحابنا</w:t>
      </w:r>
    </w:p>
    <w:p>
      <w:pPr>
        <w:pStyle w:val="BookText"/>
      </w:pPr>
      <w:r>
        <w:rPr>
          <w:rFonts w:ascii="IRNazanin" w:hAnsi="IRNazanin" w:eastAsia="IRNazanin" w:cs="IRNazanin"/>
          <w:lang w:bidi="fa-IR"/>
          <w:color w:val="111111"/>
          <w:sz w:val="28"/>
          <w:szCs w:val="28"/>
          <w:rtl/>
        </w:rPr>
        <w:t xml:space="preserve">[شماره صفحه واقعی : 486]</w:t>
      </w:r>
    </w:p>
    <w:p>
      <w:pPr>
        <w:pStyle w:val="BookText"/>
      </w:pPr>
      <w:r>
        <w:rPr>
          <w:rFonts w:ascii="IRNazanin" w:hAnsi="IRNazanin" w:eastAsia="IRNazanin" w:cs="IRNazanin"/>
          <w:lang w:bidi="fa-IR"/>
          <w:color w:val="111111"/>
          <w:sz w:val="28"/>
          <w:szCs w:val="28"/>
          <w:rtl/>
        </w:rPr>
        <w:t xml:space="preserve">ص: 1204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الامامیة و عرفت المصادر الّتی یجب الرجوع إلیها فی تمییز الثقات عن الضعاف.</w:t>
      </w:r>
    </w:p>
    <w:p>
      <w:pPr>
        <w:pStyle w:val="BookText"/>
      </w:pPr>
      <w:r>
        <w:rPr>
          <w:rFonts w:ascii="IRNazanin" w:hAnsi="IRNazanin" w:eastAsia="IRNazanin" w:cs="IRNazanin"/>
          <w:lang w:bidi="fa-IR"/>
          <w:color w:val="111111"/>
          <w:sz w:val="28"/>
          <w:szCs w:val="28"/>
          <w:rtl/>
        </w:rPr>
        <w:t xml:space="preserve">و أمّا ما یرویه أهل السنّة عن النبی الأکرم أو الصحابة و التابعین لهم باحسان فالحاجة إلی علم الرجال فیه أشدّ و ألزم و ذلک بوجوه:</w:t>
      </w:r>
    </w:p>
    <w:p>
      <w:pPr>
        <w:pStyle w:val="BookText"/>
      </w:pPr>
      <w:r>
        <w:rPr>
          <w:rFonts w:ascii="IRNazanin" w:hAnsi="IRNazanin" w:eastAsia="IRNazanin" w:cs="IRNazanin"/>
          <w:lang w:bidi="fa-IR"/>
          <w:color w:val="111111"/>
          <w:sz w:val="28"/>
          <w:szCs w:val="28"/>
          <w:rtl/>
        </w:rPr>
        <w:t xml:space="preserve">الأوّل: إنّ الغایات السیاسیّة غلبت علی الأهداف الدینیّة فمنعت الخلفاء من کتابة حدیث الرسول و تدوینه بعد لحوقه بالرفیق الأعلی. و دام هذا النهی قرابة قرن من الزمن إلی أن آل الأمر إلی الخلیفة الأموی عمر بن عبد العزیز (99-101) فأحسّ بضرورة کتابة الحدیث، فکتب إلی أبی بکر بن حزم فی المدینة: «انظر ما کان من حدیث رسول اللّه فاکتبه فانّی خفت دروس العلم و ذهاب العلماء و لا تقبل إلاّ أحادیث النّبی، و لتفشوا العلم، و لتجلسوا حتّی یعلم من لا یعلم فإنّ العلم لا یهلک حتی یکون سرّا»</w:t>
      </w:r>
      <w:r>
        <w:rPr>
          <w:rStyle w:val="FootnoteReference"/>
        </w:rPr>
        <w:footnoteReference w:id="4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هذا الاصرار المؤکّد من الخلیفة لم تکتب إلاّ صحائف غیر منتظمة و لا مرتّبة، إلی أن زالت دولة الامویین، و قامت دولة العبّاسیین، و أخذ أبو جعفر المنصور بمقالید الحکم، فقام المحدّثون فی سنة 143 هجریة بتدوین الحدیث</w:t>
      </w:r>
      <w:r>
        <w:rPr>
          <w:rStyle w:val="FootnoteReference"/>
        </w:rPr>
        <w:footnoteReference w:id="4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للحیلولة من کتابة الحدیث آثار سلبیّة جدّا، لأنّ الفراغ الّذی خلفه المنع أوجد أرضیّة مناسبة لظهور الدجّالین و الأبالسة من الأحبار و الرّهبان من کهنة الیهود و النصاری، فافتعلوا أحادیث کثیرة نسبوها إلی الأنبیاء عامّة، و إلی لسان النّبی الأکرم خاصّة. و هذه الأحادیث هی المرویّات الموسومة بالاسرائیلیّات و المسیحیّات بل المجوسیّات. و قد شغلت بال المحدّثین قرونا و أجیالا، و هی مبثوثة فی کتب التفسیر و الحدیث و التاریخ، بل هی حلقات بلاء</w:t>
      </w:r>
    </w:p>
    <w:p>
      <w:pPr>
        <w:pStyle w:val="BookText"/>
      </w:pPr>
      <w:r>
        <w:rPr>
          <w:rFonts w:ascii="IRNazanin" w:hAnsi="IRNazanin" w:eastAsia="IRNazanin" w:cs="IRNazanin"/>
          <w:lang w:bidi="fa-IR"/>
          <w:color w:val="111111"/>
          <w:sz w:val="28"/>
          <w:szCs w:val="28"/>
          <w:rtl/>
        </w:rPr>
        <w:t xml:space="preserve">[شماره صفحه واقعی : 487]</w:t>
      </w:r>
    </w:p>
    <w:p>
      <w:pPr>
        <w:pStyle w:val="BookText"/>
      </w:pPr>
      <w:r>
        <w:rPr>
          <w:rFonts w:ascii="IRNazanin" w:hAnsi="IRNazanin" w:eastAsia="IRNazanin" w:cs="IRNazanin"/>
          <w:lang w:bidi="fa-IR"/>
          <w:color w:val="111111"/>
          <w:sz w:val="28"/>
          <w:szCs w:val="28"/>
          <w:rtl/>
        </w:rPr>
        <w:t xml:space="preserve">ص: 1205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حاقت بالمسلمین. و أرجو من اللّه سبحانه أن یقیّض امّة ساعیة فی هذا المجال لافراز هذه المرویّات عن النصوص الصحیحة الاسلامیة، و قد بحثنا عن الآثار السلبیة لمنع تدوین الحدیث فی أبحاثنا حول الملل و النحل</w:t>
      </w:r>
      <w:r>
        <w:rPr>
          <w:rStyle w:val="FootnoteReference"/>
        </w:rPr>
        <w:footnoteReference w:id="4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إنّ وضع الحدیث و الکذب علی النّبی الأعظم و علی الثقات من صحابته و التابعین لهم باحسان کان شعار الصالحین و عمل الزاهدین، یتقرّبون به إلی اللّه سبحانه، و لا یرون الوضع و الاختلاق منافیا للزهد و الورع. کلّ ذلک لأهداف دینیّة من دعم مبدأ أو تعظیم إمام أو تأیید مذهب.</w:t>
      </w:r>
    </w:p>
    <w:p>
      <w:pPr>
        <w:pStyle w:val="BookText"/>
      </w:pPr>
      <w:r>
        <w:rPr>
          <w:rFonts w:ascii="IRNazanin" w:hAnsi="IRNazanin" w:eastAsia="IRNazanin" w:cs="IRNazanin"/>
          <w:lang w:bidi="fa-IR"/>
          <w:color w:val="111111"/>
          <w:sz w:val="28"/>
          <w:szCs w:val="28"/>
          <w:rtl/>
        </w:rPr>
        <w:t xml:space="preserve">روی الخطیب عن الرجالی المعروف یحیی بن سعید القطّان قوله: «ما رأیت الصّالحین فی شیء أکذب منهم فی الحدیث»</w:t>
      </w:r>
      <w:r>
        <w:rPr>
          <w:rStyle w:val="FootnoteReference"/>
        </w:rPr>
        <w:footnoteReference w:id="4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السیوطی عنه أیضا قوله: «ما رأیت الکذب فی أحد أکثر منه فیمن ینسب إلی الخیر و الزهد»</w:t>
      </w:r>
      <w:r>
        <w:rPr>
          <w:rStyle w:val="FootnoteReference"/>
        </w:rPr>
        <w:footnoteReference w:id="4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أراد أن یقف علی کیفیّة عمل الوضّاعین و مقاصدهم و نماذج من الأحادیث الموضوعة فلیرجع إلی الکتابین التالیین:</w:t>
      </w:r>
    </w:p>
    <w:p>
      <w:pPr>
        <w:pStyle w:val="BookText"/>
      </w:pPr>
      <w:r>
        <w:rPr>
          <w:rFonts w:ascii="IRNazanin" w:hAnsi="IRNazanin" w:eastAsia="IRNazanin" w:cs="IRNazanin"/>
          <w:lang w:bidi="fa-IR"/>
          <w:color w:val="111111"/>
          <w:sz w:val="28"/>
          <w:szCs w:val="28"/>
          <w:rtl/>
        </w:rPr>
        <w:t xml:space="preserve">1 - «الموضوعات الکبری» فی أربعة اجزاء، للشیخ أبی الفرج عبد الرحمن بن علی المعروف بابن الجوزی البغدادی (المتوفّی عام 597 ه). و قد ذکر فیه المؤلّف الأحادیث الموضوعة، و أراد الاستقصاء و لم یوفّق له، لأنّه عمل کبیر لا یقوم به إلاّ اللّجان التحقیقیة.</w:t>
      </w:r>
    </w:p>
    <w:p>
      <w:pPr>
        <w:pStyle w:val="BookText"/>
      </w:pPr>
      <w:r>
        <w:rPr>
          <w:rFonts w:ascii="IRNazanin" w:hAnsi="IRNazanin" w:eastAsia="IRNazanin" w:cs="IRNazanin"/>
          <w:lang w:bidi="fa-IR"/>
          <w:color w:val="111111"/>
          <w:sz w:val="28"/>
          <w:szCs w:val="28"/>
          <w:rtl/>
        </w:rPr>
        <w:t xml:space="preserve">2 - «اللئالی المصنوعة فی الأحادیث الموضوعة» لجلال الدین السیوطی (المتوفّی عام 911) إلی غیر ذلک من الکتب المؤلّفة فی هذا المضمار.</w:t>
      </w:r>
    </w:p>
    <w:p>
      <w:pPr>
        <w:pStyle w:val="BookText"/>
      </w:pPr>
      <w:r>
        <w:rPr>
          <w:rFonts w:ascii="IRNazanin" w:hAnsi="IRNazanin" w:eastAsia="IRNazanin" w:cs="IRNazanin"/>
          <w:lang w:bidi="fa-IR"/>
          <w:color w:val="111111"/>
          <w:sz w:val="28"/>
          <w:szCs w:val="28"/>
          <w:rtl/>
        </w:rPr>
        <w:t xml:space="preserve">[شماره صفحه واقعی : 488]</w:t>
      </w:r>
    </w:p>
    <w:p>
      <w:pPr>
        <w:pStyle w:val="BookText"/>
      </w:pPr>
      <w:r>
        <w:rPr>
          <w:rFonts w:ascii="IRNazanin" w:hAnsi="IRNazanin" w:eastAsia="IRNazanin" w:cs="IRNazanin"/>
          <w:lang w:bidi="fa-IR"/>
          <w:color w:val="111111"/>
          <w:sz w:val="28"/>
          <w:szCs w:val="28"/>
          <w:rtl/>
        </w:rPr>
        <w:t xml:space="preserve">ص: 1206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إنّ السلطة الامویة کانت تدعم وضع الحدیث بشدّة و حماس لما فی تلک الأحادیث المزورة من تحکیم عرش الخلافة و ثباته، خصوصا إذا کان الوضع فی مجال المناقب و الفضائل للخلفاء و بالأخصّ للامویین منهم.</w:t>
      </w:r>
    </w:p>
    <w:p>
      <w:pPr>
        <w:pStyle w:val="BookText"/>
      </w:pPr>
      <w:r>
        <w:rPr>
          <w:rFonts w:ascii="IRNazanin" w:hAnsi="IRNazanin" w:eastAsia="IRNazanin" w:cs="IRNazanin"/>
          <w:lang w:bidi="fa-IR"/>
          <w:color w:val="111111"/>
          <w:sz w:val="28"/>
          <w:szCs w:val="28"/>
          <w:rtl/>
        </w:rPr>
        <w:t xml:space="preserve">و هذا معاویة - ابن هند آکلة الأکباد - کتب إلی عمّاله فی الآفاق: «لا تجیزوا لأحد من شیعة علیّ و أهل بیته شهادة. و انظروا من قبلکم من شیعة عثمان و محبّیه و أهل ولایته، و الّذین یروون فضائله و مناقبه فأدنوا مجالسهم و قرّبوهم و أکرموهم و اکتبوا إلیّ بکلّ ما یروی کلّ رجل منهم، و اسمه و اسم أبیه و عشیرته».</w:t>
      </w:r>
    </w:p>
    <w:p>
      <w:pPr>
        <w:pStyle w:val="BookText"/>
      </w:pPr>
      <w:r>
        <w:rPr>
          <w:rFonts w:ascii="IRNazanin" w:hAnsi="IRNazanin" w:eastAsia="IRNazanin" w:cs="IRNazanin"/>
          <w:lang w:bidi="fa-IR"/>
          <w:color w:val="111111"/>
          <w:sz w:val="28"/>
          <w:szCs w:val="28"/>
          <w:rtl/>
        </w:rPr>
        <w:t xml:space="preserve">و قد کان لهذا المنشور أثر بارز فی إکثار الفضائل لعثمان، و خلقها له، لما کان یبعثه معاویة إلیهم من الصّلات و الکساء و الحباء و یفیضه فی العرب منهم و الموالی. فکثر ذلک فی کلّ مصر و تنافسوا فی المنازل و الدنیا، فلیس یجیء أحد مردود من الناس، عاملا من عمّال معاویة و یروی فی عثمان فضیلة أو منقبة إلاّ کتب اسمه، و قرّبه و شفّعه فلبثوا بذلک حینا.</w:t>
      </w:r>
    </w:p>
    <w:p>
      <w:pPr>
        <w:pStyle w:val="BookText"/>
      </w:pPr>
      <w:r>
        <w:rPr>
          <w:rFonts w:ascii="IRNazanin" w:hAnsi="IRNazanin" w:eastAsia="IRNazanin" w:cs="IRNazanin"/>
          <w:lang w:bidi="fa-IR"/>
          <w:color w:val="111111"/>
          <w:sz w:val="28"/>
          <w:szCs w:val="28"/>
          <w:rtl/>
        </w:rPr>
        <w:t xml:space="preserve">ثمّ کتب معاویة إلی عمّاله: «إنّ الحدیث فی عثمان قد کثر و فشا فی کلّ مصر و فی کلّ وجه و ناحیة، فإذا جاءکم کتابی هذا فادعوا الناس إلی الروایة فی فضائل الصّحابة و الخلفاء الأوّلین و لا تترکوا خبرا یرویه أحد من المسلمین فی أبی تراب إلاّ و تأتونی بمناقض له فی الصّحابة، فإنّ هذا احبّ إلیّ و أقرّ لعینی، و أدحض لحجّة أبی تراب و شیعته و أشدّ إلیهم من مناقب عثمان و فضله».</w:t>
      </w:r>
    </w:p>
    <w:p>
      <w:pPr>
        <w:pStyle w:val="BookText"/>
      </w:pPr>
      <w:r>
        <w:rPr>
          <w:rFonts w:ascii="IRNazanin" w:hAnsi="IRNazanin" w:eastAsia="IRNazanin" w:cs="IRNazanin"/>
          <w:lang w:bidi="fa-IR"/>
          <w:color w:val="111111"/>
          <w:sz w:val="28"/>
          <w:szCs w:val="28"/>
          <w:rtl/>
        </w:rPr>
        <w:t xml:space="preserve">و قد قرء هذا المنشور علی النّاس، فرویت أخبار کثیرة فی مناقب الصّحابة مفتعلة لا حقیقة لها، وجدّ الناس فی روایة ما یجری هذا المجری حتّی أشادوا بذکر ذلک علی المنابر، و القی إلی معلّمی الکتاتیب فعلّموا صبیانهم و غلمانهم من ذلک الکثیر الواسع حتّی رووه و تعلّموه کما یتعلّمون القرآن و حتّی علّموه بناتهم و نساءهم و خدمهم و حشمهم فلبثوا بذلک ما شاء</w:t>
      </w:r>
    </w:p>
    <w:p>
      <w:pPr>
        <w:pStyle w:val="BookText"/>
      </w:pPr>
      <w:r>
        <w:rPr>
          <w:rFonts w:ascii="IRNazanin" w:hAnsi="IRNazanin" w:eastAsia="IRNazanin" w:cs="IRNazanin"/>
          <w:lang w:bidi="fa-IR"/>
          <w:color w:val="111111"/>
          <w:sz w:val="28"/>
          <w:szCs w:val="28"/>
          <w:rtl/>
        </w:rPr>
        <w:t xml:space="preserve">[شماره صفحه واقعی : 489]</w:t>
      </w:r>
    </w:p>
    <w:p>
      <w:pPr>
        <w:pStyle w:val="BookText"/>
      </w:pPr>
      <w:r>
        <w:rPr>
          <w:rFonts w:ascii="IRNazanin" w:hAnsi="IRNazanin" w:eastAsia="IRNazanin" w:cs="IRNazanin"/>
          <w:lang w:bidi="fa-IR"/>
          <w:color w:val="111111"/>
          <w:sz w:val="28"/>
          <w:szCs w:val="28"/>
          <w:rtl/>
        </w:rPr>
        <w:t xml:space="preserve">ص: 1207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487" w:name="pg14419_167923"/>
    <w:bookmarkEnd w:id="487"/>
    <w:p>
      <w:pPr>
        <w:pStyle w:val="BookText"/>
      </w:pPr>
      <w:r>
        <w:rPr>
          <w:rFonts w:ascii="Amiri" w:hAnsi="Amiri" w:eastAsia="Amiri" w:cs="Amiri"/>
          <w:lang w:bidi="ar-SA"/>
          <w:color w:val="111111"/>
          <w:sz w:val="28"/>
          <w:szCs w:val="28"/>
          <w:rtl/>
        </w:rPr>
        <w:t xml:space="preserve">اللّه</w:t>
      </w:r>
      <w:r>
        <w:rPr>
          <w:rStyle w:val="FootnoteReference"/>
        </w:rPr>
        <w:footnoteReference w:id="4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یعرب عن أنّ الأهواء الشخصیّة، و الأغراض المذهبیة، کان لها أثر بعید فی وضع الحدیث علی رسول اللّه - صلی اللّه علیه و آله - لکی یؤیّد کلّ فریق رأیه و یحقّ ما یراه حقا.</w:t>
      </w:r>
    </w:p>
    <w:p>
      <w:pPr>
        <w:pStyle w:val="Heading6"/>
      </w:pPr>
      <w:bookmarkStart w:id="1451" w:name="_Toc891"/>
      <w:r>
        <w:t>علم الرجال و الاحادیث غیر الفقهیة</w:t>
      </w:r>
      <w:bookmarkEnd w:id="1451"/>
    </w:p>
    <w:p>
      <w:pPr>
        <w:pStyle w:val="BookText"/>
      </w:pPr>
      <w:r>
        <w:rPr>
          <w:rFonts w:ascii="IRNazanin" w:hAnsi="IRNazanin" w:eastAsia="IRNazanin" w:cs="IRNazanin"/>
          <w:lang w:bidi="fa-IR"/>
          <w:color w:val="111111"/>
          <w:sz w:val="28"/>
          <w:szCs w:val="28"/>
          <w:rtl/>
        </w:rPr>
        <w:t xml:space="preserve">إنّ الرجوع إلی علم الرجال لا یختصّ بمورد الروایات الفقهیة فکما أنّ الفقیه لا منتدح له عن الرجوع إلی ذلک العلم لیمیّز الصحیح عن الساقط، فهکذا المحدّث و المؤرّخ الاسلامیان یجب علیهما الرجوع إلی علم الرجال فی القضایا التاریخیّة و الحوادث المؤلمة أو المسرّة. فان ید الجعل و الوضع قد لعبت تحت الستار فی مجال التاریخ و المناقب أکثر منها فی مجال الروایات الفقهیة. و من حسن الحظّ أنّ قسما کبیرا من التواریخ المؤلّفة فی العصور الاولی مسندة لا مرسلة، کتاریخ الطبری لابن جریر و تفسیره، فقد ذکر أسناد ما یرویه فی کلا المجالین. و بذلک یقدر الانسان علی تمییز الصّحیح عن الزائف، و مثله طبقات ابن سعد (المتوفّی عام 209) و غیر ذلک من الکتب المؤلّفة فی تلک العصور مسندة.</w:t>
      </w:r>
    </w:p>
    <w:p>
      <w:pPr>
        <w:pStyle w:val="BookText"/>
      </w:pPr>
      <w:r>
        <w:rPr>
          <w:rFonts w:ascii="IRNazanin" w:hAnsi="IRNazanin" w:eastAsia="IRNazanin" w:cs="IRNazanin"/>
          <w:lang w:bidi="fa-IR"/>
          <w:color w:val="111111"/>
          <w:sz w:val="28"/>
          <w:szCs w:val="28"/>
          <w:rtl/>
        </w:rPr>
        <w:t xml:space="preserve">و لأجل إیقاف القاریء علی عدّة من الکتب الرجالیّة لأهل السنّة نأتی بأسماء المهمّ منها و لا غنی للباحث عن الرجوع إلی تلک الکتب الثمینة:</w:t>
      </w:r>
    </w:p>
    <w:p>
      <w:pPr>
        <w:pStyle w:val="BookText"/>
      </w:pPr>
      <w:r>
        <w:rPr>
          <w:rFonts w:ascii="IRNazanin" w:hAnsi="IRNazanin" w:eastAsia="IRNazanin" w:cs="IRNazanin"/>
          <w:lang w:bidi="fa-IR"/>
          <w:color w:val="111111"/>
          <w:sz w:val="28"/>
          <w:szCs w:val="28"/>
          <w:rtl/>
        </w:rPr>
        <w:t xml:space="preserve">1 - «الجرح و التعدیل»: تألیف الحافظ عبد الرحمن بن أبی حاتم الرازی (المولود عام 240 و المتوفّی عام 327) و طبع الکتاب فی تسعة أجزاء یحتوی علی ترجمة ما یقرب من عشرین ألف شخص.</w:t>
      </w:r>
    </w:p>
    <w:p>
      <w:pPr>
        <w:pStyle w:val="BookText"/>
      </w:pPr>
      <w:r>
        <w:rPr>
          <w:rFonts w:ascii="IRNazanin" w:hAnsi="IRNazanin" w:eastAsia="IRNazanin" w:cs="IRNazanin"/>
          <w:lang w:bidi="fa-IR"/>
          <w:color w:val="111111"/>
          <w:sz w:val="28"/>
          <w:szCs w:val="28"/>
          <w:rtl/>
        </w:rPr>
        <w:t xml:space="preserve">[شماره صفحه واقعی : 490]</w:t>
      </w:r>
    </w:p>
    <w:p>
      <w:pPr>
        <w:pStyle w:val="BookText"/>
      </w:pPr>
      <w:r>
        <w:rPr>
          <w:rFonts w:ascii="IRNazanin" w:hAnsi="IRNazanin" w:eastAsia="IRNazanin" w:cs="IRNazanin"/>
          <w:lang w:bidi="fa-IR"/>
          <w:color w:val="111111"/>
          <w:sz w:val="28"/>
          <w:szCs w:val="28"/>
          <w:rtl/>
        </w:rPr>
        <w:t xml:space="preserve">ص: 1208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«میزان الاعتدال فی نقد الرجال»: تألیف أبی عبد اللّه محمّد بن أحمد الذهبی (المتوفّی عام 748 ه).</w:t>
      </w:r>
    </w:p>
    <w:p>
      <w:pPr>
        <w:pStyle w:val="BookText"/>
      </w:pPr>
      <w:r>
        <w:rPr>
          <w:rFonts w:ascii="IRNazanin" w:hAnsi="IRNazanin" w:eastAsia="IRNazanin" w:cs="IRNazanin"/>
          <w:lang w:bidi="fa-IR"/>
          <w:color w:val="111111"/>
          <w:sz w:val="28"/>
          <w:szCs w:val="28"/>
          <w:rtl/>
        </w:rPr>
        <w:t xml:space="preserve">قال السیوطی: «و الذی أقوله: إنّ المحدّثین عیال الآن فی الرجال و غیرها من فنون الحدیث علی أربعة: المزی، و الذهبی، و العراقی، و ابن حجر»</w:t>
      </w:r>
      <w:r>
        <w:rPr>
          <w:rStyle w:val="FootnoteReference"/>
        </w:rPr>
        <w:footnoteReference w:id="4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«تهذیب التهذیب»: تألیف الحافظ أحمد بن علیّ بن حجر العسقلانی (المولود عام 773، و المتوفّی عام 852) صاحب التآلیف الکثیرة منها «الاصابة» و «الدرر الکامنة فی أعیان المائة الثامنة» و غیرهما.</w:t>
      </w:r>
    </w:p>
    <w:p>
      <w:pPr>
        <w:pStyle w:val="BookText"/>
      </w:pPr>
      <w:r>
        <w:rPr>
          <w:rFonts w:ascii="IRNazanin" w:hAnsi="IRNazanin" w:eastAsia="IRNazanin" w:cs="IRNazanin"/>
          <w:lang w:bidi="fa-IR"/>
          <w:color w:val="111111"/>
          <w:sz w:val="28"/>
          <w:szCs w:val="28"/>
          <w:rtl/>
        </w:rPr>
        <w:t xml:space="preserve">و الأصل فی هذا الکتاب هو «الکمال فی أسماء الرجال»</w:t>
      </w:r>
      <w:r>
        <w:rPr>
          <w:rStyle w:val="FootnoteReference"/>
        </w:rPr>
        <w:footnoteReference w:id="4375"/>
      </w:r>
      <w:r>
        <w:rPr>
          <w:rFonts w:ascii="IRNazanin" w:hAnsi="IRNazanin" w:eastAsia="IRNazanin" w:cs="IRNazanin"/>
          <w:lang w:bidi="fa-IR"/>
          <w:color w:val="111111"/>
          <w:sz w:val="28"/>
          <w:szCs w:val="28"/>
          <w:rtl/>
        </w:rPr>
        <w:t xml:space="preserve">تألیف الحافظ أبی محمّد عبد الغنی بن عبد الواحد بن سرور المقدّسی الحنبلی (المتوفّی سنة 600).</w:t>
      </w:r>
    </w:p>
    <w:p>
      <w:pPr>
        <w:pStyle w:val="BookText"/>
      </w:pPr>
      <w:r>
        <w:rPr>
          <w:rFonts w:ascii="IRNazanin" w:hAnsi="IRNazanin" w:eastAsia="IRNazanin" w:cs="IRNazanin"/>
          <w:lang w:bidi="fa-IR"/>
          <w:color w:val="111111"/>
          <w:sz w:val="28"/>
          <w:szCs w:val="28"/>
          <w:rtl/>
        </w:rPr>
        <w:t xml:space="preserve">و هذّبه الحافظ جمال الدین یوسف بن الزکی المزی (المتوفّی سنة 724) و أسماه «تهذیب الکمال فی أسماء الرجال».</w:t>
      </w:r>
    </w:p>
    <w:p>
      <w:pPr>
        <w:pStyle w:val="BookText"/>
      </w:pPr>
      <w:r>
        <w:rPr>
          <w:rFonts w:ascii="IRNazanin" w:hAnsi="IRNazanin" w:eastAsia="IRNazanin" w:cs="IRNazanin"/>
          <w:lang w:bidi="fa-IR"/>
          <w:color w:val="111111"/>
          <w:sz w:val="28"/>
          <w:szCs w:val="28"/>
          <w:rtl/>
        </w:rPr>
        <w:t xml:space="preserve">و قام ابن حجر بتلخیص التهذیب و أسماه «تهذیب التهذیب» و اقتصر فیه علی الجرح و التعدیل و حذف ما طال به الکتاب من الأحادیث. طبع فی 12 جزءا فی حیدر آباد کن من بلاد الهند عام 1325.</w:t>
      </w:r>
    </w:p>
    <w:p>
      <w:pPr>
        <w:pStyle w:val="BookText"/>
      </w:pPr>
      <w:r>
        <w:rPr>
          <w:rFonts w:ascii="IRNazanin" w:hAnsi="IRNazanin" w:eastAsia="IRNazanin" w:cs="IRNazanin"/>
          <w:lang w:bidi="fa-IR"/>
          <w:color w:val="111111"/>
          <w:sz w:val="28"/>
          <w:szCs w:val="28"/>
          <w:rtl/>
        </w:rPr>
        <w:t xml:space="preserve">4 - «لسان المیزان»: تألیف الحافظ بن حجر العسقلانی و هو اختصار لکتاب «میزان الاعتدال» للذهبی و قد ذکر فی مقدّمة الکتاب کیفیّة العمل الّذی قام به فی طریق اختصاره. طبع الکتاب فی سبعة أجزاء فی حیدر آباد دکن من بلاد الهند و اعید طبعه کسابقه فی بیروت بالافست.</w:t>
      </w:r>
    </w:p>
    <w:p>
      <w:pPr>
        <w:pStyle w:val="BookText"/>
      </w:pPr>
      <w:r>
        <w:rPr>
          <w:rFonts w:ascii="IRNazanin" w:hAnsi="IRNazanin" w:eastAsia="IRNazanin" w:cs="IRNazanin"/>
          <w:lang w:bidi="fa-IR"/>
          <w:color w:val="111111"/>
          <w:sz w:val="28"/>
          <w:szCs w:val="28"/>
          <w:rtl/>
        </w:rPr>
        <w:t xml:space="preserve">[شماره صفحه واقعی : 491]</w:t>
      </w:r>
    </w:p>
    <w:p>
      <w:pPr>
        <w:pStyle w:val="BookText"/>
      </w:pPr>
      <w:r>
        <w:rPr>
          <w:rFonts w:ascii="IRNazanin" w:hAnsi="IRNazanin" w:eastAsia="IRNazanin" w:cs="IRNazanin"/>
          <w:lang w:bidi="fa-IR"/>
          <w:color w:val="111111"/>
          <w:sz w:val="28"/>
          <w:szCs w:val="28"/>
          <w:rtl/>
        </w:rPr>
        <w:t xml:space="preserve">ص: 1209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488" w:name="pg14419_167925"/>
    <w:bookmarkEnd w:id="488"/>
    <w:p>
      <w:pPr>
        <w:pStyle w:val="BookText"/>
      </w:pPr>
      <w:r>
        <w:rPr>
          <w:rFonts w:ascii="IRNazanin" w:hAnsi="IRNazanin" w:eastAsia="IRNazanin" w:cs="IRNazanin"/>
          <w:lang w:bidi="fa-IR"/>
          <w:color w:val="111111"/>
          <w:sz w:val="28"/>
          <w:szCs w:val="28"/>
          <w:rtl/>
        </w:rPr>
        <w:t xml:space="preserve">و هذه الکتب الأربعة هی مصادر علم الرجال عند أهل السنّة، فیجب علی کلّ عالم اسلامی الالمام بها و الاستعانة بها فی تمییز الأحادیث و المرویّات المزوّرة و المختلفة فی طول الأجیال الماضیة، عن الصحاح الثابتة.</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 ابراهیم: 27.</w:t>
      </w:r>
    </w:p>
    <w:p>
      <w:pPr>
        <w:pStyle w:val="Heading6"/>
      </w:pPr>
      <w:bookmarkStart w:id="1452" w:name="_Toc892"/>
      <w:r>
        <w:t>الکتب المؤلفة فی حیاة الصحابة</w:t>
      </w:r>
      <w:bookmarkEnd w:id="1452"/>
    </w:p>
    <w:p>
      <w:pPr>
        <w:pStyle w:val="BookText"/>
      </w:pPr>
      <w:r>
        <w:rPr>
          <w:rFonts w:ascii="IRNazanin" w:hAnsi="IRNazanin" w:eastAsia="IRNazanin" w:cs="IRNazanin"/>
          <w:lang w:bidi="fa-IR"/>
          <w:color w:val="111111"/>
          <w:sz w:val="28"/>
          <w:szCs w:val="28"/>
          <w:rtl/>
        </w:rPr>
        <w:t xml:space="preserve">قد قام عدّة من المتضلّعین فی التاریخ و الحدیث بتألیف کتب حافلة بترجمة صحابة النبی الاکرم - صلی اللّه علیه و آله - و المهمّ منها ما یلی:</w:t>
      </w:r>
    </w:p>
    <w:p>
      <w:pPr>
        <w:pStyle w:val="BookText"/>
      </w:pPr>
      <w:r>
        <w:rPr>
          <w:rFonts w:ascii="IRNazanin" w:hAnsi="IRNazanin" w:eastAsia="IRNazanin" w:cs="IRNazanin"/>
          <w:lang w:bidi="fa-IR"/>
          <w:color w:val="111111"/>
          <w:sz w:val="28"/>
          <w:szCs w:val="28"/>
          <w:rtl/>
        </w:rPr>
        <w:t xml:space="preserve">1 - «الاستیعاب فی أسماء الاصحاب»: تألیف الحافظ أبی عمر یوسف ابن عبد اللّه بن محمّد بن عبد البرّ (المولود سنة 363 و المتوفّی عام 463).</w:t>
      </w:r>
    </w:p>
    <w:p>
      <w:pPr>
        <w:pStyle w:val="BookText"/>
      </w:pPr>
      <w:r>
        <w:rPr>
          <w:rFonts w:ascii="IRNazanin" w:hAnsi="IRNazanin" w:eastAsia="IRNazanin" w:cs="IRNazanin"/>
          <w:lang w:bidi="fa-IR"/>
          <w:color w:val="111111"/>
          <w:sz w:val="28"/>
          <w:szCs w:val="28"/>
          <w:rtl/>
        </w:rPr>
        <w:t xml:space="preserve">2 - «اسد الغابة»: للعلاّمة أبی الحسن علیّ بن محمّد بن عبد الکریم الجزری المعروف بابن الاثیر (المتوفّی عام 630) و قد جاء فیه سبعة آلاف و خمسمائة ترجمة.</w:t>
      </w:r>
    </w:p>
    <w:p>
      <w:pPr>
        <w:pStyle w:val="BookText"/>
      </w:pPr>
      <w:r>
        <w:rPr>
          <w:rFonts w:ascii="IRNazanin" w:hAnsi="IRNazanin" w:eastAsia="IRNazanin" w:cs="IRNazanin"/>
          <w:lang w:bidi="fa-IR"/>
          <w:color w:val="111111"/>
          <w:sz w:val="28"/>
          <w:szCs w:val="28"/>
          <w:rtl/>
        </w:rPr>
        <w:t xml:space="preserve">3 - «الاصابة فی تمییز الصحابة»: للحافظ أحمد بن علی بن حجر العسقلانی السابق ذکره.</w:t>
      </w:r>
    </w:p>
    <w:p>
      <w:pPr>
        <w:pStyle w:val="BookText"/>
      </w:pPr>
      <w:r>
        <w:rPr>
          <w:rFonts w:ascii="IRNazanin" w:hAnsi="IRNazanin" w:eastAsia="IRNazanin" w:cs="IRNazanin"/>
          <w:lang w:bidi="fa-IR"/>
          <w:color w:val="111111"/>
          <w:sz w:val="28"/>
          <w:szCs w:val="28"/>
          <w:rtl/>
        </w:rPr>
        <w:t xml:space="preserve">و قد قمنا بتألیف کتاب حول صحابة النّبی الّذین شایعوا علیّا فی حیاة النبی و بعد رحلته إلی أن لفظوا آخر نفس من حیاتهم فبلغ عددهم 250 شخصا طبع منه جزءان.</w:t>
      </w:r>
    </w:p>
    <w:p>
      <w:pPr>
        <w:pStyle w:val="BookText"/>
      </w:pPr>
      <w:r>
        <w:rPr>
          <w:rFonts w:ascii="IRNazanin" w:hAnsi="IRNazanin" w:eastAsia="IRNazanin" w:cs="IRNazanin"/>
          <w:lang w:bidi="fa-IR"/>
          <w:color w:val="111111"/>
          <w:sz w:val="28"/>
          <w:szCs w:val="28"/>
          <w:rtl/>
        </w:rPr>
        <w:t xml:space="preserve">هذا نهایة البحث عن القواعد الکلیّة فی علم الرجال، و قد قرّبت للقاریء الکریم البعید، و لخّصت له الأبحاث المسهبة بشکل یسهل تناولها، أشکره سبحانه علی هذه النعمة، و أرجو منه تعالی أن یکون ما قدّمته من المحاضرات خطوة مؤثّرة لتطوّر الدراسات العالیة فی الحوزات العلمیة المقدّسة حتّی یتخرّج</w:t>
      </w:r>
    </w:p>
    <w:p>
      <w:pPr>
        <w:pStyle w:val="BookText"/>
      </w:pPr>
      <w:r>
        <w:rPr>
          <w:rFonts w:ascii="IRNazanin" w:hAnsi="IRNazanin" w:eastAsia="IRNazanin" w:cs="IRNazanin"/>
          <w:lang w:bidi="fa-IR"/>
          <w:color w:val="111111"/>
          <w:sz w:val="28"/>
          <w:szCs w:val="28"/>
          <w:rtl/>
        </w:rPr>
        <w:t xml:space="preserve">[شماره صفحه واقعی : 492]</w:t>
      </w:r>
    </w:p>
    <w:p>
      <w:pPr>
        <w:pStyle w:val="BookText"/>
      </w:pPr>
      <w:r>
        <w:rPr>
          <w:rFonts w:ascii="IRNazanin" w:hAnsi="IRNazanin" w:eastAsia="IRNazanin" w:cs="IRNazanin"/>
          <w:lang w:bidi="fa-IR"/>
          <w:color w:val="111111"/>
          <w:sz w:val="28"/>
          <w:szCs w:val="28"/>
          <w:rtl/>
        </w:rPr>
        <w:t xml:space="preserve">ص: 1210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ظلّ هذه الأبحاث ثلّة متخصّصة فی علمی الرجال و الدرایة، کما نرجو مثله فی سائر العلوم و الفنون.</w:t>
      </w:r>
    </w:p>
    <w:p>
      <w:pPr>
        <w:pStyle w:val="BookText"/>
      </w:pPr>
      <w:r>
        <w:rPr>
          <w:rFonts w:ascii="IRNazanin" w:hAnsi="IRNazanin" w:eastAsia="IRNazanin" w:cs="IRNazanin"/>
          <w:lang w:bidi="fa-IR"/>
          <w:color w:val="111111"/>
          <w:sz w:val="28"/>
          <w:szCs w:val="28"/>
          <w:rtl/>
        </w:rPr>
        <w:t xml:space="preserve">بلغ الکلام إلی هنا صبیحة یوم الجمعة رابع شوّال المکرم من شهور عام 1408 ه. کتبه بیمناه جعفر السبحانی ابن الفقیه الشیخ محمد حسین غفر اللّه لهما. قم المشرّفة.</w:t>
      </w:r>
    </w:p>
    <w:p>
      <w:pPr>
        <w:pStyle w:val="BookText"/>
      </w:pPr>
      <w:r>
        <w:rPr>
          <w:rFonts w:ascii="IRNazanin" w:hAnsi="IRNazanin" w:eastAsia="IRNazanin" w:cs="IRNazanin"/>
          <w:lang w:bidi="fa-IR"/>
          <w:color w:val="111111"/>
          <w:sz w:val="28"/>
          <w:szCs w:val="28"/>
          <w:rtl/>
        </w:rPr>
        <w:t xml:space="preserve">[شماره صفحه واقعی : 493]</w:t>
      </w:r>
    </w:p>
    <w:p>
      <w:pPr>
        <w:pStyle w:val="BookText"/>
      </w:pPr>
      <w:r>
        <w:rPr>
          <w:rFonts w:ascii="IRNazanin" w:hAnsi="IRNazanin" w:eastAsia="IRNazanin" w:cs="IRNazanin"/>
          <w:lang w:bidi="fa-IR"/>
          <w:color w:val="111111"/>
          <w:sz w:val="28"/>
          <w:szCs w:val="28"/>
          <w:rtl/>
        </w:rPr>
        <w:t xml:space="preserve">ص: 1211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494]</w:t>
      </w:r>
    </w:p>
    <w:p>
      <w:pPr>
        <w:pStyle w:val="BookText"/>
      </w:pPr>
      <w:r>
        <w:rPr>
          <w:rFonts w:ascii="IRNazanin" w:hAnsi="IRNazanin" w:eastAsia="IRNazanin" w:cs="IRNazanin"/>
          <w:lang w:bidi="fa-IR"/>
          <w:color w:val="111111"/>
          <w:sz w:val="28"/>
          <w:szCs w:val="28"/>
          <w:rtl/>
        </w:rPr>
        <w:t xml:space="preserve">ص: 1212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489" w:name="pg14419_167928"/>
    <w:bookmarkEnd w:id="489"/>
    <w:p>
      <w:pPr>
        <w:pStyle w:val="Heading4"/>
      </w:pPr>
      <w:bookmarkStart w:id="1453" w:name="_Toc893"/>
      <w:r>
        <w:t>الفهرس</w:t>
      </w:r>
      <w:bookmarkEnd w:id="1453"/>
    </w:p>
    <w:p>
      <w:pPr>
        <w:pStyle w:val="BookText"/>
      </w:pPr>
      <w:r>
        <w:rPr>
          <w:rFonts w:ascii="IRNazanin" w:hAnsi="IRNazanin" w:eastAsia="IRNazanin" w:cs="IRNazanin"/>
          <w:lang w:bidi="fa-IR"/>
          <w:color w:val="111111"/>
          <w:sz w:val="28"/>
          <w:szCs w:val="28"/>
          <w:rtl/>
        </w:rPr>
        <w:t xml:space="preserve">تصدیر 7</w:t>
      </w:r>
    </w:p>
    <w:p>
      <w:pPr>
        <w:pStyle w:val="BookText"/>
      </w:pPr>
      <w:r>
        <w:rPr>
          <w:rFonts w:ascii="IRNazanin" w:hAnsi="IRNazanin" w:eastAsia="IRNazanin" w:cs="IRNazanin"/>
          <w:lang w:bidi="fa-IR"/>
          <w:color w:val="111111"/>
          <w:sz w:val="28"/>
          <w:szCs w:val="28"/>
          <w:rtl/>
        </w:rPr>
        <w:t xml:space="preserve">الفصل الأول 9</w:t>
      </w:r>
    </w:p>
    <w:p>
      <w:pPr>
        <w:pStyle w:val="BookText"/>
      </w:pPr>
      <w:r>
        <w:rPr>
          <w:rFonts w:ascii="IRNazanin" w:hAnsi="IRNazanin" w:eastAsia="IRNazanin" w:cs="IRNazanin"/>
          <w:lang w:bidi="fa-IR"/>
          <w:color w:val="111111"/>
          <w:sz w:val="28"/>
          <w:szCs w:val="28"/>
          <w:rtl/>
        </w:rPr>
        <w:t xml:space="preserve">ما هو علم الرجال 11</w:t>
      </w:r>
    </w:p>
    <w:p>
      <w:pPr>
        <w:pStyle w:val="BookText"/>
      </w:pPr>
      <w:r>
        <w:rPr>
          <w:rFonts w:ascii="IRNazanin" w:hAnsi="IRNazanin" w:eastAsia="IRNazanin" w:cs="IRNazanin"/>
          <w:lang w:bidi="fa-IR"/>
          <w:color w:val="111111"/>
          <w:sz w:val="28"/>
          <w:szCs w:val="28"/>
          <w:rtl/>
        </w:rPr>
        <w:t xml:space="preserve">ما هو موضوع علم الرجال؟ 12</w:t>
      </w:r>
    </w:p>
    <w:p>
      <w:pPr>
        <w:pStyle w:val="BookText"/>
      </w:pPr>
      <w:r>
        <w:rPr>
          <w:rFonts w:ascii="IRNazanin" w:hAnsi="IRNazanin" w:eastAsia="IRNazanin" w:cs="IRNazanin"/>
          <w:lang w:bidi="fa-IR"/>
          <w:color w:val="111111"/>
          <w:sz w:val="28"/>
          <w:szCs w:val="28"/>
          <w:rtl/>
        </w:rPr>
        <w:t xml:space="preserve">ما هو مسائله؟ 12</w:t>
      </w:r>
    </w:p>
    <w:p>
      <w:pPr>
        <w:pStyle w:val="BookText"/>
      </w:pPr>
      <w:r>
        <w:rPr>
          <w:rFonts w:ascii="IRNazanin" w:hAnsi="IRNazanin" w:eastAsia="IRNazanin" w:cs="IRNazanin"/>
          <w:lang w:bidi="fa-IR"/>
          <w:color w:val="111111"/>
          <w:sz w:val="28"/>
          <w:szCs w:val="28"/>
          <w:rtl/>
        </w:rPr>
        <w:t xml:space="preserve">علم التراجم و تمایزه عن علم الرجال 13</w:t>
      </w:r>
    </w:p>
    <w:p>
      <w:pPr>
        <w:pStyle w:val="BookText"/>
      </w:pPr>
      <w:r>
        <w:rPr>
          <w:rFonts w:ascii="IRNazanin" w:hAnsi="IRNazanin" w:eastAsia="IRNazanin" w:cs="IRNazanin"/>
          <w:lang w:bidi="fa-IR"/>
          <w:color w:val="111111"/>
          <w:sz w:val="28"/>
          <w:szCs w:val="28"/>
          <w:rtl/>
        </w:rPr>
        <w:t xml:space="preserve">الفرق بین علم الرجال و الدرایة 16</w:t>
      </w:r>
    </w:p>
    <w:p>
      <w:pPr>
        <w:pStyle w:val="BookText"/>
      </w:pPr>
      <w:r>
        <w:rPr>
          <w:rFonts w:ascii="IRNazanin" w:hAnsi="IRNazanin" w:eastAsia="IRNazanin" w:cs="IRNazanin"/>
          <w:lang w:bidi="fa-IR"/>
          <w:color w:val="111111"/>
          <w:sz w:val="28"/>
          <w:szCs w:val="28"/>
          <w:rtl/>
        </w:rPr>
        <w:t xml:space="preserve">مدار البحث فی هذه المحاضرات 17</w:t>
      </w:r>
    </w:p>
    <w:p>
      <w:pPr>
        <w:pStyle w:val="BookText"/>
      </w:pPr>
      <w:r>
        <w:rPr>
          <w:rFonts w:ascii="IRNazanin" w:hAnsi="IRNazanin" w:eastAsia="IRNazanin" w:cs="IRNazanin"/>
          <w:lang w:bidi="fa-IR"/>
          <w:color w:val="111111"/>
          <w:sz w:val="28"/>
          <w:szCs w:val="28"/>
          <w:rtl/>
        </w:rPr>
        <w:t xml:space="preserve">أدلة مثبتی الحاجة إلی علم الرجال 19</w:t>
      </w:r>
    </w:p>
    <w:p>
      <w:pPr>
        <w:pStyle w:val="BookText"/>
      </w:pPr>
      <w:r>
        <w:rPr>
          <w:rFonts w:ascii="IRNazanin" w:hAnsi="IRNazanin" w:eastAsia="IRNazanin" w:cs="IRNazanin"/>
          <w:lang w:bidi="fa-IR"/>
          <w:color w:val="111111"/>
          <w:sz w:val="28"/>
          <w:szCs w:val="28"/>
          <w:rtl/>
        </w:rPr>
        <w:t xml:space="preserve">الحاجة إلی علم الرجال 21</w:t>
      </w:r>
    </w:p>
    <w:p>
      <w:pPr>
        <w:pStyle w:val="BookText"/>
      </w:pPr>
      <w:r>
        <w:rPr>
          <w:rFonts w:ascii="IRNazanin" w:hAnsi="IRNazanin" w:eastAsia="IRNazanin" w:cs="IRNazanin"/>
          <w:lang w:bidi="fa-IR"/>
          <w:color w:val="111111"/>
          <w:sz w:val="28"/>
          <w:szCs w:val="28"/>
          <w:rtl/>
        </w:rPr>
        <w:t xml:space="preserve">الأول: حجیة قول الثقة 21</w:t>
      </w:r>
    </w:p>
    <w:p>
      <w:pPr>
        <w:pStyle w:val="BookText"/>
      </w:pPr>
      <w:r>
        <w:rPr>
          <w:rFonts w:ascii="IRNazanin" w:hAnsi="IRNazanin" w:eastAsia="IRNazanin" w:cs="IRNazanin"/>
          <w:lang w:bidi="fa-IR"/>
          <w:color w:val="111111"/>
          <w:sz w:val="28"/>
          <w:szCs w:val="28"/>
          <w:rtl/>
        </w:rPr>
        <w:t xml:space="preserve">الثانی: الرجوع إلی صفات الرّاوی فی الأخبار العلاجیة 25</w:t>
      </w:r>
    </w:p>
    <w:p>
      <w:pPr>
        <w:pStyle w:val="BookText"/>
      </w:pPr>
      <w:r>
        <w:rPr>
          <w:rFonts w:ascii="IRNazanin" w:hAnsi="IRNazanin" w:eastAsia="IRNazanin" w:cs="IRNazanin"/>
          <w:lang w:bidi="fa-IR"/>
          <w:color w:val="111111"/>
          <w:sz w:val="28"/>
          <w:szCs w:val="28"/>
          <w:rtl/>
        </w:rPr>
        <w:t xml:space="preserve">الثالث: وجود الوضّاعین و المدلّسین فی الرواة 25</w:t>
      </w:r>
    </w:p>
    <w:p>
      <w:pPr>
        <w:pStyle w:val="BookText"/>
      </w:pPr>
      <w:r>
        <w:rPr>
          <w:rFonts w:ascii="IRNazanin" w:hAnsi="IRNazanin" w:eastAsia="IRNazanin" w:cs="IRNazanin"/>
          <w:lang w:bidi="fa-IR"/>
          <w:color w:val="111111"/>
          <w:sz w:val="28"/>
          <w:szCs w:val="28"/>
          <w:rtl/>
        </w:rPr>
        <w:t xml:space="preserve">الرابع: وجود العاصی فی أسانید الروایات 28</w:t>
      </w:r>
    </w:p>
    <w:p>
      <w:pPr>
        <w:pStyle w:val="BookText"/>
      </w:pPr>
      <w:r>
        <w:rPr>
          <w:rFonts w:ascii="IRNazanin" w:hAnsi="IRNazanin" w:eastAsia="IRNazanin" w:cs="IRNazanin"/>
          <w:lang w:bidi="fa-IR"/>
          <w:color w:val="111111"/>
          <w:sz w:val="28"/>
          <w:szCs w:val="28"/>
          <w:rtl/>
        </w:rPr>
        <w:t xml:space="preserve">الخامس: إجماع العلماء 28</w:t>
      </w:r>
    </w:p>
    <w:p>
      <w:pPr>
        <w:pStyle w:val="BookText"/>
      </w:pPr>
      <w:r>
        <w:rPr>
          <w:rFonts w:ascii="IRNazanin" w:hAnsi="IRNazanin" w:eastAsia="IRNazanin" w:cs="IRNazanin"/>
          <w:lang w:bidi="fa-IR"/>
          <w:color w:val="111111"/>
          <w:sz w:val="28"/>
          <w:szCs w:val="28"/>
          <w:rtl/>
        </w:rPr>
        <w:t xml:space="preserve">[شماره صفحه واقعی : 495]</w:t>
      </w:r>
    </w:p>
    <w:p>
      <w:pPr>
        <w:pStyle w:val="BookText"/>
      </w:pPr>
      <w:r>
        <w:rPr>
          <w:rFonts w:ascii="IRNazanin" w:hAnsi="IRNazanin" w:eastAsia="IRNazanin" w:cs="IRNazanin"/>
          <w:lang w:bidi="fa-IR"/>
          <w:color w:val="111111"/>
          <w:sz w:val="28"/>
          <w:szCs w:val="28"/>
          <w:rtl/>
        </w:rPr>
        <w:t xml:space="preserve">ص: 1213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أدلة نفاة الحاجة إلی علم الرجال: 31</w:t>
      </w:r>
    </w:p>
    <w:p>
      <w:pPr>
        <w:pStyle w:val="BookText"/>
      </w:pPr>
      <w:r>
        <w:rPr>
          <w:rFonts w:ascii="IRNazanin" w:hAnsi="IRNazanin" w:eastAsia="IRNazanin" w:cs="IRNazanin"/>
          <w:lang w:bidi="fa-IR"/>
          <w:color w:val="111111"/>
          <w:sz w:val="28"/>
          <w:szCs w:val="28"/>
          <w:rtl/>
        </w:rPr>
        <w:t xml:space="preserve">الفصل الثانی: الحاجة إلی علم الرجال 33</w:t>
      </w:r>
    </w:p>
    <w:p>
      <w:pPr>
        <w:pStyle w:val="BookText"/>
      </w:pPr>
      <w:r>
        <w:rPr>
          <w:rFonts w:ascii="IRNazanin" w:hAnsi="IRNazanin" w:eastAsia="IRNazanin" w:cs="IRNazanin"/>
          <w:lang w:bidi="fa-IR"/>
          <w:color w:val="111111"/>
          <w:sz w:val="28"/>
          <w:szCs w:val="28"/>
          <w:rtl/>
        </w:rPr>
        <w:t xml:space="preserve">حجة النافین للحاجة إلی علم الرجال 35</w:t>
      </w:r>
    </w:p>
    <w:p>
      <w:pPr>
        <w:pStyle w:val="BookText"/>
      </w:pPr>
      <w:r>
        <w:rPr>
          <w:rFonts w:ascii="IRNazanin" w:hAnsi="IRNazanin" w:eastAsia="IRNazanin" w:cs="IRNazanin"/>
          <w:lang w:bidi="fa-IR"/>
          <w:color w:val="111111"/>
          <w:sz w:val="28"/>
          <w:szCs w:val="28"/>
          <w:rtl/>
        </w:rPr>
        <w:t xml:space="preserve">الأول: قطعیة روایات الکتب الأربعة 35</w:t>
      </w:r>
    </w:p>
    <w:p>
      <w:pPr>
        <w:pStyle w:val="BookText"/>
      </w:pPr>
      <w:r>
        <w:rPr>
          <w:rFonts w:ascii="IRNazanin" w:hAnsi="IRNazanin" w:eastAsia="IRNazanin" w:cs="IRNazanin"/>
          <w:lang w:bidi="fa-IR"/>
          <w:color w:val="111111"/>
          <w:sz w:val="28"/>
          <w:szCs w:val="28"/>
          <w:rtl/>
        </w:rPr>
        <w:t xml:space="preserve">الثانی: عمل المشهور جابر لضعف السند 36</w:t>
      </w:r>
    </w:p>
    <w:p>
      <w:pPr>
        <w:pStyle w:val="BookText"/>
      </w:pPr>
      <w:r>
        <w:rPr>
          <w:rFonts w:ascii="IRNazanin" w:hAnsi="IRNazanin" w:eastAsia="IRNazanin" w:cs="IRNazanin"/>
          <w:lang w:bidi="fa-IR"/>
          <w:color w:val="111111"/>
          <w:sz w:val="28"/>
          <w:szCs w:val="28"/>
          <w:rtl/>
        </w:rPr>
        <w:t xml:space="preserve">الثالث: لا طریق إلی إثبات العدالة 36</w:t>
      </w:r>
    </w:p>
    <w:p>
      <w:pPr>
        <w:pStyle w:val="BookText"/>
      </w:pPr>
      <w:r>
        <w:rPr>
          <w:rFonts w:ascii="IRNazanin" w:hAnsi="IRNazanin" w:eastAsia="IRNazanin" w:cs="IRNazanin"/>
          <w:lang w:bidi="fa-IR"/>
          <w:color w:val="111111"/>
          <w:sz w:val="28"/>
          <w:szCs w:val="28"/>
          <w:rtl/>
        </w:rPr>
        <w:t xml:space="preserve">الرابع: الخلاف فی معنی العدالة و الفسق 38</w:t>
      </w:r>
    </w:p>
    <w:p>
      <w:pPr>
        <w:pStyle w:val="BookText"/>
      </w:pPr>
      <w:r>
        <w:rPr>
          <w:rFonts w:ascii="IRNazanin" w:hAnsi="IRNazanin" w:eastAsia="IRNazanin" w:cs="IRNazanin"/>
          <w:lang w:bidi="fa-IR"/>
          <w:color w:val="111111"/>
          <w:sz w:val="28"/>
          <w:szCs w:val="28"/>
          <w:rtl/>
        </w:rPr>
        <w:t xml:space="preserve">الخامس: تفضیح الناس فی هذا العلم 40</w:t>
      </w:r>
    </w:p>
    <w:p>
      <w:pPr>
        <w:pStyle w:val="BookText"/>
      </w:pPr>
      <w:r>
        <w:rPr>
          <w:rFonts w:ascii="IRNazanin" w:hAnsi="IRNazanin" w:eastAsia="IRNazanin" w:cs="IRNazanin"/>
          <w:lang w:bidi="fa-IR"/>
          <w:color w:val="111111"/>
          <w:sz w:val="28"/>
          <w:szCs w:val="28"/>
          <w:rtl/>
        </w:rPr>
        <w:t xml:space="preserve">السادس: قول الرجالی و شرائط الشهادة 40</w:t>
      </w:r>
    </w:p>
    <w:p>
      <w:pPr>
        <w:pStyle w:val="BookText"/>
      </w:pPr>
      <w:r>
        <w:rPr>
          <w:rFonts w:ascii="IRNazanin" w:hAnsi="IRNazanin" w:eastAsia="IRNazanin" w:cs="IRNazanin"/>
          <w:lang w:bidi="fa-IR"/>
          <w:color w:val="111111"/>
          <w:sz w:val="28"/>
          <w:szCs w:val="28"/>
          <w:rtl/>
        </w:rPr>
        <w:t xml:space="preserve">السابع: التوثیق الإجمالی 46</w:t>
      </w:r>
    </w:p>
    <w:p>
      <w:pPr>
        <w:pStyle w:val="BookText"/>
      </w:pPr>
      <w:r>
        <w:rPr>
          <w:rFonts w:ascii="IRNazanin" w:hAnsi="IRNazanin" w:eastAsia="IRNazanin" w:cs="IRNazanin"/>
          <w:lang w:bidi="fa-IR"/>
          <w:color w:val="111111"/>
          <w:sz w:val="28"/>
          <w:szCs w:val="28"/>
          <w:rtl/>
        </w:rPr>
        <w:t xml:space="preserve">الثامن: شهادة المشایخ الثلاثة 49</w:t>
      </w:r>
    </w:p>
    <w:p>
      <w:pPr>
        <w:pStyle w:val="BookText"/>
      </w:pPr>
      <w:r>
        <w:rPr>
          <w:rFonts w:ascii="IRNazanin" w:hAnsi="IRNazanin" w:eastAsia="IRNazanin" w:cs="IRNazanin"/>
          <w:lang w:bidi="fa-IR"/>
          <w:color w:val="111111"/>
          <w:sz w:val="28"/>
          <w:szCs w:val="28"/>
          <w:rtl/>
        </w:rPr>
        <w:t xml:space="preserve">الفصل الثالث: 53</w:t>
      </w:r>
    </w:p>
    <w:p>
      <w:pPr>
        <w:pStyle w:val="BookText"/>
      </w:pPr>
      <w:r>
        <w:rPr>
          <w:rFonts w:ascii="IRNazanin" w:hAnsi="IRNazanin" w:eastAsia="IRNazanin" w:cs="IRNazanin"/>
          <w:lang w:bidi="fa-IR"/>
          <w:color w:val="111111"/>
          <w:sz w:val="28"/>
          <w:szCs w:val="28"/>
          <w:rtl/>
        </w:rPr>
        <w:t xml:space="preserve">المصادر الأولیة لعلم الرجال 53</w:t>
      </w:r>
    </w:p>
    <w:p>
      <w:pPr>
        <w:pStyle w:val="BookText"/>
      </w:pPr>
      <w:r>
        <w:rPr>
          <w:rFonts w:ascii="IRNazanin" w:hAnsi="IRNazanin" w:eastAsia="IRNazanin" w:cs="IRNazanin"/>
          <w:lang w:bidi="fa-IR"/>
          <w:color w:val="111111"/>
          <w:sz w:val="28"/>
          <w:szCs w:val="28"/>
          <w:rtl/>
        </w:rPr>
        <w:t xml:space="preserve">الاصول الرجالیة الثمانیة 55</w:t>
      </w:r>
    </w:p>
    <w:p>
      <w:pPr>
        <w:pStyle w:val="BookText"/>
      </w:pPr>
      <w:r>
        <w:rPr>
          <w:rFonts w:ascii="IRNazanin" w:hAnsi="IRNazanin" w:eastAsia="IRNazanin" w:cs="IRNazanin"/>
          <w:lang w:bidi="fa-IR"/>
          <w:color w:val="111111"/>
          <w:sz w:val="28"/>
          <w:szCs w:val="28"/>
          <w:rtl/>
        </w:rPr>
        <w:t xml:space="preserve">1 - رجال الکشی 58</w:t>
      </w:r>
    </w:p>
    <w:p>
      <w:pPr>
        <w:pStyle w:val="BookText"/>
      </w:pPr>
      <w:r>
        <w:rPr>
          <w:rFonts w:ascii="IRNazanin" w:hAnsi="IRNazanin" w:eastAsia="IRNazanin" w:cs="IRNazanin"/>
          <w:lang w:bidi="fa-IR"/>
          <w:color w:val="111111"/>
          <w:sz w:val="28"/>
          <w:szCs w:val="28"/>
          <w:rtl/>
        </w:rPr>
        <w:t xml:space="preserve">کیفیة تهذیب رجال الکشی 59</w:t>
      </w:r>
    </w:p>
    <w:p>
      <w:pPr>
        <w:pStyle w:val="BookText"/>
      </w:pPr>
      <w:r>
        <w:rPr>
          <w:rFonts w:ascii="IRNazanin" w:hAnsi="IRNazanin" w:eastAsia="IRNazanin" w:cs="IRNazanin"/>
          <w:lang w:bidi="fa-IR"/>
          <w:color w:val="111111"/>
          <w:sz w:val="28"/>
          <w:szCs w:val="28"/>
          <w:rtl/>
        </w:rPr>
        <w:t xml:space="preserve">2 - فهرس النجاشی 60</w:t>
      </w:r>
    </w:p>
    <w:p>
      <w:pPr>
        <w:pStyle w:val="BookText"/>
      </w:pPr>
      <w:r>
        <w:rPr>
          <w:rFonts w:ascii="IRNazanin" w:hAnsi="IRNazanin" w:eastAsia="IRNazanin" w:cs="IRNazanin"/>
          <w:lang w:bidi="fa-IR"/>
          <w:color w:val="111111"/>
          <w:sz w:val="28"/>
          <w:szCs w:val="28"/>
          <w:rtl/>
        </w:rPr>
        <w:t xml:space="preserve">3 - رجال الشیخ 68</w:t>
      </w:r>
    </w:p>
    <w:p>
      <w:pPr>
        <w:pStyle w:val="BookText"/>
      </w:pPr>
      <w:r>
        <w:rPr>
          <w:rFonts w:ascii="IRNazanin" w:hAnsi="IRNazanin" w:eastAsia="IRNazanin" w:cs="IRNazanin"/>
          <w:lang w:bidi="fa-IR"/>
          <w:color w:val="111111"/>
          <w:sz w:val="28"/>
          <w:szCs w:val="28"/>
          <w:rtl/>
        </w:rPr>
        <w:t xml:space="preserve">4 - فهرس الشیخ 69</w:t>
      </w:r>
    </w:p>
    <w:p>
      <w:pPr>
        <w:pStyle w:val="BookText"/>
      </w:pPr>
      <w:r>
        <w:rPr>
          <w:rFonts w:ascii="IRNazanin" w:hAnsi="IRNazanin" w:eastAsia="IRNazanin" w:cs="IRNazanin"/>
          <w:lang w:bidi="fa-IR"/>
          <w:color w:val="111111"/>
          <w:sz w:val="28"/>
          <w:szCs w:val="28"/>
          <w:rtl/>
        </w:rPr>
        <w:t xml:space="preserve">5 - رجال البرقی 71</w:t>
      </w:r>
    </w:p>
    <w:p>
      <w:pPr>
        <w:pStyle w:val="BookText"/>
      </w:pPr>
      <w:r>
        <w:rPr>
          <w:rFonts w:ascii="IRNazanin" w:hAnsi="IRNazanin" w:eastAsia="IRNazanin" w:cs="IRNazanin"/>
          <w:lang w:bidi="fa-IR"/>
          <w:color w:val="111111"/>
          <w:sz w:val="28"/>
          <w:szCs w:val="28"/>
          <w:rtl/>
        </w:rPr>
        <w:t xml:space="preserve">6 - رسالة أبی غالب الزراری 72</w:t>
      </w:r>
    </w:p>
    <w:p>
      <w:pPr>
        <w:pStyle w:val="BookText"/>
      </w:pPr>
      <w:r>
        <w:rPr>
          <w:rFonts w:ascii="IRNazanin" w:hAnsi="IRNazanin" w:eastAsia="IRNazanin" w:cs="IRNazanin"/>
          <w:lang w:bidi="fa-IR"/>
          <w:color w:val="111111"/>
          <w:sz w:val="28"/>
          <w:szCs w:val="28"/>
          <w:rtl/>
        </w:rPr>
        <w:t xml:space="preserve">7 - مشیخة الصدوق 73</w:t>
      </w:r>
    </w:p>
    <w:p>
      <w:pPr>
        <w:pStyle w:val="BookText"/>
      </w:pPr>
      <w:r>
        <w:rPr>
          <w:rFonts w:ascii="IRNazanin" w:hAnsi="IRNazanin" w:eastAsia="IRNazanin" w:cs="IRNazanin"/>
          <w:lang w:bidi="fa-IR"/>
          <w:color w:val="111111"/>
          <w:sz w:val="28"/>
          <w:szCs w:val="28"/>
          <w:rtl/>
        </w:rPr>
        <w:t xml:space="preserve">8 - مشیخة الشیخ الطوسی فی کتابی: التهذیب و الإستبصار 74</w:t>
      </w:r>
    </w:p>
    <w:p>
      <w:pPr>
        <w:pStyle w:val="BookText"/>
      </w:pPr>
      <w:r>
        <w:rPr>
          <w:rFonts w:ascii="IRNazanin" w:hAnsi="IRNazanin" w:eastAsia="IRNazanin" w:cs="IRNazanin"/>
          <w:lang w:bidi="fa-IR"/>
          <w:color w:val="111111"/>
          <w:sz w:val="28"/>
          <w:szCs w:val="28"/>
          <w:rtl/>
        </w:rPr>
        <w:t xml:space="preserve">[شماره صفحه واقعی : 496]</w:t>
      </w:r>
    </w:p>
    <w:p>
      <w:pPr>
        <w:pStyle w:val="BookText"/>
      </w:pPr>
      <w:r>
        <w:rPr>
          <w:rFonts w:ascii="IRNazanin" w:hAnsi="IRNazanin" w:eastAsia="IRNazanin" w:cs="IRNazanin"/>
          <w:lang w:bidi="fa-IR"/>
          <w:color w:val="111111"/>
          <w:sz w:val="28"/>
          <w:szCs w:val="28"/>
          <w:rtl/>
        </w:rPr>
        <w:t xml:space="preserve">ص: 1214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توالی التألیف فی علم الرجال 74</w:t>
      </w:r>
    </w:p>
    <w:p>
      <w:pPr>
        <w:pStyle w:val="BookText"/>
      </w:pPr>
      <w:r>
        <w:rPr>
          <w:rFonts w:ascii="IRNazanin" w:hAnsi="IRNazanin" w:eastAsia="IRNazanin" w:cs="IRNazanin"/>
          <w:lang w:bidi="fa-IR"/>
          <w:color w:val="111111"/>
          <w:sz w:val="28"/>
          <w:szCs w:val="28"/>
          <w:rtl/>
        </w:rPr>
        <w:t xml:space="preserve">الفرق بین الرجال و الفهرس 74</w:t>
      </w:r>
    </w:p>
    <w:p>
      <w:pPr>
        <w:pStyle w:val="BookText"/>
      </w:pPr>
      <w:r>
        <w:rPr>
          <w:rFonts w:ascii="IRNazanin" w:hAnsi="IRNazanin" w:eastAsia="IRNazanin" w:cs="IRNazanin"/>
          <w:lang w:bidi="fa-IR"/>
          <w:color w:val="111111"/>
          <w:sz w:val="28"/>
          <w:szCs w:val="28"/>
          <w:rtl/>
        </w:rPr>
        <w:t xml:space="preserve">2 - رجال ابن الغضائری 77</w:t>
      </w:r>
    </w:p>
    <w:p>
      <w:pPr>
        <w:pStyle w:val="BookText"/>
      </w:pPr>
      <w:r>
        <w:rPr>
          <w:rFonts w:ascii="IRNazanin" w:hAnsi="IRNazanin" w:eastAsia="IRNazanin" w:cs="IRNazanin"/>
          <w:lang w:bidi="fa-IR"/>
          <w:color w:val="111111"/>
          <w:sz w:val="28"/>
          <w:szCs w:val="28"/>
          <w:rtl/>
        </w:rPr>
        <w:t xml:space="preserve">أ - ترجمة الغضائری 79</w:t>
      </w:r>
    </w:p>
    <w:p>
      <w:pPr>
        <w:pStyle w:val="BookText"/>
      </w:pPr>
      <w:r>
        <w:rPr>
          <w:rFonts w:ascii="IRNazanin" w:hAnsi="IRNazanin" w:eastAsia="IRNazanin" w:cs="IRNazanin"/>
          <w:lang w:bidi="fa-IR"/>
          <w:color w:val="111111"/>
          <w:sz w:val="28"/>
          <w:szCs w:val="28"/>
          <w:rtl/>
        </w:rPr>
        <w:t xml:space="preserve">ب - ترجمة ابن الغضائری 80</w:t>
      </w:r>
    </w:p>
    <w:p>
      <w:pPr>
        <w:pStyle w:val="BookText"/>
      </w:pPr>
      <w:r>
        <w:rPr>
          <w:rFonts w:ascii="IRNazanin" w:hAnsi="IRNazanin" w:eastAsia="IRNazanin" w:cs="IRNazanin"/>
          <w:lang w:bidi="fa-IR"/>
          <w:color w:val="111111"/>
          <w:sz w:val="28"/>
          <w:szCs w:val="28"/>
          <w:rtl/>
        </w:rPr>
        <w:t xml:space="preserve">ج - کیفیة وقوف العلماء علی کتاب الضعفاء 82</w:t>
      </w:r>
    </w:p>
    <w:p>
      <w:pPr>
        <w:pStyle w:val="BookText"/>
      </w:pPr>
      <w:r>
        <w:rPr>
          <w:rFonts w:ascii="IRNazanin" w:hAnsi="IRNazanin" w:eastAsia="IRNazanin" w:cs="IRNazanin"/>
          <w:lang w:bidi="fa-IR"/>
          <w:color w:val="111111"/>
          <w:sz w:val="28"/>
          <w:szCs w:val="28"/>
          <w:rtl/>
        </w:rPr>
        <w:t xml:space="preserve">د - الکتاب تألیف نفس الغضائری أو تألیف ابنه 84</w:t>
      </w:r>
    </w:p>
    <w:p>
      <w:pPr>
        <w:pStyle w:val="BookText"/>
      </w:pPr>
      <w:r>
        <w:rPr>
          <w:rFonts w:ascii="IRNazanin" w:hAnsi="IRNazanin" w:eastAsia="IRNazanin" w:cs="IRNazanin"/>
          <w:lang w:bidi="fa-IR"/>
          <w:color w:val="111111"/>
          <w:sz w:val="28"/>
          <w:szCs w:val="28"/>
          <w:rtl/>
        </w:rPr>
        <w:t xml:space="preserve">ه - کتاب الضعفاء رابع کتبه 87</w:t>
      </w:r>
    </w:p>
    <w:p>
      <w:pPr>
        <w:pStyle w:val="BookText"/>
      </w:pPr>
      <w:r>
        <w:rPr>
          <w:rFonts w:ascii="IRNazanin" w:hAnsi="IRNazanin" w:eastAsia="IRNazanin" w:cs="IRNazanin"/>
          <w:lang w:bidi="fa-IR"/>
          <w:color w:val="111111"/>
          <w:sz w:val="28"/>
          <w:szCs w:val="28"/>
          <w:rtl/>
        </w:rPr>
        <w:t xml:space="preserve">و - کتاب الضعفاء و قیمته العلمیة عند العلماء 89</w:t>
      </w:r>
    </w:p>
    <w:p>
      <w:pPr>
        <w:pStyle w:val="BookText"/>
      </w:pPr>
      <w:r>
        <w:rPr>
          <w:rFonts w:ascii="IRNazanin" w:hAnsi="IRNazanin" w:eastAsia="IRNazanin" w:cs="IRNazanin"/>
          <w:lang w:bidi="fa-IR"/>
          <w:color w:val="111111"/>
          <w:sz w:val="28"/>
          <w:szCs w:val="28"/>
          <w:rtl/>
        </w:rPr>
        <w:t xml:space="preserve">النظریة الأولی 89</w:t>
      </w:r>
    </w:p>
    <w:p>
      <w:pPr>
        <w:pStyle w:val="BookText"/>
      </w:pPr>
      <w:r>
        <w:rPr>
          <w:rFonts w:ascii="IRNazanin" w:hAnsi="IRNazanin" w:eastAsia="IRNazanin" w:cs="IRNazanin"/>
          <w:lang w:bidi="fa-IR"/>
          <w:color w:val="111111"/>
          <w:sz w:val="28"/>
          <w:szCs w:val="28"/>
          <w:rtl/>
        </w:rPr>
        <w:t xml:space="preserve">تحلیل هذه النظریة 91</w:t>
      </w:r>
    </w:p>
    <w:p>
      <w:pPr>
        <w:pStyle w:val="BookText"/>
      </w:pPr>
      <w:r>
        <w:rPr>
          <w:rFonts w:ascii="IRNazanin" w:hAnsi="IRNazanin" w:eastAsia="IRNazanin" w:cs="IRNazanin"/>
          <w:lang w:bidi="fa-IR"/>
          <w:color w:val="111111"/>
          <w:sz w:val="28"/>
          <w:szCs w:val="28"/>
          <w:rtl/>
        </w:rPr>
        <w:t xml:space="preserve">النظریة الثانیة 92</w:t>
      </w:r>
    </w:p>
    <w:p>
      <w:pPr>
        <w:pStyle w:val="BookText"/>
      </w:pPr>
      <w:r>
        <w:rPr>
          <w:rFonts w:ascii="IRNazanin" w:hAnsi="IRNazanin" w:eastAsia="IRNazanin" w:cs="IRNazanin"/>
          <w:lang w:bidi="fa-IR"/>
          <w:color w:val="111111"/>
          <w:sz w:val="28"/>
          <w:szCs w:val="28"/>
          <w:rtl/>
        </w:rPr>
        <w:t xml:space="preserve">النظریة الثالثة 92</w:t>
      </w:r>
    </w:p>
    <w:p>
      <w:pPr>
        <w:pStyle w:val="BookText"/>
      </w:pPr>
      <w:r>
        <w:rPr>
          <w:rFonts w:ascii="IRNazanin" w:hAnsi="IRNazanin" w:eastAsia="IRNazanin" w:cs="IRNazanin"/>
          <w:lang w:bidi="fa-IR"/>
          <w:color w:val="111111"/>
          <w:sz w:val="28"/>
          <w:szCs w:val="28"/>
          <w:rtl/>
        </w:rPr>
        <w:t xml:space="preserve">النظریة الرابعة 93</w:t>
      </w:r>
    </w:p>
    <w:p>
      <w:pPr>
        <w:pStyle w:val="BookText"/>
      </w:pPr>
      <w:r>
        <w:rPr>
          <w:rFonts w:ascii="IRNazanin" w:hAnsi="IRNazanin" w:eastAsia="IRNazanin" w:cs="IRNazanin"/>
          <w:lang w:bidi="fa-IR"/>
          <w:color w:val="111111"/>
          <w:sz w:val="28"/>
          <w:szCs w:val="28"/>
          <w:rtl/>
        </w:rPr>
        <w:t xml:space="preserve">إجابة المحقق التستری عن هذه النظریة 94</w:t>
      </w:r>
    </w:p>
    <w:p>
      <w:pPr>
        <w:pStyle w:val="BookText"/>
      </w:pPr>
      <w:r>
        <w:rPr>
          <w:rFonts w:ascii="IRNazanin" w:hAnsi="IRNazanin" w:eastAsia="IRNazanin" w:cs="IRNazanin"/>
          <w:lang w:bidi="fa-IR"/>
          <w:color w:val="111111"/>
          <w:sz w:val="28"/>
          <w:szCs w:val="28"/>
          <w:rtl/>
        </w:rPr>
        <w:t xml:space="preserve">النظریة الخامسة 102</w:t>
      </w:r>
    </w:p>
    <w:p>
      <w:pPr>
        <w:pStyle w:val="BookText"/>
      </w:pPr>
      <w:r>
        <w:rPr>
          <w:rFonts w:ascii="IRNazanin" w:hAnsi="IRNazanin" w:eastAsia="IRNazanin" w:cs="IRNazanin"/>
          <w:lang w:bidi="fa-IR"/>
          <w:color w:val="111111"/>
          <w:sz w:val="28"/>
          <w:szCs w:val="28"/>
          <w:rtl/>
        </w:rPr>
        <w:t xml:space="preserve">الفصل الرابع: 105</w:t>
      </w:r>
    </w:p>
    <w:p>
      <w:pPr>
        <w:pStyle w:val="BookText"/>
      </w:pPr>
      <w:r>
        <w:rPr>
          <w:rFonts w:ascii="IRNazanin" w:hAnsi="IRNazanin" w:eastAsia="IRNazanin" w:cs="IRNazanin"/>
          <w:lang w:bidi="fa-IR"/>
          <w:color w:val="111111"/>
          <w:sz w:val="28"/>
          <w:szCs w:val="28"/>
          <w:rtl/>
        </w:rPr>
        <w:t xml:space="preserve">المصادر الثانویة لعلم الرجال 105</w:t>
      </w:r>
    </w:p>
    <w:p>
      <w:pPr>
        <w:pStyle w:val="BookText"/>
      </w:pPr>
      <w:r>
        <w:rPr>
          <w:rFonts w:ascii="IRNazanin" w:hAnsi="IRNazanin" w:eastAsia="IRNazanin" w:cs="IRNazanin"/>
          <w:lang w:bidi="fa-IR"/>
          <w:color w:val="111111"/>
          <w:sz w:val="28"/>
          <w:szCs w:val="28"/>
          <w:rtl/>
        </w:rPr>
        <w:t xml:space="preserve">1 - الأصول الرجالیة الأربعة 107</w:t>
      </w:r>
    </w:p>
    <w:p>
      <w:pPr>
        <w:pStyle w:val="BookText"/>
      </w:pPr>
      <w:r>
        <w:rPr>
          <w:rFonts w:ascii="IRNazanin" w:hAnsi="IRNazanin" w:eastAsia="IRNazanin" w:cs="IRNazanin"/>
          <w:lang w:bidi="fa-IR"/>
          <w:color w:val="111111"/>
          <w:sz w:val="28"/>
          <w:szCs w:val="28"/>
          <w:rtl/>
        </w:rPr>
        <w:t xml:space="preserve">الأصول الرجالیة الأربعة 109</w:t>
      </w:r>
    </w:p>
    <w:p>
      <w:pPr>
        <w:pStyle w:val="BookText"/>
      </w:pPr>
      <w:r>
        <w:rPr>
          <w:rFonts w:ascii="IRNazanin" w:hAnsi="IRNazanin" w:eastAsia="IRNazanin" w:cs="IRNazanin"/>
          <w:lang w:bidi="fa-IR"/>
          <w:color w:val="111111"/>
          <w:sz w:val="28"/>
          <w:szCs w:val="28"/>
          <w:rtl/>
        </w:rPr>
        <w:t xml:space="preserve">1 - فهرس الشیخ منتجب الدین 110</w:t>
      </w:r>
    </w:p>
    <w:p>
      <w:pPr>
        <w:pStyle w:val="BookText"/>
      </w:pPr>
      <w:r>
        <w:rPr>
          <w:rFonts w:ascii="IRNazanin" w:hAnsi="IRNazanin" w:eastAsia="IRNazanin" w:cs="IRNazanin"/>
          <w:lang w:bidi="fa-IR"/>
          <w:color w:val="111111"/>
          <w:sz w:val="28"/>
          <w:szCs w:val="28"/>
          <w:rtl/>
        </w:rPr>
        <w:t xml:space="preserve">2 - معالم العلماء فی فهرس کتب الشیعة و أسماء المصنفین 113</w:t>
      </w:r>
    </w:p>
    <w:p>
      <w:pPr>
        <w:pStyle w:val="BookText"/>
      </w:pPr>
      <w:r>
        <w:rPr>
          <w:rFonts w:ascii="IRNazanin" w:hAnsi="IRNazanin" w:eastAsia="IRNazanin" w:cs="IRNazanin"/>
          <w:lang w:bidi="fa-IR"/>
          <w:color w:val="111111"/>
          <w:sz w:val="28"/>
          <w:szCs w:val="28"/>
          <w:rtl/>
        </w:rPr>
        <w:t xml:space="preserve">3 - رجال ابن داوود 114</w:t>
      </w:r>
    </w:p>
    <w:p>
      <w:pPr>
        <w:pStyle w:val="BookText"/>
      </w:pPr>
      <w:r>
        <w:rPr>
          <w:rFonts w:ascii="IRNazanin" w:hAnsi="IRNazanin" w:eastAsia="IRNazanin" w:cs="IRNazanin"/>
          <w:lang w:bidi="fa-IR"/>
          <w:color w:val="111111"/>
          <w:sz w:val="28"/>
          <w:szCs w:val="28"/>
          <w:rtl/>
        </w:rPr>
        <w:t xml:space="preserve">[شماره صفحه واقعی : 497]</w:t>
      </w:r>
    </w:p>
    <w:p>
      <w:pPr>
        <w:pStyle w:val="BookText"/>
      </w:pPr>
      <w:r>
        <w:rPr>
          <w:rFonts w:ascii="IRNazanin" w:hAnsi="IRNazanin" w:eastAsia="IRNazanin" w:cs="IRNazanin"/>
          <w:lang w:bidi="fa-IR"/>
          <w:color w:val="111111"/>
          <w:sz w:val="28"/>
          <w:szCs w:val="28"/>
          <w:rtl/>
        </w:rPr>
        <w:t xml:space="preserve">ص: 1215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ممیزات رجال ابن داوود 114</w:t>
      </w:r>
    </w:p>
    <w:p>
      <w:pPr>
        <w:pStyle w:val="BookText"/>
      </w:pPr>
      <w:r>
        <w:rPr>
          <w:rFonts w:ascii="IRNazanin" w:hAnsi="IRNazanin" w:eastAsia="IRNazanin" w:cs="IRNazanin"/>
          <w:lang w:bidi="fa-IR"/>
          <w:color w:val="111111"/>
          <w:sz w:val="28"/>
          <w:szCs w:val="28"/>
          <w:rtl/>
        </w:rPr>
        <w:t xml:space="preserve">مشایخه 117</w:t>
      </w:r>
    </w:p>
    <w:p>
      <w:pPr>
        <w:pStyle w:val="BookText"/>
      </w:pPr>
      <w:r>
        <w:rPr>
          <w:rFonts w:ascii="IRNazanin" w:hAnsi="IRNazanin" w:eastAsia="IRNazanin" w:cs="IRNazanin"/>
          <w:lang w:bidi="fa-IR"/>
          <w:color w:val="111111"/>
          <w:sz w:val="28"/>
          <w:szCs w:val="28"/>
          <w:rtl/>
        </w:rPr>
        <w:t xml:space="preserve">تلامیذه 117</w:t>
      </w:r>
    </w:p>
    <w:p>
      <w:pPr>
        <w:pStyle w:val="BookText"/>
      </w:pPr>
      <w:r>
        <w:rPr>
          <w:rFonts w:ascii="IRNazanin" w:hAnsi="IRNazanin" w:eastAsia="IRNazanin" w:cs="IRNazanin"/>
          <w:lang w:bidi="fa-IR"/>
          <w:color w:val="111111"/>
          <w:sz w:val="28"/>
          <w:szCs w:val="28"/>
          <w:rtl/>
        </w:rPr>
        <w:t xml:space="preserve">تآلیفه 118</w:t>
      </w:r>
    </w:p>
    <w:p>
      <w:pPr>
        <w:pStyle w:val="BookText"/>
      </w:pPr>
      <w:r>
        <w:rPr>
          <w:rFonts w:ascii="IRNazanin" w:hAnsi="IRNazanin" w:eastAsia="IRNazanin" w:cs="IRNazanin"/>
          <w:lang w:bidi="fa-IR"/>
          <w:color w:val="111111"/>
          <w:sz w:val="28"/>
          <w:szCs w:val="28"/>
          <w:rtl/>
        </w:rPr>
        <w:t xml:space="preserve">وفاته 118</w:t>
      </w:r>
    </w:p>
    <w:p>
      <w:pPr>
        <w:pStyle w:val="BookText"/>
      </w:pPr>
      <w:r>
        <w:rPr>
          <w:rFonts w:ascii="IRNazanin" w:hAnsi="IRNazanin" w:eastAsia="IRNazanin" w:cs="IRNazanin"/>
          <w:lang w:bidi="fa-IR"/>
          <w:color w:val="111111"/>
          <w:sz w:val="28"/>
          <w:szCs w:val="28"/>
          <w:rtl/>
        </w:rPr>
        <w:t xml:space="preserve">4 - خلاصة الأقوال فی علم الرجال 119</w:t>
      </w:r>
    </w:p>
    <w:p>
      <w:pPr>
        <w:pStyle w:val="BookText"/>
      </w:pPr>
      <w:r>
        <w:rPr>
          <w:rFonts w:ascii="IRNazanin" w:hAnsi="IRNazanin" w:eastAsia="IRNazanin" w:cs="IRNazanin"/>
          <w:lang w:bidi="fa-IR"/>
          <w:color w:val="111111"/>
          <w:sz w:val="28"/>
          <w:szCs w:val="28"/>
          <w:rtl/>
        </w:rPr>
        <w:t xml:space="preserve">الفروق بین رجالی العلامة و ابن داوود 120</w:t>
      </w:r>
    </w:p>
    <w:p>
      <w:pPr>
        <w:pStyle w:val="BookText"/>
      </w:pPr>
      <w:r>
        <w:rPr>
          <w:rFonts w:ascii="IRNazanin" w:hAnsi="IRNazanin" w:eastAsia="IRNazanin" w:cs="IRNazanin"/>
          <w:lang w:bidi="fa-IR"/>
          <w:color w:val="111111"/>
          <w:sz w:val="28"/>
          <w:szCs w:val="28"/>
          <w:rtl/>
        </w:rPr>
        <w:t xml:space="preserve">المجهول فی مصطلح العلامة و ابن داوود 122</w:t>
      </w:r>
    </w:p>
    <w:p>
      <w:pPr>
        <w:pStyle w:val="BookText"/>
      </w:pPr>
      <w:r>
        <w:rPr>
          <w:rFonts w:ascii="IRNazanin" w:hAnsi="IRNazanin" w:eastAsia="IRNazanin" w:cs="IRNazanin"/>
          <w:lang w:bidi="fa-IR"/>
          <w:color w:val="111111"/>
          <w:sz w:val="28"/>
          <w:szCs w:val="28"/>
          <w:rtl/>
        </w:rPr>
        <w:t xml:space="preserve">2 - الجوامع الرجالیة فی العصور المتأخرة 125</w:t>
      </w:r>
    </w:p>
    <w:p>
      <w:pPr>
        <w:pStyle w:val="BookText"/>
      </w:pPr>
      <w:r>
        <w:rPr>
          <w:rFonts w:ascii="IRNazanin" w:hAnsi="IRNazanin" w:eastAsia="IRNazanin" w:cs="IRNazanin"/>
          <w:lang w:bidi="fa-IR"/>
          <w:color w:val="111111"/>
          <w:sz w:val="28"/>
          <w:szCs w:val="28"/>
          <w:rtl/>
        </w:rPr>
        <w:t xml:space="preserve">1 - مجمع الرجال 127</w:t>
      </w:r>
    </w:p>
    <w:p>
      <w:pPr>
        <w:pStyle w:val="BookText"/>
      </w:pPr>
      <w:r>
        <w:rPr>
          <w:rFonts w:ascii="IRNazanin" w:hAnsi="IRNazanin" w:eastAsia="IRNazanin" w:cs="IRNazanin"/>
          <w:lang w:bidi="fa-IR"/>
          <w:color w:val="111111"/>
          <w:sz w:val="28"/>
          <w:szCs w:val="28"/>
          <w:rtl/>
        </w:rPr>
        <w:t xml:space="preserve">2 - منهج المقال 127</w:t>
      </w:r>
    </w:p>
    <w:p>
      <w:pPr>
        <w:pStyle w:val="BookText"/>
      </w:pPr>
      <w:r>
        <w:rPr>
          <w:rFonts w:ascii="Amiri" w:hAnsi="Amiri" w:eastAsia="Amiri" w:cs="Amiri"/>
          <w:lang w:bidi="ar-SA"/>
          <w:color w:val="111111"/>
          <w:sz w:val="28"/>
          <w:szCs w:val="28"/>
          <w:rtl/>
        </w:rPr>
        <w:t xml:space="preserve">3 - جامع الرواة 128</w:t>
      </w:r>
    </w:p>
    <w:p>
      <w:pPr>
        <w:pStyle w:val="BookText"/>
      </w:pPr>
      <w:r>
        <w:rPr>
          <w:rFonts w:ascii="IRNazanin" w:hAnsi="IRNazanin" w:eastAsia="IRNazanin" w:cs="IRNazanin"/>
          <w:lang w:bidi="fa-IR"/>
          <w:color w:val="111111"/>
          <w:sz w:val="28"/>
          <w:szCs w:val="28"/>
          <w:rtl/>
        </w:rPr>
        <w:t xml:space="preserve">4 - نقد الرجال 129</w:t>
      </w:r>
    </w:p>
    <w:p>
      <w:pPr>
        <w:pStyle w:val="BookText"/>
      </w:pPr>
      <w:r>
        <w:rPr>
          <w:rFonts w:ascii="IRNazanin" w:hAnsi="IRNazanin" w:eastAsia="IRNazanin" w:cs="IRNazanin"/>
          <w:lang w:bidi="fa-IR"/>
          <w:color w:val="111111"/>
          <w:sz w:val="28"/>
          <w:szCs w:val="28"/>
          <w:rtl/>
        </w:rPr>
        <w:t xml:space="preserve">5 - منتهی المقال فی أحوال الرجال 130</w:t>
      </w:r>
    </w:p>
    <w:p>
      <w:pPr>
        <w:pStyle w:val="BookText"/>
      </w:pPr>
      <w:r>
        <w:rPr>
          <w:rFonts w:ascii="IRNazanin" w:hAnsi="IRNazanin" w:eastAsia="IRNazanin" w:cs="IRNazanin"/>
          <w:lang w:bidi="fa-IR"/>
          <w:color w:val="111111"/>
          <w:sz w:val="28"/>
          <w:szCs w:val="28"/>
          <w:rtl/>
        </w:rPr>
        <w:t xml:space="preserve">3 - الجوامع الرجالیة الدارجة علی منهج القدماء 131</w:t>
      </w:r>
    </w:p>
    <w:p>
      <w:pPr>
        <w:pStyle w:val="BookText"/>
      </w:pPr>
      <w:r>
        <w:rPr>
          <w:rFonts w:ascii="IRNazanin" w:hAnsi="IRNazanin" w:eastAsia="IRNazanin" w:cs="IRNazanin"/>
          <w:lang w:bidi="fa-IR"/>
          <w:color w:val="111111"/>
          <w:sz w:val="28"/>
          <w:szCs w:val="28"/>
          <w:rtl/>
        </w:rPr>
        <w:t xml:space="preserve">1 - «بهجة الآمال فی شرح زبدة المقال فی علم الرجال» 124</w:t>
      </w:r>
    </w:p>
    <w:p>
      <w:pPr>
        <w:pStyle w:val="BookText"/>
      </w:pPr>
      <w:r>
        <w:rPr>
          <w:rFonts w:ascii="IRNazanin" w:hAnsi="IRNazanin" w:eastAsia="IRNazanin" w:cs="IRNazanin"/>
          <w:lang w:bidi="fa-IR"/>
          <w:color w:val="111111"/>
          <w:sz w:val="28"/>
          <w:szCs w:val="28"/>
          <w:rtl/>
        </w:rPr>
        <w:t xml:space="preserve">2 - «تنقیح المقال فی معرفة علم الرجال» 134</w:t>
      </w:r>
    </w:p>
    <w:p>
      <w:pPr>
        <w:pStyle w:val="BookText"/>
      </w:pPr>
      <w:r>
        <w:rPr>
          <w:rFonts w:ascii="IRNazanin" w:hAnsi="IRNazanin" w:eastAsia="IRNazanin" w:cs="IRNazanin"/>
          <w:lang w:bidi="fa-IR"/>
          <w:color w:val="111111"/>
          <w:sz w:val="28"/>
          <w:szCs w:val="28"/>
          <w:rtl/>
        </w:rPr>
        <w:t xml:space="preserve">3 - «قاموس الرجال» 136</w:t>
      </w:r>
    </w:p>
    <w:p>
      <w:pPr>
        <w:pStyle w:val="BookText"/>
      </w:pPr>
      <w:r>
        <w:rPr>
          <w:rFonts w:ascii="IRNazanin" w:hAnsi="IRNazanin" w:eastAsia="IRNazanin" w:cs="IRNazanin"/>
          <w:lang w:bidi="fa-IR"/>
          <w:color w:val="111111"/>
          <w:sz w:val="28"/>
          <w:szCs w:val="28"/>
          <w:rtl/>
        </w:rPr>
        <w:t xml:space="preserve">4 - تطور فی تألیف الجوامع الرجالیة 137</w:t>
      </w:r>
    </w:p>
    <w:p>
      <w:pPr>
        <w:pStyle w:val="BookText"/>
      </w:pPr>
      <w:r>
        <w:rPr>
          <w:rFonts w:ascii="IRNazanin" w:hAnsi="IRNazanin" w:eastAsia="IRNazanin" w:cs="IRNazanin"/>
          <w:lang w:bidi="fa-IR"/>
          <w:color w:val="111111"/>
          <w:sz w:val="28"/>
          <w:szCs w:val="28"/>
          <w:rtl/>
        </w:rPr>
        <w:t xml:space="preserve">بروز نمط خاصّ فی تألیف الرجال 141</w:t>
      </w:r>
    </w:p>
    <w:p>
      <w:pPr>
        <w:pStyle w:val="BookText"/>
      </w:pPr>
      <w:r>
        <w:rPr>
          <w:rFonts w:ascii="Amiri" w:hAnsi="Amiri" w:eastAsia="Amiri" w:cs="Amiri"/>
          <w:lang w:bidi="ar-SA"/>
          <w:color w:val="111111"/>
          <w:sz w:val="28"/>
          <w:szCs w:val="28"/>
          <w:rtl/>
        </w:rPr>
        <w:t xml:space="preserve">1 - جامع الرواة 143</w:t>
      </w:r>
    </w:p>
    <w:p>
      <w:pPr>
        <w:pStyle w:val="BookText"/>
      </w:pPr>
      <w:r>
        <w:rPr>
          <w:rFonts w:ascii="IRNazanin" w:hAnsi="IRNazanin" w:eastAsia="IRNazanin" w:cs="IRNazanin"/>
          <w:lang w:bidi="fa-IR"/>
          <w:color w:val="111111"/>
          <w:sz w:val="28"/>
          <w:szCs w:val="28"/>
          <w:rtl/>
        </w:rPr>
        <w:t xml:space="preserve">2 - طرائف المقال 143</w:t>
      </w:r>
    </w:p>
    <w:p>
      <w:pPr>
        <w:pStyle w:val="BookText"/>
      </w:pPr>
      <w:r>
        <w:rPr>
          <w:rFonts w:ascii="IRNazanin" w:hAnsi="IRNazanin" w:eastAsia="IRNazanin" w:cs="IRNazanin"/>
          <w:lang w:bidi="fa-IR"/>
          <w:color w:val="111111"/>
          <w:sz w:val="28"/>
          <w:szCs w:val="28"/>
          <w:rtl/>
        </w:rPr>
        <w:t xml:space="preserve">3 - مرتب الأسانید 143</w:t>
      </w:r>
    </w:p>
    <w:p>
      <w:pPr>
        <w:pStyle w:val="BookText"/>
      </w:pPr>
      <w:r>
        <w:rPr>
          <w:rFonts w:ascii="IRNazanin" w:hAnsi="IRNazanin" w:eastAsia="IRNazanin" w:cs="IRNazanin"/>
          <w:lang w:bidi="fa-IR"/>
          <w:color w:val="111111"/>
          <w:sz w:val="28"/>
          <w:szCs w:val="28"/>
          <w:rtl/>
        </w:rPr>
        <w:t xml:space="preserve">[شماره صفحه واقعی : 498]</w:t>
      </w:r>
    </w:p>
    <w:p>
      <w:pPr>
        <w:pStyle w:val="BookText"/>
      </w:pPr>
      <w:r>
        <w:rPr>
          <w:rFonts w:ascii="IRNazanin" w:hAnsi="IRNazanin" w:eastAsia="IRNazanin" w:cs="IRNazanin"/>
          <w:lang w:bidi="fa-IR"/>
          <w:color w:val="111111"/>
          <w:sz w:val="28"/>
          <w:szCs w:val="28"/>
          <w:rtl/>
        </w:rPr>
        <w:t xml:space="preserve">ص: 1216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معجم رجال الحدیث 146</w:t>
      </w:r>
    </w:p>
    <w:p>
      <w:pPr>
        <w:pStyle w:val="BookText"/>
      </w:pPr>
      <w:r>
        <w:rPr>
          <w:rFonts w:ascii="IRNazanin" w:hAnsi="IRNazanin" w:eastAsia="IRNazanin" w:cs="IRNazanin"/>
          <w:lang w:bidi="fa-IR"/>
          <w:color w:val="111111"/>
          <w:sz w:val="28"/>
          <w:szCs w:val="28"/>
          <w:rtl/>
        </w:rPr>
        <w:t xml:space="preserve">الفصل الخامس 149</w:t>
      </w:r>
    </w:p>
    <w:p>
      <w:pPr>
        <w:pStyle w:val="BookText"/>
      </w:pPr>
      <w:r>
        <w:rPr>
          <w:rFonts w:ascii="IRNazanin" w:hAnsi="IRNazanin" w:eastAsia="IRNazanin" w:cs="IRNazanin"/>
          <w:lang w:bidi="fa-IR"/>
          <w:color w:val="111111"/>
          <w:sz w:val="28"/>
          <w:szCs w:val="28"/>
          <w:rtl/>
        </w:rPr>
        <w:t xml:space="preserve">التوثیقات الخاصة 149</w:t>
      </w:r>
    </w:p>
    <w:p>
      <w:pPr>
        <w:pStyle w:val="BookText"/>
      </w:pPr>
      <w:r>
        <w:rPr>
          <w:rFonts w:ascii="IRNazanin" w:hAnsi="IRNazanin" w:eastAsia="IRNazanin" w:cs="IRNazanin"/>
          <w:lang w:bidi="fa-IR"/>
          <w:color w:val="111111"/>
          <w:sz w:val="28"/>
          <w:szCs w:val="28"/>
          <w:rtl/>
        </w:rPr>
        <w:t xml:space="preserve">الأول: نص أحد المعصومین - علیهم السلام - 151</w:t>
      </w:r>
    </w:p>
    <w:p>
      <w:pPr>
        <w:pStyle w:val="BookText"/>
      </w:pPr>
      <w:r>
        <w:rPr>
          <w:rFonts w:ascii="IRNazanin" w:hAnsi="IRNazanin" w:eastAsia="IRNazanin" w:cs="IRNazanin"/>
          <w:lang w:bidi="fa-IR"/>
          <w:color w:val="111111"/>
          <w:sz w:val="28"/>
          <w:szCs w:val="28"/>
          <w:rtl/>
        </w:rPr>
        <w:t xml:space="preserve">الثانیة: نصّ أحد أعلام المتقدمین 153</w:t>
      </w:r>
    </w:p>
    <w:p>
      <w:pPr>
        <w:pStyle w:val="BookText"/>
      </w:pPr>
      <w:r>
        <w:rPr>
          <w:rFonts w:ascii="IRNazanin" w:hAnsi="IRNazanin" w:eastAsia="IRNazanin" w:cs="IRNazanin"/>
          <w:lang w:bidi="fa-IR"/>
          <w:color w:val="111111"/>
          <w:sz w:val="28"/>
          <w:szCs w:val="28"/>
          <w:rtl/>
        </w:rPr>
        <w:t xml:space="preserve">الثالثة: نص أحد أعلام المتأخرین 154</w:t>
      </w:r>
    </w:p>
    <w:p>
      <w:pPr>
        <w:pStyle w:val="BookText"/>
      </w:pPr>
      <w:r>
        <w:rPr>
          <w:rFonts w:ascii="IRNazanin" w:hAnsi="IRNazanin" w:eastAsia="IRNazanin" w:cs="IRNazanin"/>
          <w:lang w:bidi="fa-IR"/>
          <w:color w:val="111111"/>
          <w:sz w:val="28"/>
          <w:szCs w:val="28"/>
          <w:rtl/>
        </w:rPr>
        <w:t xml:space="preserve">الرابعة: دعوی الإجماع من قبل الأقدمین 156</w:t>
      </w:r>
    </w:p>
    <w:p>
      <w:pPr>
        <w:pStyle w:val="BookText"/>
      </w:pPr>
      <w:r>
        <w:rPr>
          <w:rFonts w:ascii="IRNazanin" w:hAnsi="IRNazanin" w:eastAsia="IRNazanin" w:cs="IRNazanin"/>
          <w:lang w:bidi="fa-IR"/>
          <w:color w:val="111111"/>
          <w:sz w:val="28"/>
          <w:szCs w:val="28"/>
          <w:rtl/>
        </w:rPr>
        <w:t xml:space="preserve">الخامسة: المدح الکاشف عن حسن الظاهر 157</w:t>
      </w:r>
    </w:p>
    <w:p>
      <w:pPr>
        <w:pStyle w:val="BookText"/>
      </w:pPr>
      <w:r>
        <w:rPr>
          <w:rFonts w:ascii="IRNazanin" w:hAnsi="IRNazanin" w:eastAsia="IRNazanin" w:cs="IRNazanin"/>
          <w:lang w:bidi="fa-IR"/>
          <w:color w:val="111111"/>
          <w:sz w:val="28"/>
          <w:szCs w:val="28"/>
          <w:rtl/>
        </w:rPr>
        <w:t xml:space="preserve">السادسة: سعی المستنبط علی جمع القرائن 157</w:t>
      </w:r>
    </w:p>
    <w:p>
      <w:pPr>
        <w:pStyle w:val="BookText"/>
      </w:pPr>
      <w:r>
        <w:rPr>
          <w:rFonts w:ascii="IRNazanin" w:hAnsi="IRNazanin" w:eastAsia="IRNazanin" w:cs="IRNazanin"/>
          <w:lang w:bidi="fa-IR"/>
          <w:color w:val="111111"/>
          <w:sz w:val="28"/>
          <w:szCs w:val="28"/>
          <w:rtl/>
        </w:rPr>
        <w:t xml:space="preserve">بحث إستطرادی و هو هل یکفی تزکیة العدل الواحد؟ 158</w:t>
      </w:r>
    </w:p>
    <w:p>
      <w:pPr>
        <w:pStyle w:val="BookText"/>
      </w:pPr>
      <w:r>
        <w:rPr>
          <w:rFonts w:ascii="IRNazanin" w:hAnsi="IRNazanin" w:eastAsia="IRNazanin" w:cs="IRNazanin"/>
          <w:lang w:bidi="fa-IR"/>
          <w:color w:val="111111"/>
          <w:sz w:val="28"/>
          <w:szCs w:val="28"/>
          <w:rtl/>
        </w:rPr>
        <w:t xml:space="preserve">الفصل السادس: 161</w:t>
      </w:r>
    </w:p>
    <w:p>
      <w:pPr>
        <w:pStyle w:val="BookText"/>
      </w:pPr>
      <w:r>
        <w:rPr>
          <w:rFonts w:ascii="IRNazanin" w:hAnsi="IRNazanin" w:eastAsia="IRNazanin" w:cs="IRNazanin"/>
          <w:lang w:bidi="fa-IR"/>
          <w:color w:val="111111"/>
          <w:sz w:val="28"/>
          <w:szCs w:val="28"/>
          <w:rtl/>
        </w:rPr>
        <w:t xml:space="preserve">التوثیقات العامة 161</w:t>
      </w:r>
    </w:p>
    <w:p>
      <w:pPr>
        <w:pStyle w:val="BookText"/>
      </w:pPr>
      <w:r>
        <w:rPr>
          <w:rFonts w:ascii="IRNazanin" w:hAnsi="IRNazanin" w:eastAsia="IRNazanin" w:cs="IRNazanin"/>
          <w:lang w:bidi="fa-IR"/>
          <w:color w:val="111111"/>
          <w:sz w:val="28"/>
          <w:szCs w:val="28"/>
          <w:rtl/>
        </w:rPr>
        <w:t xml:space="preserve">1 - أصحاب الإجماع 163</w:t>
      </w:r>
    </w:p>
    <w:p>
      <w:pPr>
        <w:pStyle w:val="BookText"/>
      </w:pPr>
      <w:r>
        <w:rPr>
          <w:rFonts w:ascii="IRNazanin" w:hAnsi="IRNazanin" w:eastAsia="IRNazanin" w:cs="IRNazanin"/>
          <w:lang w:bidi="fa-IR"/>
          <w:color w:val="111111"/>
          <w:sz w:val="28"/>
          <w:szCs w:val="28"/>
          <w:rtl/>
        </w:rPr>
        <w:t xml:space="preserve">و لتحقیق الحال یجب البحث عن أمور:</w:t>
      </w:r>
    </w:p>
    <w:p>
      <w:pPr>
        <w:pStyle w:val="BookText"/>
      </w:pPr>
      <w:r>
        <w:rPr>
          <w:rFonts w:ascii="IRNazanin" w:hAnsi="IRNazanin" w:eastAsia="IRNazanin" w:cs="IRNazanin"/>
          <w:lang w:bidi="fa-IR"/>
          <w:color w:val="111111"/>
          <w:sz w:val="28"/>
          <w:szCs w:val="28"/>
          <w:rtl/>
        </w:rPr>
        <w:t xml:space="preserve">الأول: ما هو الأصل فی ذلک؟ 165</w:t>
      </w:r>
    </w:p>
    <w:p>
      <w:pPr>
        <w:pStyle w:val="BookText"/>
      </w:pPr>
      <w:r>
        <w:rPr>
          <w:rFonts w:ascii="IRNazanin" w:hAnsi="IRNazanin" w:eastAsia="IRNazanin" w:cs="IRNazanin"/>
          <w:lang w:bidi="fa-IR"/>
          <w:color w:val="111111"/>
          <w:sz w:val="28"/>
          <w:szCs w:val="28"/>
          <w:rtl/>
        </w:rPr>
        <w:t xml:space="preserve">الثانی: «أصحاب الإجماع» إصطلاح جدید 168</w:t>
      </w:r>
    </w:p>
    <w:p>
      <w:pPr>
        <w:pStyle w:val="BookText"/>
      </w:pPr>
      <w:r>
        <w:rPr>
          <w:rFonts w:ascii="IRNazanin" w:hAnsi="IRNazanin" w:eastAsia="IRNazanin" w:cs="IRNazanin"/>
          <w:lang w:bidi="fa-IR"/>
          <w:color w:val="111111"/>
          <w:sz w:val="28"/>
          <w:szCs w:val="28"/>
          <w:rtl/>
        </w:rPr>
        <w:t xml:space="preserve">الثالث: فی عددهم 168</w:t>
      </w:r>
    </w:p>
    <w:p>
      <w:pPr>
        <w:pStyle w:val="BookText"/>
      </w:pPr>
      <w:r>
        <w:rPr>
          <w:rFonts w:ascii="IRNazanin" w:hAnsi="IRNazanin" w:eastAsia="IRNazanin" w:cs="IRNazanin"/>
          <w:lang w:bidi="fa-IR"/>
          <w:color w:val="111111"/>
          <w:sz w:val="28"/>
          <w:szCs w:val="28"/>
          <w:rtl/>
        </w:rPr>
        <w:t xml:space="preserve">الرابع: فیما نظمه السید بحر العلوم 170</w:t>
      </w:r>
    </w:p>
    <w:p>
      <w:pPr>
        <w:pStyle w:val="BookText"/>
      </w:pPr>
      <w:r>
        <w:rPr>
          <w:rFonts w:ascii="IRNazanin" w:hAnsi="IRNazanin" w:eastAsia="IRNazanin" w:cs="IRNazanin"/>
          <w:lang w:bidi="fa-IR"/>
          <w:color w:val="111111"/>
          <w:sz w:val="28"/>
          <w:szCs w:val="28"/>
          <w:rtl/>
        </w:rPr>
        <w:t xml:space="preserve">الخامس: فی کیفیة تلقی الأصحاب هذا الإجماع 172</w:t>
      </w:r>
    </w:p>
    <w:p>
      <w:pPr>
        <w:pStyle w:val="BookText"/>
      </w:pPr>
      <w:r>
        <w:rPr>
          <w:rFonts w:ascii="IRNazanin" w:hAnsi="IRNazanin" w:eastAsia="IRNazanin" w:cs="IRNazanin"/>
          <w:lang w:bidi="fa-IR"/>
          <w:color w:val="111111"/>
          <w:sz w:val="28"/>
          <w:szCs w:val="28"/>
          <w:rtl/>
        </w:rPr>
        <w:t xml:space="preserve">السادس: فی وجه حجیة ذاک الإجماع 175</w:t>
      </w:r>
    </w:p>
    <w:p>
      <w:pPr>
        <w:pStyle w:val="BookText"/>
      </w:pPr>
      <w:r>
        <w:rPr>
          <w:rFonts w:ascii="IRNazanin" w:hAnsi="IRNazanin" w:eastAsia="IRNazanin" w:cs="IRNazanin"/>
          <w:lang w:bidi="fa-IR"/>
          <w:color w:val="111111"/>
          <w:sz w:val="28"/>
          <w:szCs w:val="28"/>
          <w:rtl/>
        </w:rPr>
        <w:t xml:space="preserve">السابع: فی مفاد «تصحیح ما یصح عنهم» 178</w:t>
      </w:r>
    </w:p>
    <w:p>
      <w:pPr>
        <w:pStyle w:val="BookText"/>
      </w:pPr>
      <w:r>
        <w:rPr>
          <w:rFonts w:ascii="IRNazanin" w:hAnsi="IRNazanin" w:eastAsia="IRNazanin" w:cs="IRNazanin"/>
          <w:lang w:bidi="fa-IR"/>
          <w:color w:val="111111"/>
          <w:sz w:val="28"/>
          <w:szCs w:val="28"/>
          <w:rtl/>
        </w:rPr>
        <w:t xml:space="preserve">2 - مشایخ الثقات 202</w:t>
      </w:r>
    </w:p>
    <w:p>
      <w:pPr>
        <w:pStyle w:val="BookText"/>
      </w:pPr>
      <w:r>
        <w:rPr>
          <w:rFonts w:ascii="IRNazanin" w:hAnsi="IRNazanin" w:eastAsia="IRNazanin" w:cs="IRNazanin"/>
          <w:lang w:bidi="fa-IR"/>
          <w:color w:val="111111"/>
          <w:sz w:val="28"/>
          <w:szCs w:val="28"/>
          <w:rtl/>
        </w:rPr>
        <w:t xml:space="preserve">1 - ابن أبی عمیر (المتوفی عام 217) 206</w:t>
      </w:r>
    </w:p>
    <w:p>
      <w:pPr>
        <w:pStyle w:val="BookText"/>
      </w:pPr>
      <w:r>
        <w:rPr>
          <w:rFonts w:ascii="IRNazanin" w:hAnsi="IRNazanin" w:eastAsia="IRNazanin" w:cs="IRNazanin"/>
          <w:lang w:bidi="fa-IR"/>
          <w:color w:val="111111"/>
          <w:sz w:val="28"/>
          <w:szCs w:val="28"/>
          <w:rtl/>
        </w:rPr>
        <w:t xml:space="preserve">[شماره صفحه واقعی : 499]</w:t>
      </w:r>
    </w:p>
    <w:p>
      <w:pPr>
        <w:pStyle w:val="BookText"/>
      </w:pPr>
      <w:r>
        <w:rPr>
          <w:rFonts w:ascii="IRNazanin" w:hAnsi="IRNazanin" w:eastAsia="IRNazanin" w:cs="IRNazanin"/>
          <w:lang w:bidi="fa-IR"/>
          <w:color w:val="111111"/>
          <w:sz w:val="28"/>
          <w:szCs w:val="28"/>
          <w:rtl/>
        </w:rPr>
        <w:t xml:space="preserve">ص: 1217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القاعدة بالنقل عن الضعاف 235</w:t>
      </w:r>
    </w:p>
    <w:p>
      <w:pPr>
        <w:pStyle w:val="BookText"/>
      </w:pPr>
      <w:r>
        <w:rPr>
          <w:rFonts w:ascii="IRNazanin" w:hAnsi="IRNazanin" w:eastAsia="IRNazanin" w:cs="IRNazanin"/>
          <w:lang w:bidi="fa-IR"/>
          <w:color w:val="111111"/>
          <w:sz w:val="28"/>
          <w:szCs w:val="28"/>
          <w:rtl/>
        </w:rPr>
        <w:t xml:space="preserve">2 - صفوان بن یحیی بیّاع السابری (المتوفی عام 210 ه) 252</w:t>
      </w:r>
    </w:p>
    <w:p>
      <w:pPr>
        <w:pStyle w:val="BookText"/>
      </w:pPr>
      <w:r>
        <w:rPr>
          <w:rFonts w:ascii="IRNazanin" w:hAnsi="IRNazanin" w:eastAsia="IRNazanin" w:cs="IRNazanin"/>
          <w:lang w:bidi="fa-IR"/>
          <w:color w:val="111111"/>
          <w:sz w:val="28"/>
          <w:szCs w:val="28"/>
          <w:rtl/>
        </w:rPr>
        <w:t xml:space="preserve">مشایخه 253</w:t>
      </w:r>
    </w:p>
    <w:p>
      <w:pPr>
        <w:pStyle w:val="BookText"/>
      </w:pPr>
      <w:r>
        <w:rPr>
          <w:rFonts w:ascii="IRNazanin" w:hAnsi="IRNazanin" w:eastAsia="IRNazanin" w:cs="IRNazanin"/>
          <w:lang w:bidi="fa-IR"/>
          <w:color w:val="111111"/>
          <w:sz w:val="28"/>
          <w:szCs w:val="28"/>
          <w:rtl/>
        </w:rPr>
        <w:t xml:space="preserve">3 - أحمد بن محمّد بن عمرو بن أبی نصر البزنطی (المتوفی عام 221) 259</w:t>
      </w:r>
    </w:p>
    <w:p>
      <w:pPr>
        <w:pStyle w:val="BookText"/>
      </w:pPr>
      <w:r>
        <w:rPr>
          <w:rFonts w:ascii="Amiri" w:hAnsi="Amiri" w:eastAsia="Amiri" w:cs="Amiri"/>
          <w:lang w:bidi="ar-SA"/>
          <w:color w:val="111111"/>
          <w:sz w:val="28"/>
          <w:szCs w:val="28"/>
          <w:rtl/>
        </w:rPr>
        <w:t xml:space="preserve">محاولة للإجابة عن النقوض 265</w:t>
      </w:r>
    </w:p>
    <w:p>
      <w:pPr>
        <w:pStyle w:val="BookText"/>
      </w:pPr>
      <w:r>
        <w:rPr>
          <w:rFonts w:ascii="IRNazanin" w:hAnsi="IRNazanin" w:eastAsia="IRNazanin" w:cs="IRNazanin"/>
          <w:lang w:bidi="fa-IR"/>
          <w:color w:val="111111"/>
          <w:sz w:val="28"/>
          <w:szCs w:val="28"/>
          <w:rtl/>
        </w:rPr>
        <w:t xml:space="preserve">3 - العصابة المشهورة بأنهم لا یروون إلاّ عن الثقات 273</w:t>
      </w:r>
    </w:p>
    <w:p>
      <w:pPr>
        <w:pStyle w:val="BookText"/>
      </w:pPr>
      <w:r>
        <w:rPr>
          <w:rFonts w:ascii="IRNazanin" w:hAnsi="IRNazanin" w:eastAsia="IRNazanin" w:cs="IRNazanin"/>
          <w:lang w:bidi="fa-IR"/>
          <w:color w:val="111111"/>
          <w:sz w:val="28"/>
          <w:szCs w:val="28"/>
          <w:rtl/>
        </w:rPr>
        <w:t xml:space="preserve">أ - أحمد بن محمد بن عیسی القمی 175</w:t>
      </w:r>
    </w:p>
    <w:p>
      <w:pPr>
        <w:pStyle w:val="BookText"/>
      </w:pPr>
      <w:r>
        <w:rPr>
          <w:rFonts w:ascii="Amiri" w:hAnsi="Amiri" w:eastAsia="Amiri" w:cs="Amiri"/>
          <w:lang w:bidi="ar-SA"/>
          <w:color w:val="111111"/>
          <w:sz w:val="28"/>
          <w:szCs w:val="28"/>
          <w:rtl/>
        </w:rPr>
        <w:t xml:space="preserve">ب - بنو فضّال 178</w:t>
      </w:r>
    </w:p>
    <w:p>
      <w:pPr>
        <w:pStyle w:val="BookText"/>
      </w:pPr>
      <w:r>
        <w:rPr>
          <w:rFonts w:ascii="IRNazanin" w:hAnsi="IRNazanin" w:eastAsia="IRNazanin" w:cs="IRNazanin"/>
          <w:lang w:bidi="fa-IR"/>
          <w:color w:val="111111"/>
          <w:sz w:val="28"/>
          <w:szCs w:val="28"/>
          <w:rtl/>
        </w:rPr>
        <w:t xml:space="preserve">ج - جعفر بن بشیر 279</w:t>
      </w:r>
    </w:p>
    <w:p>
      <w:pPr>
        <w:pStyle w:val="BookText"/>
      </w:pPr>
      <w:r>
        <w:rPr>
          <w:rFonts w:ascii="IRNazanin" w:hAnsi="IRNazanin" w:eastAsia="IRNazanin" w:cs="IRNazanin"/>
          <w:lang w:bidi="fa-IR"/>
          <w:color w:val="111111"/>
          <w:sz w:val="28"/>
          <w:szCs w:val="28"/>
          <w:rtl/>
        </w:rPr>
        <w:t xml:space="preserve">د - محمد بن إسماعیل بن میمون الزعفرانی 280</w:t>
      </w:r>
    </w:p>
    <w:p>
      <w:pPr>
        <w:pStyle w:val="BookText"/>
      </w:pPr>
      <w:r>
        <w:rPr>
          <w:rFonts w:ascii="IRNazanin" w:hAnsi="IRNazanin" w:eastAsia="IRNazanin" w:cs="IRNazanin"/>
          <w:lang w:bidi="fa-IR"/>
          <w:color w:val="111111"/>
          <w:sz w:val="28"/>
          <w:szCs w:val="28"/>
          <w:rtl/>
        </w:rPr>
        <w:t xml:space="preserve">ه - علی بن الحسن الطاطری 280</w:t>
      </w:r>
    </w:p>
    <w:p>
      <w:pPr>
        <w:pStyle w:val="BookText"/>
      </w:pPr>
      <w:r>
        <w:rPr>
          <w:rFonts w:ascii="IRNazanin" w:hAnsi="IRNazanin" w:eastAsia="IRNazanin" w:cs="IRNazanin"/>
          <w:lang w:bidi="fa-IR"/>
          <w:color w:val="111111"/>
          <w:sz w:val="28"/>
          <w:szCs w:val="28"/>
          <w:rtl/>
        </w:rPr>
        <w:t xml:space="preserve">و - أحمد بن علی النجاشی صاحب الفهرس 281</w:t>
      </w:r>
    </w:p>
    <w:p>
      <w:pPr>
        <w:pStyle w:val="BookText"/>
      </w:pPr>
      <w:r>
        <w:rPr>
          <w:rFonts w:ascii="IRNazanin" w:hAnsi="IRNazanin" w:eastAsia="IRNazanin" w:cs="IRNazanin"/>
          <w:lang w:bidi="fa-IR"/>
          <w:color w:val="111111"/>
          <w:sz w:val="28"/>
          <w:szCs w:val="28"/>
          <w:rtl/>
        </w:rPr>
        <w:t xml:space="preserve">مشایخ النجاشی کما استخرجهم النوری 285</w:t>
      </w:r>
    </w:p>
    <w:p>
      <w:pPr>
        <w:pStyle w:val="BookText"/>
      </w:pPr>
      <w:r>
        <w:rPr>
          <w:rFonts w:ascii="IRNazanin" w:hAnsi="IRNazanin" w:eastAsia="IRNazanin" w:cs="IRNazanin"/>
          <w:lang w:bidi="fa-IR"/>
          <w:color w:val="111111"/>
          <w:sz w:val="28"/>
          <w:szCs w:val="28"/>
          <w:rtl/>
        </w:rPr>
        <w:t xml:space="preserve">4 - کل من یروی عنه محمد بن أحمد بن یحیی بلا واسطة فی «نوادر الحکمة» 289</w:t>
      </w:r>
    </w:p>
    <w:p>
      <w:pPr>
        <w:pStyle w:val="BookText"/>
      </w:pPr>
      <w:r>
        <w:rPr>
          <w:rFonts w:ascii="IRNazanin" w:hAnsi="IRNazanin" w:eastAsia="IRNazanin" w:cs="IRNazanin"/>
          <w:lang w:bidi="fa-IR"/>
          <w:color w:val="111111"/>
          <w:sz w:val="28"/>
          <w:szCs w:val="28"/>
          <w:rtl/>
        </w:rPr>
        <w:t xml:space="preserve">طبقته فی الحدیث 292</w:t>
      </w:r>
    </w:p>
    <w:p>
      <w:pPr>
        <w:pStyle w:val="BookText"/>
      </w:pPr>
      <w:r>
        <w:rPr>
          <w:rFonts w:ascii="IRNazanin" w:hAnsi="IRNazanin" w:eastAsia="IRNazanin" w:cs="IRNazanin"/>
          <w:lang w:bidi="fa-IR"/>
          <w:color w:val="111111"/>
          <w:sz w:val="28"/>
          <w:szCs w:val="28"/>
          <w:rtl/>
        </w:rPr>
        <w:t xml:space="preserve">نظرنا فی الموضوع 293</w:t>
      </w:r>
    </w:p>
    <w:p>
      <w:pPr>
        <w:pStyle w:val="BookText"/>
      </w:pPr>
      <w:r>
        <w:rPr>
          <w:rFonts w:ascii="IRNazanin" w:hAnsi="IRNazanin" w:eastAsia="IRNazanin" w:cs="IRNazanin"/>
          <w:lang w:bidi="fa-IR"/>
          <w:color w:val="111111"/>
          <w:sz w:val="28"/>
          <w:szCs w:val="28"/>
          <w:rtl/>
        </w:rPr>
        <w:t xml:space="preserve">5 - ما وقع فی إسناد کتاب «کامل الزیارة» 297</w:t>
      </w:r>
    </w:p>
    <w:p>
      <w:pPr>
        <w:pStyle w:val="BookText"/>
      </w:pPr>
      <w:r>
        <w:rPr>
          <w:rFonts w:ascii="IRNazanin" w:hAnsi="IRNazanin" w:eastAsia="IRNazanin" w:cs="IRNazanin"/>
          <w:lang w:bidi="fa-IR"/>
          <w:color w:val="111111"/>
          <w:sz w:val="28"/>
          <w:szCs w:val="28"/>
          <w:rtl/>
        </w:rPr>
        <w:t xml:space="preserve">6 - ما ورد فی إسناد تفسیر القمی 307</w:t>
      </w:r>
    </w:p>
    <w:p>
      <w:pPr>
        <w:pStyle w:val="BookText"/>
      </w:pPr>
      <w:r>
        <w:rPr>
          <w:rFonts w:ascii="IRNazanin" w:hAnsi="IRNazanin" w:eastAsia="IRNazanin" w:cs="IRNazanin"/>
          <w:lang w:bidi="fa-IR"/>
          <w:color w:val="111111"/>
          <w:sz w:val="28"/>
          <w:szCs w:val="28"/>
          <w:rtl/>
        </w:rPr>
        <w:t xml:space="preserve">1 - ترجمة القمی 310</w:t>
      </w:r>
    </w:p>
    <w:p>
      <w:pPr>
        <w:pStyle w:val="BookText"/>
      </w:pPr>
      <w:r>
        <w:rPr>
          <w:rFonts w:ascii="IRNazanin" w:hAnsi="IRNazanin" w:eastAsia="IRNazanin" w:cs="IRNazanin"/>
          <w:lang w:bidi="fa-IR"/>
          <w:color w:val="111111"/>
          <w:sz w:val="28"/>
          <w:szCs w:val="28"/>
          <w:rtl/>
        </w:rPr>
        <w:t xml:space="preserve">2 - مشایخه 310</w:t>
      </w:r>
    </w:p>
    <w:p>
      <w:pPr>
        <w:pStyle w:val="BookText"/>
      </w:pPr>
      <w:r>
        <w:rPr>
          <w:rFonts w:ascii="IRNazanin" w:hAnsi="IRNazanin" w:eastAsia="IRNazanin" w:cs="IRNazanin"/>
          <w:lang w:bidi="fa-IR"/>
          <w:color w:val="111111"/>
          <w:sz w:val="28"/>
          <w:szCs w:val="28"/>
          <w:rtl/>
        </w:rPr>
        <w:t xml:space="preserve">3 - طبقته فی الرجال 311</w:t>
      </w:r>
    </w:p>
    <w:p>
      <w:pPr>
        <w:pStyle w:val="BookText"/>
      </w:pPr>
      <w:r>
        <w:rPr>
          <w:rFonts w:ascii="IRNazanin" w:hAnsi="IRNazanin" w:eastAsia="IRNazanin" w:cs="IRNazanin"/>
          <w:lang w:bidi="fa-IR"/>
          <w:color w:val="111111"/>
          <w:sz w:val="28"/>
          <w:szCs w:val="28"/>
          <w:rtl/>
        </w:rPr>
        <w:t xml:space="preserve">4 - تعریف للتفسیر 311</w:t>
      </w:r>
    </w:p>
    <w:p>
      <w:pPr>
        <w:pStyle w:val="BookText"/>
      </w:pPr>
      <w:r>
        <w:rPr>
          <w:rFonts w:ascii="IRNazanin" w:hAnsi="IRNazanin" w:eastAsia="IRNazanin" w:cs="IRNazanin"/>
          <w:lang w:bidi="fa-IR"/>
          <w:color w:val="111111"/>
          <w:sz w:val="28"/>
          <w:szCs w:val="28"/>
          <w:rtl/>
        </w:rPr>
        <w:t xml:space="preserve">[شماره صفحه واقعی : 500]</w:t>
      </w:r>
    </w:p>
    <w:p>
      <w:pPr>
        <w:pStyle w:val="BookText"/>
      </w:pPr>
      <w:r>
        <w:rPr>
          <w:rFonts w:ascii="IRNazanin" w:hAnsi="IRNazanin" w:eastAsia="IRNazanin" w:cs="IRNazanin"/>
          <w:lang w:bidi="fa-IR"/>
          <w:color w:val="111111"/>
          <w:sz w:val="28"/>
          <w:szCs w:val="28"/>
          <w:rtl/>
        </w:rPr>
        <w:t xml:space="preserve">ص: 1218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الراوی للتفسیر أو من أملی علیه 312</w:t>
      </w:r>
    </w:p>
    <w:p>
      <w:pPr>
        <w:pStyle w:val="BookText"/>
      </w:pPr>
      <w:r>
        <w:rPr>
          <w:rFonts w:ascii="IRNazanin" w:hAnsi="IRNazanin" w:eastAsia="IRNazanin" w:cs="IRNazanin"/>
          <w:lang w:bidi="fa-IR"/>
          <w:color w:val="111111"/>
          <w:sz w:val="28"/>
          <w:szCs w:val="28"/>
          <w:rtl/>
        </w:rPr>
        <w:t xml:space="preserve">6 - التفسیر لیس للقمی وحده 313</w:t>
      </w:r>
    </w:p>
    <w:p>
      <w:pPr>
        <w:pStyle w:val="BookText"/>
      </w:pPr>
      <w:r>
        <w:rPr>
          <w:rFonts w:ascii="IRNazanin" w:hAnsi="IRNazanin" w:eastAsia="IRNazanin" w:cs="IRNazanin"/>
          <w:lang w:bidi="fa-IR"/>
          <w:color w:val="111111"/>
          <w:sz w:val="28"/>
          <w:szCs w:val="28"/>
          <w:rtl/>
        </w:rPr>
        <w:t xml:space="preserve">7 - أصحاب الصادق - علیه السلام - فی رجال الشیخ 321</w:t>
      </w:r>
    </w:p>
    <w:p>
      <w:pPr>
        <w:pStyle w:val="BookText"/>
      </w:pPr>
      <w:r>
        <w:rPr>
          <w:rFonts w:ascii="IRNazanin" w:hAnsi="IRNazanin" w:eastAsia="IRNazanin" w:cs="IRNazanin"/>
          <w:lang w:bidi="fa-IR"/>
          <w:color w:val="111111"/>
          <w:sz w:val="28"/>
          <w:szCs w:val="28"/>
          <w:rtl/>
        </w:rPr>
        <w:t xml:space="preserve">نظرنا فی الموضوع 327</w:t>
      </w:r>
    </w:p>
    <w:p>
      <w:pPr>
        <w:pStyle w:val="BookText"/>
      </w:pPr>
      <w:r>
        <w:rPr>
          <w:rFonts w:ascii="IRNazanin" w:hAnsi="IRNazanin" w:eastAsia="IRNazanin" w:cs="IRNazanin"/>
          <w:lang w:bidi="fa-IR"/>
          <w:color w:val="111111"/>
          <w:sz w:val="28"/>
          <w:szCs w:val="28"/>
          <w:rtl/>
        </w:rPr>
        <w:t xml:space="preserve">8 - هل شیخوخة الإجازة دلیل الوثاقة عند المستجیز 333</w:t>
      </w:r>
    </w:p>
    <w:p>
      <w:pPr>
        <w:pStyle w:val="BookText"/>
      </w:pPr>
      <w:r>
        <w:rPr>
          <w:rFonts w:ascii="IRNazanin" w:hAnsi="IRNazanin" w:eastAsia="IRNazanin" w:cs="IRNazanin"/>
          <w:lang w:bidi="fa-IR"/>
          <w:color w:val="111111"/>
          <w:sz w:val="28"/>
          <w:szCs w:val="28"/>
          <w:rtl/>
        </w:rPr>
        <w:t xml:space="preserve">توضیحه مع تحقیقه 335</w:t>
      </w:r>
    </w:p>
    <w:p>
      <w:pPr>
        <w:pStyle w:val="BookText"/>
      </w:pPr>
      <w:r>
        <w:rPr>
          <w:rFonts w:ascii="IRNazanin" w:hAnsi="IRNazanin" w:eastAsia="IRNazanin" w:cs="IRNazanin"/>
          <w:lang w:bidi="fa-IR"/>
          <w:color w:val="111111"/>
          <w:sz w:val="28"/>
          <w:szCs w:val="28"/>
          <w:rtl/>
        </w:rPr>
        <w:t xml:space="preserve">9 - الوکالة عن الإمام - علیه السلام - 343</w:t>
      </w:r>
    </w:p>
    <w:p>
      <w:pPr>
        <w:pStyle w:val="BookText"/>
      </w:pPr>
      <w:r>
        <w:rPr>
          <w:rFonts w:ascii="IRNazanin" w:hAnsi="IRNazanin" w:eastAsia="IRNazanin" w:cs="IRNazanin"/>
          <w:lang w:bidi="fa-IR"/>
          <w:color w:val="111111"/>
          <w:sz w:val="28"/>
          <w:szCs w:val="28"/>
          <w:rtl/>
        </w:rPr>
        <w:t xml:space="preserve">10 - کثرة تخریج الثقة عن شخص 347</w:t>
      </w:r>
    </w:p>
    <w:p>
      <w:pPr>
        <w:pStyle w:val="BookText"/>
      </w:pPr>
      <w:r>
        <w:rPr>
          <w:rFonts w:ascii="IRNazanin" w:hAnsi="IRNazanin" w:eastAsia="IRNazanin" w:cs="IRNazanin"/>
          <w:lang w:bidi="fa-IR"/>
          <w:color w:val="111111"/>
          <w:sz w:val="28"/>
          <w:szCs w:val="28"/>
          <w:rtl/>
        </w:rPr>
        <w:t xml:space="preserve">الفصل السابع: 351</w:t>
      </w:r>
    </w:p>
    <w:p>
      <w:pPr>
        <w:pStyle w:val="BookText"/>
      </w:pPr>
      <w:r>
        <w:rPr>
          <w:rFonts w:ascii="IRNazanin" w:hAnsi="IRNazanin" w:eastAsia="IRNazanin" w:cs="IRNazanin"/>
          <w:lang w:bidi="fa-IR"/>
          <w:color w:val="111111"/>
          <w:sz w:val="28"/>
          <w:szCs w:val="28"/>
          <w:rtl/>
        </w:rPr>
        <w:t xml:space="preserve">دراسة حول الکتب الأربعة 351</w:t>
      </w:r>
    </w:p>
    <w:p>
      <w:pPr>
        <w:pStyle w:val="BookText"/>
      </w:pPr>
      <w:r>
        <w:rPr>
          <w:rFonts w:ascii="IRNazanin" w:hAnsi="IRNazanin" w:eastAsia="IRNazanin" w:cs="IRNazanin"/>
          <w:lang w:bidi="fa-IR"/>
          <w:color w:val="111111"/>
          <w:sz w:val="28"/>
          <w:szCs w:val="28"/>
          <w:rtl/>
        </w:rPr>
        <w:t xml:space="preserve">1 - تقییم أحادیث «الکافی» 353</w:t>
      </w:r>
    </w:p>
    <w:p>
      <w:pPr>
        <w:pStyle w:val="BookText"/>
      </w:pPr>
      <w:r>
        <w:rPr>
          <w:rFonts w:ascii="IRNazanin" w:hAnsi="IRNazanin" w:eastAsia="IRNazanin" w:cs="IRNazanin"/>
          <w:lang w:bidi="fa-IR"/>
          <w:color w:val="111111"/>
          <w:sz w:val="28"/>
          <w:szCs w:val="28"/>
          <w:rtl/>
        </w:rPr>
        <w:t xml:space="preserve">الصحیح عند القدماء و المتأخرین 358</w:t>
      </w:r>
    </w:p>
    <w:p>
      <w:pPr>
        <w:pStyle w:val="BookText"/>
      </w:pPr>
      <w:r>
        <w:rPr>
          <w:rFonts w:ascii="IRNazanin" w:hAnsi="IRNazanin" w:eastAsia="IRNazanin" w:cs="IRNazanin"/>
          <w:lang w:bidi="fa-IR"/>
          <w:color w:val="111111"/>
          <w:sz w:val="28"/>
          <w:szCs w:val="28"/>
          <w:rtl/>
        </w:rPr>
        <w:t xml:space="preserve">الوجه الأول: المدائح الواردة حول الکافی 360</w:t>
      </w:r>
    </w:p>
    <w:p>
      <w:pPr>
        <w:pStyle w:val="BookText"/>
      </w:pPr>
      <w:r>
        <w:rPr>
          <w:rFonts w:ascii="IRNazanin" w:hAnsi="IRNazanin" w:eastAsia="IRNazanin" w:cs="IRNazanin"/>
          <w:lang w:bidi="fa-IR"/>
          <w:color w:val="111111"/>
          <w:sz w:val="28"/>
          <w:szCs w:val="28"/>
          <w:rtl/>
        </w:rPr>
        <w:t xml:space="preserve">الوجه الثانی: المدائح الواردة فی حق المؤلف 362</w:t>
      </w:r>
    </w:p>
    <w:p>
      <w:pPr>
        <w:pStyle w:val="BookText"/>
      </w:pPr>
      <w:r>
        <w:rPr>
          <w:rFonts w:ascii="IRNazanin" w:hAnsi="IRNazanin" w:eastAsia="IRNazanin" w:cs="IRNazanin"/>
          <w:lang w:bidi="fa-IR"/>
          <w:color w:val="111111"/>
          <w:sz w:val="28"/>
          <w:szCs w:val="28"/>
          <w:rtl/>
        </w:rPr>
        <w:t xml:space="preserve">الوجه الثالث: کون المؤلف فی عصر الغیبة الصغری 366</w:t>
      </w:r>
    </w:p>
    <w:p>
      <w:pPr>
        <w:pStyle w:val="BookText"/>
      </w:pPr>
      <w:r>
        <w:rPr>
          <w:rFonts w:ascii="IRNazanin" w:hAnsi="IRNazanin" w:eastAsia="IRNazanin" w:cs="IRNazanin"/>
          <w:lang w:bidi="fa-IR"/>
          <w:color w:val="111111"/>
          <w:sz w:val="28"/>
          <w:szCs w:val="28"/>
          <w:rtl/>
        </w:rPr>
        <w:t xml:space="preserve">تقییم العرض علی وکیل الناحیة 371</w:t>
      </w:r>
    </w:p>
    <w:p>
      <w:pPr>
        <w:pStyle w:val="BookText"/>
      </w:pPr>
      <w:r>
        <w:rPr>
          <w:rFonts w:ascii="IRNazanin" w:hAnsi="IRNazanin" w:eastAsia="IRNazanin" w:cs="IRNazanin"/>
          <w:lang w:bidi="fa-IR"/>
          <w:color w:val="111111"/>
          <w:sz w:val="28"/>
          <w:szCs w:val="28"/>
          <w:rtl/>
        </w:rPr>
        <w:t xml:space="preserve">2 - تقییم أحادیث «من لا یحضره الفقیه» 377</w:t>
      </w:r>
    </w:p>
    <w:p>
      <w:pPr>
        <w:pStyle w:val="BookText"/>
      </w:pPr>
      <w:r>
        <w:rPr>
          <w:rFonts w:ascii="IRNazanin" w:hAnsi="IRNazanin" w:eastAsia="IRNazanin" w:cs="IRNazanin"/>
          <w:lang w:bidi="fa-IR"/>
          <w:color w:val="111111"/>
          <w:sz w:val="28"/>
          <w:szCs w:val="28"/>
          <w:rtl/>
        </w:rPr>
        <w:t xml:space="preserve">3 - تقییم أحادیث «التهذیب» و «الإستبصار» 389</w:t>
      </w:r>
    </w:p>
    <w:p>
      <w:pPr>
        <w:pStyle w:val="BookText"/>
      </w:pPr>
      <w:r>
        <w:rPr>
          <w:rFonts w:ascii="IRNazanin" w:hAnsi="IRNazanin" w:eastAsia="IRNazanin" w:cs="IRNazanin"/>
          <w:lang w:bidi="fa-IR"/>
          <w:color w:val="111111"/>
          <w:sz w:val="28"/>
          <w:szCs w:val="28"/>
          <w:rtl/>
        </w:rPr>
        <w:t xml:space="preserve">تصحیح أسانید الشیخ 394</w:t>
      </w:r>
    </w:p>
    <w:p>
      <w:pPr>
        <w:pStyle w:val="BookText"/>
      </w:pPr>
      <w:r>
        <w:rPr>
          <w:rFonts w:ascii="IRNazanin" w:hAnsi="IRNazanin" w:eastAsia="IRNazanin" w:cs="IRNazanin"/>
          <w:lang w:bidi="fa-IR"/>
          <w:color w:val="111111"/>
          <w:sz w:val="28"/>
          <w:szCs w:val="28"/>
          <w:rtl/>
        </w:rPr>
        <w:t xml:space="preserve">الفصل الثامن: 401</w:t>
      </w:r>
    </w:p>
    <w:p>
      <w:pPr>
        <w:pStyle w:val="BookText"/>
      </w:pPr>
      <w:r>
        <w:rPr>
          <w:rFonts w:ascii="IRNazanin" w:hAnsi="IRNazanin" w:eastAsia="IRNazanin" w:cs="IRNazanin"/>
          <w:lang w:bidi="fa-IR"/>
          <w:color w:val="111111"/>
          <w:sz w:val="28"/>
          <w:szCs w:val="28"/>
          <w:rtl/>
        </w:rPr>
        <w:t xml:space="preserve">فی فرق الشیعة الواردة فی الکتب 401</w:t>
      </w:r>
    </w:p>
    <w:p>
      <w:pPr>
        <w:pStyle w:val="BookText"/>
      </w:pPr>
      <w:r>
        <w:rPr>
          <w:rFonts w:ascii="IRNazanin" w:hAnsi="IRNazanin" w:eastAsia="IRNazanin" w:cs="IRNazanin"/>
          <w:lang w:bidi="fa-IR"/>
          <w:color w:val="111111"/>
          <w:sz w:val="28"/>
          <w:szCs w:val="28"/>
          <w:rtl/>
        </w:rPr>
        <w:t xml:space="preserve">1 - الکیسانیة 405</w:t>
      </w:r>
    </w:p>
    <w:p>
      <w:pPr>
        <w:pStyle w:val="BookText"/>
      </w:pPr>
      <w:r>
        <w:rPr>
          <w:rFonts w:ascii="IRNazanin" w:hAnsi="IRNazanin" w:eastAsia="IRNazanin" w:cs="IRNazanin"/>
          <w:lang w:bidi="fa-IR"/>
          <w:color w:val="111111"/>
          <w:sz w:val="28"/>
          <w:szCs w:val="28"/>
          <w:rtl/>
        </w:rPr>
        <w:t xml:space="preserve">[شماره صفحه واقعی : 501]</w:t>
      </w:r>
    </w:p>
    <w:p>
      <w:pPr>
        <w:pStyle w:val="BookText"/>
      </w:pPr>
      <w:r>
        <w:rPr>
          <w:rFonts w:ascii="IRNazanin" w:hAnsi="IRNazanin" w:eastAsia="IRNazanin" w:cs="IRNazanin"/>
          <w:lang w:bidi="fa-IR"/>
          <w:color w:val="111111"/>
          <w:sz w:val="28"/>
          <w:szCs w:val="28"/>
          <w:rtl/>
        </w:rPr>
        <w:t xml:space="preserve">ص: 1219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الزیدیة 406</w:t>
      </w:r>
    </w:p>
    <w:p>
      <w:pPr>
        <w:pStyle w:val="BookText"/>
      </w:pPr>
      <w:r>
        <w:rPr>
          <w:rFonts w:ascii="IRNazanin" w:hAnsi="IRNazanin" w:eastAsia="IRNazanin" w:cs="IRNazanin"/>
          <w:lang w:bidi="fa-IR"/>
          <w:color w:val="111111"/>
          <w:sz w:val="28"/>
          <w:szCs w:val="28"/>
          <w:rtl/>
        </w:rPr>
        <w:t xml:space="preserve">أ - الجارودیة 407</w:t>
      </w:r>
    </w:p>
    <w:p>
      <w:pPr>
        <w:pStyle w:val="BookText"/>
      </w:pPr>
      <w:r>
        <w:rPr>
          <w:rFonts w:ascii="IRNazanin" w:hAnsi="IRNazanin" w:eastAsia="IRNazanin" w:cs="IRNazanin"/>
          <w:lang w:bidi="fa-IR"/>
          <w:color w:val="111111"/>
          <w:sz w:val="28"/>
          <w:szCs w:val="28"/>
          <w:rtl/>
        </w:rPr>
        <w:t xml:space="preserve">ب - السلیمانیة 408</w:t>
      </w:r>
    </w:p>
    <w:p>
      <w:pPr>
        <w:pStyle w:val="BookText"/>
      </w:pPr>
      <w:r>
        <w:rPr>
          <w:rFonts w:ascii="IRNazanin" w:hAnsi="IRNazanin" w:eastAsia="IRNazanin" w:cs="IRNazanin"/>
          <w:lang w:bidi="fa-IR"/>
          <w:color w:val="111111"/>
          <w:sz w:val="28"/>
          <w:szCs w:val="28"/>
          <w:rtl/>
        </w:rPr>
        <w:t xml:space="preserve">ج - الصالحیة و البتریة 408</w:t>
      </w:r>
    </w:p>
    <w:p>
      <w:pPr>
        <w:pStyle w:val="BookText"/>
      </w:pPr>
      <w:r>
        <w:rPr>
          <w:rFonts w:ascii="IRNazanin" w:hAnsi="IRNazanin" w:eastAsia="IRNazanin" w:cs="IRNazanin"/>
          <w:lang w:bidi="fa-IR"/>
          <w:color w:val="111111"/>
          <w:sz w:val="28"/>
          <w:szCs w:val="28"/>
          <w:rtl/>
        </w:rPr>
        <w:t xml:space="preserve">3 - الناووسیة 408</w:t>
      </w:r>
    </w:p>
    <w:p>
      <w:pPr>
        <w:pStyle w:val="BookText"/>
      </w:pPr>
      <w:r>
        <w:rPr>
          <w:rFonts w:ascii="IRNazanin" w:hAnsi="IRNazanin" w:eastAsia="IRNazanin" w:cs="IRNazanin"/>
          <w:lang w:bidi="fa-IR"/>
          <w:color w:val="111111"/>
          <w:sz w:val="28"/>
          <w:szCs w:val="28"/>
          <w:rtl/>
        </w:rPr>
        <w:t xml:space="preserve">4 - الإسماعیلیة 409</w:t>
      </w:r>
    </w:p>
    <w:p>
      <w:pPr>
        <w:pStyle w:val="BookText"/>
      </w:pPr>
      <w:r>
        <w:rPr>
          <w:rFonts w:ascii="IRNazanin" w:hAnsi="IRNazanin" w:eastAsia="IRNazanin" w:cs="IRNazanin"/>
          <w:lang w:bidi="fa-IR"/>
          <w:color w:val="111111"/>
          <w:sz w:val="28"/>
          <w:szCs w:val="28"/>
          <w:rtl/>
        </w:rPr>
        <w:t xml:space="preserve">5 - الفطحیة أو الأفطحیة 411</w:t>
      </w:r>
    </w:p>
    <w:p>
      <w:pPr>
        <w:pStyle w:val="BookText"/>
      </w:pPr>
      <w:r>
        <w:rPr>
          <w:rFonts w:ascii="Amiri" w:hAnsi="Amiri" w:eastAsia="Amiri" w:cs="Amiri"/>
          <w:lang w:bidi="ar-SA"/>
          <w:color w:val="111111"/>
          <w:sz w:val="28"/>
          <w:szCs w:val="28"/>
          <w:rtl/>
        </w:rPr>
        <w:t xml:space="preserve">6 - الواقفة 412</w:t>
      </w:r>
    </w:p>
    <w:p>
      <w:pPr>
        <w:pStyle w:val="BookText"/>
      </w:pPr>
      <w:r>
        <w:rPr>
          <w:rFonts w:ascii="IRNazanin" w:hAnsi="IRNazanin" w:eastAsia="IRNazanin" w:cs="IRNazanin"/>
          <w:lang w:bidi="fa-IR"/>
          <w:color w:val="111111"/>
          <w:sz w:val="28"/>
          <w:szCs w:val="28"/>
          <w:rtl/>
        </w:rPr>
        <w:t xml:space="preserve">7 - الخطابیة 414</w:t>
      </w:r>
    </w:p>
    <w:p>
      <w:pPr>
        <w:pStyle w:val="BookText"/>
      </w:pPr>
      <w:r>
        <w:rPr>
          <w:rFonts w:ascii="IRNazanin" w:hAnsi="IRNazanin" w:eastAsia="IRNazanin" w:cs="IRNazanin"/>
          <w:lang w:bidi="fa-IR"/>
          <w:color w:val="111111"/>
          <w:sz w:val="28"/>
          <w:szCs w:val="28"/>
          <w:rtl/>
        </w:rPr>
        <w:t xml:space="preserve">8 - المغیریة 415</w:t>
      </w:r>
    </w:p>
    <w:p>
      <w:pPr>
        <w:pStyle w:val="BookText"/>
      </w:pPr>
      <w:r>
        <w:rPr>
          <w:rFonts w:ascii="Amiri" w:hAnsi="Amiri" w:eastAsia="Amiri" w:cs="Amiri"/>
          <w:lang w:bidi="ar-SA"/>
          <w:color w:val="111111"/>
          <w:sz w:val="28"/>
          <w:szCs w:val="28"/>
          <w:rtl/>
        </w:rPr>
        <w:t xml:space="preserve">9 - الغلاة 417</w:t>
      </w:r>
    </w:p>
    <w:p>
      <w:pPr>
        <w:pStyle w:val="BookText"/>
      </w:pPr>
      <w:r>
        <w:rPr>
          <w:rFonts w:ascii="IRNazanin" w:hAnsi="IRNazanin" w:eastAsia="IRNazanin" w:cs="IRNazanin"/>
          <w:lang w:bidi="fa-IR"/>
          <w:color w:val="111111"/>
          <w:sz w:val="28"/>
          <w:szCs w:val="28"/>
          <w:rtl/>
        </w:rPr>
        <w:t xml:space="preserve">التفویض و معانیه 419</w:t>
      </w:r>
    </w:p>
    <w:p>
      <w:pPr>
        <w:pStyle w:val="BookText"/>
      </w:pPr>
      <w:r>
        <w:rPr>
          <w:rFonts w:ascii="IRNazanin" w:hAnsi="IRNazanin" w:eastAsia="IRNazanin" w:cs="IRNazanin"/>
          <w:lang w:bidi="fa-IR"/>
          <w:color w:val="111111"/>
          <w:sz w:val="28"/>
          <w:szCs w:val="28"/>
          <w:rtl/>
        </w:rPr>
        <w:t xml:space="preserve">فقدان الضابطة الواحدة فی الغلو 429</w:t>
      </w:r>
    </w:p>
    <w:p>
      <w:pPr>
        <w:pStyle w:val="BookText"/>
      </w:pPr>
      <w:r>
        <w:rPr>
          <w:rFonts w:ascii="IRNazanin" w:hAnsi="IRNazanin" w:eastAsia="IRNazanin" w:cs="IRNazanin"/>
          <w:lang w:bidi="fa-IR"/>
          <w:color w:val="111111"/>
          <w:sz w:val="28"/>
          <w:szCs w:val="28"/>
          <w:rtl/>
        </w:rPr>
        <w:t xml:space="preserve">تضعیف الراوی من حیث العمل 434</w:t>
      </w:r>
    </w:p>
    <w:p>
      <w:pPr>
        <w:pStyle w:val="BookText"/>
      </w:pPr>
      <w:r>
        <w:rPr>
          <w:rFonts w:ascii="IRNazanin" w:hAnsi="IRNazanin" w:eastAsia="IRNazanin" w:cs="IRNazanin"/>
          <w:lang w:bidi="fa-IR"/>
          <w:color w:val="111111"/>
          <w:sz w:val="28"/>
          <w:szCs w:val="28"/>
          <w:rtl/>
        </w:rPr>
        <w:t xml:space="preserve">خاتمة فی فوائد رجالیة 437</w:t>
      </w:r>
    </w:p>
    <w:p>
      <w:pPr>
        <w:pStyle w:val="BookText"/>
      </w:pPr>
      <w:r>
        <w:rPr>
          <w:rFonts w:ascii="IRNazanin" w:hAnsi="IRNazanin" w:eastAsia="IRNazanin" w:cs="IRNazanin"/>
          <w:lang w:bidi="fa-IR"/>
          <w:color w:val="111111"/>
          <w:sz w:val="28"/>
          <w:szCs w:val="28"/>
          <w:rtl/>
        </w:rPr>
        <w:t xml:space="preserve">الفائدة الأولی 439</w:t>
      </w:r>
    </w:p>
    <w:p>
      <w:pPr>
        <w:pStyle w:val="BookText"/>
      </w:pPr>
      <w:r>
        <w:rPr>
          <w:rFonts w:ascii="IRNazanin" w:hAnsi="IRNazanin" w:eastAsia="IRNazanin" w:cs="IRNazanin"/>
          <w:lang w:bidi="fa-IR"/>
          <w:color w:val="111111"/>
          <w:sz w:val="28"/>
          <w:szCs w:val="28"/>
          <w:rtl/>
        </w:rPr>
        <w:t xml:space="preserve">الفائدة الثانیة 444</w:t>
      </w:r>
    </w:p>
    <w:p>
      <w:pPr>
        <w:pStyle w:val="BookText"/>
      </w:pPr>
      <w:r>
        <w:rPr>
          <w:rFonts w:ascii="Amiri" w:hAnsi="Amiri" w:eastAsia="Amiri" w:cs="Amiri"/>
          <w:lang w:bidi="ar-SA"/>
          <w:color w:val="111111"/>
          <w:sz w:val="28"/>
          <w:szCs w:val="28"/>
          <w:rtl/>
        </w:rPr>
        <w:t xml:space="preserve">الفائدة الثالثة 450</w:t>
      </w:r>
    </w:p>
    <w:p>
      <w:pPr>
        <w:pStyle w:val="BookText"/>
      </w:pPr>
      <w:r>
        <w:rPr>
          <w:rFonts w:ascii="Amiri" w:hAnsi="Amiri" w:eastAsia="Amiri" w:cs="Amiri"/>
          <w:lang w:bidi="ar-SA"/>
          <w:color w:val="111111"/>
          <w:sz w:val="28"/>
          <w:szCs w:val="28"/>
          <w:rtl/>
        </w:rPr>
        <w:t xml:space="preserve">الفائدة الرابعة 452</w:t>
      </w:r>
    </w:p>
    <w:p>
      <w:pPr>
        <w:pStyle w:val="BookText"/>
      </w:pPr>
      <w:r>
        <w:rPr>
          <w:rFonts w:ascii="Amiri" w:hAnsi="Amiri" w:eastAsia="Amiri" w:cs="Amiri"/>
          <w:lang w:bidi="ar-SA"/>
          <w:color w:val="111111"/>
          <w:sz w:val="28"/>
          <w:szCs w:val="28"/>
          <w:rtl/>
        </w:rPr>
        <w:t xml:space="preserve">الفائدة الخامسة 456</w:t>
      </w:r>
    </w:p>
    <w:p>
      <w:pPr>
        <w:pStyle w:val="BookText"/>
      </w:pPr>
      <w:r>
        <w:rPr>
          <w:rFonts w:ascii="Amiri" w:hAnsi="Amiri" w:eastAsia="Amiri" w:cs="Amiri"/>
          <w:lang w:bidi="ar-SA"/>
          <w:color w:val="111111"/>
          <w:sz w:val="28"/>
          <w:szCs w:val="28"/>
          <w:rtl/>
        </w:rPr>
        <w:t xml:space="preserve">الفائدة السادسة 456</w:t>
      </w:r>
    </w:p>
    <w:p>
      <w:pPr>
        <w:pStyle w:val="BookText"/>
      </w:pPr>
      <w:r>
        <w:rPr>
          <w:rFonts w:ascii="Amiri" w:hAnsi="Amiri" w:eastAsia="Amiri" w:cs="Amiri"/>
          <w:lang w:bidi="ar-SA"/>
          <w:color w:val="111111"/>
          <w:sz w:val="28"/>
          <w:szCs w:val="28"/>
          <w:rtl/>
        </w:rPr>
        <w:t xml:space="preserve">الفائدة السابعة 458</w:t>
      </w:r>
    </w:p>
    <w:p>
      <w:pPr>
        <w:pStyle w:val="BookText"/>
      </w:pPr>
      <w:r>
        <w:rPr>
          <w:rFonts w:ascii="Amiri" w:hAnsi="Amiri" w:eastAsia="Amiri" w:cs="Amiri"/>
          <w:lang w:bidi="ar-SA"/>
          <w:color w:val="111111"/>
          <w:sz w:val="28"/>
          <w:szCs w:val="28"/>
          <w:rtl/>
        </w:rPr>
        <w:t xml:space="preserve">الفائدة الثامنة 460</w:t>
      </w:r>
    </w:p>
    <w:p>
      <w:pPr>
        <w:pStyle w:val="BookText"/>
      </w:pPr>
      <w:r>
        <w:rPr>
          <w:rFonts w:ascii="IRNazanin" w:hAnsi="IRNazanin" w:eastAsia="IRNazanin" w:cs="IRNazanin"/>
          <w:lang w:bidi="fa-IR"/>
          <w:color w:val="111111"/>
          <w:sz w:val="28"/>
          <w:szCs w:val="28"/>
          <w:rtl/>
        </w:rPr>
        <w:t xml:space="preserve">[شماره صفحه واقعی : 502]</w:t>
      </w:r>
    </w:p>
    <w:p>
      <w:pPr>
        <w:pStyle w:val="BookText"/>
      </w:pPr>
      <w:r>
        <w:rPr>
          <w:rFonts w:ascii="IRNazanin" w:hAnsi="IRNazanin" w:eastAsia="IRNazanin" w:cs="IRNazanin"/>
          <w:lang w:bidi="fa-IR"/>
          <w:color w:val="111111"/>
          <w:sz w:val="28"/>
          <w:szCs w:val="28"/>
          <w:rtl/>
        </w:rPr>
        <w:t xml:space="preserve">ص: 1220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التاسعة 461</w:t>
      </w:r>
    </w:p>
    <w:p>
      <w:pPr>
        <w:pStyle w:val="BookText"/>
      </w:pPr>
      <w:r>
        <w:rPr>
          <w:rFonts w:ascii="Amiri" w:hAnsi="Amiri" w:eastAsia="Amiri" w:cs="Amiri"/>
          <w:lang w:bidi="ar-SA"/>
          <w:color w:val="111111"/>
          <w:sz w:val="28"/>
          <w:szCs w:val="28"/>
          <w:rtl/>
        </w:rPr>
        <w:t xml:space="preserve">الفائدة العاشرة 461</w:t>
      </w:r>
    </w:p>
    <w:p>
      <w:pPr>
        <w:pStyle w:val="BookText"/>
      </w:pPr>
      <w:r>
        <w:rPr>
          <w:rFonts w:ascii="IRNazanin" w:hAnsi="IRNazanin" w:eastAsia="IRNazanin" w:cs="IRNazanin"/>
          <w:lang w:bidi="fa-IR"/>
          <w:color w:val="111111"/>
          <w:sz w:val="28"/>
          <w:szCs w:val="28"/>
          <w:rtl/>
        </w:rPr>
        <w:t xml:space="preserve">الفائدة الحادیة عشر 471</w:t>
      </w:r>
    </w:p>
    <w:p>
      <w:pPr>
        <w:pStyle w:val="BookText"/>
      </w:pPr>
      <w:r>
        <w:rPr>
          <w:rFonts w:ascii="IRNazanin" w:hAnsi="IRNazanin" w:eastAsia="IRNazanin" w:cs="IRNazanin"/>
          <w:lang w:bidi="fa-IR"/>
          <w:color w:val="111111"/>
          <w:sz w:val="28"/>
          <w:szCs w:val="28"/>
          <w:rtl/>
        </w:rPr>
        <w:t xml:space="preserve">الفائدة الثانیة عشر 472</w:t>
      </w:r>
    </w:p>
    <w:p>
      <w:pPr>
        <w:pStyle w:val="BookText"/>
      </w:pPr>
      <w:r>
        <w:rPr>
          <w:rFonts w:ascii="Amiri" w:hAnsi="Amiri" w:eastAsia="Amiri" w:cs="Amiri"/>
          <w:lang w:bidi="ar-SA"/>
          <w:color w:val="111111"/>
          <w:sz w:val="28"/>
          <w:szCs w:val="28"/>
          <w:rtl/>
        </w:rPr>
        <w:t xml:space="preserve">الفائدة الثالثة عشر 474</w:t>
      </w:r>
    </w:p>
    <w:p>
      <w:pPr>
        <w:pStyle w:val="BookText"/>
      </w:pPr>
      <w:r>
        <w:rPr>
          <w:rFonts w:ascii="IRNazanin" w:hAnsi="IRNazanin" w:eastAsia="IRNazanin" w:cs="IRNazanin"/>
          <w:lang w:bidi="fa-IR"/>
          <w:color w:val="111111"/>
          <w:sz w:val="28"/>
          <w:szCs w:val="28"/>
          <w:rtl/>
        </w:rPr>
        <w:t xml:space="preserve">الأول: فی الألفاظ الأربعة 474</w:t>
      </w:r>
    </w:p>
    <w:p>
      <w:pPr>
        <w:pStyle w:val="BookText"/>
      </w:pPr>
      <w:r>
        <w:rPr>
          <w:rFonts w:ascii="IRNazanin" w:hAnsi="IRNazanin" w:eastAsia="IRNazanin" w:cs="IRNazanin"/>
          <w:lang w:bidi="fa-IR"/>
          <w:color w:val="111111"/>
          <w:sz w:val="28"/>
          <w:szCs w:val="28"/>
          <w:rtl/>
        </w:rPr>
        <w:t xml:space="preserve">1 - الکتاب 474</w:t>
      </w:r>
    </w:p>
    <w:p>
      <w:pPr>
        <w:pStyle w:val="BookText"/>
      </w:pPr>
      <w:r>
        <w:rPr>
          <w:rFonts w:ascii="IRNazanin" w:hAnsi="IRNazanin" w:eastAsia="IRNazanin" w:cs="IRNazanin"/>
          <w:lang w:bidi="fa-IR"/>
          <w:color w:val="111111"/>
          <w:sz w:val="28"/>
          <w:szCs w:val="28"/>
          <w:rtl/>
        </w:rPr>
        <w:t xml:space="preserve">2 - الأصل 475</w:t>
      </w:r>
    </w:p>
    <w:p>
      <w:pPr>
        <w:pStyle w:val="BookText"/>
      </w:pPr>
      <w:r>
        <w:rPr>
          <w:rFonts w:ascii="IRNazanin" w:hAnsi="IRNazanin" w:eastAsia="IRNazanin" w:cs="IRNazanin"/>
          <w:lang w:bidi="fa-IR"/>
          <w:color w:val="111111"/>
          <w:sz w:val="28"/>
          <w:szCs w:val="28"/>
          <w:rtl/>
        </w:rPr>
        <w:t xml:space="preserve">3 - التصنیف (المصنف) 475</w:t>
      </w:r>
    </w:p>
    <w:p>
      <w:pPr>
        <w:pStyle w:val="BookText"/>
      </w:pPr>
      <w:r>
        <w:rPr>
          <w:rFonts w:ascii="IRNazanin" w:hAnsi="IRNazanin" w:eastAsia="IRNazanin" w:cs="IRNazanin"/>
          <w:lang w:bidi="fa-IR"/>
          <w:color w:val="111111"/>
          <w:sz w:val="28"/>
          <w:szCs w:val="28"/>
          <w:rtl/>
        </w:rPr>
        <w:t xml:space="preserve">4 - النوادر 477</w:t>
      </w:r>
    </w:p>
    <w:p>
      <w:pPr>
        <w:pStyle w:val="BookText"/>
      </w:pPr>
      <w:r>
        <w:rPr>
          <w:rFonts w:ascii="IRNazanin" w:hAnsi="IRNazanin" w:eastAsia="IRNazanin" w:cs="IRNazanin"/>
          <w:lang w:bidi="fa-IR"/>
          <w:color w:val="111111"/>
          <w:sz w:val="28"/>
          <w:szCs w:val="28"/>
          <w:rtl/>
        </w:rPr>
        <w:t xml:space="preserve">الثانی: فی الاصول المدوّنة فی عصر أئمتنا (علیهم السلام) 480</w:t>
      </w:r>
    </w:p>
    <w:p>
      <w:pPr>
        <w:pStyle w:val="BookText"/>
      </w:pPr>
      <w:r>
        <w:rPr>
          <w:rFonts w:ascii="IRNazanin" w:hAnsi="IRNazanin" w:eastAsia="IRNazanin" w:cs="IRNazanin"/>
          <w:lang w:bidi="fa-IR"/>
          <w:color w:val="111111"/>
          <w:sz w:val="28"/>
          <w:szCs w:val="28"/>
          <w:rtl/>
        </w:rPr>
        <w:t xml:space="preserve">الثالث: وجه العنایة بالأصول و مدی دلالتها علی الوثاقة 484</w:t>
      </w:r>
    </w:p>
    <w:p>
      <w:pPr>
        <w:pStyle w:val="BookText"/>
      </w:pPr>
      <w:r>
        <w:rPr>
          <w:rFonts w:ascii="Amiri" w:hAnsi="Amiri" w:eastAsia="Amiri" w:cs="Amiri"/>
          <w:lang w:bidi="ar-SA"/>
          <w:color w:val="111111"/>
          <w:sz w:val="28"/>
          <w:szCs w:val="28"/>
          <w:rtl/>
        </w:rPr>
        <w:t xml:space="preserve">الفائدة الرابعة عشر 486</w:t>
      </w:r>
    </w:p>
    <w:p>
      <w:pPr>
        <w:pStyle w:val="BookText"/>
      </w:pPr>
      <w:r>
        <w:rPr>
          <w:rFonts w:ascii="IRNazanin" w:hAnsi="IRNazanin" w:eastAsia="IRNazanin" w:cs="IRNazanin"/>
          <w:lang w:bidi="fa-IR"/>
          <w:color w:val="111111"/>
          <w:sz w:val="28"/>
          <w:szCs w:val="28"/>
          <w:rtl/>
        </w:rPr>
        <w:t xml:space="preserve">علم الرجال و الأحادیث غیر الفقهیة 490</w:t>
      </w:r>
    </w:p>
    <w:p>
      <w:pPr>
        <w:pStyle w:val="BookText"/>
      </w:pPr>
      <w:r>
        <w:rPr>
          <w:rFonts w:ascii="IRNazanin" w:hAnsi="IRNazanin" w:eastAsia="IRNazanin" w:cs="IRNazanin"/>
          <w:lang w:bidi="fa-IR"/>
          <w:color w:val="111111"/>
          <w:sz w:val="28"/>
          <w:szCs w:val="28"/>
          <w:rtl/>
        </w:rPr>
        <w:t xml:space="preserve">الکتب المؤلفة فی حیاة الصحابة 492</w:t>
      </w:r>
    </w:p>
    <w:p>
      <w:pPr>
        <w:pStyle w:val="BookText"/>
      </w:pPr>
      <w:r>
        <w:rPr>
          <w:rFonts w:ascii="IRNazanin" w:hAnsi="IRNazanin" w:eastAsia="IRNazanin" w:cs="IRNazanin"/>
          <w:lang w:bidi="fa-IR"/>
          <w:color w:val="111111"/>
          <w:sz w:val="28"/>
          <w:szCs w:val="28"/>
          <w:rtl/>
        </w:rPr>
        <w:t xml:space="preserve">الفهرس 523</w:t>
      </w:r>
    </w:p>
    <w:p>
      <w:pPr>
        <w:pStyle w:val="BookText"/>
      </w:pPr>
      <w:r>
        <w:rPr>
          <w:rFonts w:ascii="IRNazanin" w:hAnsi="IRNazanin" w:eastAsia="IRNazanin" w:cs="IRNazanin"/>
          <w:lang w:bidi="fa-IR"/>
          <w:color w:val="111111"/>
          <w:sz w:val="28"/>
          <w:szCs w:val="28"/>
          <w:rtl/>
        </w:rPr>
        <w:t xml:space="preserve">[شماره صفحه واقعی : 503]</w:t>
      </w:r>
    </w:p>
    <w:p>
      <w:pPr>
        <w:pStyle w:val="BookText"/>
      </w:pPr>
      <w:r>
        <w:rPr>
          <w:rFonts w:ascii="IRNazanin" w:hAnsi="IRNazanin" w:eastAsia="IRNazanin" w:cs="IRNazanin"/>
          <w:lang w:bidi="fa-IR"/>
          <w:color w:val="111111"/>
          <w:sz w:val="28"/>
          <w:szCs w:val="28"/>
          <w:rtl/>
        </w:rPr>
        <w:t xml:space="preserve">ص: 1221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490" w:name="pg14419_167937"/>
    <w:bookmarkEnd w:id="490"/>
    <w:p>
      <w:pPr>
        <w:pStyle w:val="Heading2"/>
      </w:pPr>
      <w:bookmarkStart w:id="1454" w:name="_Toc894"/>
      <w:r>
        <w:t>فلسفه</w:t>
      </w:r>
      <w:bookmarkEnd w:id="1454"/>
    </w:p>
    <w:p>
      <w:pPr>
        <w:pStyle w:val="Heading3"/>
      </w:pPr>
      <w:bookmarkStart w:id="1455" w:name="_Toc895"/>
      <w:r>
        <w:t>نهایة الحکمة (از ابتدا تا پایان المرحلة السابعة)</w:t>
      </w:r>
      <w:bookmarkEnd w:id="1455"/>
    </w:p>
    <w:p>
      <w:pPr>
        <w:pStyle w:val="Heading4"/>
      </w:pPr>
      <w:bookmarkStart w:id="1456" w:name="_Toc896"/>
      <w:r>
        <w:t>اشارة</w:t>
      </w:r>
      <w:bookmarkEnd w:id="1456"/>
    </w:p>
    <w:p>
      <w:pPr>
        <w:pStyle w:val="BookText"/>
      </w:pPr>
      <w:r>
        <w:rPr>
          <w:rFonts w:ascii="IRNazanin" w:hAnsi="IRNazanin" w:eastAsia="IRNazanin" w:cs="IRNazanin"/>
          <w:lang w:bidi="fa-IR"/>
          <w:color w:val="111111"/>
          <w:sz w:val="28"/>
          <w:szCs w:val="28"/>
          <w:rtl/>
        </w:rPr>
        <w:t xml:space="preserve">سرشناسه : طباطبائی، محمدحسین، ۱۳۶۰  ۱۲۸۱</w:t>
      </w:r>
    </w:p>
    <w:p>
      <w:pPr>
        <w:pStyle w:val="BookText"/>
      </w:pPr>
      <w:r>
        <w:rPr>
          <w:rFonts w:ascii="IRNazanin" w:hAnsi="IRNazanin" w:eastAsia="IRNazanin" w:cs="IRNazanin"/>
          <w:lang w:bidi="fa-IR"/>
          <w:color w:val="111111"/>
          <w:sz w:val="28"/>
          <w:szCs w:val="28"/>
          <w:rtl/>
        </w:rPr>
        <w:t xml:space="preserve">عنوان و نام پدیدآور : نهایه الحکمه/ تالیف محمدحسین الطباطبائی</w:t>
      </w:r>
    </w:p>
    <w:p>
      <w:pPr>
        <w:pStyle w:val="BookText"/>
      </w:pPr>
      <w:r>
        <w:rPr>
          <w:rFonts w:ascii="IRNazanin" w:hAnsi="IRNazanin" w:eastAsia="IRNazanin" w:cs="IRNazanin"/>
          <w:lang w:bidi="fa-IR"/>
          <w:color w:val="111111"/>
          <w:sz w:val="28"/>
          <w:szCs w:val="28"/>
          <w:rtl/>
        </w:rPr>
        <w:t xml:space="preserve">مشخصات نشر : قم : موسسه النشر الاسلامی، ۱۴۰۶ق. = ۱۳۶۲.</w:t>
      </w:r>
    </w:p>
    <w:p>
      <w:pPr>
        <w:pStyle w:val="BookText"/>
      </w:pPr>
      <w:r>
        <w:rPr>
          <w:rFonts w:ascii="IRNazanin" w:hAnsi="IRNazanin" w:eastAsia="IRNazanin" w:cs="IRNazanin"/>
          <w:lang w:bidi="fa-IR"/>
          <w:color w:val="111111"/>
          <w:sz w:val="28"/>
          <w:szCs w:val="28"/>
          <w:rtl/>
        </w:rPr>
        <w:t xml:space="preserve">مشخصات ظاهری : ۳۳۴ ص</w:t>
      </w:r>
    </w:p>
    <w:p>
      <w:pPr>
        <w:pStyle w:val="BookText"/>
      </w:pPr>
      <w:r>
        <w:rPr>
          <w:rFonts w:ascii="IRNazanin" w:hAnsi="IRNazanin" w:eastAsia="IRNazanin" w:cs="IRNazanin"/>
          <w:lang w:bidi="fa-IR"/>
          <w:color w:val="111111"/>
          <w:sz w:val="28"/>
          <w:szCs w:val="28"/>
          <w:rtl/>
        </w:rPr>
        <w:t xml:space="preserve">موضوع : فلسفه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رده بندی دیویی : ۱۸۹/۱ط۳۷۹ن ۱۳۶۲</w:t>
      </w:r>
    </w:p>
    <w:p>
      <w:pPr>
        <w:pStyle w:val="BookText"/>
      </w:pPr>
      <w:r>
        <w:rPr>
          <w:rFonts w:ascii="IRNazanin" w:hAnsi="IRNazanin" w:eastAsia="IRNazanin" w:cs="IRNazanin"/>
          <w:lang w:bidi="fa-IR"/>
          <w:color w:val="111111"/>
          <w:sz w:val="28"/>
          <w:szCs w:val="28"/>
          <w:rtl/>
        </w:rPr>
        <w:t xml:space="preserve">شماره کتابشناسی ملی : م‌۶۴۳۱۵۴</w:t>
      </w:r>
    </w:p>
    <w:p>
      <w:pPr>
        <w:pStyle w:val="BookText"/>
      </w:pPr>
      <w:r>
        <w:rPr>
          <w:rFonts w:ascii="IRNazanin" w:hAnsi="IRNazanin" w:eastAsia="IRNazanin" w:cs="IRNazanin"/>
          <w:lang w:bidi="fa-IR"/>
          <w:color w:val="111111"/>
          <w:sz w:val="28"/>
          <w:szCs w:val="28"/>
          <w:rtl/>
        </w:rPr>
        <w:t xml:space="preserve">توضیح : نهایة الحکمة، اثر علامه سید محمدحسین طباطبایی (تبریز 1282  1360ش، قم) در زمینه آموزش فلسفه صدرایی به زبان عربی است که در آن یک دوره مباحث فلسفی از آغاز تا انجام به‌صورت منظم و استدلالی در سطح عالی بیان شده است.مخاطبان این اثر کسانی هستند که قبلاً با فلسفه اسلامی آشنا شده‌اند و یک دوره آموزشی را گذرانده‌اند و اکنون می‌خواهند بیشتر و عمیق‌تر بدانند و اطلاعات خودشان را تکمیل کنند.</w:t>
      </w:r>
    </w:p>
    <w:p>
      <w:pPr>
        <w:pStyle w:val="BookText"/>
      </w:pPr>
      <w:r>
        <w:rPr>
          <w:rFonts w:ascii="IRNazanin" w:hAnsi="IRNazanin" w:eastAsia="IRNazanin" w:cs="IRNazanin"/>
          <w:lang w:bidi="fa-IR"/>
          <w:color w:val="111111"/>
          <w:sz w:val="28"/>
          <w:szCs w:val="28"/>
          <w:rtl/>
        </w:rPr>
        <w:t xml:space="preserve">در حوزه های علمیه این کتاب بعد از «کتاب بدایة الحکمة» که اثر دیگر علامه است خوانده می شود.اثر مذکور، سالیان متمادی است که از زمان نگارش تاکنون مورد عنایت پژوهشگران و استادان است و به‌صورت متن آموزشی در مراکز علمی در دوره عالی تدریس می‌شود و ترجمه و شرح‌های گوناگونی نیز بر آن نوشته شده است.</w:t>
      </w:r>
    </w:p>
    <w:p>
      <w:pPr>
        <w:pStyle w:val="BookText"/>
      </w:pPr>
      <w:r>
        <w:rPr>
          <w:rFonts w:ascii="IRNazanin" w:hAnsi="IRNazanin" w:eastAsia="IRNazanin" w:cs="IRNazanin"/>
          <w:lang w:bidi="fa-IR"/>
          <w:color w:val="111111"/>
          <w:sz w:val="28"/>
          <w:szCs w:val="28"/>
          <w:i w:val="1"/>
          <w:iCs w:val="1"/>
          <w:rtl/>
        </w:rPr>
        <w:t xml:space="preserve">نسخه حاضر همراه با صوت استاد زنجیرزن حسینی می باشد</w:t>
      </w:r>
    </w:p>
    <w:p>
      <w:pPr>
        <w:pStyle w:val="BookText"/>
      </w:pPr>
      <w:r>
        <w:rPr>
          <w:rFonts w:ascii="IRNazanin" w:hAnsi="IRNazanin" w:eastAsia="IRNazanin" w:cs="IRNazanin"/>
          <w:lang w:bidi="fa-IR"/>
          <w:color w:val="111111"/>
          <w:sz w:val="28"/>
          <w:szCs w:val="28"/>
          <w:rtl/>
        </w:rPr>
        <w:t xml:space="preserve">ص: 1</w:t>
      </w:r>
    </w:p>
    <w:p>
      <w:pPr>
        <w:pStyle w:val="Heading4"/>
      </w:pPr>
      <w:bookmarkStart w:id="1457" w:name="_Toc897"/>
      <w:r>
        <w:t>اشارة</w:t>
      </w:r>
      <w:bookmarkEnd w:id="1457"/>
    </w:p>
    <w:p>
      <w:pPr>
        <w:pStyle w:val="BookText"/>
      </w:pPr>
      <w:r>
        <w:rPr>
          <w:rFonts w:ascii="IRNazanin" w:hAnsi="IRNazanin" w:eastAsia="IRNazanin" w:cs="IRNazanin"/>
          <w:lang w:bidi="fa-IR"/>
          <w:color w:val="111111"/>
          <w:sz w:val="28"/>
          <w:szCs w:val="28"/>
          <w:rtl/>
        </w:rPr>
        <w:t xml:space="preserve">[شماره صفحه واقعی : 1]</w:t>
      </w:r>
    </w:p>
    <w:p>
      <w:pPr>
        <w:pStyle w:val="BookText"/>
      </w:pPr>
      <w:r>
        <w:rPr>
          <w:rFonts w:ascii="IRNazanin" w:hAnsi="IRNazanin" w:eastAsia="IRNazanin" w:cs="IRNazanin"/>
          <w:lang w:bidi="fa-IR"/>
          <w:color w:val="111111"/>
          <w:sz w:val="28"/>
          <w:szCs w:val="28"/>
          <w:rtl/>
        </w:rPr>
        <w:t xml:space="preserve">ص: 1222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w:t>
      </w:r>
    </w:p>
    <w:p>
      <w:pPr>
        <w:pStyle w:val="BookText"/>
      </w:pPr>
      <w:r>
        <w:rPr>
          <w:rFonts w:ascii="IRNazanin" w:hAnsi="IRNazanin" w:eastAsia="IRNazanin" w:cs="IRNazanin"/>
          <w:lang w:bidi="fa-IR"/>
          <w:color w:val="111111"/>
          <w:sz w:val="28"/>
          <w:szCs w:val="28"/>
          <w:rtl/>
        </w:rPr>
        <w:t xml:space="preserve">ص: 1223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491" w:name="pg14419_167939"/>
    <w:bookmarkEnd w:id="491"/>
    <w:p>
      <w:pPr>
        <w:pStyle w:val="Heading4"/>
      </w:pPr>
      <w:bookmarkStart w:id="1458" w:name="_Toc898"/>
      <w:r>
        <w:t>کلام بمنزلة المدخل لهذه الصناعة</w:t>
      </w:r>
      <w:bookmarkEnd w:id="14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الطاهرین.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إنا معاشر الناس أشیاء موجودة جدا و معنا أشیاء أخر موجودة ربما فعلت فینا أو انفعلت منا کما أنا نفعل فیها أو ننفعل منها.</w:t>
      </w:r>
    </w:p>
    <w:p>
      <w:pPr>
        <w:pStyle w:val="BookText"/>
      </w:pPr>
      <w:r>
        <w:rPr>
          <w:rFonts w:ascii="IRNazanin" w:hAnsi="IRNazanin" w:eastAsia="IRNazanin" w:cs="IRNazanin"/>
          <w:lang w:bidi="fa-IR"/>
          <w:color w:val="111111"/>
          <w:sz w:val="28"/>
          <w:szCs w:val="28"/>
          <w:rtl/>
        </w:rPr>
        <w:t xml:space="preserve">هناک هواء نستنشقه و غذاء نتغذی به و مساکن نسکنها و أرض نتقلب علیها و شمس نستضی‌ء بضیائها و کواکب نهتدی بها و حیوان و نبات و غیرهما.</w:t>
      </w:r>
    </w:p>
    <w:p>
      <w:pPr>
        <w:pStyle w:val="BookText"/>
      </w:pPr>
      <w:r>
        <w:rPr>
          <w:rFonts w:ascii="IRNazanin" w:hAnsi="IRNazanin" w:eastAsia="IRNazanin" w:cs="IRNazanin"/>
          <w:lang w:bidi="fa-IR"/>
          <w:color w:val="111111"/>
          <w:sz w:val="28"/>
          <w:szCs w:val="28"/>
          <w:rtl/>
        </w:rPr>
        <w:t xml:space="preserve">و هناک أمور نبصرها و أخری نسمعها و أخری نشمها و أخری نذوقها و أخری وأخری.</w:t>
      </w:r>
    </w:p>
    <w:p>
      <w:pPr>
        <w:pStyle w:val="BookText"/>
      </w:pPr>
      <w:r>
        <w:rPr>
          <w:rFonts w:ascii="IRNazanin" w:hAnsi="IRNazanin" w:eastAsia="IRNazanin" w:cs="IRNazanin"/>
          <w:lang w:bidi="fa-IR"/>
          <w:color w:val="111111"/>
          <w:sz w:val="28"/>
          <w:szCs w:val="28"/>
          <w:rtl/>
        </w:rPr>
        <w:t xml:space="preserve">و هناک أمور نقصدها أو نهرب منها و أشیاء نحبها أو نبغضها و أشیاء نرجوها أو نخافها و أشیاء تشتهیها طباعنا أو تتنفر منها و أشیاء نریدها لغرض الاستقرار فی مکان أو الانتقال من مکان أو إلی مکان أو الحصول علی لذة أو الاتقاء من ألم أو التخلص من مکروه أو لمآرب أخری.</w:t>
      </w:r>
    </w:p>
    <w:p>
      <w:pPr>
        <w:pStyle w:val="BookText"/>
      </w:pPr>
      <w:r>
        <w:rPr>
          <w:rFonts w:ascii="IRNazanin" w:hAnsi="IRNazanin" w:eastAsia="IRNazanin" w:cs="IRNazanin"/>
          <w:lang w:bidi="fa-IR"/>
          <w:color w:val="111111"/>
          <w:sz w:val="28"/>
          <w:szCs w:val="28"/>
          <w:rtl/>
        </w:rPr>
        <w:t xml:space="preserve">[شماره صفحه واقعی : 3]</w:t>
      </w:r>
    </w:p>
    <w:p>
      <w:pPr>
        <w:pStyle w:val="BookText"/>
      </w:pPr>
      <w:r>
        <w:rPr>
          <w:rFonts w:ascii="IRNazanin" w:hAnsi="IRNazanin" w:eastAsia="IRNazanin" w:cs="IRNazanin"/>
          <w:lang w:bidi="fa-IR"/>
          <w:color w:val="111111"/>
          <w:sz w:val="28"/>
          <w:szCs w:val="28"/>
          <w:rtl/>
        </w:rPr>
        <w:t xml:space="preserve">ص: 1224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جمیع هذه الأمور التی نشعر بها و لعل معها ما لا نشعر بها لیست بسدی لما أنها موجودة جدا و ثابتة واقعا فلا یقصد شی‌ء شیئا إلا لأنه عین خارجیة و موجود واقعی أو منته إلیه لیس وهما سرابیا فلا یسعنا أن نرتاب فی أن هناک وجودا و لا أن ننکر الواقعیة مطلقا إ لا أن نکابر الحق فننکره أو نبدی الشک فیه و إن یکن شی‌ء من ذلک فإنما هو فی اللفظ فحسب.</w:t>
      </w:r>
    </w:p>
    <w:p>
      <w:pPr>
        <w:pStyle w:val="BookText"/>
      </w:pPr>
      <w:r>
        <w:rPr>
          <w:rFonts w:ascii="IRNazanin" w:hAnsi="IRNazanin" w:eastAsia="IRNazanin" w:cs="IRNazanin"/>
          <w:lang w:bidi="fa-IR"/>
          <w:color w:val="111111"/>
          <w:sz w:val="28"/>
          <w:szCs w:val="28"/>
          <w:rtl/>
        </w:rPr>
        <w:t xml:space="preserve">فلا یزال الواحد منا و کذلک کل موجود یعیش بالعلم و الشعور یری نفسه موجودا واقعیا ذا آثار واقعیة و لا یمس شیئا آخر غیره إلا بما أن له نصیبا من الواقعیة.</w:t>
      </w:r>
    </w:p>
    <w:p>
      <w:pPr>
        <w:pStyle w:val="BookText"/>
      </w:pPr>
      <w:r>
        <w:rPr>
          <w:rFonts w:ascii="IRNazanin" w:hAnsi="IRNazanin" w:eastAsia="IRNazanin" w:cs="IRNazanin"/>
          <w:lang w:bidi="fa-IR"/>
          <w:color w:val="111111"/>
          <w:sz w:val="28"/>
          <w:szCs w:val="28"/>
          <w:rtl/>
        </w:rPr>
        <w:t xml:space="preserve">غیر أنا کما لا نشک فی ذلک لا نرتاب أیضا نخطی‌ء فنحسب ما لیس بموجود موجودا أو بالعکس کما أن الإنسان الأولی کان یثبت أشیاء و یری آراء ننکرها نحن الیوم و نری ما یناقضها و أحد النظرین خطأ لا محالة و هناک أغلاط نبتلی بها کل یوم فنثبت الوجود لما لیس بموجود و ننفیه عما هو موجود حقا ثم ینکشف لنا أنا أخطأنا فی ما قضینا به فمست الحاجة إلی البحث عن الأشیاء الموجودة و تمییزها بخواص الموجودیة المحصلة مما لیس بموجود بحثا نافیا للشک منتجا للیقین فإن هذا النوع من البحث هو الذی یهدینا إلی نفس الأشیاء الواقعیة بما هی واقعیة.</w:t>
      </w:r>
    </w:p>
    <w:p>
      <w:pPr>
        <w:pStyle w:val="BookText"/>
      </w:pPr>
      <w:r>
        <w:rPr>
          <w:rFonts w:ascii="IRNazanin" w:hAnsi="IRNazanin" w:eastAsia="IRNazanin" w:cs="IRNazanin"/>
          <w:lang w:bidi="fa-IR"/>
          <w:color w:val="111111"/>
          <w:sz w:val="28"/>
          <w:szCs w:val="28"/>
          <w:rtl/>
        </w:rPr>
        <w:t xml:space="preserve">و بتعبیر آخر بحثا نقتصر فیه علی استعمال البرهان فإن القیاس البرهانی هو المنتج للنتیجة الیقینیة من بین الأقیسة کما أن الیقین هو الاعتقاد الکاشف عن وجه الواقع من بین الاعتقادات.</w:t>
      </w:r>
    </w:p>
    <w:p>
      <w:pPr>
        <w:pStyle w:val="BookText"/>
      </w:pPr>
      <w:r>
        <w:rPr>
          <w:rFonts w:ascii="IRNazanin" w:hAnsi="IRNazanin" w:eastAsia="IRNazanin" w:cs="IRNazanin"/>
          <w:lang w:bidi="fa-IR"/>
          <w:color w:val="111111"/>
          <w:sz w:val="28"/>
          <w:szCs w:val="28"/>
          <w:rtl/>
        </w:rPr>
        <w:t xml:space="preserve">فإذا بحثنا هذا النوع من البحث أمکننا أن نستنتج به أن کذا موجود و کذا لیس بموجود</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لکن البحث عن الجزئیات خارج من وسعنا علی أن البرهان لا یجری فی الجزئی بما هو متغیر زائل و لذلک بعینه ننعطف فی هذا النوع من البحث إلی البحث عن حال الموجود علی وجه کلی فنستعلم به أحوال الموجود المطلق بما أنه کلی</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لما کان من المستحیل أن یتصف</w:t>
      </w:r>
    </w:p>
    <w:p>
      <w:pPr>
        <w:pStyle w:val="BookText"/>
      </w:pPr>
      <w:r>
        <w:rPr>
          <w:rFonts w:ascii="IRNazanin" w:hAnsi="IRNazanin" w:eastAsia="IRNazanin" w:cs="IRNazanin"/>
          <w:lang w:bidi="fa-IR"/>
          <w:color w:val="111111"/>
          <w:sz w:val="28"/>
          <w:szCs w:val="28"/>
          <w:rtl/>
        </w:rPr>
        <w:t xml:space="preserve">[شماره صفحه واقعی : 4]</w:t>
      </w:r>
    </w:p>
    <w:p>
      <w:pPr>
        <w:pStyle w:val="BookText"/>
      </w:pPr>
      <w:r>
        <w:rPr>
          <w:rFonts w:ascii="IRNazanin" w:hAnsi="IRNazanin" w:eastAsia="IRNazanin" w:cs="IRNazanin"/>
          <w:lang w:bidi="fa-IR"/>
          <w:color w:val="111111"/>
          <w:sz w:val="28"/>
          <w:szCs w:val="28"/>
          <w:rtl/>
        </w:rPr>
        <w:t xml:space="preserve">ص: 1225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بأحوال غیر موجودة انحصرت الأحوال المذکورة فی أحکام تساوی الموجود من حیث هو موجود کالخارجیة المطلقة و الوحدة العامة و الفعلیة الکلیة المساویة للموجود المطلق أو تکون أحوالا هی أخص من الموجود المطلق لکنها و ما یقابلها جمیعا تساوی الموجود المطلق کقولنا الموجود إما خارجی أو ذهنی و الموجود إما واحد أو کثیر و الموجود إما بالفعل أو بالقوة و الجمیع کما تری أمور غیر خارجة من الموجودیة المطلقة و المجموع من هذه الأبحاث هو الذی نسمیه الفلسفة.</w:t>
      </w:r>
    </w:p>
    <w:p>
      <w:pPr>
        <w:pStyle w:val="BookText"/>
      </w:pPr>
      <w:r>
        <w:rPr>
          <w:rFonts w:ascii="IRNazanin" w:hAnsi="IRNazanin" w:eastAsia="IRNazanin" w:cs="IRNazanin"/>
          <w:lang w:bidi="fa-IR"/>
          <w:color w:val="111111"/>
          <w:sz w:val="28"/>
          <w:szCs w:val="28"/>
          <w:rtl/>
        </w:rPr>
        <w:t xml:space="preserve">و قد تبین بما تقدم أولا أن الفلسفة أعم العلوم جمیعا لأن موضوعها أعم الموضوعات و هو الموجود الشامل لکل شی‌ء فالعلوم جمیعا تتوقف علیها فی ثبوت موضوعاتها و أما الفلسفة فلا تتوقف فی ثبوت موضوعها علی شی‌ء من العلوم فإن موضوعها الموجود العام الذی نتصوره تصورا أولیا و نصدق بوجوده کذلک لأن الموجودیة نفسه.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ثانیا أن موضوعها لما کان أعم الأشیاء و لا ثبوت لأمر خارج منه کانت المحمولات المثبتة فیها إما نفس الموضوع کقولنا إن کل موجود فإنه من حیث هو موجود واحد أو بالفعل فإن الواحد و إن غایر الموجود مفهوما لکنه عینه مصداقا و لو کان غیره کان باطل الذات غیر ثابت للموجود و کذلک ما بالفعل و إما لیست نفس الموضوع بل هی أخص منه لکنها لیست غیره کقولنا إن العلة موجودة فإن العلة و إن کانت أخص من الموجود لکن العلیة لیست حیثیة خارجة من الموجودیة العامة و إلا لبطلت.</w:t>
      </w:r>
    </w:p>
    <w:p>
      <w:pPr>
        <w:pStyle w:val="BookText"/>
      </w:pPr>
      <w:r>
        <w:rPr>
          <w:rFonts w:ascii="IRNazanin" w:hAnsi="IRNazanin" w:eastAsia="IRNazanin" w:cs="IRNazanin"/>
          <w:lang w:bidi="fa-IR"/>
          <w:color w:val="111111"/>
          <w:sz w:val="28"/>
          <w:szCs w:val="28"/>
          <w:rtl/>
        </w:rPr>
        <w:t xml:space="preserve">و أمثال هذه المسائل مع ما یقابلها تعود إلی قضایا مرددة المحمول تساوی أطراف التردید فیها الموجودیة العامة کقولنا کل موجود إما بالفعل أو بالقوة فأکثر المسائل فی الفلسفة جاریة علی التقسیم کتقسیم الموجود إلی واجب و ممکن و تقسیم الممکن إلی جوهر و عرض و تقسیم الجوهر إلی مجرد</w:t>
      </w:r>
    </w:p>
    <w:p>
      <w:pPr>
        <w:pStyle w:val="BookText"/>
      </w:pPr>
      <w:r>
        <w:rPr>
          <w:rFonts w:ascii="IRNazanin" w:hAnsi="IRNazanin" w:eastAsia="IRNazanin" w:cs="IRNazanin"/>
          <w:lang w:bidi="fa-IR"/>
          <w:color w:val="111111"/>
          <w:sz w:val="28"/>
          <w:szCs w:val="28"/>
          <w:rtl/>
        </w:rPr>
        <w:t xml:space="preserve">[شماره صفحه واقعی : 5]</w:t>
      </w:r>
    </w:p>
    <w:p>
      <w:pPr>
        <w:pStyle w:val="BookText"/>
      </w:pPr>
      <w:r>
        <w:rPr>
          <w:rFonts w:ascii="IRNazanin" w:hAnsi="IRNazanin" w:eastAsia="IRNazanin" w:cs="IRNazanin"/>
          <w:lang w:bidi="fa-IR"/>
          <w:color w:val="111111"/>
          <w:sz w:val="28"/>
          <w:szCs w:val="28"/>
          <w:rtl/>
        </w:rPr>
        <w:t xml:space="preserve">ص: 1226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مادی و تقسیم المجرد إلی عقل و نفس و علی هذا القیاس.</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ثالثا أن المسائل فیها مسوقة علی طریق عکس الحمل فقولنا الواجب موجود و الممکن موجود فی معنی الوجود یکون واجبا و یکون ممکنا و قولنا الوجوب إما بالذات و إما بالغیر معناه أن الموجود الواجب ینقسم إلی واجب لذاته و واجب لغیره.</w:t>
      </w:r>
    </w:p>
    <w:p>
      <w:pPr>
        <w:pStyle w:val="BookText"/>
      </w:pPr>
      <w:r>
        <w:rPr>
          <w:rFonts w:ascii="IRNazanin" w:hAnsi="IRNazanin" w:eastAsia="IRNazanin" w:cs="IRNazanin"/>
          <w:lang w:bidi="fa-IR"/>
          <w:color w:val="111111"/>
          <w:sz w:val="28"/>
          <w:szCs w:val="28"/>
          <w:rtl/>
        </w:rPr>
        <w:t xml:space="preserve">و رابعا أن هذا الفن لما کان أعم الفنون موضوعا و لا یشذ عن موضوعه و محمولاته الراجعة إلیه شی‌ء من الأشیاء لم یتصور هناک غایة خارجة منه یقصد الفن لأجلها فالمعرفة بالفلسفة مقصودة لذاتها من غیر أن تقصد لأجل غیرها و تکون آلة للتوصل بها إلی أمر آخر کالفنون الآلیة نعم هناک فوائد تترتب علیها.</w:t>
      </w:r>
    </w:p>
    <w:p>
      <w:pPr>
        <w:pStyle w:val="BookText"/>
      </w:pPr>
      <w:r>
        <w:rPr>
          <w:rFonts w:ascii="IRNazanin" w:hAnsi="IRNazanin" w:eastAsia="IRNazanin" w:cs="IRNazanin"/>
          <w:lang w:bidi="fa-IR"/>
          <w:color w:val="111111"/>
          <w:sz w:val="28"/>
          <w:szCs w:val="28"/>
          <w:rtl/>
        </w:rPr>
        <w:t xml:space="preserve">و خامسا أن کون موضوعها أعم الأشیاء یوجب أن لا یکون معلولا لشی‌ء خارج منه إذ لا خارج هناک فلا علة له فالبراهین المستعملة فیها لیست ببراهین لمیة و أما برهان الإن فقد تحقق فی کتاب البرهان من المنطق أن السلوک من المعلول إلی العلة لا یفید یقینا فلا یبقی للبحث الفلسفی إلا برهان الإن الذی یعتمد فیه علی الملازمات العامة فیسلک فیه من أحد المتلازمین العامین إلی الآخر</w:t>
      </w:r>
    </w:p>
    <w:p>
      <w:pPr>
        <w:pStyle w:val="BookText"/>
      </w:pPr>
      <w:r>
        <w:rPr>
          <w:rFonts w:ascii="IRNazanin" w:hAnsi="IRNazanin" w:eastAsia="IRNazanin" w:cs="IRNazanin"/>
          <w:lang w:bidi="fa-IR"/>
          <w:color w:val="111111"/>
          <w:sz w:val="28"/>
          <w:szCs w:val="28"/>
          <w:rtl/>
        </w:rPr>
        <w:t xml:space="preserve">[شماره صفحه واقعی : 6]</w:t>
      </w:r>
    </w:p>
    <w:p>
      <w:pPr>
        <w:pStyle w:val="BookText"/>
      </w:pPr>
      <w:r>
        <w:rPr>
          <w:rFonts w:ascii="IRNazanin" w:hAnsi="IRNazanin" w:eastAsia="IRNazanin" w:cs="IRNazanin"/>
          <w:lang w:bidi="fa-IR"/>
          <w:color w:val="111111"/>
          <w:sz w:val="28"/>
          <w:szCs w:val="28"/>
          <w:rtl/>
        </w:rPr>
        <w:t xml:space="preserve">ص: 1227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492" w:name="pg14419_167943"/>
    <w:bookmarkEnd w:id="492"/>
    <w:p>
      <w:pPr>
        <w:pStyle w:val="Heading4"/>
      </w:pPr>
      <w:bookmarkStart w:id="1459" w:name="_Toc899"/>
      <w:r>
        <w:t>المرحلة الأولی فی أحکام الوجود الکلیة</w:t>
      </w:r>
      <w:bookmarkEnd w:id="1459"/>
    </w:p>
    <w:p>
      <w:pPr>
        <w:pStyle w:val="Heading5"/>
      </w:pPr>
      <w:bookmarkStart w:id="1460" w:name="_Toc900"/>
      <w:r>
        <w:t>اشارة</w:t>
      </w:r>
      <w:bookmarkEnd w:id="14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خمسة فصول</w:t>
      </w:r>
    </w:p>
    <w:p>
      <w:pPr>
        <w:pStyle w:val="BookText"/>
      </w:pPr>
      <w:r>
        <w:rPr>
          <w:rFonts w:ascii="IRNazanin" w:hAnsi="IRNazanin" w:eastAsia="IRNazanin" w:cs="IRNazanin"/>
          <w:lang w:bidi="fa-IR"/>
          <w:color w:val="111111"/>
          <w:sz w:val="28"/>
          <w:szCs w:val="28"/>
          <w:rtl/>
        </w:rPr>
        <w:t xml:space="preserve">[شماره صفحه واقعی : 7]</w:t>
      </w:r>
    </w:p>
    <w:p>
      <w:pPr>
        <w:pStyle w:val="BookText"/>
      </w:pPr>
      <w:r>
        <w:rPr>
          <w:rFonts w:ascii="IRNazanin" w:hAnsi="IRNazanin" w:eastAsia="IRNazanin" w:cs="IRNazanin"/>
          <w:lang w:bidi="fa-IR"/>
          <w:color w:val="111111"/>
          <w:sz w:val="28"/>
          <w:szCs w:val="28"/>
          <w:rtl/>
        </w:rPr>
        <w:t xml:space="preserve">ص: 1228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493" w:name="pg14419_167944"/>
    <w:bookmarkEnd w:id="493"/>
    <w:p>
      <w:pPr>
        <w:pStyle w:val="Heading5"/>
      </w:pPr>
      <w:bookmarkStart w:id="1461" w:name="_Toc901"/>
      <w:r>
        <w:t>الفصل الأول فی أن الوجود مشترک معنوی</w:t>
      </w:r>
      <w:bookmarkEnd w:id="1461"/>
    </w:p>
    <w:p>
      <w:pPr>
        <w:pStyle w:val="BookText"/>
      </w:pPr>
      <w:r>
        <w:rPr>
          <w:rFonts w:ascii="IRNazanin" w:hAnsi="IRNazanin" w:eastAsia="IRNazanin" w:cs="IRNazanin"/>
          <w:lang w:bidi="fa-IR"/>
          <w:color w:val="111111"/>
          <w:sz w:val="28"/>
          <w:szCs w:val="28"/>
          <w:rtl/>
        </w:rPr>
        <w:t xml:space="preserve">الوجود بمفهومه مشترک معنوی یحمل علی ما یحمل علیه بمعنی واحد و هو ظاهر بالرجوع إلی الذهن حینما نحمله علی أشیاء أو ننفیه عن أشیاء کقولنا الإنسان موجود و النبات موجود و الشمس موجودة و اجتماع النقیضین لیس بموجود و اجتماع الضدین لیس بموجود و قد أجاد صدر المتألهین قدس سره حیث قال : «إن کون مفهوم الوجود مشترکا بین الماهیات قریب من الأولیات.»</w:t>
      </w:r>
    </w:p>
    <w:p>
      <w:pPr>
        <w:pStyle w:val="BookText"/>
      </w:pPr>
      <w:r>
        <w:rPr>
          <w:rFonts w:ascii="IRNazanin" w:hAnsi="IRNazanin" w:eastAsia="IRNazanin" w:cs="IRNazanin"/>
          <w:lang w:bidi="fa-IR"/>
          <w:color w:val="111111"/>
          <w:sz w:val="28"/>
          <w:szCs w:val="28"/>
          <w:rtl/>
        </w:rPr>
        <w:t xml:space="preserve">فمن سخیف القول ما قال بعضهم إن الوجود مشترک لفظی و هو فی کل ماهیة یحمل علیها بمعنی تلک الماهیة.</w:t>
      </w:r>
    </w:p>
    <w:p>
      <w:pPr>
        <w:pStyle w:val="BookText"/>
      </w:pPr>
      <w:r>
        <w:rPr>
          <w:rFonts w:ascii="IRNazanin" w:hAnsi="IRNazanin" w:eastAsia="IRNazanin" w:cs="IRNazanin"/>
          <w:lang w:bidi="fa-IR"/>
          <w:color w:val="111111"/>
          <w:sz w:val="28"/>
          <w:szCs w:val="28"/>
          <w:rtl/>
        </w:rPr>
        <w:t xml:space="preserve">و یرده لزوم سقوط الفائدة فی الهلیات البسیطة مطلقا کقولنا الواجب موجود و الممکن موجود و الجوهر موجود و العرض موجود.</w:t>
      </w:r>
    </w:p>
    <w:p>
      <w:pPr>
        <w:pStyle w:val="BookText"/>
      </w:pPr>
      <w:r>
        <w:rPr>
          <w:rFonts w:ascii="IRNazanin" w:hAnsi="IRNazanin" w:eastAsia="IRNazanin" w:cs="IRNazanin"/>
          <w:lang w:bidi="fa-IR"/>
          <w:color w:val="111111"/>
          <w:sz w:val="28"/>
          <w:szCs w:val="28"/>
          <w:rtl/>
        </w:rPr>
        <w:t xml:space="preserve">علی أن من الجائز أن یتردد بین وجود الشی‌ء و عدمه مع العلم بماهیته و معناه کقولنا هل الاتفاق موجود أو لا.</w:t>
      </w:r>
    </w:p>
    <w:p>
      <w:pPr>
        <w:pStyle w:val="BookText"/>
      </w:pPr>
      <w:r>
        <w:rPr>
          <w:rFonts w:ascii="IRNazanin" w:hAnsi="IRNazanin" w:eastAsia="IRNazanin" w:cs="IRNazanin"/>
          <w:lang w:bidi="fa-IR"/>
          <w:color w:val="111111"/>
          <w:sz w:val="28"/>
          <w:szCs w:val="28"/>
          <w:rtl/>
        </w:rPr>
        <w:t xml:space="preserve">و کذا التردد فی ماهیة الشی‌ء مع الجزم بوجوده کقولنا هل النفس الإنسانیة الموجودة جوهر أو عرض و التردد فی أحد الشیئین مع الجزم بالآخر یقضی بمغایرتهما.</w:t>
      </w:r>
    </w:p>
    <w:p>
      <w:pPr>
        <w:pStyle w:val="BookText"/>
      </w:pPr>
      <w:r>
        <w:rPr>
          <w:rFonts w:ascii="IRNazanin" w:hAnsi="IRNazanin" w:eastAsia="IRNazanin" w:cs="IRNazanin"/>
          <w:lang w:bidi="fa-IR"/>
          <w:color w:val="111111"/>
          <w:sz w:val="28"/>
          <w:szCs w:val="28"/>
          <w:rtl/>
        </w:rPr>
        <w:t xml:space="preserve">و نظیره فی السخافة ما نسب إلی بعضهم أن مفهوم الوجود مشترک</w:t>
      </w:r>
    </w:p>
    <w:p>
      <w:pPr>
        <w:pStyle w:val="BookText"/>
      </w:pPr>
      <w:r>
        <w:rPr>
          <w:rFonts w:ascii="IRNazanin" w:hAnsi="IRNazanin" w:eastAsia="IRNazanin" w:cs="IRNazanin"/>
          <w:lang w:bidi="fa-IR"/>
          <w:color w:val="111111"/>
          <w:sz w:val="28"/>
          <w:szCs w:val="28"/>
          <w:rtl/>
        </w:rPr>
        <w:t xml:space="preserve">[شماره صفحه واقعی : 8]</w:t>
      </w:r>
    </w:p>
    <w:p>
      <w:pPr>
        <w:pStyle w:val="BookText"/>
      </w:pPr>
      <w:r>
        <w:rPr>
          <w:rFonts w:ascii="IRNazanin" w:hAnsi="IRNazanin" w:eastAsia="IRNazanin" w:cs="IRNazanin"/>
          <w:lang w:bidi="fa-IR"/>
          <w:color w:val="111111"/>
          <w:sz w:val="28"/>
          <w:szCs w:val="28"/>
          <w:rtl/>
        </w:rPr>
        <w:t xml:space="preserve">ص: 1229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494" w:name="pg14419_167945"/>
    <w:bookmarkEnd w:id="494"/>
    <w:p>
      <w:pPr>
        <w:pStyle w:val="BookText"/>
      </w:pPr>
      <w:r>
        <w:rPr>
          <w:rFonts w:ascii="IRNazanin" w:hAnsi="IRNazanin" w:eastAsia="IRNazanin" w:cs="IRNazanin"/>
          <w:lang w:bidi="fa-IR"/>
          <w:color w:val="111111"/>
          <w:sz w:val="28"/>
          <w:szCs w:val="28"/>
          <w:rtl/>
        </w:rPr>
        <w:t xml:space="preserve">لفظی بین الواجب و الممکن.</w:t>
      </w:r>
    </w:p>
    <w:p>
      <w:pPr>
        <w:pStyle w:val="BookText"/>
      </w:pPr>
      <w:r>
        <w:rPr>
          <w:rFonts w:ascii="IRNazanin" w:hAnsi="IRNazanin" w:eastAsia="IRNazanin" w:cs="IRNazanin"/>
          <w:lang w:bidi="fa-IR"/>
          <w:color w:val="111111"/>
          <w:sz w:val="28"/>
          <w:szCs w:val="28"/>
          <w:rtl/>
        </w:rPr>
        <w:t xml:space="preserve">و رد بأنا إما أن نقصد بالوجود الذی نحمله علی الواجب معنی أو لا و الثانی یوجب التعطیل و علی الأول إما أن نعنی به معنی الذی نعنیه إذا حملناه علی الممکنات و إما أن نعنی به نقیضه و علی الثانی یلزم نفی الوجود عنه عند إثبات الوجود له تعالی عن ذلک و علی الأول یثبت المطلوب و هو کون مفهوم الوجود مشترکا معنویا.</w:t>
      </w:r>
    </w:p>
    <w:p>
      <w:pPr>
        <w:pStyle w:val="BookText"/>
      </w:pPr>
      <w:r>
        <w:rPr>
          <w:rFonts w:ascii="IRNazanin" w:hAnsi="IRNazanin" w:eastAsia="IRNazanin" w:cs="IRNazanin"/>
          <w:lang w:bidi="fa-IR"/>
          <w:color w:val="111111"/>
          <w:sz w:val="28"/>
          <w:szCs w:val="28"/>
          <w:rtl/>
        </w:rPr>
        <w:t xml:space="preserve">و الحق کما ذکره بعض المحققین أن القول بالاشتراک اللفظی من الخلط بین المفهوم و المصداق فحکم المغایرة إنما هو للمصداق دون المفهوم.</w:t>
      </w:r>
    </w:p>
    <w:p>
      <w:pPr>
        <w:pStyle w:val="Heading5"/>
      </w:pPr>
      <w:bookmarkStart w:id="1462" w:name="_Toc902"/>
      <w:r>
        <w:t>الفصل الثانی فی أصالة الوجود و اعتباریة الماهیة</w:t>
      </w:r>
      <w:bookmarkEnd w:id="14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الوجود هو الأصیل دون الماهیة أی أنه هو الحقیقة العینیة التی نثبتها بالضرورة إنا بعد حسم أصل الشک و السفسطة و إثبات الأصیل الذی هو واقعیة الأشیاء أول ما نرجع إلی الأشیاء نجدها مختلفة متمایزة مسلوبا بعضها عن بعض فی عین أنها جمیعا متحدة فی دفع ما کان یحتمله السوفسطی من بطلان الواقعیة فنجد فیها مثلا إنسانا موجودا و فرسا موجودا و شجرا موجودا و عنصرا موجودا و شمسا موجودة و هکذا.</w:t>
      </w:r>
    </w:p>
    <w:p>
      <w:pPr>
        <w:pStyle w:val="BookText"/>
      </w:pPr>
      <w:r>
        <w:rPr>
          <w:rFonts w:ascii="IRNazanin" w:hAnsi="IRNazanin" w:eastAsia="IRNazanin" w:cs="IRNazanin"/>
          <w:lang w:bidi="fa-IR"/>
          <w:color w:val="111111"/>
          <w:sz w:val="28"/>
          <w:szCs w:val="28"/>
          <w:rtl/>
        </w:rPr>
        <w:t xml:space="preserve">فلها ماهیات محمولة علیها بها یباین بعضها بعضا و الوجود محمول علیها مشترک المعنی بینها و الماهیة غیر الوجود لأن المختص غیر المشترک و أیضا الماهیة لا تأبی فی ذاتها أن یحمل علیها الوجود و أن یسلب عنها و لو کانت عین الوجود لم یجز أن تسلب عن نفسها لاستحالة سلب الشی‌ء عن نفسه فما نجده فی الأشیاء من حیثیة الماهیة غیر ما نجده فیها من حیثیة الوجود.</w:t>
      </w:r>
    </w:p>
    <w:p>
      <w:pPr>
        <w:pStyle w:val="BookText"/>
      </w:pPr>
      <w:r>
        <w:rPr>
          <w:rFonts w:ascii="IRNazanin" w:hAnsi="IRNazanin" w:eastAsia="IRNazanin" w:cs="IRNazanin"/>
          <w:lang w:bidi="fa-IR"/>
          <w:color w:val="111111"/>
          <w:sz w:val="28"/>
          <w:szCs w:val="28"/>
          <w:rtl/>
        </w:rPr>
        <w:t xml:space="preserve">[شماره صفحه واقعی : 9]</w:t>
      </w:r>
    </w:p>
    <w:p>
      <w:pPr>
        <w:pStyle w:val="BookText"/>
      </w:pPr>
      <w:r>
        <w:rPr>
          <w:rFonts w:ascii="IRNazanin" w:hAnsi="IRNazanin" w:eastAsia="IRNazanin" w:cs="IRNazanin"/>
          <w:lang w:bidi="fa-IR"/>
          <w:color w:val="111111"/>
          <w:sz w:val="28"/>
          <w:szCs w:val="28"/>
          <w:rtl/>
        </w:rPr>
        <w:t xml:space="preserve">ص: 1230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 لیس لکل واحد من هذه الأشیاء إلا واقعیة واحدة کانت إحدی هاتین الحیثیتین أعنی الماهیة و الوجود بحذاء ما له من الواقعیة و الحقیقة و هو المراد بالأصالة و الحیثیة الأخری اعتباریة منتزعة من الحیثیة الأصیلة تنسب إلیها الواقعیة بالعرض.</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إذ کان کل شی‌ء إنما ینال الواقعیة إذا حمل علیه الوجود و اتصف به فالوجود هو الذی یحاذی واقعیة الأشیاء و أما الماهیة فإذ کانت مع الاتصاف بالوجود ذات واقعیة و مع سلبه باطلة الذات فهی فی ذاتها غیر أصیلة و إنما تتأصل بعرض الوجود.</w:t>
      </w:r>
    </w:p>
    <w:p>
      <w:pPr>
        <w:pStyle w:val="BookText"/>
      </w:pPr>
      <w:r>
        <w:rPr>
          <w:rFonts w:ascii="IRNazanin" w:hAnsi="IRNazanin" w:eastAsia="IRNazanin" w:cs="IRNazanin"/>
          <w:lang w:bidi="fa-IR"/>
          <w:color w:val="111111"/>
          <w:sz w:val="28"/>
          <w:szCs w:val="28"/>
          <w:rtl/>
        </w:rPr>
        <w:t xml:space="preserve">فقد تحصل أن الوجود أصیل و الماهیة اعتباریة کما قال به المشاءون أی أن الوجود موجود بذاته و الماهیة موجودة به.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بذلک یندفع ما أورد علی أصالة الوجود من أن الوجود لو کان حاصلا فی الأعیان کان موجودا لأن الحصول هو الوجود فللوجود وجود و ننقل الکلام إلیه و هلم جرا فیتسلسل.</w:t>
      </w:r>
    </w:p>
    <w:p>
      <w:pPr>
        <w:pStyle w:val="BookText"/>
      </w:pPr>
      <w:r>
        <w:rPr>
          <w:rFonts w:ascii="IRNazanin" w:hAnsi="IRNazanin" w:eastAsia="IRNazanin" w:cs="IRNazanin"/>
          <w:lang w:bidi="fa-IR"/>
          <w:color w:val="111111"/>
          <w:sz w:val="28"/>
          <w:szCs w:val="28"/>
          <w:rtl/>
        </w:rPr>
        <w:t xml:space="preserve">وجه الاندفاع أن الوجود موجود لکن بذاته لا بوجود زائد أی أن الوجود عین الموجودیة بخلاف الماهیة التی حیثیة ذاتها غیر حیثیة وجودها.</w:t>
      </w:r>
    </w:p>
    <w:p>
      <w:pPr>
        <w:pStyle w:val="BookText"/>
      </w:pPr>
      <w:r>
        <w:rPr>
          <w:rFonts w:ascii="IRNazanin" w:hAnsi="IRNazanin" w:eastAsia="IRNazanin" w:cs="IRNazanin"/>
          <w:lang w:bidi="fa-IR"/>
          <w:color w:val="111111"/>
          <w:sz w:val="28"/>
          <w:szCs w:val="28"/>
          <w:rtl/>
        </w:rPr>
        <w:t xml:space="preserve">و أما دعوی أن الموجود فی عرف اللغة إنما یطلق علی ما له ذات معروضة للوجود و لازمه أن الوجود غیر موجود فهی علی تقدیر صحتها أمر راجع إلی الوضع اللغوی أو غلبة الاستعمال و الحقائق لا تتبع استعمال الألفاظ و للوجود کما تقدم حقیقة عینیة نفسها ثابتة لنفسها.</w:t>
      </w:r>
    </w:p>
    <w:p>
      <w:pPr>
        <w:pStyle w:val="BookText"/>
      </w:pPr>
      <w:r>
        <w:rPr>
          <w:rFonts w:ascii="IRNazanin" w:hAnsi="IRNazanin" w:eastAsia="IRNazanin" w:cs="IRNazanin"/>
          <w:lang w:bidi="fa-IR"/>
          <w:color w:val="111111"/>
          <w:sz w:val="28"/>
          <w:szCs w:val="28"/>
          <w:rtl/>
        </w:rPr>
        <w:t xml:space="preserve">قال بهمنیار فی التحصیل : و بالجملة فالوجود حقیقته أنه فی الأعیان لا غیر و کیف لا یکون فی الأعیان ما هذه حقیقته انتهی. (ص 281)</w:t>
      </w:r>
    </w:p>
    <w:p>
      <w:pPr>
        <w:pStyle w:val="BookText"/>
      </w:pPr>
      <w:r>
        <w:rPr>
          <w:rFonts w:ascii="IRNazanin" w:hAnsi="IRNazanin" w:eastAsia="IRNazanin" w:cs="IRNazanin"/>
          <w:lang w:bidi="fa-IR"/>
          <w:color w:val="111111"/>
          <w:sz w:val="28"/>
          <w:szCs w:val="28"/>
          <w:rtl/>
        </w:rPr>
        <w:t xml:space="preserve">و یندفع أیضا ما أشکل علیه بأن کون الوجود موجودا بذاته یستتبع کون الوجودات الإمکانیة واجبة بالذات لأن کون الوجود موجودا بذاته یستلزم امتناع سلبه عن ذاته إذ الشی‌ء لا یسلب عن نفسه و لا نعنی بالواجب</w:t>
      </w:r>
    </w:p>
    <w:p>
      <w:pPr>
        <w:pStyle w:val="BookText"/>
      </w:pPr>
      <w:r>
        <w:rPr>
          <w:rFonts w:ascii="IRNazanin" w:hAnsi="IRNazanin" w:eastAsia="IRNazanin" w:cs="IRNazanin"/>
          <w:lang w:bidi="fa-IR"/>
          <w:color w:val="111111"/>
          <w:sz w:val="28"/>
          <w:szCs w:val="28"/>
          <w:rtl/>
        </w:rPr>
        <w:t xml:space="preserve">[شماره صفحه واقعی : 10]</w:t>
      </w:r>
    </w:p>
    <w:p>
      <w:pPr>
        <w:pStyle w:val="BookText"/>
      </w:pPr>
      <w:r>
        <w:rPr>
          <w:rFonts w:ascii="IRNazanin" w:hAnsi="IRNazanin" w:eastAsia="IRNazanin" w:cs="IRNazanin"/>
          <w:lang w:bidi="fa-IR"/>
          <w:color w:val="111111"/>
          <w:sz w:val="28"/>
          <w:szCs w:val="28"/>
          <w:rtl/>
        </w:rPr>
        <w:t xml:space="preserve">ص: 1231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بالذات إلا ما یمتنع عدمه لذاته.</w:t>
      </w:r>
    </w:p>
    <w:p>
      <w:pPr>
        <w:pStyle w:val="BookText"/>
      </w:pPr>
      <w:r>
        <w:rPr>
          <w:rFonts w:ascii="IRNazanin" w:hAnsi="IRNazanin" w:eastAsia="IRNazanin" w:cs="IRNazanin"/>
          <w:lang w:bidi="fa-IR"/>
          <w:color w:val="111111"/>
          <w:sz w:val="28"/>
          <w:szCs w:val="28"/>
          <w:rtl/>
        </w:rPr>
        <w:t xml:space="preserve">وجه الاندفاع أن الملاک فی کون الشی‌ء واجبا بالذات لیس هو کون وجوده نفس ذاته بل کون وجوده مقتضی ذاته من غیر أن یفتقر إلی غیره و کل وجود إمکانی فهو فی عین أنه موجود فی ذاته مفتقر إلی غیره مفاض منه کالمعنی الحرفی الذی نفسه نفسه و هو مع ذلک لا یتم مفهوما إلا بالقیام بغیره و سیجی‌ء مزید توضیح له فی الأبحاث الآتیة.</w:t>
      </w:r>
    </w:p>
    <w:p>
      <w:pPr>
        <w:pStyle w:val="BookText"/>
      </w:pPr>
      <w:r>
        <w:rPr>
          <w:rFonts w:ascii="IRNazanin" w:hAnsi="IRNazanin" w:eastAsia="IRNazanin" w:cs="IRNazanin"/>
          <w:lang w:bidi="fa-IR"/>
          <w:color w:val="111111"/>
          <w:sz w:val="28"/>
          <w:szCs w:val="28"/>
          <w:rtl/>
        </w:rPr>
        <w:t xml:space="preserve">قال صدر المتألهین فی الأسفار : معنی وجود الواجب بنفسه أنه مقتضی ذاته من غیر احتیاج إلی فاعل و قابل و معنی تحقق الوجود بنفسه أنه إذا حصل إما بذاته کما فی الواجب أو بفاعل لم یفتقر تحققه إلی وجود آخر یقوم به بخلاف غیر الوجود انتهی. (ج 1 ص 40)</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یندفع عنه أیضا ما أورد علیه أنه لو کان الوجود موجودا بذاته و الماهیة موجودة بغیرها الذی هو الوجود کان مفهوم الوجود مشترکا بین ما بنفسه و ما بغیره فلم یتم مفروض الحجة من أن الوجود مشترک معنوی بین الموجودات لا لفظی.</w:t>
      </w:r>
    </w:p>
    <w:p>
      <w:pPr>
        <w:pStyle w:val="BookText"/>
      </w:pPr>
      <w:r>
        <w:rPr>
          <w:rFonts w:ascii="IRNazanin" w:hAnsi="IRNazanin" w:eastAsia="IRNazanin" w:cs="IRNazanin"/>
          <w:lang w:bidi="fa-IR"/>
          <w:color w:val="111111"/>
          <w:sz w:val="28"/>
          <w:szCs w:val="28"/>
          <w:rtl/>
        </w:rPr>
        <w:t xml:space="preserve">وجه الاندفاع أن فیه خلطا بین المفهوم و المصداق و الاختلاف المذکور مصداقی لا مفهومی.</w:t>
      </w:r>
    </w:p>
    <w:p>
      <w:pPr>
        <w:pStyle w:val="BookText"/>
      </w:pPr>
      <w:r>
        <w:rPr>
          <w:rFonts w:ascii="IRNazanin" w:hAnsi="IRNazanin" w:eastAsia="IRNazanin" w:cs="IRNazanin"/>
          <w:lang w:bidi="fa-IR"/>
          <w:color w:val="111111"/>
          <w:sz w:val="28"/>
          <w:szCs w:val="28"/>
          <w:rtl/>
        </w:rPr>
        <w:t xml:space="preserve">فتبین بما تقدم فساد القول بأصالة الماهیة کما نسب إلی الإشراقیین فهی عندهم أصیلة إذا کانت بحیث ینتزع عنها الوجود و إن کانت فی حد ذاتها اعتباریة و الوجود المنتزع عنها اعتباریا.</w:t>
      </w:r>
    </w:p>
    <w:p>
      <w:pPr>
        <w:pStyle w:val="BookText"/>
      </w:pPr>
      <w:r>
        <w:rPr>
          <w:rFonts w:ascii="IRNazanin" w:hAnsi="IRNazanin" w:eastAsia="IRNazanin" w:cs="IRNazanin"/>
          <w:lang w:bidi="fa-IR"/>
          <w:color w:val="111111"/>
          <w:sz w:val="28"/>
          <w:szCs w:val="28"/>
          <w:rtl/>
        </w:rPr>
        <w:t xml:space="preserve">و یرده أن صیرورة الماهیة الاعتباریة بانتزاع مفهوم الوجود الاعتباری أصیله ذات حقیقة عینیة انقلاب ضروری الاستحالة.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تبین أیضا فساد القول بأصالة الوجود فی الواجب و أصالة الماهیة فی الممکن کما قال به الدوانی و قرره بأن الوجود علی ما یقتضیه ذوق المتألهین حقیقة عینیة شخصیة هی الواجب تعالی و تتأصل الماهیات الممکنة بنوع من</w:t>
      </w:r>
    </w:p>
    <w:p>
      <w:pPr>
        <w:pStyle w:val="BookText"/>
      </w:pPr>
      <w:r>
        <w:rPr>
          <w:rFonts w:ascii="IRNazanin" w:hAnsi="IRNazanin" w:eastAsia="IRNazanin" w:cs="IRNazanin"/>
          <w:lang w:bidi="fa-IR"/>
          <w:color w:val="111111"/>
          <w:sz w:val="28"/>
          <w:szCs w:val="28"/>
          <w:rtl/>
        </w:rPr>
        <w:t xml:space="preserve">[شماره صفحه واقعی : 11]</w:t>
      </w:r>
    </w:p>
    <w:p>
      <w:pPr>
        <w:pStyle w:val="BookText"/>
      </w:pPr>
      <w:r>
        <w:rPr>
          <w:rFonts w:ascii="IRNazanin" w:hAnsi="IRNazanin" w:eastAsia="IRNazanin" w:cs="IRNazanin"/>
          <w:lang w:bidi="fa-IR"/>
          <w:color w:val="111111"/>
          <w:sz w:val="28"/>
          <w:szCs w:val="28"/>
          <w:rtl/>
        </w:rPr>
        <w:t xml:space="preserve">ص: 1232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الانتساب إلیه فإطلاق الموجود علیه تعالی بمعنی أنه عین الوجود و علی الماهیات الممکنة بمعنی أنها منتسبة إلی الوجود الذی هو الواجب.</w:t>
      </w:r>
    </w:p>
    <w:p>
      <w:pPr>
        <w:pStyle w:val="BookText"/>
      </w:pPr>
      <w:r>
        <w:rPr>
          <w:rFonts w:ascii="IRNazanin" w:hAnsi="IRNazanin" w:eastAsia="IRNazanin" w:cs="IRNazanin"/>
          <w:lang w:bidi="fa-IR"/>
          <w:color w:val="111111"/>
          <w:sz w:val="28"/>
          <w:szCs w:val="28"/>
          <w:rtl/>
        </w:rPr>
        <w:t xml:space="preserve">و یرده أن الانتساب المذکور إن استوجب عروض حقیقة عینیة علی الماهیات کانت هی الوجود إذ لیس للماهیة المتأصلة إلا حیثیتا الماهیة و الوجود و إذا لم تضف الأصالة إلی الماهیة فهی للوجود و إن لم یستوجب شیئا و کانت حال الماهیة قبل الانتساب و بعده سواء کان تأصلها بالانتساب انقلابا و هو محال.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یتفرع علی أصالة الوجود و اعتباریة الماهیة أولا أن کل ما یحمل علی حیثیة الماهیة فإنما هو بالوجود و أن الوجود حیثیة تقییدیة فی کل حمل ماهوی لما أن الماهیة فی نفسها باطلة هالکة لا تملک شیئا فثبوت ذاتها و ذاتیاتها لذاتها بواسطة الوجود فالماهیة و إن کانت إذا اعتبرها العقل من حیث هی لم تکن إلا هی لا موجودة و لا معدومة لکن ارتفاع الوجود عنها بحسب هذا الاعتبار و معناه أن الوجود غیر مأخوذ فی حدها لا ینافی حمله علیها خارجا عن حدها عارضا لها فلها ثبوت ما کیفما فرضت.</w:t>
      </w:r>
    </w:p>
    <w:p>
      <w:pPr>
        <w:pStyle w:val="BookText"/>
      </w:pPr>
      <w:r>
        <w:rPr>
          <w:rFonts w:ascii="IRNazanin" w:hAnsi="IRNazanin" w:eastAsia="IRNazanin" w:cs="IRNazanin"/>
          <w:lang w:bidi="fa-IR"/>
          <w:color w:val="111111"/>
          <w:sz w:val="28"/>
          <w:szCs w:val="28"/>
          <w:rtl/>
        </w:rPr>
        <w:t xml:space="preserve">و کذا لوازم ذاتها التی هی لوازم الماهیة کمفهوم الماهیة العارضة لکل ماهیة و الزوجیة العارضة لماهیة الأربعة تثبت لها بالوجود لا لذاتها و بذلک یظهر أن لازم الماهیة بحسب الحقیقة لازم الوجودین الخارجی و الذهنی کما ذهب إلیه الدوانی.</w:t>
      </w:r>
    </w:p>
    <w:p>
      <w:pPr>
        <w:pStyle w:val="BookText"/>
      </w:pPr>
      <w:r>
        <w:rPr>
          <w:rFonts w:ascii="IRNazanin" w:hAnsi="IRNazanin" w:eastAsia="IRNazanin" w:cs="IRNazanin"/>
          <w:lang w:bidi="fa-IR"/>
          <w:color w:val="111111"/>
          <w:sz w:val="28"/>
          <w:szCs w:val="28"/>
          <w:rtl/>
        </w:rPr>
        <w:t xml:space="preserve">و کذا لازم الوجود الذهنی کالنوعیة للإنسان و لازم الوجود الخارجی کالبرودة للثلج و المحمولات غیر اللازمة کالکتابة للإنسان کل ذلک بالوجود و بذلک یظهر أن الوجود من لوازم الماهیة الخارجة عن ذاتها.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ثانیا أن الوجود لا یتصف بشی‌ء من أحکام الماهیة کالکلیة و الجزئیة و کالجنسیة و النوعیة و الفصلیة و العرضیة الخاصة و العامة و</w:t>
      </w:r>
    </w:p>
    <w:p>
      <w:pPr>
        <w:pStyle w:val="BookText"/>
      </w:pPr>
      <w:r>
        <w:rPr>
          <w:rFonts w:ascii="IRNazanin" w:hAnsi="IRNazanin" w:eastAsia="IRNazanin" w:cs="IRNazanin"/>
          <w:lang w:bidi="fa-IR"/>
          <w:color w:val="111111"/>
          <w:sz w:val="28"/>
          <w:szCs w:val="28"/>
          <w:rtl/>
        </w:rPr>
        <w:t xml:space="preserve">[شماره صفحه واقعی : 12]</w:t>
      </w:r>
    </w:p>
    <w:p>
      <w:pPr>
        <w:pStyle w:val="BookText"/>
      </w:pPr>
      <w:r>
        <w:rPr>
          <w:rFonts w:ascii="IRNazanin" w:hAnsi="IRNazanin" w:eastAsia="IRNazanin" w:cs="IRNazanin"/>
          <w:lang w:bidi="fa-IR"/>
          <w:color w:val="111111"/>
          <w:sz w:val="28"/>
          <w:szCs w:val="28"/>
          <w:rtl/>
        </w:rPr>
        <w:t xml:space="preserve">ص: 1233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کالجوهریة و الکمیة و الکیفیة و سائر المقولات العرضیة فإن هذه جمیعا أحکام طارئة علی الماهیة من جهة صدقها و انطباقها علی شی‌ء کصدق الإنسان و انطباقه علی زید و عمرو و سائر الأفراد أو من جهة اندراج شی‌ء تحتها کاندارج الأفراد تحت الأنواع و الأنواع تحت الأجناس و الوجود الذی هو بذاته الحقیقة العینیة لا یقبل انطباقا علی شی‌ء و لا اندراجا تحت شی‌ء و لا صدقا و لا حملا و لا ما یشابه هذه المعانی نعم مفهوم الوجود یقبل الصدق و الاشتراک کسائر المفاهیم.</w:t>
      </w:r>
    </w:p>
    <w:p>
      <w:pPr>
        <w:pStyle w:val="BookText"/>
      </w:pPr>
      <w:r>
        <w:rPr>
          <w:rFonts w:ascii="IRNazanin" w:hAnsi="IRNazanin" w:eastAsia="IRNazanin" w:cs="IRNazanin"/>
          <w:lang w:bidi="fa-IR"/>
          <w:color w:val="111111"/>
          <w:sz w:val="28"/>
          <w:szCs w:val="28"/>
          <w:rtl/>
        </w:rPr>
        <w:t xml:space="preserve">و من هنا یظهر أن الوجود یساوق الشخصیة.</w:t>
      </w:r>
    </w:p>
    <w:p>
      <w:pPr>
        <w:pStyle w:val="BookText"/>
      </w:pPr>
      <w:r>
        <w:rPr>
          <w:rFonts w:ascii="IRNazanin" w:hAnsi="IRNazanin" w:eastAsia="IRNazanin" w:cs="IRNazanin"/>
          <w:lang w:bidi="fa-IR"/>
          <w:color w:val="111111"/>
          <w:sz w:val="28"/>
          <w:szCs w:val="28"/>
          <w:rtl/>
        </w:rPr>
        <w:t xml:space="preserve">و من هنا یظهر أیضا أن الوجود لا مثل له لأن مثل الشی‌ء ما یشارکه فی الماهیة النوعیة و لا ماهیة نوعیة للوجود.</w:t>
      </w:r>
    </w:p>
    <w:p>
      <w:pPr>
        <w:pStyle w:val="BookText"/>
      </w:pPr>
      <w:r>
        <w:rPr>
          <w:rFonts w:ascii="IRNazanin" w:hAnsi="IRNazanin" w:eastAsia="IRNazanin" w:cs="IRNazanin"/>
          <w:lang w:bidi="fa-IR"/>
          <w:color w:val="111111"/>
          <w:sz w:val="28"/>
          <w:szCs w:val="28"/>
          <w:rtl/>
        </w:rPr>
        <w:t xml:space="preserve">و یظهر أیضا أن الوجود لا ضد له لأن الضدین کما سیأتی أمران وجودیان متعاقبان علی موضوع واحد داخلان تحت جنس قریب بینهما غایة الخلاف و الوجود لا موضوع له و لا جنس له و لا له خلاف مع شی‌ء.</w:t>
      </w:r>
    </w:p>
    <w:p>
      <w:pPr>
        <w:pStyle w:val="BookText"/>
      </w:pPr>
      <w:r>
        <w:rPr>
          <w:rFonts w:ascii="IRNazanin" w:hAnsi="IRNazanin" w:eastAsia="IRNazanin" w:cs="IRNazanin"/>
          <w:lang w:bidi="fa-IR"/>
          <w:color w:val="111111"/>
          <w:sz w:val="28"/>
          <w:szCs w:val="28"/>
          <w:rtl/>
        </w:rPr>
        <w:t xml:space="preserve">و ثالثا أن الوجود لا یکون جزءا لشی‌ء لأن الجزء الآخر و الکل المرکب منهما إن کانا هما الوجود بعینه فلا معنی لکون الشی‌ء جزءا لنفسه و إن کان أحدهما أو کلاهما غیر الوجود کان باطل الذات إذ لا أصیل غیر الوجود فلا ترکیب.</w:t>
      </w:r>
    </w:p>
    <w:p>
      <w:pPr>
        <w:pStyle w:val="BookText"/>
      </w:pPr>
      <w:r>
        <w:rPr>
          <w:rFonts w:ascii="IRNazanin" w:hAnsi="IRNazanin" w:eastAsia="IRNazanin" w:cs="IRNazanin"/>
          <w:lang w:bidi="fa-IR"/>
          <w:color w:val="111111"/>
          <w:sz w:val="28"/>
          <w:szCs w:val="28"/>
          <w:rtl/>
        </w:rPr>
        <w:t xml:space="preserve">و بهذا البیان یثبت أن الوجود لا جزء له و یتبین أیضا أن الوجود بسیط فی ذاته.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رابعا أن ما یلحق الوجود حقیقة من الصفات و المحمولات أمور غیر خارجة عن ذاته إذ لو کانت خارجة کانت باطلة.</w:t>
      </w:r>
    </w:p>
    <w:p>
      <w:pPr>
        <w:pStyle w:val="BookText"/>
      </w:pPr>
      <w:r>
        <w:rPr>
          <w:rFonts w:ascii="IRNazanin" w:hAnsi="IRNazanin" w:eastAsia="IRNazanin" w:cs="IRNazanin"/>
          <w:lang w:bidi="fa-IR"/>
          <w:color w:val="111111"/>
          <w:sz w:val="28"/>
          <w:szCs w:val="28"/>
          <w:rtl/>
        </w:rPr>
        <w:t xml:space="preserve">و خامسا أن للموجود من حیث اتصافه بالوجود نحو انقسام إلی ما بالذات و ما بالعرض فالوجود موجود بالذات بمعنی أنه عین نفسه و الماهیة موجودة بالعرض أی أنها لیست بالوجود بالنظر إلی نفس ذاتها و إن کانت</w:t>
      </w:r>
    </w:p>
    <w:p>
      <w:pPr>
        <w:pStyle w:val="BookText"/>
      </w:pPr>
      <w:r>
        <w:rPr>
          <w:rFonts w:ascii="IRNazanin" w:hAnsi="IRNazanin" w:eastAsia="IRNazanin" w:cs="IRNazanin"/>
          <w:lang w:bidi="fa-IR"/>
          <w:color w:val="111111"/>
          <w:sz w:val="28"/>
          <w:szCs w:val="28"/>
          <w:rtl/>
        </w:rPr>
        <w:t xml:space="preserve">[شماره صفحه واقعی : 13]</w:t>
      </w:r>
    </w:p>
    <w:p>
      <w:pPr>
        <w:pStyle w:val="BookText"/>
      </w:pPr>
      <w:r>
        <w:rPr>
          <w:rFonts w:ascii="IRNazanin" w:hAnsi="IRNazanin" w:eastAsia="IRNazanin" w:cs="IRNazanin"/>
          <w:lang w:bidi="fa-IR"/>
          <w:color w:val="111111"/>
          <w:sz w:val="28"/>
          <w:szCs w:val="28"/>
          <w:rtl/>
        </w:rPr>
        <w:t xml:space="preserve">ص: 1234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موجودة بالوجود حقیقة قبال ما لیس بموجود بالوجود و سادسا أن الوجود عارض للماهیة بمعنی أن للعقل أن یجرد الماهیة عن الوجود فیعقلها وحدها من غیر نظر إلی وجودها فلیس الوجود عینها و لا جزءا لها و من الدلیل علی ذلک جواز سلب الوجود عن الماهیة و احتیاج اتصافها به إلی الدلیل و کونها متساویة النسبة فی نفسها إلی الوجود و العدم و لو کان الوجود عینها أو جزءا لها لما صح شی‌ء من ذلک.</w:t>
      </w:r>
    </w:p>
    <w:p>
      <w:pPr>
        <w:pStyle w:val="BookText"/>
      </w:pPr>
      <w:r>
        <w:rPr>
          <w:rFonts w:ascii="IRNazanin" w:hAnsi="IRNazanin" w:eastAsia="IRNazanin" w:cs="IRNazanin"/>
          <w:lang w:bidi="fa-IR"/>
          <w:color w:val="111111"/>
          <w:sz w:val="28"/>
          <w:szCs w:val="28"/>
          <w:rtl/>
        </w:rPr>
        <w:t xml:space="preserve">و المغایرة کما عرفت عقلیة فلا تنافی اتحاد الماهیة و الوجود خارجا و ذهنا فلیس هناک إلا حقیقة واحدة هی الوجود لمکان أصالته و اعتباریتها فالماهیات المختلفة یختلف بها الوجود نحوا من الاختلاف من غیر أن یزید علی الوجود شی‌ء و هذا معنی قولهم إن الماهیات أنحاء الوجود و إلی هذا الاختلاف یئول ما بین الماهیات الموجودة من التمیز و البینونة و اختلاف الآثار و هو معنی قولهم إن الماهیات حدود الوجود فذات کل ماهیة موجودة حد لا یتعداه وجودها و یلزمه سلوب بعدد الماهیات الموجودة الخارجة عنها فماهیة الإنسان الموجودة مثلا حد لوجوده لا یتعداه وجوده إلی غیره فهو لیس بفرس و لیس ببقر و لیس بشجر و لیس بحجر إلی آخر الماهیات الموجودة المباینة للإنسان.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سابعا أن ثبوت کل شی‌ء أی نحو من الثبوت فرض إنما هو لوجود هناک خارجی یطرد العدم لذاته فللتصدیقات النفس الأمریة التی لا مطابق لها فی خارج و لا فی ذهن مطابق ثابت نحوا من الثبوت التبعی بتبع الموجودات الحقیقیة.</w:t>
      </w:r>
    </w:p>
    <w:p>
      <w:pPr>
        <w:pStyle w:val="BookText"/>
      </w:pPr>
      <w:r>
        <w:rPr>
          <w:rFonts w:ascii="IRNazanin" w:hAnsi="IRNazanin" w:eastAsia="IRNazanin" w:cs="IRNazanin"/>
          <w:lang w:bidi="fa-IR"/>
          <w:color w:val="111111"/>
          <w:sz w:val="28"/>
          <w:szCs w:val="28"/>
          <w:rtl/>
        </w:rPr>
        <w:t xml:space="preserve">توضیح ذلک أن من التصدیقات الحقة ما له مطابق فی الخارج نحو الإنسان موجود و الإنسان کاتب و منها ما له مطابق فی الذهن نحو الإنسان نوع و الحیوان جنس و منها ما له مطابق یطابقه لکنه غیر موجود فی الخارج و لا فی الذهن کما فی قولنا عدم العلة علة لعدم المعلول و العدم باطل</w:t>
      </w:r>
    </w:p>
    <w:p>
      <w:pPr>
        <w:pStyle w:val="BookText"/>
      </w:pPr>
      <w:r>
        <w:rPr>
          <w:rFonts w:ascii="IRNazanin" w:hAnsi="IRNazanin" w:eastAsia="IRNazanin" w:cs="IRNazanin"/>
          <w:lang w:bidi="fa-IR"/>
          <w:color w:val="111111"/>
          <w:sz w:val="28"/>
          <w:szCs w:val="28"/>
          <w:rtl/>
        </w:rPr>
        <w:t xml:space="preserve">[شماره صفحه واقعی : 14]</w:t>
      </w:r>
    </w:p>
    <w:p>
      <w:pPr>
        <w:pStyle w:val="BookText"/>
      </w:pPr>
      <w:r>
        <w:rPr>
          <w:rFonts w:ascii="IRNazanin" w:hAnsi="IRNazanin" w:eastAsia="IRNazanin" w:cs="IRNazanin"/>
          <w:lang w:bidi="fa-IR"/>
          <w:color w:val="111111"/>
          <w:sz w:val="28"/>
          <w:szCs w:val="28"/>
          <w:rtl/>
        </w:rPr>
        <w:t xml:space="preserve">ص: 1235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الذات إذ العدم لا تحقق له فی خارج و لا فی ذهن و لا لأحکامه و آثاره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هذا النوع من القضایا تعتبر مطابقة لنفس الأمر فإن العقل إذا صدق کون وجود العلة علة لوجود المعلول اضطر إلی تصدیق أنه ینتفی إذا انتفت علته و هو کون عدمها علة لعدمه و لا مصداق محقق للعدم فی خارج و لا فی ذهن إذ کل ما حل فی واحد منهما فله وجود.</w:t>
      </w:r>
    </w:p>
    <w:p>
      <w:pPr>
        <w:pStyle w:val="BookText"/>
      </w:pPr>
      <w:r>
        <w:rPr>
          <w:rFonts w:ascii="IRNazanin" w:hAnsi="IRNazanin" w:eastAsia="IRNazanin" w:cs="IRNazanin"/>
          <w:lang w:bidi="fa-IR"/>
          <w:color w:val="111111"/>
          <w:sz w:val="28"/>
          <w:szCs w:val="28"/>
          <w:rtl/>
        </w:rPr>
        <w:t xml:space="preserve">و الذی ینبغی أن یقال بالنظر إلی الأبحاث السابقة إن الأصیل هو الوجود الحقیقی و هو الوجود و له کل حکم حقیقی ثم لما کانت الماهیات ظهورات الوجود للأذهان توسع العقل توسعا اضطراریا باعتبار الوجود لها و حمله علیها و صار مفهوم الوجود و الثبوت یحمل علی الوجود و الماهیة و أحکامهما جمیعا ثم توسع العقل توسعا اضطراریا ثانیا بحمل مطلق الثبوت و التحقق علی کل مفهوم یضطر إلی اعتباره بتبع الوجود أو الماهیة کمفهوم العدم و الماهیة و القوة و الفعل ثم التصدیق بأحکامها فالظرف الذی یفرضه العقل لمطلق الثبوت و التحقق بهذا المعنی الأخیر هو الذی نسمیه نفس الأمر و یسع الصوادق من القضایا الذهنیة و الخارجیة و ما یصدقه العقل و لا مطابق له فی ذهن أو خارج غیر أن الأمور النفس الأمریة لوازم عقلیة للماهیات مقررة بتقررها و للکلام تتمة ستمر بک إن شاء الله تعالی.</w:t>
      </w:r>
    </w:p>
    <w:p>
      <w:pPr>
        <w:pStyle w:val="BookText"/>
      </w:pPr>
      <w:r>
        <w:rPr>
          <w:rFonts w:ascii="IRNazanin" w:hAnsi="IRNazanin" w:eastAsia="IRNazanin" w:cs="IRNazanin"/>
          <w:lang w:bidi="fa-IR"/>
          <w:color w:val="111111"/>
          <w:sz w:val="28"/>
          <w:szCs w:val="28"/>
          <w:rtl/>
        </w:rPr>
        <w:t xml:space="preserve">و قیل المراد بالأمر فی نفس الأمر عالم الأمر و هو عقل کلی فیه صور المعقولات جمیعا و المراد بمطابقة القضیة لنفس الأمر مطابقتها لما عنده من الصورة المعقولة.</w:t>
      </w:r>
    </w:p>
    <w:p>
      <w:pPr>
        <w:pStyle w:val="BookText"/>
      </w:pPr>
      <w:r>
        <w:rPr>
          <w:rFonts w:ascii="IRNazanin" w:hAnsi="IRNazanin" w:eastAsia="IRNazanin" w:cs="IRNazanin"/>
          <w:lang w:bidi="fa-IR"/>
          <w:color w:val="111111"/>
          <w:sz w:val="28"/>
          <w:szCs w:val="28"/>
          <w:rtl/>
        </w:rPr>
        <w:t xml:space="preserve">و فیه أن الکلام منقول إلی ما عنده من الصورة المعقولة و هی صورة معقولة تقتضی (مطابقا فیما وراءها تطابقه).</w:t>
      </w:r>
    </w:p>
    <w:p>
      <w:pPr>
        <w:pStyle w:val="BookText"/>
      </w:pPr>
      <w:r>
        <w:rPr>
          <w:rFonts w:ascii="IRNazanin" w:hAnsi="IRNazanin" w:eastAsia="IRNazanin" w:cs="IRNazanin"/>
          <w:lang w:bidi="fa-IR"/>
          <w:color w:val="111111"/>
          <w:sz w:val="28"/>
          <w:szCs w:val="28"/>
          <w:rtl/>
        </w:rPr>
        <w:t xml:space="preserve">و قیل المراد بنفس الأمر نفس الشی‌ء فهو من وضع الظاهر موضع الضمیر فکون العدم مثلا باطل الذات فی نفس الأمر کونه فی نفسه کذلک.</w:t>
      </w:r>
    </w:p>
    <w:p>
      <w:pPr>
        <w:pStyle w:val="BookText"/>
      </w:pPr>
      <w:r>
        <w:rPr>
          <w:rFonts w:ascii="IRNazanin" w:hAnsi="IRNazanin" w:eastAsia="IRNazanin" w:cs="IRNazanin"/>
          <w:lang w:bidi="fa-IR"/>
          <w:color w:val="111111"/>
          <w:sz w:val="28"/>
          <w:szCs w:val="28"/>
          <w:rtl/>
        </w:rPr>
        <w:t xml:space="preserve">[شماره صفحه واقعی : 15]</w:t>
      </w:r>
    </w:p>
    <w:p>
      <w:pPr>
        <w:pStyle w:val="BookText"/>
      </w:pPr>
      <w:r>
        <w:rPr>
          <w:rFonts w:ascii="IRNazanin" w:hAnsi="IRNazanin" w:eastAsia="IRNazanin" w:cs="IRNazanin"/>
          <w:lang w:bidi="fa-IR"/>
          <w:color w:val="111111"/>
          <w:sz w:val="28"/>
          <w:szCs w:val="28"/>
          <w:rtl/>
        </w:rPr>
        <w:t xml:space="preserve">ص: 1236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أن ما لا مطابق له فی خارج و لا فی ذهن لا نفسیة له حتی یطابقه هو و أحکامه.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ثامنا أن الشیئیة مساوقة للوجود فما لا وجود له لا شیئیة له فالمعدوم من حیث هو معدوم لیس بشی‌ء.</w:t>
      </w:r>
    </w:p>
    <w:p>
      <w:pPr>
        <w:pStyle w:val="BookText"/>
      </w:pPr>
      <w:r>
        <w:rPr>
          <w:rFonts w:ascii="IRNazanin" w:hAnsi="IRNazanin" w:eastAsia="IRNazanin" w:cs="IRNazanin"/>
          <w:lang w:bidi="fa-IR"/>
          <w:color w:val="111111"/>
          <w:sz w:val="28"/>
          <w:szCs w:val="28"/>
          <w:rtl/>
        </w:rPr>
        <w:t xml:space="preserve">و نسب إلی المعتزلة أن للماهیات الممکنة المعدومة شیئیة فی العدم و أن بین الوجود و العدم واسطة یسمونها الحال و عرفوها بصفة الموجود التی لیست موجودة و لا معدومة کالضاحکیة و الکاتبیة للإنسان لکنهم ینفون الواسطة بین النفی و الإثبات فالمنفی هو المحال و الثابت هو الواجب و الممکن الموجود و الممکن المعدوم و الحال التی لیست بموجودة و لا معدومة.</w:t>
      </w:r>
    </w:p>
    <w:p>
      <w:pPr>
        <w:pStyle w:val="BookText"/>
      </w:pPr>
      <w:r>
        <w:rPr>
          <w:rFonts w:ascii="IRNazanin" w:hAnsi="IRNazanin" w:eastAsia="IRNazanin" w:cs="IRNazanin"/>
          <w:lang w:bidi="fa-IR"/>
          <w:color w:val="111111"/>
          <w:sz w:val="28"/>
          <w:szCs w:val="28"/>
          <w:rtl/>
        </w:rPr>
        <w:t xml:space="preserve">و هذه دعاو یدفعها صریح العقل و هی بالاصطلاح أشبه منها بالنظرات العلمیة فالصفح عن البحث فیها أولی.</w:t>
      </w:r>
    </w:p>
    <w:p>
      <w:pPr>
        <w:pStyle w:val="BookText"/>
      </w:pPr>
      <w:r>
        <w:rPr>
          <w:rFonts w:ascii="IRNazanin" w:hAnsi="IRNazanin" w:eastAsia="IRNazanin" w:cs="IRNazanin"/>
          <w:lang w:bidi="fa-IR"/>
          <w:color w:val="111111"/>
          <w:sz w:val="28"/>
          <w:szCs w:val="28"/>
          <w:rtl/>
        </w:rPr>
        <w:t xml:space="preserve">و تاسعا أن حقیقة الوجود بما هی حقیقة الوجود لا سبب لها وراءها أی أن هویته العینیة التی هی لذاتها أصیلة موجودة طاردة للعدم لا تتوقف فی تحققها علی شی‌ء خارج من هذه الحقیقة سواء کان سببا تاما أو ناقصا و ذلک لمکان أصالتها و بطلان ما وراءها نعم لا بأس بتوقف بعض مراتب هذه الحقیقة علی بعض کتوقف الوجود الإمکانی علی الوجود الواجبی و توقف بعض الممکنات علی بعض.</w:t>
      </w:r>
    </w:p>
    <w:p>
      <w:pPr>
        <w:pStyle w:val="BookText"/>
      </w:pPr>
      <w:r>
        <w:rPr>
          <w:rFonts w:ascii="IRNazanin" w:hAnsi="IRNazanin" w:eastAsia="IRNazanin" w:cs="IRNazanin"/>
          <w:lang w:bidi="fa-IR"/>
          <w:color w:val="111111"/>
          <w:sz w:val="28"/>
          <w:szCs w:val="28"/>
          <w:rtl/>
        </w:rPr>
        <w:t xml:space="preserve">و من هنا یظهر أن لا مجری لبرهان اللم فی الفلسفة الإلهیة الباحثة عن أحکام الموجود من حیث هو موجود.</w:t>
      </w:r>
    </w:p>
    <w:p>
      <w:pPr>
        <w:pStyle w:val="BookText"/>
      </w:pPr>
      <w:r>
        <w:rPr>
          <w:rFonts w:ascii="IRNazanin" w:hAnsi="IRNazanin" w:eastAsia="IRNazanin" w:cs="IRNazanin"/>
          <w:lang w:bidi="fa-IR"/>
          <w:color w:val="111111"/>
          <w:sz w:val="28"/>
          <w:szCs w:val="28"/>
          <w:rtl/>
        </w:rPr>
        <w:t xml:space="preserve">و عاشرا أن حقیقة الوجود حیث کانت عین حیثیة ترتب الآثار کانت عین الخارجیة فیمتنع أن تحل الذهن فتتبدل ذهنیة لا تترتب علیها الآثار لاستلزامه الانقلاب المحال و أما الوجود الذهنی الذی سیأتی إثباته إن شاء الله فهو من حیث کونه یطرد عن نفسه العدم وجود خارجی مترتب علیه الآثار و إنما یعد ذهنیا لا تترتب علیه الآثار بقیاسه إلی المصداق الخارجی</w:t>
      </w:r>
    </w:p>
    <w:p>
      <w:pPr>
        <w:pStyle w:val="BookText"/>
      </w:pPr>
      <w:r>
        <w:rPr>
          <w:rFonts w:ascii="IRNazanin" w:hAnsi="IRNazanin" w:eastAsia="IRNazanin" w:cs="IRNazanin"/>
          <w:lang w:bidi="fa-IR"/>
          <w:color w:val="111111"/>
          <w:sz w:val="28"/>
          <w:szCs w:val="28"/>
          <w:rtl/>
        </w:rPr>
        <w:t xml:space="preserve">[شماره صفحه واقعی : 16]</w:t>
      </w:r>
    </w:p>
    <w:p>
      <w:pPr>
        <w:pStyle w:val="BookText"/>
      </w:pPr>
      <w:r>
        <w:rPr>
          <w:rFonts w:ascii="IRNazanin" w:hAnsi="IRNazanin" w:eastAsia="IRNazanin" w:cs="IRNazanin"/>
          <w:lang w:bidi="fa-IR"/>
          <w:color w:val="111111"/>
          <w:sz w:val="28"/>
          <w:szCs w:val="28"/>
          <w:rtl/>
        </w:rPr>
        <w:t xml:space="preserve">ص: 1237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495" w:name="pg14419_167953"/>
    <w:bookmarkEnd w:id="495"/>
    <w:p>
      <w:pPr>
        <w:pStyle w:val="BookText"/>
      </w:pPr>
      <w:r>
        <w:rPr>
          <w:rFonts w:ascii="IRNazanin" w:hAnsi="IRNazanin" w:eastAsia="IRNazanin" w:cs="IRNazanin"/>
          <w:lang w:bidi="fa-IR"/>
          <w:color w:val="111111"/>
          <w:sz w:val="28"/>
          <w:szCs w:val="28"/>
          <w:rtl/>
        </w:rPr>
        <w:t xml:space="preserve">الذی بحذائه.</w:t>
      </w:r>
    </w:p>
    <w:p>
      <w:pPr>
        <w:pStyle w:val="BookText"/>
      </w:pPr>
      <w:r>
        <w:rPr>
          <w:rFonts w:ascii="IRNazanin" w:hAnsi="IRNazanin" w:eastAsia="IRNazanin" w:cs="IRNazanin"/>
          <w:lang w:bidi="fa-IR"/>
          <w:color w:val="111111"/>
          <w:sz w:val="28"/>
          <w:szCs w:val="28"/>
          <w:rtl/>
        </w:rPr>
        <w:t xml:space="preserve">فقد بان أن حقیقة الوجود لا صورة عقلیة لها کالماهیات الموجودة فی الخارج التی لها صورة عقلیة و بان أیضا أن نسبة مفهوم الوجود إلی الوجودات الخارجیة لیست نسبة الماهیة الکلیة إلی أفرادها الخارجیة.</w:t>
      </w:r>
    </w:p>
    <w:p>
      <w:pPr>
        <w:pStyle w:val="BookText"/>
      </w:pPr>
      <w:r>
        <w:rPr>
          <w:rFonts w:ascii="IRNazanin" w:hAnsi="IRNazanin" w:eastAsia="IRNazanin" w:cs="IRNazanin"/>
          <w:lang w:bidi="fa-IR"/>
          <w:color w:val="111111"/>
          <w:sz w:val="28"/>
          <w:szCs w:val="28"/>
          <w:rtl/>
        </w:rPr>
        <w:t xml:space="preserve">و تبین بما تقدم أیضا أن المفهوم إنما تکون ماهیة إذا کان لها فرد خارجی تقومه و تترتب علیه آثارها.</w:t>
      </w:r>
    </w:p>
    <w:p>
      <w:pPr>
        <w:pStyle w:val="Heading5"/>
      </w:pPr>
      <w:bookmarkStart w:id="1463" w:name="_Toc903"/>
      <w:r>
        <w:t>الفصل الثالث فی أن الوجود حقیقة مشککة</w:t>
      </w:r>
      <w:bookmarkEnd w:id="146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ریب أن الهویات العینیة الخارجیة تتصف بالکثرة تارة من جهة أن هذا إنسان و ذاک فرس و ذلک شجر و نحو ذلک و تارة بأن هذا بالفعل و ذاک بالقوة و هذا واحد و ذاک کثیر و هذا حادث و ذاک قدیم و هذا ممکن و ذاک واجب و هکذا.</w:t>
      </w:r>
    </w:p>
    <w:p>
      <w:pPr>
        <w:pStyle w:val="BookText"/>
      </w:pPr>
      <w:r>
        <w:rPr>
          <w:rFonts w:ascii="IRNazanin" w:hAnsi="IRNazanin" w:eastAsia="IRNazanin" w:cs="IRNazanin"/>
          <w:lang w:bidi="fa-IR"/>
          <w:color w:val="111111"/>
          <w:sz w:val="28"/>
          <w:szCs w:val="28"/>
          <w:rtl/>
        </w:rPr>
        <w:t xml:space="preserve">و قد ثبت بما قد أوردناه فی الفصل السابق أن الکثرة من الجهة الأولی و هی الکثرة الماهویة موجودة فی الخارج بعرض الوجود و أن الوجود متصف بها بعرض الماهیة لمکان أصالة الوجود و اعتباریة الماهیة.</w:t>
      </w:r>
    </w:p>
    <w:p>
      <w:pPr>
        <w:pStyle w:val="BookText"/>
      </w:pPr>
      <w:r>
        <w:rPr>
          <w:rFonts w:ascii="IRNazanin" w:hAnsi="IRNazanin" w:eastAsia="IRNazanin" w:cs="IRNazanin"/>
          <w:lang w:bidi="fa-IR"/>
          <w:color w:val="111111"/>
          <w:sz w:val="28"/>
          <w:szCs w:val="28"/>
          <w:rtl/>
        </w:rPr>
        <w:t xml:space="preserve">و أما الکثرة من الجهة الثانیة فهی التی تعرض الوجود من جهة الانقسامات الطارئة علیه نفسه کانقسامه إلی الواجب و الممکن و إلی الواحد و الکثیر و إلی ما بالفعل و ما بالقوة و نحو ذلک و قد تقدم فی الفصل السابق أن الوجود بسیط و أنه لا غیر له و یستنتج من ذلک أن هذه الکثرة مقومة للوجود بمعنی أنها فیه غیر خارجة منه و إلا کانت جزءا منه و لا جزء للوجود أو حقیقة خارجة منه و لا خارج من الوجود.</w:t>
      </w:r>
    </w:p>
    <w:p>
      <w:pPr>
        <w:pStyle w:val="BookText"/>
      </w:pPr>
      <w:r>
        <w:rPr>
          <w:rFonts w:ascii="IRNazanin" w:hAnsi="IRNazanin" w:eastAsia="IRNazanin" w:cs="IRNazanin"/>
          <w:lang w:bidi="fa-IR"/>
          <w:color w:val="111111"/>
          <w:sz w:val="28"/>
          <w:szCs w:val="28"/>
          <w:rtl/>
        </w:rPr>
        <w:t xml:space="preserve">[شماره صفحه واقعی : 17]</w:t>
      </w:r>
    </w:p>
    <w:p>
      <w:pPr>
        <w:pStyle w:val="BookText"/>
      </w:pPr>
      <w:r>
        <w:rPr>
          <w:rFonts w:ascii="IRNazanin" w:hAnsi="IRNazanin" w:eastAsia="IRNazanin" w:cs="IRNazanin"/>
          <w:lang w:bidi="fa-IR"/>
          <w:color w:val="111111"/>
          <w:sz w:val="28"/>
          <w:szCs w:val="28"/>
          <w:rtl/>
        </w:rPr>
        <w:t xml:space="preserve">ص: 1238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فللوجود کثرة فی نفسه فهل هناک جهة وحدة ترجع إلیها هذه الکثرة من غیر أن تبطل بالرجوع فتکون حقیقة الوجود کثیرة فی عین أنها واحدة و واحدة فی عین أنها کثیرة و بتعبیر آخر حقیقة مشککة ذات مراتب مختلفة یعود ما به الامتیاز فی کل مرتبة إلی ما به الاشتراک کما نسب إلی الفهلویین أو لا جهة وحدة فیها فیعود الوجود حقائق متباینة بتمام الذات یتمیز کل منها من غیره بتمام ذاته البسیطة لا بالجزء و لا بأمر خارجی کما نسب إلی المشائین.</w:t>
      </w:r>
    </w:p>
    <w:p>
      <w:pPr>
        <w:pStyle w:val="BookText"/>
      </w:pPr>
      <w:r>
        <w:rPr>
          <w:rFonts w:ascii="IRNazanin" w:hAnsi="IRNazanin" w:eastAsia="IRNazanin" w:cs="IRNazanin"/>
          <w:lang w:bidi="fa-IR"/>
          <w:color w:val="111111"/>
          <w:sz w:val="28"/>
          <w:szCs w:val="28"/>
          <w:rtl/>
        </w:rPr>
        <w:t xml:space="preserve">الحق أنها حقیقة واحدة فی عین أنها کثیرة لأنا ننتزع من جمیع مراتبها و مصادیقها مفهوم الوجود العام الواحد البدیهی و من الممتنع انتزاع مفهوم واحد من مصادیق کثیرة بما هی کثیرة غیر راجعة إلی وحدة ما.</w:t>
      </w:r>
    </w:p>
    <w:p>
      <w:pPr>
        <w:pStyle w:val="BookText"/>
      </w:pPr>
      <w:r>
        <w:rPr>
          <w:rFonts w:ascii="IRNazanin" w:hAnsi="IRNazanin" w:eastAsia="IRNazanin" w:cs="IRNazanin"/>
          <w:lang w:bidi="fa-IR"/>
          <w:color w:val="111111"/>
          <w:sz w:val="28"/>
          <w:szCs w:val="28"/>
          <w:rtl/>
        </w:rPr>
        <w:t xml:space="preserve">و یتبین به أن الوجود حقیقة مشککة ذات مراتب مختلفة کما مثلوا له بحقیقة النور علی ما یتلقاه الفهم الساذج أنه حقیقة واحدة ذات مراتب مختلفة فی الشدة و الضعف فهناک نور قوی و متوسط و ضعیف مثلا و لیست المرتبة القویة نورا و شیئا زائدا علی النوریة و لا المرتبة الضعیفة تفقد من حقیقة النور شیئا أو تختلط بالظلمة التی هی عدم النور بل لا تزید کل واحدة من مراتبه المختلفة علی حقیقة النور المشترکة شیئا و لا تفقد منها شیئا و إنما هی النور فی مرتبة خاصة بسیطة لم تتألف من أجزاء و لم ینضم إلیها ضمیمة و تمتاز من غیرها بنفس ذاتها التی هی النوریة المشترکة.</w:t>
      </w:r>
    </w:p>
    <w:p>
      <w:pPr>
        <w:pStyle w:val="BookText"/>
      </w:pPr>
      <w:r>
        <w:rPr>
          <w:rFonts w:ascii="IRNazanin" w:hAnsi="IRNazanin" w:eastAsia="IRNazanin" w:cs="IRNazanin"/>
          <w:lang w:bidi="fa-IR"/>
          <w:color w:val="111111"/>
          <w:sz w:val="28"/>
          <w:szCs w:val="28"/>
          <w:rtl/>
        </w:rPr>
        <w:t xml:space="preserve">فالنور حقیقة واحدة بسیطة متکثرة فی عین وحدتها و متوحدة فی عین کثرتها کذلک الوجود حقیقة واحدة ذات مراتب مختلفة بالشدة و الضعف و التقدم و التأخر و العلو و الدنو و غیرها.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یتفرع علی ما تقدم أمور :</w:t>
      </w:r>
    </w:p>
    <w:p>
      <w:pPr>
        <w:pStyle w:val="BookText"/>
      </w:pPr>
      <w:r>
        <w:rPr>
          <w:rFonts w:ascii="IRNazanin" w:hAnsi="IRNazanin" w:eastAsia="IRNazanin" w:cs="IRNazanin"/>
          <w:lang w:bidi="fa-IR"/>
          <w:color w:val="111111"/>
          <w:sz w:val="28"/>
          <w:szCs w:val="28"/>
          <w:rtl/>
        </w:rPr>
        <w:t xml:space="preserve">الأمر الأول أن التمایز بین مرتبة من مراتب الوجود و مرتبة أخری إنما هو بنفس ذاتها البسیطة التی ما به الاشتراک فیها عین ما به الامتیاز و لا ینافیه</w:t>
      </w:r>
    </w:p>
    <w:p>
      <w:pPr>
        <w:pStyle w:val="BookText"/>
      </w:pPr>
      <w:r>
        <w:rPr>
          <w:rFonts w:ascii="IRNazanin" w:hAnsi="IRNazanin" w:eastAsia="IRNazanin" w:cs="IRNazanin"/>
          <w:lang w:bidi="fa-IR"/>
          <w:color w:val="111111"/>
          <w:sz w:val="28"/>
          <w:szCs w:val="28"/>
          <w:rtl/>
        </w:rPr>
        <w:t xml:space="preserve">[شماره صفحه واقعی : 18]</w:t>
      </w:r>
    </w:p>
    <w:p>
      <w:pPr>
        <w:pStyle w:val="BookText"/>
      </w:pPr>
      <w:r>
        <w:rPr>
          <w:rFonts w:ascii="IRNazanin" w:hAnsi="IRNazanin" w:eastAsia="IRNazanin" w:cs="IRNazanin"/>
          <w:lang w:bidi="fa-IR"/>
          <w:color w:val="111111"/>
          <w:sz w:val="28"/>
          <w:szCs w:val="28"/>
          <w:rtl/>
        </w:rPr>
        <w:t xml:space="preserve">ص: 1239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ذلک أن ینسب العقل التمایز الوجودی إلی جهة الکثرة فی الوجود دون جهة الوحدة و لا أن ینسب الاشتراک و السنخیة إلی جهة الوحدة.</w:t>
      </w:r>
    </w:p>
    <w:p>
      <w:pPr>
        <w:pStyle w:val="BookText"/>
      </w:pPr>
      <w:r>
        <w:rPr>
          <w:rFonts w:ascii="IRNazanin" w:hAnsi="IRNazanin" w:eastAsia="IRNazanin" w:cs="IRNazanin"/>
          <w:lang w:bidi="fa-IR"/>
          <w:color w:val="111111"/>
          <w:sz w:val="28"/>
          <w:szCs w:val="28"/>
          <w:rtl/>
        </w:rPr>
        <w:t xml:space="preserve">الأمر الثانی أن بین مراتب الوجود إطلاقا و تقییدا بقیاس بعضها إلی بعض لمکان ما فیها من الاختلاف بالشدة و الضعف و نحو ذلک و ذلک أنا إو اذا فرضنا مرتبتین من الوجود ضعیفة و شدیدة وقع بینهما قیاس و إضافة بالضرورة و کان من شأن المرتبة الضعیفة أنها لا تشتمل علی بعض ما للمرتبة الشدیدة من الکمال لکن لیس شی‌ء من الکمال الذی فی المرتبة الضعیفة إلا و المرتبة الشدیدة واجدة له.</w:t>
      </w:r>
    </w:p>
    <w:p>
      <w:pPr>
        <w:pStyle w:val="BookText"/>
      </w:pPr>
      <w:r>
        <w:rPr>
          <w:rFonts w:ascii="IRNazanin" w:hAnsi="IRNazanin" w:eastAsia="IRNazanin" w:cs="IRNazanin"/>
          <w:lang w:bidi="fa-IR"/>
          <w:color w:val="111111"/>
          <w:sz w:val="28"/>
          <w:szCs w:val="28"/>
          <w:rtl/>
        </w:rPr>
        <w:t xml:space="preserve">فالمرتبة الضعیفة کالمؤلفة من وجدان و فقدان فذاتها مقیدة بعدم بعض ما فی المرتبة الشدیدة من الکمال و إن شئت فقل محدودة و أما المرتبة الشدیدة فذاتها مطلقة غیر محدودة بالنسبة إلی المرتبة الضعیفة.</w:t>
      </w:r>
    </w:p>
    <w:p>
      <w:pPr>
        <w:pStyle w:val="BookText"/>
      </w:pPr>
      <w:r>
        <w:rPr>
          <w:rFonts w:ascii="IRNazanin" w:hAnsi="IRNazanin" w:eastAsia="IRNazanin" w:cs="IRNazanin"/>
          <w:lang w:bidi="fa-IR"/>
          <w:color w:val="111111"/>
          <w:sz w:val="28"/>
          <w:szCs w:val="28"/>
          <w:rtl/>
        </w:rPr>
        <w:t xml:space="preserve">و إذا فرضنا مرتبة أخری فوق الشدیدة کانت نسبة الشدیدة إلی هذه التی فرضنا فوقها کنسبة التی دونها إلیها و صارت الشدیدة محدودة بالنسبة إلی ما فوقها کما کانت مطلقة بالنسبة إلی ما دونها و علی هذا القیاس فی المراتب الذاهبة إلی فوق حتی تقف فی مرتبة لیست فوقها مرتبة فهی المطلقة من غیر أن تکون محدودة إلا بأنها لا حد لها.</w:t>
      </w:r>
    </w:p>
    <w:p>
      <w:pPr>
        <w:pStyle w:val="BookText"/>
      </w:pPr>
      <w:r>
        <w:rPr>
          <w:rFonts w:ascii="IRNazanin" w:hAnsi="IRNazanin" w:eastAsia="IRNazanin" w:cs="IRNazanin"/>
          <w:lang w:bidi="fa-IR"/>
          <w:color w:val="111111"/>
          <w:sz w:val="28"/>
          <w:szCs w:val="28"/>
          <w:rtl/>
        </w:rPr>
        <w:t xml:space="preserve">و الأمر بالعکس مما ذکر إذا أخذنا مرتبة ضعیفة و اعتبرناها مقیسة إلی ما هی أضعف منها و هکذا حتی تنتهی إلی مرتبة من الکمال و الفعلیة لیس لها من الفعلیة إلا فعلیة أن لا فعلیة لها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الأمر الثالث تبین من جمیع ما مر أن للمراتب المترتبة من الوجود حدودا غیر أعلی المراتب فإنها محدودة بأنها لا حد لها و ظاهر أن هذه الحدود الملازمة</w:t>
      </w:r>
    </w:p>
    <w:p>
      <w:pPr>
        <w:pStyle w:val="BookText"/>
      </w:pPr>
      <w:r>
        <w:rPr>
          <w:rFonts w:ascii="IRNazanin" w:hAnsi="IRNazanin" w:eastAsia="IRNazanin" w:cs="IRNazanin"/>
          <w:lang w:bidi="fa-IR"/>
          <w:color w:val="111111"/>
          <w:sz w:val="28"/>
          <w:szCs w:val="28"/>
          <w:rtl/>
        </w:rPr>
        <w:t xml:space="preserve">[شماره صفحه واقعی : 19]</w:t>
      </w:r>
    </w:p>
    <w:p>
      <w:pPr>
        <w:pStyle w:val="BookText"/>
      </w:pPr>
      <w:r>
        <w:rPr>
          <w:rFonts w:ascii="IRNazanin" w:hAnsi="IRNazanin" w:eastAsia="IRNazanin" w:cs="IRNazanin"/>
          <w:lang w:bidi="fa-IR"/>
          <w:color w:val="111111"/>
          <w:sz w:val="28"/>
          <w:szCs w:val="28"/>
          <w:rtl/>
        </w:rPr>
        <w:t xml:space="preserve">ص: 1240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للسلوب و الأعدام و الفقدانات التی نثبتها فی مراتب الوجود و هی أصیلة و بسیطة إنما هی من ضیق التعبیر و إلا فالعدم نقیض الوجود و من المستحیل أن یتخلل فی مراتب نقیضه.</w:t>
      </w:r>
    </w:p>
    <w:p>
      <w:pPr>
        <w:pStyle w:val="BookText"/>
      </w:pPr>
      <w:r>
        <w:rPr>
          <w:rFonts w:ascii="IRNazanin" w:hAnsi="IRNazanin" w:eastAsia="IRNazanin" w:cs="IRNazanin"/>
          <w:lang w:bidi="fa-IR"/>
          <w:color w:val="111111"/>
          <w:sz w:val="28"/>
          <w:szCs w:val="28"/>
          <w:rtl/>
        </w:rPr>
        <w:t xml:space="preserve">و هذا المعنی أعنی دخول الأعدام فی مراتب الوجود المحدودة و عدم دخولها المؤدی إلی الصرافة نوع من البساطة و الترکیب فی الوجود غیر البساطة و الترکیب المصطلح علیها فی موارد أخری و هو البساطة و الترکیب من جهة الأجزاء الخارجیة أو العقلیة أو الوهمیة.</w:t>
      </w:r>
    </w:p>
    <w:p>
      <w:pPr>
        <w:pStyle w:val="BookText"/>
      </w:pPr>
      <w:r>
        <w:rPr>
          <w:rFonts w:ascii="IRNazanin" w:hAnsi="IRNazanin" w:eastAsia="IRNazanin" w:cs="IRNazanin"/>
          <w:lang w:bidi="fa-IR"/>
          <w:color w:val="111111"/>
          <w:sz w:val="28"/>
          <w:szCs w:val="28"/>
          <w:rtl/>
        </w:rPr>
        <w:t xml:space="preserve">الأمر الرابع أن المرتبة کلما تنزلت زادت حدودها و ضاق وجودها و کلما عرجت و زادت قربا من أعلی المراتب قلت حدودها و اتسع وجودها حتی یبلغ أعلی المراتب فهی مشتملة علی کل کمال وجودی من غیر تحدید و مطلقة من غیر نهایة.</w:t>
      </w:r>
    </w:p>
    <w:p>
      <w:pPr>
        <w:pStyle w:val="BookText"/>
      </w:pPr>
      <w:r>
        <w:rPr>
          <w:rFonts w:ascii="IRNazanin" w:hAnsi="IRNazanin" w:eastAsia="IRNazanin" w:cs="IRNazanin"/>
          <w:lang w:bidi="fa-IR"/>
          <w:color w:val="111111"/>
          <w:sz w:val="28"/>
          <w:szCs w:val="28"/>
          <w:rtl/>
        </w:rPr>
        <w:t xml:space="preserve">الأمر الخامس أن للوجود حاشیتین من حیث الشدة و الضعف و هذا ما یقضی به القول بکون الوجود حقیقة مشککة.</w:t>
      </w:r>
    </w:p>
    <w:p>
      <w:pPr>
        <w:pStyle w:val="BookText"/>
      </w:pPr>
      <w:r>
        <w:rPr>
          <w:rFonts w:ascii="IRNazanin" w:hAnsi="IRNazanin" w:eastAsia="IRNazanin" w:cs="IRNazanin"/>
          <w:lang w:bidi="fa-IR"/>
          <w:color w:val="111111"/>
          <w:sz w:val="28"/>
          <w:szCs w:val="28"/>
          <w:rtl/>
        </w:rPr>
        <w:t xml:space="preserve">الأمر السادس أن للوجود بما لحقیقته من السعة و الانبساط تخصصا بحقیقته العینیة البسیطة و تخصصا بمرتبة من مراتبه المختلفة البسیطة التی یرجع ما به الامتیاز فیها إلی ما به الاشتراک و تخصصا بالماهیات المنبعثة عنه المحددة له و من المعلوم أن التخصص بأحد الوجهین الأولین مما یلحقه بالذات و بالوجه الثالث أمر یعرضه بعرض الماهیات.</w:t>
      </w:r>
    </w:p>
    <w:p>
      <w:pPr>
        <w:pStyle w:val="BookText"/>
      </w:pPr>
      <w:r>
        <w:rPr>
          <w:rFonts w:ascii="IRNazanin" w:hAnsi="IRNazanin" w:eastAsia="IRNazanin" w:cs="IRNazanin"/>
          <w:lang w:bidi="fa-IR"/>
          <w:color w:val="111111"/>
          <w:sz w:val="28"/>
          <w:szCs w:val="28"/>
          <w:rtl/>
        </w:rPr>
        <w:t xml:space="preserve">[شماره صفحه واقعی : 20]</w:t>
      </w:r>
    </w:p>
    <w:p>
      <w:pPr>
        <w:pStyle w:val="BookText"/>
      </w:pPr>
      <w:r>
        <w:rPr>
          <w:rFonts w:ascii="IRNazanin" w:hAnsi="IRNazanin" w:eastAsia="IRNazanin" w:cs="IRNazanin"/>
          <w:lang w:bidi="fa-IR"/>
          <w:color w:val="111111"/>
          <w:sz w:val="28"/>
          <w:szCs w:val="28"/>
          <w:rtl/>
        </w:rPr>
        <w:t xml:space="preserve">ص: 1241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496" w:name="pg14419_167957"/>
    <w:bookmarkEnd w:id="496"/>
    <w:p>
      <w:pPr>
        <w:pStyle w:val="Heading5"/>
      </w:pPr>
      <w:bookmarkStart w:id="1464" w:name="_Toc904"/>
      <w:r>
        <w:t>الفصل الرابع فی شطر من أحکام العدم</w:t>
      </w:r>
      <w:bookmarkEnd w:id="14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 أن العدم لا شیئیة له فهو محض الهلاک و البطلان.</w:t>
      </w:r>
    </w:p>
    <w:p>
      <w:pPr>
        <w:pStyle w:val="BookText"/>
      </w:pPr>
      <w:r>
        <w:rPr>
          <w:rFonts w:ascii="IRNazanin" w:hAnsi="IRNazanin" w:eastAsia="IRNazanin" w:cs="IRNazanin"/>
          <w:lang w:bidi="fa-IR"/>
          <w:color w:val="111111"/>
          <w:sz w:val="28"/>
          <w:szCs w:val="28"/>
          <w:rtl/>
        </w:rPr>
        <w:t xml:space="preserve">و مما یتفرع علیه أن لا تمایز فی العدم إذ التمایز بین شیئین إما بتمام الذات کالنوعین تحت مقولتین أو ببعض الذات کالنوعین تحت مقولة واحدة أو بما یعرض الذات کالفردین من نوع و لا ذات للعدم.</w:t>
      </w:r>
    </w:p>
    <w:p>
      <w:pPr>
        <w:pStyle w:val="BookText"/>
      </w:pPr>
      <w:r>
        <w:rPr>
          <w:rFonts w:ascii="IRNazanin" w:hAnsi="IRNazanin" w:eastAsia="IRNazanin" w:cs="IRNazanin"/>
          <w:lang w:bidi="fa-IR"/>
          <w:color w:val="111111"/>
          <w:sz w:val="28"/>
          <w:szCs w:val="28"/>
          <w:rtl/>
        </w:rPr>
        <w:t xml:space="preserve">نعم ربما یضاف العدم إلی الوجود فیحصل له حظ من الوجود و یتبعه نوع من التمایز کعدم البصر الذی هو العمی و المتمیز من عدم السمع الذی هو الصمم و کعدم زید و عدم عمرو المتمیز أحدهما من الآخر.</w:t>
      </w:r>
    </w:p>
    <w:p>
      <w:pPr>
        <w:pStyle w:val="BookText"/>
      </w:pPr>
      <w:r>
        <w:rPr>
          <w:rFonts w:ascii="IRNazanin" w:hAnsi="IRNazanin" w:eastAsia="IRNazanin" w:cs="IRNazanin"/>
          <w:lang w:bidi="fa-IR"/>
          <w:color w:val="111111"/>
          <w:sz w:val="28"/>
          <w:szCs w:val="28"/>
          <w:rtl/>
        </w:rPr>
        <w:t xml:space="preserve">و بهذا الطریق ینسب العقل إلی العدم العلیة و المعلولیة حذاء ما للوجود من ذلک فیقال عدم العلة علة لعدم المعلول حیث یضیف العدم إلی العلة و المعلول فیتمیز العدمان ثم یبنی عدم المعلول علی عدم العلة کما کان یتوقف وجود المعلول علی وجود العلة و ذلک نوع من التجوز حقیقته الإشارة إلی ما بین الوجودین من التوقف.</w:t>
      </w:r>
    </w:p>
    <w:p>
      <w:pPr>
        <w:pStyle w:val="BookText"/>
      </w:pPr>
      <w:r>
        <w:rPr>
          <w:rFonts w:ascii="IRNazanin" w:hAnsi="IRNazanin" w:eastAsia="IRNazanin" w:cs="IRNazanin"/>
          <w:lang w:bidi="fa-IR"/>
          <w:color w:val="111111"/>
          <w:sz w:val="28"/>
          <w:szCs w:val="28"/>
          <w:rtl/>
        </w:rPr>
        <w:t xml:space="preserve">و نظیر العدم المضاف العدم المقید بأی قید یقیده کالعدم الذاتی و العدم الزمانی و العدم الأزلی ففی جمیع ذلک یتصور مفهوم العدم و یفرض له مصداق علی حد سائر المفاهیم ثم یقید المفهوم فیتمیز المصداق ثم یحکم علی المصداق علی ما له من الثبوت المفروض بما یقتضیه من الحکم کاعتبار عدم العدم قبال العدم نظیر اعتبار العدم المقابل للوجود قبال الوجود.</w:t>
      </w:r>
    </w:p>
    <w:p>
      <w:pPr>
        <w:pStyle w:val="BookText"/>
      </w:pPr>
      <w:r>
        <w:rPr>
          <w:rFonts w:ascii="IRNazanin" w:hAnsi="IRNazanin" w:eastAsia="IRNazanin" w:cs="IRNazanin"/>
          <w:lang w:bidi="fa-IR"/>
          <w:color w:val="111111"/>
          <w:sz w:val="28"/>
          <w:szCs w:val="28"/>
          <w:rtl/>
        </w:rPr>
        <w:t xml:space="preserve">و بذلک یندفع الإشکال فی اعتبار عدم العدم بأن العدم المضاف إلی العدم نوع من العدم و هو بما أنه رافع للعدم المضاف‌إلیه یقابله تقابل</w:t>
      </w:r>
    </w:p>
    <w:p>
      <w:pPr>
        <w:pStyle w:val="BookText"/>
      </w:pPr>
      <w:r>
        <w:rPr>
          <w:rFonts w:ascii="IRNazanin" w:hAnsi="IRNazanin" w:eastAsia="IRNazanin" w:cs="IRNazanin"/>
          <w:lang w:bidi="fa-IR"/>
          <w:color w:val="111111"/>
          <w:sz w:val="28"/>
          <w:szCs w:val="28"/>
          <w:rtl/>
        </w:rPr>
        <w:t xml:space="preserve">[شماره صفحه واقعی : 21]</w:t>
      </w:r>
    </w:p>
    <w:p>
      <w:pPr>
        <w:pStyle w:val="BookText"/>
      </w:pPr>
      <w:r>
        <w:rPr>
          <w:rFonts w:ascii="IRNazanin" w:hAnsi="IRNazanin" w:eastAsia="IRNazanin" w:cs="IRNazanin"/>
          <w:lang w:bidi="fa-IR"/>
          <w:color w:val="111111"/>
          <w:sz w:val="28"/>
          <w:szCs w:val="28"/>
          <w:rtl/>
        </w:rPr>
        <w:t xml:space="preserve">ص: 1242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497" w:name="pg14419_167958"/>
    <w:bookmarkEnd w:id="497"/>
    <w:p>
      <w:pPr>
        <w:pStyle w:val="BookText"/>
      </w:pPr>
      <w:r>
        <w:rPr>
          <w:rFonts w:ascii="IRNazanin" w:hAnsi="IRNazanin" w:eastAsia="IRNazanin" w:cs="IRNazanin"/>
          <w:lang w:bidi="fa-IR"/>
          <w:color w:val="111111"/>
          <w:sz w:val="28"/>
          <w:szCs w:val="28"/>
          <w:rtl/>
        </w:rPr>
        <w:t xml:space="preserve">التناقض و النوعیة و التقابل لا یجتمعان البتة.</w:t>
      </w:r>
    </w:p>
    <w:p>
      <w:pPr>
        <w:pStyle w:val="BookText"/>
      </w:pPr>
      <w:r>
        <w:rPr>
          <w:rFonts w:ascii="IRNazanin" w:hAnsi="IRNazanin" w:eastAsia="IRNazanin" w:cs="IRNazanin"/>
          <w:lang w:bidi="fa-IR"/>
          <w:color w:val="111111"/>
          <w:sz w:val="28"/>
          <w:szCs w:val="28"/>
          <w:rtl/>
        </w:rPr>
        <w:t xml:space="preserve">وجه الاندفاع کما أفاده صدر المتألهین رحمه الله أن الجهة مختلف فعدم العدم بما أنه مفهوم أخص من مطلق العدم مأخوذ فیه العدم نوع من العدم و بما أن للعدم المضاف إلیه ثبوتا مفروضا یرفعه العدم المضاف رفع النقیض للنقیض یقابله العدم المضاف.</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بمثل ذلک یندفع ما أورد علی قولهم المعدوم المطلق لا یخبر عنه بأن القضیة تناقض نفسها فإنها تدل علی عدم الإخبار عن المعدوم المطلق و هذا بعینه خبر عنه و یندفع بأن المعدوم المطلق بما أنه بطلان محض فی الواقع لا خبر عنه و بما أن لمفهومه ثبوتا ما ذهنیا یخبر عنه بأنه لا یخبر عنه فالجهتان مختلفتان و بتعبیر آخر المعدوم المطلق بالحمل الشائع لا یخبر عنه و بالحمل الأولی یخبر عنه بأنه لا یخبر عنه.</w:t>
      </w:r>
    </w:p>
    <w:p>
      <w:pPr>
        <w:pStyle w:val="BookText"/>
      </w:pPr>
      <w:r>
        <w:rPr>
          <w:rFonts w:ascii="IRNazanin" w:hAnsi="IRNazanin" w:eastAsia="IRNazanin" w:cs="IRNazanin"/>
          <w:lang w:bidi="fa-IR"/>
          <w:color w:val="111111"/>
          <w:sz w:val="28"/>
          <w:szCs w:val="28"/>
          <w:rtl/>
        </w:rPr>
        <w:t xml:space="preserve">و بمثل ما تقدم أیضا یندفع الشبهة عن عدة من القضایا توهم التناقض کقولنا الجزئی جزئی و هو بعینه کلی یصدق علی کثیرین و قولنا اجتماع النقیضین ممتنع و هو بعینه ممکن موجود فی الذهن و قولنا الشی‌ء إما ثابت فی الذهن أو لا ثابت فیه و اللاثابت فی الذهن ثابت فیه لأنه معقول موجود بوجود ذهنی.</w:t>
      </w:r>
    </w:p>
    <w:p>
      <w:pPr>
        <w:pStyle w:val="BookText"/>
      </w:pPr>
      <w:r>
        <w:rPr>
          <w:rFonts w:ascii="IRNazanin" w:hAnsi="IRNazanin" w:eastAsia="IRNazanin" w:cs="IRNazanin"/>
          <w:lang w:bidi="fa-IR"/>
          <w:color w:val="111111"/>
          <w:sz w:val="28"/>
          <w:szCs w:val="28"/>
          <w:rtl/>
        </w:rPr>
        <w:t xml:space="preserve">فالجزئی جزئی بالحمل الأولی کلی صادق علی کثیرین بالحمل الشائع و اجتماع النقیضین ممکن بالحمل الأولی ممتنع بالحمل الشائع و اللاثابت فی الذهن لا ثابت فیه بالحمل الأولی ثابت فیه بالحمل الشائع.</w:t>
      </w:r>
    </w:p>
    <w:p>
      <w:pPr>
        <w:pStyle w:val="Heading5"/>
      </w:pPr>
      <w:bookmarkStart w:id="1465" w:name="_Toc905"/>
      <w:r>
        <w:t>الفصل الخامس فی أنه لا تکرر فی الوجود</w:t>
      </w:r>
      <w:bookmarkEnd w:id="146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کل موجود فی الأعیان فإن هویته العینیة وجوده علی ما تقدم من أصالة</w:t>
      </w:r>
    </w:p>
    <w:p>
      <w:pPr>
        <w:pStyle w:val="BookText"/>
      </w:pPr>
      <w:r>
        <w:rPr>
          <w:rFonts w:ascii="IRNazanin" w:hAnsi="IRNazanin" w:eastAsia="IRNazanin" w:cs="IRNazanin"/>
          <w:lang w:bidi="fa-IR"/>
          <w:color w:val="111111"/>
          <w:sz w:val="28"/>
          <w:szCs w:val="28"/>
          <w:rtl/>
        </w:rPr>
        <w:t xml:space="preserve">[شماره صفحه واقعی : 22]</w:t>
      </w:r>
    </w:p>
    <w:p>
      <w:pPr>
        <w:pStyle w:val="BookText"/>
      </w:pPr>
      <w:r>
        <w:rPr>
          <w:rFonts w:ascii="IRNazanin" w:hAnsi="IRNazanin" w:eastAsia="IRNazanin" w:cs="IRNazanin"/>
          <w:lang w:bidi="fa-IR"/>
          <w:color w:val="111111"/>
          <w:sz w:val="28"/>
          <w:szCs w:val="28"/>
          <w:rtl/>
        </w:rPr>
        <w:t xml:space="preserve">ص: 1243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و الهویة العینیة تأبی بذاته الصدق علی کثیرین و هو التشخص فالشخصیة للوجود بذاته فلو فرض لموجود وجودان کانت هویته العینیة الواحدة کثیرة و هی واحدة هذا محال.</w:t>
      </w:r>
    </w:p>
    <w:p>
      <w:pPr>
        <w:pStyle w:val="BookText"/>
      </w:pPr>
      <w:r>
        <w:rPr>
          <w:rFonts w:ascii="IRNazanin" w:hAnsi="IRNazanin" w:eastAsia="IRNazanin" w:cs="IRNazanin"/>
          <w:lang w:bidi="fa-IR"/>
          <w:color w:val="111111"/>
          <w:sz w:val="28"/>
          <w:szCs w:val="28"/>
          <w:rtl/>
        </w:rPr>
        <w:t xml:space="preserve">و بمثل البیان یتبین استحالة وجود مثلین من جمیع الجهات لأن لازم فرض مثلین اثنین التمایز بینهما بالضرورة و لازم فرض التماثل من کل جهة عدم التمایز بینهما و فی ذلک اجتماع النقیضین هذا محال.</w:t>
      </w:r>
    </w:p>
    <w:p>
      <w:pPr>
        <w:pStyle w:val="BookText"/>
      </w:pPr>
      <w:r>
        <w:rPr>
          <w:rFonts w:ascii="IRNazanin" w:hAnsi="IRNazanin" w:eastAsia="IRNazanin" w:cs="IRNazanin"/>
          <w:lang w:bidi="fa-IR"/>
          <w:color w:val="111111"/>
          <w:sz w:val="28"/>
          <w:szCs w:val="28"/>
          <w:rtl/>
        </w:rPr>
        <w:t xml:space="preserve">و بالجملة من الممتنع أن یوجد موجود واحد بأکثر من وجود واحد سواء کان الوجودان مثلا واقعین فی زمان واحد من غیر تخلل العدم بینهما أو منفصلین یتخلل العدم بینهما فالمحذور و هو لزوم العینیة مع فرض الاثنینیة فی الصورتین سواء.</w:t>
      </w:r>
    </w:p>
    <w:p>
      <w:pPr>
        <w:pStyle w:val="BookText"/>
      </w:pPr>
      <w:r>
        <w:rPr>
          <w:rFonts w:ascii="IRNazanin" w:hAnsi="IRNazanin" w:eastAsia="IRNazanin" w:cs="IRNazanin"/>
          <w:lang w:bidi="fa-IR"/>
          <w:color w:val="111111"/>
          <w:sz w:val="28"/>
          <w:szCs w:val="28"/>
          <w:rtl/>
        </w:rPr>
        <w:t xml:space="preserve">و القول بأن الوجود الثانی متمیز من الأول بأنه مسبوق بالعدم بعد الوجود بخلاف الأول و هذا کاف فی تصحیح الاثنینیة و غیر مضر بالعینیة لأنه تمیز بعدم.</w:t>
      </w:r>
    </w:p>
    <w:p>
      <w:pPr>
        <w:pStyle w:val="BookText"/>
      </w:pPr>
      <w:r>
        <w:rPr>
          <w:rFonts w:ascii="IRNazanin" w:hAnsi="IRNazanin" w:eastAsia="IRNazanin" w:cs="IRNazanin"/>
          <w:lang w:bidi="fa-IR"/>
          <w:color w:val="111111"/>
          <w:sz w:val="28"/>
          <w:szCs w:val="28"/>
          <w:rtl/>
        </w:rPr>
        <w:t xml:space="preserve">مردود بأن العدم بطلان محض لا کثرة فیه و لا تمیز و لیس فیه ذات متصفة بالعدم یلحقها وجود بعد ارتفاع وصفه فقد تقدم أن ذلک کله اعتبار عقلی بمعونة الوهم الذی یضیف العدم إلی الملکة فیتعدد العدم و یتکثر بتکثر الملکات و حقیقة کون الشی‌ء مسبوق الوجود بعدم و ملحوق الوجود به.</w:t>
      </w:r>
    </w:p>
    <w:p>
      <w:pPr>
        <w:pStyle w:val="BookText"/>
      </w:pPr>
      <w:r>
        <w:rPr>
          <w:rFonts w:ascii="IRNazanin" w:hAnsi="IRNazanin" w:eastAsia="IRNazanin" w:cs="IRNazanin"/>
          <w:lang w:bidi="fa-IR"/>
          <w:color w:val="111111"/>
          <w:sz w:val="28"/>
          <w:szCs w:val="28"/>
          <w:rtl/>
        </w:rPr>
        <w:t xml:space="preserve">و بالجملة إحاطة العدم به من قبل و من بعد اختصاص وجوده بظرف من ظروف الواقع و قصوره عن الانبساط علی سائر الظروف من الأعیان لا أن للشی‌ء وجودا واقعیا فی ظرف من ظروف الواقع و للعدم تقرر واقع منبسط علی سائر الظروف ربما ورد علی الوجود فدفعه عن مستقره و استقر هو فیه فإن فیه إعطاء الأصالة للعدم و اجتماع النقیضین.</w:t>
      </w:r>
    </w:p>
    <w:p>
      <w:pPr>
        <w:pStyle w:val="BookText"/>
      </w:pPr>
      <w:r>
        <w:rPr>
          <w:rFonts w:ascii="IRNazanin" w:hAnsi="IRNazanin" w:eastAsia="IRNazanin" w:cs="IRNazanin"/>
          <w:lang w:bidi="fa-IR"/>
          <w:color w:val="111111"/>
          <w:sz w:val="28"/>
          <w:szCs w:val="28"/>
          <w:rtl/>
        </w:rPr>
        <w:t xml:space="preserve">و الحاصل أن تمیز الوجود الثانی تمیز وهمی لا یوجب تمیزا حقیقیا و لو أوجب ذلک أوجب البینونة بین الوجودین و بطلت العینیة.</w:t>
      </w:r>
    </w:p>
    <w:p>
      <w:pPr>
        <w:pStyle w:val="BookText"/>
      </w:pPr>
      <w:r>
        <w:rPr>
          <w:rFonts w:ascii="IRNazanin" w:hAnsi="IRNazanin" w:eastAsia="IRNazanin" w:cs="IRNazanin"/>
          <w:lang w:bidi="fa-IR"/>
          <w:color w:val="111111"/>
          <w:sz w:val="28"/>
          <w:szCs w:val="28"/>
          <w:rtl/>
        </w:rPr>
        <w:t xml:space="preserve">[شماره صفحه واقعی : 23]</w:t>
      </w:r>
    </w:p>
    <w:p>
      <w:pPr>
        <w:pStyle w:val="BookText"/>
      </w:pPr>
      <w:r>
        <w:rPr>
          <w:rFonts w:ascii="IRNazanin" w:hAnsi="IRNazanin" w:eastAsia="IRNazanin" w:cs="IRNazanin"/>
          <w:lang w:bidi="fa-IR"/>
          <w:color w:val="111111"/>
          <w:sz w:val="28"/>
          <w:szCs w:val="28"/>
          <w:rtl/>
        </w:rPr>
        <w:t xml:space="preserve">ص: 1244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بأنه لم لا یجوز أن یوجد الموجد شیئا ثم یعدم و له بشخصه صورة علمیة عنده أو عند بعض المبادی العالیة ثم یوجد ثانیا علی ما علم فیستحفظ الوحدة و العینیة بین الوجودین بالصورة العلمیة.</w:t>
      </w:r>
    </w:p>
    <w:p>
      <w:pPr>
        <w:pStyle w:val="BookText"/>
      </w:pPr>
      <w:r>
        <w:rPr>
          <w:rFonts w:ascii="IRNazanin" w:hAnsi="IRNazanin" w:eastAsia="IRNazanin" w:cs="IRNazanin"/>
          <w:lang w:bidi="fa-IR"/>
          <w:color w:val="111111"/>
          <w:sz w:val="28"/>
          <w:szCs w:val="28"/>
          <w:rtl/>
        </w:rPr>
        <w:t xml:space="preserve">یدفعه أن الوجود الثانی کیفما فرض وجود بعد وجود و غیریته و بینونته للوجود الأول بما أنه بعده ضروری و لا تجتمع العینیة و الغیریة البتة.</w:t>
      </w:r>
    </w:p>
    <w:p>
      <w:pPr>
        <w:pStyle w:val="BookText"/>
      </w:pPr>
      <w:r>
        <w:rPr>
          <w:rFonts w:ascii="IRNazanin" w:hAnsi="IRNazanin" w:eastAsia="IRNazanin" w:cs="IRNazanin"/>
          <w:lang w:bidi="fa-IR"/>
          <w:color w:val="111111"/>
          <w:sz w:val="28"/>
          <w:szCs w:val="28"/>
          <w:rtl/>
        </w:rPr>
        <w:t xml:space="preserve">و هذا الذی تقرر من استحالة تکرر الوجود لشی‌ء مع تخلل العدم هو المراد بقولهم إن إعادة المعدوم بعینه ممتنع و قد عد الشیخ امتناع إعادة المعدوم بعینه ضروریا.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أقاموا علی ذلک حججا هی تنبیهات بناء علی ضروریة المسألة منها أنه لو جاز للموجود فی زمان أن ینعدم زمانا ثم یوجد بعینه فی زمان آخر لزم تخلل العدم بین الشی‌ء و نفسه و هو محال لاستلزامه وجود الشی‌ء فی زمانین بینهما عدم متخلل.</w:t>
      </w:r>
    </w:p>
    <w:p>
      <w:pPr>
        <w:pStyle w:val="BookText"/>
      </w:pPr>
      <w:r>
        <w:rPr>
          <w:rFonts w:ascii="IRNazanin" w:hAnsi="IRNazanin" w:eastAsia="IRNazanin" w:cs="IRNazanin"/>
          <w:lang w:bidi="fa-IR"/>
          <w:color w:val="111111"/>
          <w:sz w:val="28"/>
          <w:szCs w:val="28"/>
          <w:rtl/>
        </w:rPr>
        <w:t xml:space="preserve">و منها أنه لو جاز إعادة الشی‌ء بعینه بعد انعدامه جاز إیجاد ما یماثله من جمیع الوجوه ابتداء و هو محال أما الملازمة فلأن الشی‌ء المعاد بعینه و ما یماثله من جمیع الوجوه مثلان و حکم الأمثال فیما یجوز و فیما لا یجوز واحد فلو جاز إیجاده بعینه ثانیا بنحو الإعادة جاز إیجاد مثله ابتداء و أما استحالة اللازم فلاستلزام اجتماع المثلین فی الوجود عدم التمیز بینهما و هما اثنان متمایزان.</w:t>
      </w:r>
    </w:p>
    <w:p>
      <w:pPr>
        <w:pStyle w:val="BookText"/>
      </w:pPr>
      <w:r>
        <w:rPr>
          <w:rFonts w:ascii="IRNazanin" w:hAnsi="IRNazanin" w:eastAsia="IRNazanin" w:cs="IRNazanin"/>
          <w:lang w:bidi="fa-IR"/>
          <w:color w:val="111111"/>
          <w:sz w:val="28"/>
          <w:szCs w:val="28"/>
          <w:rtl/>
        </w:rPr>
        <w:t xml:space="preserve">و منها أن إعادة المعدوم بعینه توجب کون المعاد هو المبتدأ لأن فرض العینیة یوجب کون المعاد هو المبتدأ ذاتا و فی جمیع الخصوصیات المشخصة حتی الزمان فیعود المعاد مبتدأ و حیثیة الإعادة عین حیثیة الابتداء.</w:t>
      </w:r>
    </w:p>
    <w:p>
      <w:pPr>
        <w:pStyle w:val="BookText"/>
      </w:pPr>
      <w:r>
        <w:rPr>
          <w:rFonts w:ascii="IRNazanin" w:hAnsi="IRNazanin" w:eastAsia="IRNazanin" w:cs="IRNazanin"/>
          <w:lang w:bidi="fa-IR"/>
          <w:color w:val="111111"/>
          <w:sz w:val="28"/>
          <w:szCs w:val="28"/>
          <w:rtl/>
        </w:rPr>
        <w:t xml:space="preserve">و منها أنه لو جازت الإعادة لم یکن عدد العود بالغا حدا معینا یقف علیه إذ لا فرق بین العودة الأولی و الثانیة و الثالثة و هکذا إلی ما لا نهایة له کما لم یکن فرق بین المعاد و المبتدإ و تعین العدد من لوازم وجود الشی‌ء المتشخص.</w:t>
      </w:r>
    </w:p>
    <w:p>
      <w:pPr>
        <w:pStyle w:val="BookText"/>
      </w:pPr>
      <w:r>
        <w:rPr>
          <w:rFonts w:ascii="IRNazanin" w:hAnsi="IRNazanin" w:eastAsia="IRNazanin" w:cs="IRNazanin"/>
          <w:lang w:bidi="fa-IR"/>
          <w:color w:val="111111"/>
          <w:sz w:val="28"/>
          <w:szCs w:val="28"/>
          <w:rtl/>
        </w:rPr>
        <w:t xml:space="preserve">[شماره صفحه واقعی : 24]</w:t>
      </w:r>
    </w:p>
    <w:p>
      <w:pPr>
        <w:pStyle w:val="BookText"/>
      </w:pPr>
      <w:r>
        <w:rPr>
          <w:rFonts w:ascii="IRNazanin" w:hAnsi="IRNazanin" w:eastAsia="IRNazanin" w:cs="IRNazanin"/>
          <w:lang w:bidi="fa-IR"/>
          <w:color w:val="111111"/>
          <w:sz w:val="28"/>
          <w:szCs w:val="28"/>
          <w:rtl/>
        </w:rPr>
        <w:t xml:space="preserve">ص: 1245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جمع من المتکلمین نظرا إلی أن المعاد الذی نطقت به الشرائع الحقة إعادة للمعدوم إلی جواز الإعادة و استدلوا علیه بأنه لو امتنعت إعادة المعدوم بعینه لکان ذلک إما لماهیته أو لأمر لازم لماهیته و لو کان کذلک لم یوجد ابتداء أو لأمر مفارق فیزول الامتناع بزواله.</w:t>
      </w:r>
    </w:p>
    <w:p>
      <w:pPr>
        <w:pStyle w:val="BookText"/>
      </w:pPr>
      <w:r>
        <w:rPr>
          <w:rFonts w:ascii="IRNazanin" w:hAnsi="IRNazanin" w:eastAsia="IRNazanin" w:cs="IRNazanin"/>
          <w:lang w:bidi="fa-IR"/>
          <w:color w:val="111111"/>
          <w:sz w:val="28"/>
          <w:szCs w:val="28"/>
          <w:rtl/>
        </w:rPr>
        <w:t xml:space="preserve">و رد بأن الامتناع لأمر لازم لوجوده لا لماهیته و أما ما نطقت به الشرائع الحقة فالحشر و المعاد انتقال من نشأة إلی نشأة أخری و لیس إیجاد بعد الإعدام.</w:t>
      </w:r>
    </w:p>
    <w:p>
      <w:pPr>
        <w:pStyle w:val="BookText"/>
      </w:pPr>
      <w:r>
        <w:rPr>
          <w:rFonts w:ascii="IRNazanin" w:hAnsi="IRNazanin" w:eastAsia="IRNazanin" w:cs="IRNazanin"/>
          <w:lang w:bidi="fa-IR"/>
          <w:color w:val="111111"/>
          <w:sz w:val="28"/>
          <w:szCs w:val="28"/>
          <w:rtl/>
        </w:rPr>
        <w:t xml:space="preserve">[شماره صفحه واقعی : 25]</w:t>
      </w:r>
    </w:p>
    <w:p>
      <w:pPr>
        <w:pStyle w:val="BookText"/>
      </w:pPr>
      <w:r>
        <w:rPr>
          <w:rFonts w:ascii="IRNazanin" w:hAnsi="IRNazanin" w:eastAsia="IRNazanin" w:cs="IRNazanin"/>
          <w:lang w:bidi="fa-IR"/>
          <w:color w:val="111111"/>
          <w:sz w:val="28"/>
          <w:szCs w:val="28"/>
          <w:rtl/>
        </w:rPr>
        <w:t xml:space="preserve">ص: 1246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w:t>
      </w:r>
    </w:p>
    <w:p>
      <w:pPr>
        <w:pStyle w:val="BookText"/>
      </w:pPr>
      <w:r>
        <w:rPr>
          <w:rFonts w:ascii="IRNazanin" w:hAnsi="IRNazanin" w:eastAsia="IRNazanin" w:cs="IRNazanin"/>
          <w:lang w:bidi="fa-IR"/>
          <w:color w:val="111111"/>
          <w:sz w:val="28"/>
          <w:szCs w:val="28"/>
          <w:rtl/>
        </w:rPr>
        <w:t xml:space="preserve">ص: 1247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498" w:name="pg14419_167963"/>
    <w:bookmarkEnd w:id="498"/>
    <w:p>
      <w:pPr>
        <w:pStyle w:val="Heading4"/>
      </w:pPr>
      <w:bookmarkStart w:id="1466" w:name="_Toc906"/>
      <w:r>
        <w:t>المرحلة الثانیة فی الوجود المستقل و الرابط</w:t>
      </w:r>
      <w:bookmarkEnd w:id="1466"/>
    </w:p>
    <w:p>
      <w:pPr>
        <w:pStyle w:val="Heading5"/>
      </w:pPr>
      <w:bookmarkStart w:id="1467" w:name="_Toc907"/>
      <w:r>
        <w:t>اشارة</w:t>
      </w:r>
      <w:bookmarkEnd w:id="14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ثلاثة فصول</w:t>
      </w:r>
    </w:p>
    <w:p>
      <w:pPr>
        <w:pStyle w:val="BookText"/>
      </w:pPr>
      <w:r>
        <w:rPr>
          <w:rFonts w:ascii="IRNazanin" w:hAnsi="IRNazanin" w:eastAsia="IRNazanin" w:cs="IRNazanin"/>
          <w:lang w:bidi="fa-IR"/>
          <w:color w:val="111111"/>
          <w:sz w:val="28"/>
          <w:szCs w:val="28"/>
          <w:rtl/>
        </w:rPr>
        <w:t xml:space="preserve">[شماره صفحه واقعی : 27]</w:t>
      </w:r>
    </w:p>
    <w:p>
      <w:pPr>
        <w:pStyle w:val="BookText"/>
      </w:pPr>
      <w:r>
        <w:rPr>
          <w:rFonts w:ascii="IRNazanin" w:hAnsi="IRNazanin" w:eastAsia="IRNazanin" w:cs="IRNazanin"/>
          <w:lang w:bidi="fa-IR"/>
          <w:color w:val="111111"/>
          <w:sz w:val="28"/>
          <w:szCs w:val="28"/>
          <w:rtl/>
        </w:rPr>
        <w:t xml:space="preserve">ص: 1248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499" w:name="pg14419_167964"/>
    <w:bookmarkEnd w:id="499"/>
    <w:p>
      <w:pPr>
        <w:pStyle w:val="Heading5"/>
      </w:pPr>
      <w:bookmarkStart w:id="1468" w:name="_Toc908"/>
      <w:r>
        <w:t>الفصل الأول فی انقسام الوجود إلی المستقل و الرابط</w:t>
      </w:r>
      <w:bookmarkEnd w:id="1468"/>
    </w:p>
    <w:p>
      <w:pPr>
        <w:pStyle w:val="BookText"/>
      </w:pPr>
      <w:r>
        <w:rPr>
          <w:rFonts w:ascii="IRNazanin" w:hAnsi="IRNazanin" w:eastAsia="IRNazanin" w:cs="IRNazanin"/>
          <w:lang w:bidi="fa-IR"/>
          <w:color w:val="111111"/>
          <w:sz w:val="28"/>
          <w:szCs w:val="28"/>
          <w:rtl/>
        </w:rPr>
        <w:t xml:space="preserve">ینقسم الموجود إلی ما وجوده فی نفسه و نسمیه الوجود المستقل و المحمولی أو النفسی و ما وجوده فی غیره و نسمیه الوجود الرابط و ذلک أن هناک قضایا خارجیة تنطبق بموضوعاتها و محمولاتها علی الخارج کقولنا زید قائم و الإنسان ضاحک مثلا و أیضا مرکبات تقییدیة مأخوذة من هذه القضایا کقیام زید و ضحک الإنسان نجد فیها بین أطرافها من الأمر الذی نسمیه نسبة و ربطا مالا نجده فی الموضوع وحده و لا فی المحمول وحده و لا بین الموضوع و غیر المحمول و لا بین المحمول و غیر الموضوع فهناک أمر موجود وراء الموضوع و المحمول.</w:t>
      </w:r>
    </w:p>
    <w:p>
      <w:pPr>
        <w:pStyle w:val="BookText"/>
      </w:pPr>
      <w:r>
        <w:rPr>
          <w:rFonts w:ascii="IRNazanin" w:hAnsi="IRNazanin" w:eastAsia="IRNazanin" w:cs="IRNazanin"/>
          <w:lang w:bidi="fa-IR"/>
          <w:color w:val="111111"/>
          <w:sz w:val="28"/>
          <w:szCs w:val="28"/>
          <w:rtl/>
        </w:rPr>
        <w:t xml:space="preserve">و لیس منفصل الذات عن الطرفین بحیث یکون ثالثهما و مفارقا لهما کمفارقة أحدهما الآخر و إلا احتاج إلی رابط یربطه بالموضوع و رابط آخر یربطه بالمحمول فکان المفروض ثلاثة خمسة و احتاج الخمسة إلی أربعة روابط أخر و صارت تسعة و هلم جرا فتسلسل أجزاء القضیة أو المرکب إلی غیر النهایة و هی محصورة بین حاصرین هذا محال فهو إذن موجود فی الطرفین قائم بهما بمعنی ما لیس بخارج منهما من غیر أن یکون عینهما أو جزأهما أو عین أحدهما أو جزأه و لا أن ینفصل منهما و الطرفان اللذان وجوده فیهما هما بخلافه فثبت أن من الموجود ما وجوده فی نفسه و هو المستقل و منه ما وجوده</w:t>
      </w:r>
    </w:p>
    <w:p>
      <w:pPr>
        <w:pStyle w:val="BookText"/>
      </w:pPr>
      <w:r>
        <w:rPr>
          <w:rFonts w:ascii="IRNazanin" w:hAnsi="IRNazanin" w:eastAsia="IRNazanin" w:cs="IRNazanin"/>
          <w:lang w:bidi="fa-IR"/>
          <w:color w:val="111111"/>
          <w:sz w:val="28"/>
          <w:szCs w:val="28"/>
          <w:rtl/>
        </w:rPr>
        <w:t xml:space="preserve">[شماره صفحه واقعی : 28]</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غیره و هو الرابط.</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ظهر مما تقدم أن معنی توسط النسبة بین الطرفین کون وجودها قائما بالطرفین رابطا بینهما.</w:t>
      </w:r>
    </w:p>
    <w:p>
      <w:pPr>
        <w:pStyle w:val="BookText"/>
      </w:pPr>
      <w:r>
        <w:rPr>
          <w:rFonts w:ascii="IRNazanin" w:hAnsi="IRNazanin" w:eastAsia="IRNazanin" w:cs="IRNazanin"/>
          <w:lang w:bidi="fa-IR"/>
          <w:color w:val="111111"/>
          <w:sz w:val="28"/>
          <w:szCs w:val="28"/>
          <w:rtl/>
        </w:rPr>
        <w:t xml:space="preserve">و یتفرع علیه أمور الأول أن الوعاء الذی یتحقق فیه الوجود الرابط هو الوعاء الذی یتحقق فیه وجود طرفیه سواء کان الوعاء المذکور هو الخارج أو الذهن و ذلک لما فی طباع الوجود الرابط من کونه غیر خارج من وجود طرفیه فوعاء وجود کل منها هو بعینه وعاء وجوده فالنسبة الخارجیة إنما تتحقق بین طرفین خارجیین و النسبة الذهنیة إنما بین طرفین ذهنیین و الضابط أن وجود الطرفین مسانخ لوجود النسبة الدائرة بینهما و بالعکس.</w:t>
      </w:r>
    </w:p>
    <w:p>
      <w:pPr>
        <w:pStyle w:val="BookText"/>
      </w:pPr>
      <w:r>
        <w:rPr>
          <w:rFonts w:ascii="IRNazanin" w:hAnsi="IRNazanin" w:eastAsia="IRNazanin" w:cs="IRNazanin"/>
          <w:lang w:bidi="fa-IR"/>
          <w:color w:val="111111"/>
          <w:sz w:val="28"/>
          <w:szCs w:val="28"/>
          <w:rtl/>
        </w:rPr>
        <w:t xml:space="preserve">الثانی أن تحقق الوجود الرابط بین طرفین یوجب نحوا من الاتحاد الوجودی بینهما و ذلک لما أنه متحقق فیهما غیر متمیز الذات منهما و لا خارج منهما فوحدته الشخصیة تقضی بنحو من الاتحاد بینهما سواء کان هناک حمل کما فی القضایا أو لم یکن کغیرها من المرکبات فجمیع هذه الموارد لا یخلو من ضرب من الاتحاد.</w:t>
      </w:r>
    </w:p>
    <w:p>
      <w:pPr>
        <w:pStyle w:val="BookText"/>
      </w:pPr>
      <w:r>
        <w:rPr>
          <w:rFonts w:ascii="IRNazanin" w:hAnsi="IRNazanin" w:eastAsia="IRNazanin" w:cs="IRNazanin"/>
          <w:lang w:bidi="fa-IR"/>
          <w:color w:val="111111"/>
          <w:sz w:val="28"/>
          <w:szCs w:val="28"/>
          <w:rtl/>
        </w:rPr>
        <w:t xml:space="preserve">الثالث أن القضایا المشتملة علی الحمل الأولی کقولنا الإنسان إنسان لا رابط فیها إلا بحسب الاعتبار الذهنی فقط و کذا الهلیات البسیطة کقولنا الإنسان موجود إذ لا معنی لتحقق النسبة الرابطة بین الشی‌ء و نفسه.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الرابع أن العدم لا یتحقق منه رابط إذ لا شیئیة له و لا تمیز فیه و لازمه أن القضایا الموجبة التی أحد طرفیها أو کلاهما العدم کقولنا زید معدوم و شریک الباری معدوم لا عدم رابطا فیها إذ لا معنی لقیام عدم بعدمین أو بوجود و عدم و لا شیئیة له و لا تمیز اللهم إلا بحسب الاعتبار الذهنی.</w:t>
      </w:r>
    </w:p>
    <w:p>
      <w:pPr>
        <w:pStyle w:val="BookText"/>
      </w:pPr>
      <w:r>
        <w:rPr>
          <w:rFonts w:ascii="IRNazanin" w:hAnsi="IRNazanin" w:eastAsia="IRNazanin" w:cs="IRNazanin"/>
          <w:lang w:bidi="fa-IR"/>
          <w:color w:val="111111"/>
          <w:sz w:val="28"/>
          <w:szCs w:val="28"/>
          <w:rtl/>
        </w:rPr>
        <w:t xml:space="preserve">و نظیرتها القضایا السالبة کقولنا لیس الإنسان بحجر فلا عدم رابطا</w:t>
      </w:r>
    </w:p>
    <w:p>
      <w:pPr>
        <w:pStyle w:val="BookText"/>
      </w:pPr>
      <w:r>
        <w:rPr>
          <w:rFonts w:ascii="IRNazanin" w:hAnsi="IRNazanin" w:eastAsia="IRNazanin" w:cs="IRNazanin"/>
          <w:lang w:bidi="fa-IR"/>
          <w:color w:val="111111"/>
          <w:sz w:val="28"/>
          <w:szCs w:val="28"/>
          <w:rtl/>
        </w:rPr>
        <w:t xml:space="preserve">[شماره صفحه واقعی : 29]</w:t>
      </w:r>
    </w:p>
    <w:p>
      <w:pPr>
        <w:pStyle w:val="BookText"/>
      </w:pPr>
      <w:r>
        <w:rPr>
          <w:rFonts w:ascii="IRNazanin" w:hAnsi="IRNazanin" w:eastAsia="IRNazanin" w:cs="IRNazanin"/>
          <w:lang w:bidi="fa-IR"/>
          <w:color w:val="111111"/>
          <w:sz w:val="28"/>
          <w:szCs w:val="28"/>
          <w:rtl/>
        </w:rPr>
        <w:t xml:space="preserve">ص: 1250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500" w:name="pg14419_167966"/>
    <w:bookmarkEnd w:id="500"/>
    <w:p>
      <w:pPr>
        <w:pStyle w:val="BookText"/>
      </w:pPr>
      <w:r>
        <w:rPr>
          <w:rFonts w:ascii="IRNazanin" w:hAnsi="IRNazanin" w:eastAsia="IRNazanin" w:cs="IRNazanin"/>
          <w:lang w:bidi="fa-IR"/>
          <w:color w:val="111111"/>
          <w:sz w:val="28"/>
          <w:szCs w:val="28"/>
          <w:rtl/>
        </w:rPr>
        <w:t xml:space="preserve">فیها إلا بحسب الاعتبار الذهنی.</w:t>
      </w:r>
    </w:p>
    <w:p>
      <w:pPr>
        <w:pStyle w:val="BookText"/>
      </w:pPr>
      <w:r>
        <w:rPr>
          <w:rFonts w:ascii="IRNazanin" w:hAnsi="IRNazanin" w:eastAsia="IRNazanin" w:cs="IRNazanin"/>
          <w:lang w:bidi="fa-IR"/>
          <w:color w:val="111111"/>
          <w:sz w:val="28"/>
          <w:szCs w:val="28"/>
          <w:rtl/>
        </w:rPr>
        <w:t xml:space="preserve">الخامس أن الوجودات الرابطة لا ماهیة لها لأن الماهیات هی المقولة فی جواب ما هو فهی مستقلة بالمفهومیة و الوجودات الرابطة لا مفهوم لها مستقلا بالمفهومیة</w:t>
      </w:r>
    </w:p>
    <w:p>
      <w:pPr>
        <w:pStyle w:val="Heading5"/>
      </w:pPr>
      <w:bookmarkStart w:id="1469" w:name="_Toc909"/>
      <w:r>
        <w:t>الفصل الثانی فی کیفیة اختلاف الوجود الرابط و المستقل</w:t>
      </w:r>
      <w:bookmarkEnd w:id="1469"/>
    </w:p>
    <w:p>
      <w:pPr>
        <w:pStyle w:val="BookText"/>
      </w:pPr>
      <w:r>
        <w:rPr>
          <w:rFonts w:ascii="IRNazanin" w:hAnsi="IRNazanin" w:eastAsia="IRNazanin" w:cs="IRNazanin"/>
          <w:lang w:bidi="fa-IR"/>
          <w:color w:val="111111"/>
          <w:sz w:val="28"/>
          <w:szCs w:val="28"/>
          <w:rtl/>
        </w:rPr>
        <w:t xml:space="preserve">هل الاختلاف بین الوجود المستقل و الرابط اختلاف نوعی أو لا بمعنی أن الوجود الرابط و هو ذو معنی تعلقی هل یجوز أن ینسلخ عن هذا الشأن فیعود معنی مستقلا بتوجیه الالتفات إلیه مستقلا بعد ما کان ذا معنی حرفی أو لا یجوز.</w:t>
      </w:r>
    </w:p>
    <w:p>
      <w:pPr>
        <w:pStyle w:val="BookText"/>
      </w:pPr>
      <w:r>
        <w:rPr>
          <w:rFonts w:ascii="IRNazanin" w:hAnsi="IRNazanin" w:eastAsia="IRNazanin" w:cs="IRNazanin"/>
          <w:lang w:bidi="fa-IR"/>
          <w:color w:val="111111"/>
          <w:sz w:val="28"/>
          <w:szCs w:val="28"/>
          <w:rtl/>
        </w:rPr>
        <w:t xml:space="preserve">الحق هو الثانی لما سیأتی فی أبحاث العلة و المعلول أن حاجة المعلول إلی العلة مستقرة فی ذاته و لازم ذلک أن یکون عین الحاجة و قائم الذات بوجود العلة لا استقلال له دونها بوجه و مقتضی ذلک أن یکون وجود کل معلول سواء کان جوهرا أو عرضا موجودا فی نفسه رابطا بالنظر إلی علته و إن کان بالنظر إلی نفسه و بمقایسة بعضه إلی بعض جوهرا أو عرضا موجودا فی نفسه.</w:t>
      </w:r>
    </w:p>
    <w:p>
      <w:pPr>
        <w:pStyle w:val="BookText"/>
      </w:pPr>
      <w:r>
        <w:rPr>
          <w:rFonts w:ascii="IRNazanin" w:hAnsi="IRNazanin" w:eastAsia="IRNazanin" w:cs="IRNazanin"/>
          <w:lang w:bidi="fa-IR"/>
          <w:color w:val="111111"/>
          <w:sz w:val="28"/>
          <w:szCs w:val="28"/>
          <w:rtl/>
        </w:rPr>
        <w:t xml:space="preserve">فتقرر أن اختلاف الوجود الرابط و المستقل لیس اختلافا نوعیا بأن لا یقبل المفهوم غیر المستقل الذی ینتزع من الربط المتبدل إلی المفهوم المستقل المنتزع من المستقل.</w:t>
      </w:r>
    </w:p>
    <w:p>
      <w:pPr>
        <w:pStyle w:val="BookText"/>
      </w:pPr>
      <w:r>
        <w:rPr>
          <w:rFonts w:ascii="IRNazanin" w:hAnsi="IRNazanin" w:eastAsia="IRNazanin" w:cs="IRNazanin"/>
          <w:lang w:bidi="fa-IR"/>
          <w:color w:val="111111"/>
          <w:sz w:val="28"/>
          <w:szCs w:val="28"/>
          <w:rtl/>
        </w:rPr>
        <w:t xml:space="preserve">و یتفرع علی ما تقدم أمور الأول أن المفهوم فی استقلاله بالمفهومیة و عدم استقلاله تابع لوجوده الذی ینتزع منه و لیس له من نفسه إلا الإبهام فحدود الجواهر و الأعراض</w:t>
      </w:r>
    </w:p>
    <w:p>
      <w:pPr>
        <w:pStyle w:val="BookText"/>
      </w:pPr>
      <w:r>
        <w:rPr>
          <w:rFonts w:ascii="IRNazanin" w:hAnsi="IRNazanin" w:eastAsia="IRNazanin" w:cs="IRNazanin"/>
          <w:lang w:bidi="fa-IR"/>
          <w:color w:val="111111"/>
          <w:sz w:val="28"/>
          <w:szCs w:val="28"/>
          <w:rtl/>
        </w:rPr>
        <w:t xml:space="preserve">[شماره صفحه واقعی : 30]</w:t>
      </w:r>
    </w:p>
    <w:p>
      <w:pPr>
        <w:pStyle w:val="BookText"/>
      </w:pPr>
      <w:r>
        <w:rPr>
          <w:rFonts w:ascii="IRNazanin" w:hAnsi="IRNazanin" w:eastAsia="IRNazanin" w:cs="IRNazanin"/>
          <w:lang w:bidi="fa-IR"/>
          <w:color w:val="111111"/>
          <w:sz w:val="28"/>
          <w:szCs w:val="28"/>
          <w:rtl/>
        </w:rPr>
        <w:t xml:space="preserve">ص: 1251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501" w:name="pg14419_167967"/>
    <w:bookmarkEnd w:id="501"/>
    <w:p>
      <w:pPr>
        <w:pStyle w:val="BookText"/>
      </w:pPr>
      <w:r>
        <w:rPr>
          <w:rFonts w:ascii="IRNazanin" w:hAnsi="IRNazanin" w:eastAsia="IRNazanin" w:cs="IRNazanin"/>
          <w:lang w:bidi="fa-IR"/>
          <w:color w:val="111111"/>
          <w:sz w:val="28"/>
          <w:szCs w:val="28"/>
          <w:rtl/>
        </w:rPr>
        <w:t xml:space="preserve">ماهیات جوهریة و عرضیة بقیاس بعضها إلی بعض و بالنظر إلی أنفسها و روابط وجودیة بقیاسها إلی المبدإ الأول تبارک و تعالی و هی فی أنفسها مع قطع النظر عن وجودها لا مستقلة و لا رابطة.</w:t>
      </w:r>
    </w:p>
    <w:p>
      <w:pPr>
        <w:pStyle w:val="BookText"/>
      </w:pPr>
      <w:r>
        <w:rPr>
          <w:rFonts w:ascii="IRNazanin" w:hAnsi="IRNazanin" w:eastAsia="IRNazanin" w:cs="IRNazanin"/>
          <w:lang w:bidi="fa-IR"/>
          <w:color w:val="111111"/>
          <w:sz w:val="28"/>
          <w:szCs w:val="28"/>
          <w:rtl/>
        </w:rPr>
        <w:t xml:space="preserve">الثانی أن من الوجودات الرابطة ما یقوم بطرف واحد کوجود المعلول بالقیاس إلی علته کما أن منها ما یقوم بطرفین کوجودات سائر النسب و الإضافات.</w:t>
      </w:r>
    </w:p>
    <w:p>
      <w:pPr>
        <w:pStyle w:val="BookText"/>
      </w:pPr>
      <w:r>
        <w:rPr>
          <w:rFonts w:ascii="IRNazanin" w:hAnsi="IRNazanin" w:eastAsia="IRNazanin" w:cs="IRNazanin"/>
          <w:lang w:bidi="fa-IR"/>
          <w:color w:val="111111"/>
          <w:sz w:val="28"/>
          <w:szCs w:val="28"/>
          <w:rtl/>
        </w:rPr>
        <w:t xml:space="preserve">الثالث أن نشأة الوجود لا تتضمن إلا وجودا واحدا مستقلا هو الواجب عز اسمه و الباقی روابط و نسب و إضافات</w:t>
      </w:r>
    </w:p>
    <w:p>
      <w:pPr>
        <w:pStyle w:val="Heading5"/>
      </w:pPr>
      <w:bookmarkStart w:id="1470" w:name="_Toc910"/>
      <w:r>
        <w:t>الفصل الثالث فی انقسام الوجود فی نفسه إلی ما لنفسه و ما لغیره</w:t>
      </w:r>
      <w:bookmarkEnd w:id="14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ینقسم الموجود فی نفس ه إلی ما وجوده لنفسه و ما وجوده لغیره و المراد بکون وجود الشی‌ء لغیره أن یکون وجوده فی نفسه و هو الوجود الذی یطرد عن ماهیته العدم هو بعینه طاردا للعدم عن شی‌ء آخر لا لعدم ماهیة ذلک الشی‌ء الآخر و ذاته و إلا کانت لموجود واحد ماهیتان و هو محال بل لعدم زائد علی ماهیته و ذاته له نوع من المقارنة له کالعلم الذی یطرد بوجوده العدم عن ماهیة نفسه و هو بعینه یطرد الجهل الذی هو عدم ما عن موضوعه.</w:t>
      </w:r>
    </w:p>
    <w:p>
      <w:pPr>
        <w:pStyle w:val="BookText"/>
      </w:pPr>
      <w:r>
        <w:rPr>
          <w:rFonts w:ascii="IRNazanin" w:hAnsi="IRNazanin" w:eastAsia="IRNazanin" w:cs="IRNazanin"/>
          <w:lang w:bidi="fa-IR"/>
          <w:color w:val="111111"/>
          <w:sz w:val="28"/>
          <w:szCs w:val="28"/>
          <w:rtl/>
        </w:rPr>
        <w:t xml:space="preserve">و الحجة علی تحقق هذا القسم أعنی الوجود لغیره وجودات الأعراض فإن کلا منها کما یطرد عن ماهیة نفسه العدم یطرد عن موضوعه عدما ما زائدا علی ذاته و کذلک الصور النوعیة المنطبعة فإن لها نوع حصول لموادها تطرد به عن موادها لا عدم ذاتها بل نقصا جوهریا تکمل بطرده و هو المراد بکون وجود الشی‌ء لغیره و ناعتا.</w:t>
      </w:r>
    </w:p>
    <w:p>
      <w:pPr>
        <w:pStyle w:val="BookText"/>
      </w:pPr>
      <w:r>
        <w:rPr>
          <w:rFonts w:ascii="IRNazanin" w:hAnsi="IRNazanin" w:eastAsia="IRNazanin" w:cs="IRNazanin"/>
          <w:lang w:bidi="fa-IR"/>
          <w:color w:val="111111"/>
          <w:sz w:val="28"/>
          <w:szCs w:val="28"/>
          <w:rtl/>
        </w:rPr>
        <w:t xml:space="preserve">[شماره صفحه واقعی : 31]</w:t>
      </w:r>
    </w:p>
    <w:p>
      <w:pPr>
        <w:pStyle w:val="BookText"/>
      </w:pPr>
      <w:r>
        <w:rPr>
          <w:rFonts w:ascii="IRNazanin" w:hAnsi="IRNazanin" w:eastAsia="IRNazanin" w:cs="IRNazanin"/>
          <w:lang w:bidi="fa-IR"/>
          <w:color w:val="111111"/>
          <w:sz w:val="28"/>
          <w:szCs w:val="28"/>
          <w:rtl/>
        </w:rPr>
        <w:t xml:space="preserve">ص: 1252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یقابله ما کان وجوده طاردا للعدم عن ماهیة نفسه فحسب و هو الوجود لنفسه کالأنواع التامة الجوهریة کالإنسان و الفرس و غیرهما.</w:t>
      </w:r>
    </w:p>
    <w:p>
      <w:pPr>
        <w:pStyle w:val="BookText"/>
      </w:pPr>
      <w:r>
        <w:rPr>
          <w:rFonts w:ascii="IRNazanin" w:hAnsi="IRNazanin" w:eastAsia="IRNazanin" w:cs="IRNazanin"/>
          <w:lang w:bidi="fa-IR"/>
          <w:color w:val="111111"/>
          <w:sz w:val="28"/>
          <w:szCs w:val="28"/>
          <w:rtl/>
        </w:rPr>
        <w:t xml:space="preserve">فتقرر أن الوجود فی نفسه ینقسم إلی ما وجوده لنفسه و ما وجوده لغیره و ذلک هو المطلوب.</w:t>
      </w:r>
    </w:p>
    <w:p>
      <w:pPr>
        <w:pStyle w:val="BookText"/>
      </w:pPr>
      <w:r>
        <w:rPr>
          <w:rFonts w:ascii="IRNazanin" w:hAnsi="IRNazanin" w:eastAsia="IRNazanin" w:cs="IRNazanin"/>
          <w:lang w:bidi="fa-IR"/>
          <w:color w:val="111111"/>
          <w:sz w:val="28"/>
          <w:szCs w:val="28"/>
          <w:rtl/>
        </w:rPr>
        <w:t xml:space="preserve">و یتبین بما مر أن وجود الأعراض من شئون وجود الجواهر التی هی موضوعاتها و کذلک وجود الصور المنطبعة غیر مباینة لوجود موادها.</w:t>
      </w:r>
    </w:p>
    <w:p>
      <w:pPr>
        <w:pStyle w:val="BookText"/>
      </w:pPr>
      <w:r>
        <w:rPr>
          <w:rFonts w:ascii="IRNazanin" w:hAnsi="IRNazanin" w:eastAsia="IRNazanin" w:cs="IRNazanin"/>
          <w:lang w:bidi="fa-IR"/>
          <w:color w:val="111111"/>
          <w:sz w:val="28"/>
          <w:szCs w:val="28"/>
          <w:rtl/>
        </w:rPr>
        <w:t xml:space="preserve">و یتبین به أیضا أن المفاهیم المنتزعة عن الوجودات الناعتة التی هی أوصاف لموضوعاتها لیست بماهیات لها و لا لموضوعاتها و ذلک لأن المفهوم المنتزع عن وجود إنما یکون ماهیة له إذا کان الوجود المنتزع عنه یطرد عن نفسه العدم و الوجود الناعت یطرد العدم لا عن نفس المفهوم المنتزع عنه مثلا وجود السواد فی نفسه یطرد العدم عن نفس السواد فالسواد ماهیته و أما هذا الوجود من حیث جعله الجسم أسود فلیس یطرد عدما لا عن السواد فی نفسه و لا عن ماهیة الجسم المنعوت به بل عن صفة یتصف بها الجسم خارجة عن ذاته.</w:t>
      </w:r>
    </w:p>
    <w:p>
      <w:pPr>
        <w:pStyle w:val="BookText"/>
      </w:pPr>
      <w:r>
        <w:rPr>
          <w:rFonts w:ascii="IRNazanin" w:hAnsi="IRNazanin" w:eastAsia="IRNazanin" w:cs="IRNazanin"/>
          <w:lang w:bidi="fa-IR"/>
          <w:color w:val="111111"/>
          <w:sz w:val="28"/>
          <w:szCs w:val="28"/>
          <w:rtl/>
        </w:rPr>
        <w:t xml:space="preserve">[شماره صفحه واقعی : 32]</w:t>
      </w:r>
    </w:p>
    <w:p>
      <w:pPr>
        <w:pStyle w:val="BookText"/>
      </w:pPr>
      <w:r>
        <w:rPr>
          <w:rFonts w:ascii="IRNazanin" w:hAnsi="IRNazanin" w:eastAsia="IRNazanin" w:cs="IRNazanin"/>
          <w:lang w:bidi="fa-IR"/>
          <w:color w:val="111111"/>
          <w:sz w:val="28"/>
          <w:szCs w:val="28"/>
          <w:rtl/>
        </w:rPr>
        <w:t xml:space="preserve">ص: 1253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502" w:name="pg14419_167969"/>
    <w:bookmarkEnd w:id="502"/>
    <w:p>
      <w:pPr>
        <w:pStyle w:val="Heading4"/>
      </w:pPr>
      <w:bookmarkStart w:id="1471" w:name="_Toc911"/>
      <w:r>
        <w:t>المرحلة الثالثة فی انقسام الوجود إلی ذهنی و خارجی</w:t>
      </w:r>
      <w:bookmarkEnd w:id="1471"/>
    </w:p>
    <w:p>
      <w:pPr>
        <w:pStyle w:val="Heading5"/>
      </w:pPr>
      <w:bookmarkStart w:id="1472" w:name="_Toc912"/>
      <w:r>
        <w:t>اشارة</w:t>
      </w:r>
      <w:bookmarkEnd w:id="147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فصل واحد</w:t>
      </w:r>
    </w:p>
    <w:p>
      <w:pPr>
        <w:pStyle w:val="BookText"/>
      </w:pPr>
      <w:r>
        <w:rPr>
          <w:rFonts w:ascii="IRNazanin" w:hAnsi="IRNazanin" w:eastAsia="IRNazanin" w:cs="IRNazanin"/>
          <w:lang w:bidi="fa-IR"/>
          <w:color w:val="111111"/>
          <w:sz w:val="28"/>
          <w:szCs w:val="28"/>
          <w:rtl/>
        </w:rPr>
        <w:t xml:space="preserve">[شماره صفحه واقعی : 33]</w:t>
      </w:r>
    </w:p>
    <w:p>
      <w:pPr>
        <w:pStyle w:val="BookText"/>
      </w:pPr>
      <w:r>
        <w:rPr>
          <w:rFonts w:ascii="IRNazanin" w:hAnsi="IRNazanin" w:eastAsia="IRNazanin" w:cs="IRNazanin"/>
          <w:lang w:bidi="fa-IR"/>
          <w:color w:val="111111"/>
          <w:sz w:val="28"/>
          <w:szCs w:val="28"/>
          <w:rtl/>
        </w:rPr>
        <w:t xml:space="preserve">ص: 1254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503" w:name="pg14419_167970"/>
    <w:bookmarkEnd w:id="503"/>
    <w:p>
      <w:pPr>
        <w:pStyle w:val="Heading5"/>
      </w:pPr>
      <w:bookmarkStart w:id="1473" w:name="_Toc913"/>
      <w:r>
        <w:t>فصل فی انقسام الوجود إلی ذهنی و خارجی</w:t>
      </w:r>
      <w:bookmarkEnd w:id="1473"/>
    </w:p>
    <w:p>
      <w:pPr>
        <w:pStyle w:val="BookText"/>
      </w:pPr>
      <w:r>
        <w:rPr>
          <w:rFonts w:ascii="IRNazanin" w:hAnsi="IRNazanin" w:eastAsia="IRNazanin" w:cs="IRNazanin"/>
          <w:lang w:bidi="fa-IR"/>
          <w:color w:val="111111"/>
          <w:sz w:val="28"/>
          <w:szCs w:val="28"/>
          <w:rtl/>
        </w:rPr>
        <w:t xml:space="preserve">المعروف من مذهب الحکماء أن لهذه الماهیات الموجودة فی الخارج المترتبة علیها آثارها وجودا آخر لا یترتب علیها فیه آثارها الخارجیة بعینها و إن ترتبت آثار أخر غیر آثارها الخارجیة و هذا النحو من الوجود هو الذی نسمیه الوجود الذهنی و هو علمنا بماهیات الأشیاء.</w:t>
      </w:r>
    </w:p>
    <w:p>
      <w:pPr>
        <w:pStyle w:val="BookText"/>
      </w:pPr>
      <w:r>
        <w:rPr>
          <w:rFonts w:ascii="IRNazanin" w:hAnsi="IRNazanin" w:eastAsia="IRNazanin" w:cs="IRNazanin"/>
          <w:lang w:bidi="fa-IR"/>
          <w:color w:val="111111"/>
          <w:sz w:val="28"/>
          <w:szCs w:val="28"/>
          <w:rtl/>
        </w:rPr>
        <w:t xml:space="preserve">و أنکر الوجود الذهنی قوم فذهب بعضهم إلی أن العلم إنما هو نوع إضافة من النفس إلی المعلوم الخارجی.</w:t>
      </w:r>
    </w:p>
    <w:p>
      <w:pPr>
        <w:pStyle w:val="BookText"/>
      </w:pPr>
      <w:r>
        <w:rPr>
          <w:rFonts w:ascii="IRNazanin" w:hAnsi="IRNazanin" w:eastAsia="IRNazanin" w:cs="IRNazanin"/>
          <w:lang w:bidi="fa-IR"/>
          <w:color w:val="111111"/>
          <w:sz w:val="28"/>
          <w:szCs w:val="28"/>
          <w:rtl/>
        </w:rPr>
        <w:t xml:space="preserve">و ذهب بعضهم و نسب إلی القدماء أن الحاصل فی الذهن عند العلم بالأشیاء أشباحها المحاکیة لها کما یحاکی التمثال لذی التمثال مع مباینتهما ماهیة.</w:t>
      </w:r>
    </w:p>
    <w:p>
      <w:pPr>
        <w:pStyle w:val="BookText"/>
      </w:pPr>
      <w:r>
        <w:rPr>
          <w:rFonts w:ascii="IRNazanin" w:hAnsi="IRNazanin" w:eastAsia="IRNazanin" w:cs="IRNazanin"/>
          <w:lang w:bidi="fa-IR"/>
          <w:color w:val="111111"/>
          <w:sz w:val="28"/>
          <w:szCs w:val="28"/>
          <w:rtl/>
        </w:rPr>
        <w:t xml:space="preserve">و قال آخرون بالأشباح مع المباینة و عدم المحاکاة ففیه خطأ من النفس غیر أنه خطأ منظم لا یختل به حیاة الإنسان کما لو فرض إنسان یری الحمرة خضرة دائما فیرتب علی ما یراه خضرة آثار الحمرة دائما.</w:t>
      </w:r>
    </w:p>
    <w:p>
      <w:pPr>
        <w:pStyle w:val="BookText"/>
      </w:pPr>
      <w:r>
        <w:rPr>
          <w:rFonts w:ascii="IRNazanin" w:hAnsi="IRNazanin" w:eastAsia="IRNazanin" w:cs="IRNazanin"/>
          <w:lang w:bidi="fa-IR"/>
          <w:color w:val="111111"/>
          <w:sz w:val="28"/>
          <w:szCs w:val="28"/>
          <w:rtl/>
        </w:rPr>
        <w:t xml:space="preserve">و البرهان علی ثبوت الوجود الذهنی أنا نتصور هذه الأمور الموجودة فی الخارج کالإنسان و الفرس مثلا علی نعت الکلیة و الصرافة و نحکم علیها بذلک و لا نرتاب أن لمتصورنا هذا ثبوتا ما فی ظرف وجداننا و حکمنا علیه بذلک فهو موجود بوجود ما و إذ لیس بهذه النعوت موجودا فی الخارج لأنه فیه علی نعت</w:t>
      </w:r>
    </w:p>
    <w:p>
      <w:pPr>
        <w:pStyle w:val="BookText"/>
      </w:pPr>
      <w:r>
        <w:rPr>
          <w:rFonts w:ascii="IRNazanin" w:hAnsi="IRNazanin" w:eastAsia="IRNazanin" w:cs="IRNazanin"/>
          <w:lang w:bidi="fa-IR"/>
          <w:color w:val="111111"/>
          <w:sz w:val="28"/>
          <w:szCs w:val="28"/>
          <w:rtl/>
        </w:rPr>
        <w:t xml:space="preserve">[شماره صفحه واقعی : 34]</w:t>
      </w:r>
    </w:p>
    <w:p>
      <w:pPr>
        <w:pStyle w:val="BookText"/>
      </w:pPr>
      <w:r>
        <w:rPr>
          <w:rFonts w:ascii="IRNazanin" w:hAnsi="IRNazanin" w:eastAsia="IRNazanin" w:cs="IRNazanin"/>
          <w:lang w:bidi="fa-IR"/>
          <w:color w:val="111111"/>
          <w:sz w:val="28"/>
          <w:szCs w:val="28"/>
          <w:rtl/>
        </w:rPr>
        <w:t xml:space="preserve">ص: 1255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الشخصیة و الاختلاط فهو موجود فی ظرف آخر لا یترتب علیه فیه آثاره الخارجیة و نسمیه الذهن.</w:t>
      </w:r>
    </w:p>
    <w:p>
      <w:pPr>
        <w:pStyle w:val="BookText"/>
      </w:pPr>
      <w:r>
        <w:rPr>
          <w:rFonts w:ascii="IRNazanin" w:hAnsi="IRNazanin" w:eastAsia="IRNazanin" w:cs="IRNazanin"/>
          <w:lang w:bidi="fa-IR"/>
          <w:color w:val="111111"/>
          <w:sz w:val="28"/>
          <w:szCs w:val="28"/>
          <w:rtl/>
        </w:rPr>
        <w:t xml:space="preserve">و أیضا نتصور أمورا عدمیة غیر موجودة فی الخارج کالعدم المطلق و المعدوم المطلق و اجتماع النقیضین و سائر المحالات فلها ثبوت ما عندنا لاتصافها بأحکام ثبوتیة کتمیزها من غیرها و حضورها لنا بعد غیبتها عنا و غیر ذلک و إذ لیس هو الثبوت الخارجی لأنها معدومة فیه ففی الذهن.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لا نرتاب أن جمیع ما نعقله من سنخ واحد فالأشیاء کما أن لها وجودا فی الخارج ذا آثار خارجیة لها وجود فی الذهن لا یترتب علیها فیه تلک الآثار الخارجیة و إن ترتبت علیها آثار أخر غیر آثارها الخارجیة الخاصة.</w:t>
      </w:r>
    </w:p>
    <w:p>
      <w:pPr>
        <w:pStyle w:val="BookText"/>
      </w:pPr>
      <w:r>
        <w:rPr>
          <w:rFonts w:ascii="IRNazanin" w:hAnsi="IRNazanin" w:eastAsia="IRNazanin" w:cs="IRNazanin"/>
          <w:lang w:bidi="fa-IR"/>
          <w:color w:val="111111"/>
          <w:sz w:val="28"/>
          <w:szCs w:val="28"/>
          <w:rtl/>
        </w:rPr>
        <w:t xml:space="preserve">و لو کان هذا الذی نعقله من الأشیاء هو عین ما فی الخارج کما یذهب إلیه القائل بالإضافة لم یمکن تعقل ما لیس فی الخارج کالعدم و المعدوم و لم یتحقق خطأ فی علم.</w:t>
      </w:r>
    </w:p>
    <w:p>
      <w:pPr>
        <w:pStyle w:val="BookText"/>
      </w:pPr>
      <w:r>
        <w:rPr>
          <w:rFonts w:ascii="IRNazanin" w:hAnsi="IRNazanin" w:eastAsia="IRNazanin" w:cs="IRNazanin"/>
          <w:lang w:bidi="fa-IR"/>
          <w:color w:val="111111"/>
          <w:sz w:val="28"/>
          <w:szCs w:val="28"/>
          <w:rtl/>
        </w:rPr>
        <w:t xml:space="preserve">و لو کان الموجود فی الذهن شبحا للأمر الخارجی نسبته إلیه نسبة التمثال إلی ذی التمثال ارتفعت العینیة من حیث الماهیة و لزمت السفسطة لعود علومنا جهالات علی أن فعلیة الانتقال من الحاکی إلی المحکی تتوقف علی سبق علم بالمحکی و المفروض توقف العلم بالمحکی علی الحکایة.</w:t>
      </w:r>
    </w:p>
    <w:p>
      <w:pPr>
        <w:pStyle w:val="BookText"/>
      </w:pPr>
      <w:r>
        <w:rPr>
          <w:rFonts w:ascii="IRNazanin" w:hAnsi="IRNazanin" w:eastAsia="IRNazanin" w:cs="IRNazanin"/>
          <w:lang w:bidi="fa-IR"/>
          <w:color w:val="111111"/>
          <w:sz w:val="28"/>
          <w:szCs w:val="28"/>
          <w:rtl/>
        </w:rPr>
        <w:t xml:space="preserve">و لو کان کل علم مخطئا فی الکشف عما وراءه لزمت السفسطة و أدی إلی المناقضة فإن کون کل علم مخطئا یستوجب أیضا کون هذا العلم بالکلیة مخطئا فیکذب فیصدق نقیضه و هو کون بعض العلم مصیبا.</w:t>
      </w:r>
    </w:p>
    <w:p>
      <w:pPr>
        <w:pStyle w:val="BookText"/>
      </w:pPr>
      <w:r>
        <w:rPr>
          <w:rFonts w:ascii="IRNazanin" w:hAnsi="IRNazanin" w:eastAsia="IRNazanin" w:cs="IRNazanin"/>
          <w:lang w:bidi="fa-IR"/>
          <w:color w:val="111111"/>
          <w:sz w:val="28"/>
          <w:szCs w:val="28"/>
          <w:rtl/>
        </w:rPr>
        <w:t xml:space="preserve">فقد تحصل أن للماهیات وجودا ذهنیا لا تترتب علیها فیه الآثار کما أن لها وجودا خارجیا تترتب علیها فیه الآثار و تبین بذلک انقسام الموجود إلی خارجی و ذهنی.</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تبین بما مر أمور :</w:t>
      </w:r>
    </w:p>
    <w:p>
      <w:pPr>
        <w:pStyle w:val="BookText"/>
      </w:pPr>
      <w:r>
        <w:rPr>
          <w:rFonts w:ascii="IRNazanin" w:hAnsi="IRNazanin" w:eastAsia="IRNazanin" w:cs="IRNazanin"/>
          <w:lang w:bidi="fa-IR"/>
          <w:color w:val="111111"/>
          <w:sz w:val="28"/>
          <w:szCs w:val="28"/>
          <w:rtl/>
        </w:rPr>
        <w:t xml:space="preserve">الأمر الأول أن الماهیة الذهنیة غیر داخلة و لا مندرجة تحت المقولة التی</w:t>
      </w:r>
    </w:p>
    <w:p>
      <w:pPr>
        <w:pStyle w:val="BookText"/>
      </w:pPr>
      <w:r>
        <w:rPr>
          <w:rFonts w:ascii="IRNazanin" w:hAnsi="IRNazanin" w:eastAsia="IRNazanin" w:cs="IRNazanin"/>
          <w:lang w:bidi="fa-IR"/>
          <w:color w:val="111111"/>
          <w:sz w:val="28"/>
          <w:szCs w:val="28"/>
          <w:rtl/>
        </w:rPr>
        <w:t xml:space="preserve">[شماره صفحه واقعی : 35]</w:t>
      </w:r>
    </w:p>
    <w:p>
      <w:pPr>
        <w:pStyle w:val="BookText"/>
      </w:pPr>
      <w:r>
        <w:rPr>
          <w:rFonts w:ascii="IRNazanin" w:hAnsi="IRNazanin" w:eastAsia="IRNazanin" w:cs="IRNazanin"/>
          <w:lang w:bidi="fa-IR"/>
          <w:color w:val="111111"/>
          <w:sz w:val="28"/>
          <w:szCs w:val="28"/>
          <w:rtl/>
        </w:rPr>
        <w:t xml:space="preserve">ص: 1256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داخلة تحتها و هی فی الخارج تترتب علیها آثارها و إنما لها من المقولة مفهومها فقط فالإنسان الذهنی و إن کان هو الجوهر الجسم النامی الحساس المتحرک بالإرادة الناطق لکنه لیس ماهیة موجودة لا فی موضوع بما أنه جوهر و لا ذا أبعاد ثلاثة بما أنه جسم و هکذا فی سائر أجزاء حد الإنسان فلیس له إلا مفاهیم ما فی حده من الأجناس و الفصول من غیر ترتب الآثار الخارجیة و نعنی بها الکمالات الأولیة و الثانویة و لا معنی للدخول و الاندراج تحت مقولة إلا ترتب آثارها الخارجیة و إلا فلو کان مجرد انطباق مفهوم المقولة علی شی‌ء کافیا فی اندراجه تحتها کانت المقولة نفسها مندرجة تحت نفسها لحملها علی نفسها فکانت فردا لنفسها و هذا معنی قولهم إن الجوهر الذهنی جوهر بالحمل الأولی لا بالحمل الشائع.</w:t>
      </w:r>
    </w:p>
    <w:p>
      <w:pPr>
        <w:pStyle w:val="BookText"/>
      </w:pPr>
      <w:r>
        <w:rPr>
          <w:rFonts w:ascii="IRNazanin" w:hAnsi="IRNazanin" w:eastAsia="IRNazanin" w:cs="IRNazanin"/>
          <w:lang w:bidi="fa-IR"/>
          <w:color w:val="111111"/>
          <w:sz w:val="28"/>
          <w:szCs w:val="28"/>
          <w:rtl/>
        </w:rPr>
        <w:t xml:space="preserve">و أما تقسیم المنطقیین الأفراد إلی ذهنیة و خارجیة فمبنی علی المسامحة تسهیلا للتعلیم.</w:t>
      </w:r>
    </w:p>
    <w:p>
      <w:pPr>
        <w:pStyle w:val="BookText"/>
      </w:pPr>
      <w:r>
        <w:rPr>
          <w:rFonts w:ascii="IRNazanin" w:hAnsi="IRNazanin" w:eastAsia="IRNazanin" w:cs="IRNazanin"/>
          <w:lang w:bidi="fa-IR"/>
          <w:color w:val="111111"/>
          <w:sz w:val="28"/>
          <w:szCs w:val="28"/>
          <w:rtl/>
        </w:rPr>
        <w:t xml:space="preserve">و یندفع بما مر إشکال أوردوه علی القول بالوجود الذهنی و هو أن الذاتیات منحفظة علی القول بالوجود الذهنی فإذا تعقلنا الجوهر کان جوهرا نظرا إلی انحفاظ الذاتیات و هو بعینه عرض لقیامه بالنفس قیام العرض بموضوعه فکان جوهرا و عرضا بعینه و استحالته ظاهرة.</w:t>
      </w:r>
    </w:p>
    <w:p>
      <w:pPr>
        <w:pStyle w:val="BookText"/>
      </w:pPr>
      <w:r>
        <w:rPr>
          <w:rFonts w:ascii="IRNazanin" w:hAnsi="IRNazanin" w:eastAsia="IRNazanin" w:cs="IRNazanin"/>
          <w:lang w:bidi="fa-IR"/>
          <w:color w:val="111111"/>
          <w:sz w:val="28"/>
          <w:szCs w:val="28"/>
          <w:rtl/>
        </w:rPr>
        <w:t xml:space="preserve">وجه الاندفاع أن المستحیل کون شی‌ء واحد جوهرا و عرضا معا بالحمل الشائع و الجوهر المعقول جوهر بالحمل الأولی و عرض بالحمل الشائع فلا استحالة.</w:t>
      </w:r>
    </w:p>
    <w:p>
      <w:pPr>
        <w:pStyle w:val="BookText"/>
      </w:pPr>
      <w:r>
        <w:rPr>
          <w:rFonts w:ascii="IRNazanin" w:hAnsi="IRNazanin" w:eastAsia="IRNazanin" w:cs="IRNazanin"/>
          <w:lang w:bidi="fa-IR"/>
          <w:color w:val="111111"/>
          <w:sz w:val="28"/>
          <w:szCs w:val="28"/>
          <w:rtl/>
        </w:rPr>
        <w:t xml:space="preserve">و إشکال ثان و هو أن لازم القول بالوجود الذهنی أن یکون الجوهر المعقول جوهرا نظرا إلی انحفاظ الذاتیات و العلم عندهم من الکیفیات النفسانیة فالمعقول من الجوهر مندرج تحت مقولة الجوهر و تحت مقولة الکیف و هو محال لأدائه إلی تناقض الذات لکون المقولات متباینة بتمام الذات و کذا إذا تعقلنا الکم مثلا کانت الصورة المعقولة مندرجة تحت</w:t>
      </w:r>
    </w:p>
    <w:p>
      <w:pPr>
        <w:pStyle w:val="BookText"/>
      </w:pPr>
      <w:r>
        <w:rPr>
          <w:rFonts w:ascii="IRNazanin" w:hAnsi="IRNazanin" w:eastAsia="IRNazanin" w:cs="IRNazanin"/>
          <w:lang w:bidi="fa-IR"/>
          <w:color w:val="111111"/>
          <w:sz w:val="28"/>
          <w:szCs w:val="28"/>
          <w:rtl/>
        </w:rPr>
        <w:t xml:space="preserve">[شماره صفحه واقعی : 36]</w:t>
      </w:r>
    </w:p>
    <w:p>
      <w:pPr>
        <w:pStyle w:val="BookText"/>
      </w:pPr>
      <w:r>
        <w:rPr>
          <w:rFonts w:ascii="IRNazanin" w:hAnsi="IRNazanin" w:eastAsia="IRNazanin" w:cs="IRNazanin"/>
          <w:lang w:bidi="fa-IR"/>
          <w:color w:val="111111"/>
          <w:sz w:val="28"/>
          <w:szCs w:val="28"/>
          <w:rtl/>
        </w:rPr>
        <w:t xml:space="preserve">ص: 1257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مقولتی الکم و الکیف معا و هو محال و کذا إذا تعقلنا الکیف المبصر مثلا کان مندرجا تحت نوعین من مقولة الکیف و هما الکیف المحسوس و الکیف النفسانی.</w:t>
      </w:r>
    </w:p>
    <w:p>
      <w:pPr>
        <w:pStyle w:val="BookText"/>
      </w:pPr>
      <w:r>
        <w:rPr>
          <w:rFonts w:ascii="IRNazanin" w:hAnsi="IRNazanin" w:eastAsia="IRNazanin" w:cs="IRNazanin"/>
          <w:lang w:bidi="fa-IR"/>
          <w:color w:val="111111"/>
          <w:sz w:val="28"/>
          <w:szCs w:val="28"/>
          <w:rtl/>
        </w:rPr>
        <w:t xml:space="preserve">وجه الاندفاع أنه کیف نفسانی بالحمل الشائع فهو مندرج تحته و أما غیره من المقولات أو أنواعها فمحمول علیه بالحمل الأولی و لیس ذلک من الاندارج فی شی‌ء.</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إشکال ثالث و هو أن لازم القول بالوجود الذهنی کون النفس حارة باردة معا و مربعا و مثلثا معا إلی غیر ذلک من المتقابلات عند تصورها هذه الأشیاء إذ لا نعنی بالحار و البارد و المربع و المثلث إلا ما حصلت له هذه المعانی التی توجد للغیر و تنعته.</w:t>
      </w:r>
    </w:p>
    <w:p>
      <w:pPr>
        <w:pStyle w:val="BookText"/>
      </w:pPr>
      <w:r>
        <w:rPr>
          <w:rFonts w:ascii="IRNazanin" w:hAnsi="IRNazanin" w:eastAsia="IRNazanin" w:cs="IRNazanin"/>
          <w:lang w:bidi="fa-IR"/>
          <w:color w:val="111111"/>
          <w:sz w:val="28"/>
          <w:szCs w:val="28"/>
          <w:rtl/>
        </w:rPr>
        <w:t xml:space="preserve">وجه الاندفاع أن الملاک فی کون وجود الشی‌ء لغیره و کونه ناعتا له هو الحمل الشائع و الذی یوجد فی الذهن من برودة و حرارة و نحوهما هو کذلک بالحمل الأولی دون الشائع.</w:t>
      </w:r>
    </w:p>
    <w:p>
      <w:pPr>
        <w:pStyle w:val="BookText"/>
      </w:pPr>
      <w:r>
        <w:rPr>
          <w:rFonts w:ascii="IRNazanin" w:hAnsi="IRNazanin" w:eastAsia="IRNazanin" w:cs="IRNazanin"/>
          <w:lang w:bidi="fa-IR"/>
          <w:color w:val="111111"/>
          <w:sz w:val="28"/>
          <w:szCs w:val="28"/>
          <w:rtl/>
        </w:rPr>
        <w:t xml:space="preserve">و إشکال رابع و هو أن اللازم منه کون شی‌ء واحد کلیا و جزئیا معا و بطلانه ظاهر بیان الملازمة أن الإنسان المعقول مثلا من حیث تجویز العقل صدقه علی کثیرین کلی و هو بعینه من حیث کونه موجودا قائما بنفس واحدة شخصیة یتمیز بها عن غیره جزئی فهو کلی و جزئی معا.</w:t>
      </w:r>
    </w:p>
    <w:p>
      <w:pPr>
        <w:pStyle w:val="BookText"/>
      </w:pPr>
      <w:r>
        <w:rPr>
          <w:rFonts w:ascii="IRNazanin" w:hAnsi="IRNazanin" w:eastAsia="IRNazanin" w:cs="IRNazanin"/>
          <w:lang w:bidi="fa-IR"/>
          <w:color w:val="111111"/>
          <w:sz w:val="28"/>
          <w:szCs w:val="28"/>
          <w:rtl/>
        </w:rPr>
        <w:t xml:space="preserve">وجه الاندفاع أن الجهة مختلفة فالإنسان المعقول مثلا من حیث إنه مقیس إلی الخارج کلی و من حیث إنه کیف نفسانی قائم بالنفس غیر مقیس إلی الخارج جزئی.</w:t>
      </w:r>
    </w:p>
    <w:p>
      <w:pPr>
        <w:pStyle w:val="BookText"/>
      </w:pPr>
      <w:r>
        <w:rPr>
          <w:rFonts w:ascii="IRNazanin" w:hAnsi="IRNazanin" w:eastAsia="IRNazanin" w:cs="IRNazanin"/>
          <w:lang w:bidi="fa-IR"/>
          <w:color w:val="111111"/>
          <w:sz w:val="28"/>
          <w:szCs w:val="28"/>
          <w:rtl/>
        </w:rPr>
        <w:t xml:space="preserve">و إشکال خامس و هو أنا نتصور المحالات الذاتیة کشریک الباری و سلب الشی‌ء عن نفسه و اجتماع النقیضین و ارتفاعهما فلو کانت الأشیاء حاصلة بذواتها فی الذهن استلزم ذلک ثبوت المحالات الذاتیة.</w:t>
      </w:r>
    </w:p>
    <w:p>
      <w:pPr>
        <w:pStyle w:val="BookText"/>
      </w:pPr>
      <w:r>
        <w:rPr>
          <w:rFonts w:ascii="IRNazanin" w:hAnsi="IRNazanin" w:eastAsia="IRNazanin" w:cs="IRNazanin"/>
          <w:lang w:bidi="fa-IR"/>
          <w:color w:val="111111"/>
          <w:sz w:val="28"/>
          <w:szCs w:val="28"/>
          <w:rtl/>
        </w:rPr>
        <w:t xml:space="preserve">وجه الاندفاع أن الثابت فی الذهن إنما هو مفاهیمها بالحمل الأولی</w:t>
      </w:r>
    </w:p>
    <w:p>
      <w:pPr>
        <w:pStyle w:val="BookText"/>
      </w:pPr>
      <w:r>
        <w:rPr>
          <w:rFonts w:ascii="IRNazanin" w:hAnsi="IRNazanin" w:eastAsia="IRNazanin" w:cs="IRNazanin"/>
          <w:lang w:bidi="fa-IR"/>
          <w:color w:val="111111"/>
          <w:sz w:val="28"/>
          <w:szCs w:val="28"/>
          <w:rtl/>
        </w:rPr>
        <w:t xml:space="preserve">[شماره صفحه واقعی : 37]</w:t>
      </w:r>
    </w:p>
    <w:p>
      <w:pPr>
        <w:pStyle w:val="BookText"/>
      </w:pPr>
      <w:r>
        <w:rPr>
          <w:rFonts w:ascii="IRNazanin" w:hAnsi="IRNazanin" w:eastAsia="IRNazanin" w:cs="IRNazanin"/>
          <w:lang w:bidi="fa-IR"/>
          <w:color w:val="111111"/>
          <w:sz w:val="28"/>
          <w:szCs w:val="28"/>
          <w:rtl/>
        </w:rPr>
        <w:t xml:space="preserve">ص: 1258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مصادیقها بالحمل الشائع فالمتصور من شریک الباری هو شریک الباری بالحمل الأولی و أما بالحمل الشائع فهو ممکن و کیف نفسانی معلول للباری مخلوق له.</w:t>
      </w:r>
    </w:p>
    <w:p>
      <w:pPr>
        <w:pStyle w:val="BookText"/>
      </w:pPr>
      <w:r>
        <w:rPr>
          <w:rFonts w:ascii="IRNazanin" w:hAnsi="IRNazanin" w:eastAsia="IRNazanin" w:cs="IRNazanin"/>
          <w:lang w:bidi="fa-IR"/>
          <w:color w:val="111111"/>
          <w:sz w:val="28"/>
          <w:szCs w:val="28"/>
          <w:rtl/>
        </w:rPr>
        <w:t xml:space="preserve">الأمر الثانی أن الوجود الذهنی لما کان لذاته مقیسا إلی الخارج کان بذاته حاکیا لما وراءه فامتنع أن یکون للشی‌ء وجود ذهنی من دون أن یکون له وجود خارجی محقق کالماهیات الحقیقیة المنتزعة من الوجود الخارجی أو مقدر کالمفاهیم غیر الماهویة التی یتعملها الذهن بنوع من الاستمداد من معقولاته فیتصور مفهوم العدم مثلا و یقدر له ثبوتا ما یحکیه بما تصوره من المفهوم.</w:t>
      </w:r>
    </w:p>
    <w:p>
      <w:pPr>
        <w:pStyle w:val="BookText"/>
      </w:pPr>
      <w:r>
        <w:rPr>
          <w:rFonts w:ascii="IRNazanin" w:hAnsi="IRNazanin" w:eastAsia="IRNazanin" w:cs="IRNazanin"/>
          <w:lang w:bidi="fa-IR"/>
          <w:color w:val="111111"/>
          <w:sz w:val="28"/>
          <w:szCs w:val="28"/>
          <w:rtl/>
        </w:rPr>
        <w:t xml:space="preserve">و بالجملة شأن الوجود الذهنی الحکایة لما وراءه من دون أن یترتب آثار المحکی علی الحاکی و لا ینافی فی ذلک ترتب آثار نفسه الخاصة به من حیث إن له ماهیة الکیف و کذا لا ینافیه ما سیأتی أن الصور العلمیة مطلقا مجردة عن المادة فإن ترتب آثار الکیف النفسانی و کذا التجرد حکم الصور العلمیة فی نفسها و الحکایة و عدم ترتب الآثار حکمها قیاسا إلی الخارج و من حیث کونها وجودا ذهنیا لماهیة کذا خارجیة.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یندفع بذلک إشکال أوردوه علی القائلین بالوجود الذهنی و هو أنا نتصور الأرض علی سعتها بسهولها و براریها و جبالها و ما یحیط بها من السماء بأرجائها البعیدة و النجوم و الکواکب بأبعادها الشاسعة و حصول هذه المقادیر العظیمة فی الذهن أی انطباعها فی جزء عصبی أو جزء دماغی من انطباع الکبیر فی الصغیر و هو محال.</w:t>
      </w:r>
    </w:p>
    <w:p>
      <w:pPr>
        <w:pStyle w:val="BookText"/>
      </w:pPr>
      <w:r>
        <w:rPr>
          <w:rFonts w:ascii="IRNazanin" w:hAnsi="IRNazanin" w:eastAsia="IRNazanin" w:cs="IRNazanin"/>
          <w:lang w:bidi="fa-IR"/>
          <w:color w:val="111111"/>
          <w:sz w:val="28"/>
          <w:szCs w:val="28"/>
          <w:rtl/>
        </w:rPr>
        <w:t xml:space="preserve">و لا یجدی الجواب عنه بما قیل إن المحل الذی ینطبع فیه الصور منقسم إلی غیر النهایة فإن الکف لا تسع الجبل و إن کانت منقسمة إلی غیر النهایة وجه الاندفاع أن الحق کما سیأتی بیانه أن الصور العلمیة الجزئیة غیر مادیة بل مجردة تجردا مثالیا فیه آثار المادة من الأبعاد و الألوان و الأشکال دون</w:t>
      </w:r>
    </w:p>
    <w:p>
      <w:pPr>
        <w:pStyle w:val="BookText"/>
      </w:pPr>
      <w:r>
        <w:rPr>
          <w:rFonts w:ascii="IRNazanin" w:hAnsi="IRNazanin" w:eastAsia="IRNazanin" w:cs="IRNazanin"/>
          <w:lang w:bidi="fa-IR"/>
          <w:color w:val="111111"/>
          <w:sz w:val="28"/>
          <w:szCs w:val="28"/>
          <w:rtl/>
        </w:rPr>
        <w:t xml:space="preserve">[شماره صفحه واقعی : 38]</w:t>
      </w:r>
    </w:p>
    <w:p>
      <w:pPr>
        <w:pStyle w:val="BookText"/>
      </w:pPr>
      <w:r>
        <w:rPr>
          <w:rFonts w:ascii="IRNazanin" w:hAnsi="IRNazanin" w:eastAsia="IRNazanin" w:cs="IRNazanin"/>
          <w:lang w:bidi="fa-IR"/>
          <w:color w:val="111111"/>
          <w:sz w:val="28"/>
          <w:szCs w:val="28"/>
          <w:rtl/>
        </w:rPr>
        <w:t xml:space="preserve">ص: 1259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المادة و الانطباع من أحکام المادة و لا انطباع فی المجرد.</w:t>
      </w:r>
    </w:p>
    <w:p>
      <w:pPr>
        <w:pStyle w:val="BookText"/>
      </w:pPr>
      <w:r>
        <w:rPr>
          <w:rFonts w:ascii="IRNazanin" w:hAnsi="IRNazanin" w:eastAsia="IRNazanin" w:cs="IRNazanin"/>
          <w:lang w:bidi="fa-IR"/>
          <w:color w:val="111111"/>
          <w:sz w:val="28"/>
          <w:szCs w:val="28"/>
          <w:rtl/>
        </w:rPr>
        <w:t xml:space="preserve">و بذلک یندفع أیضا إشکال آخر هو أن الإحساس و التخیل علی ما بینه علماء الطبیعة بحصول صور الأجسام بما لها من النسب و الخصوصیات الخارجیة فی الأعضاء الحساسة و انتقالها إلی الدماغ مع ما لها من التصرف فی الصور بحسب طبائعها الخاصة و الإنسان ینتقل إلی خصوصیات مقادیرها و أبعادها و أشکالها بنوع من المقایسة بین أجزاء الصورة الحاصلة عنده علی ما فصلوه فی محله و من الواضح أن هذه الصور الحاصلة المنطبعة بخصوصیاتها فی محل مادی مباینة للماهیات الخارجیة فلا مسوغ للقول بالوجود الذهنی و حضور الماهیات الخارجیة بأنفسها فی الأذهان.</w:t>
      </w:r>
    </w:p>
    <w:p>
      <w:pPr>
        <w:pStyle w:val="BookText"/>
      </w:pPr>
      <w:r>
        <w:rPr>
          <w:rFonts w:ascii="IRNazanin" w:hAnsi="IRNazanin" w:eastAsia="IRNazanin" w:cs="IRNazanin"/>
          <w:lang w:bidi="fa-IR"/>
          <w:color w:val="111111"/>
          <w:sz w:val="28"/>
          <w:szCs w:val="28"/>
          <w:rtl/>
        </w:rPr>
        <w:t xml:space="preserve">وجه الاندفاع أن ما ذکروه من الفعل و الانفعال المادیین عند حصول العلم بالجزئیات فی محله لکن هذه الصور المنطبعة لیست هی المعلومة بالذات و إنما هی أمور مادیة معدة للنفس تهیؤها لحضور الماهیات الخارجیة عندها بصور مثالیة مجردة غیر مادیة بناء علی ما سیتبین من تجرد العلم مطلقا و قد عرفت أیضا أن القول بمغایرة الصور عند الحس و التخیل لذوات الصور التی فی الخارج لا ینفک عن السفسطة.</w:t>
      </w:r>
    </w:p>
    <w:p>
      <w:pPr>
        <w:pStyle w:val="BookText"/>
      </w:pPr>
      <w:r>
        <w:rPr>
          <w:rFonts w:ascii="IRNazanin" w:hAnsi="IRNazanin" w:eastAsia="IRNazanin" w:cs="IRNazanin"/>
          <w:lang w:bidi="fa-IR"/>
          <w:color w:val="111111"/>
          <w:sz w:val="28"/>
          <w:szCs w:val="28"/>
          <w:rtl/>
        </w:rPr>
        <w:t xml:space="preserve">الأمر الثالث أنه لما کانت الماهیات الحقیقیة التی تترتب علیها آثارها فی الخارج هی التی تحل الأذهان بدون ترتب من آثارها الخارجیة فلو فرض هناک أمر حیثیة ذاته عین أنه فی الخارج و نفس ترتب الآثار کنفس الوجود العینی و صفاته القائمة به کالقوة و الفعل و الوحدة و الکثرة و نحوها کان ممتنع الحصول بنفسها فی الذهن و کذا لو فرض أمر حیثیة ذاته المفروضة حیثیة البطلان و فقدان الآثار کالعدم المطلق و ما یؤول إلیه امتنع حلوله الذهن.</w:t>
      </w:r>
    </w:p>
    <w:p>
      <w:pPr>
        <w:pStyle w:val="BookText"/>
      </w:pPr>
      <w:r>
        <w:rPr>
          <w:rFonts w:ascii="IRNazanin" w:hAnsi="IRNazanin" w:eastAsia="IRNazanin" w:cs="IRNazanin"/>
          <w:lang w:bidi="fa-IR"/>
          <w:color w:val="111111"/>
          <w:sz w:val="28"/>
          <w:szCs w:val="28"/>
          <w:rtl/>
        </w:rPr>
        <w:t xml:space="preserve">فحقیقة الوجود و کل ما حیثیة ذاته حیثیة الوجود و کذا العدم المطلق و کل ما حیثیة ذاته المفروضة حیثیة العدم یمتنع أن یحل الذهن حلول الماهیات الحقیقیة.</w:t>
      </w:r>
    </w:p>
    <w:p>
      <w:pPr>
        <w:pStyle w:val="BookText"/>
      </w:pPr>
      <w:r>
        <w:rPr>
          <w:rFonts w:ascii="IRNazanin" w:hAnsi="IRNazanin" w:eastAsia="IRNazanin" w:cs="IRNazanin"/>
          <w:lang w:bidi="fa-IR"/>
          <w:color w:val="111111"/>
          <w:sz w:val="28"/>
          <w:szCs w:val="28"/>
          <w:rtl/>
        </w:rPr>
        <w:t xml:space="preserve">[شماره صفحه واقعی : 39]</w:t>
      </w:r>
    </w:p>
    <w:p>
      <w:pPr>
        <w:pStyle w:val="BookText"/>
      </w:pPr>
      <w:r>
        <w:rPr>
          <w:rFonts w:ascii="IRNazanin" w:hAnsi="IRNazanin" w:eastAsia="IRNazanin" w:cs="IRNazanin"/>
          <w:lang w:bidi="fa-IR"/>
          <w:color w:val="111111"/>
          <w:sz w:val="28"/>
          <w:szCs w:val="28"/>
          <w:rtl/>
        </w:rPr>
        <w:t xml:space="preserve">ص: 1260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هذا یرجع معنی قولهم إن المحالات الذاتیة لا صورة صحیحة لها فی الأذهان.</w:t>
      </w:r>
    </w:p>
    <w:p>
      <w:pPr>
        <w:pStyle w:val="BookText"/>
      </w:pPr>
      <w:r>
        <w:rPr>
          <w:rFonts w:ascii="IRNazanin" w:hAnsi="IRNazanin" w:eastAsia="IRNazanin" w:cs="IRNazanin"/>
          <w:lang w:bidi="fa-IR"/>
          <w:color w:val="111111"/>
          <w:sz w:val="28"/>
          <w:szCs w:val="28"/>
          <w:rtl/>
        </w:rPr>
        <w:t xml:space="preserve">و سیأتی إن شاء الله بیان کیفیة انتزاع مفهوم الوجود و ما یتصف به و العدم و ما یئول إلیه فی مباحث العقل و العقال و المعقول</w:t>
      </w:r>
    </w:p>
    <w:p>
      <w:pPr>
        <w:pStyle w:val="BookText"/>
      </w:pPr>
      <w:r>
        <w:rPr>
          <w:rFonts w:ascii="IRNazanin" w:hAnsi="IRNazanin" w:eastAsia="IRNazanin" w:cs="IRNazanin"/>
          <w:lang w:bidi="fa-IR"/>
          <w:color w:val="111111"/>
          <w:sz w:val="28"/>
          <w:szCs w:val="28"/>
          <w:rtl/>
        </w:rPr>
        <w:t xml:space="preserve">[شماره صفحه واقعی : 40]</w:t>
      </w:r>
    </w:p>
    <w:p>
      <w:pPr>
        <w:pStyle w:val="BookText"/>
      </w:pPr>
      <w:r>
        <w:rPr>
          <w:rFonts w:ascii="IRNazanin" w:hAnsi="IRNazanin" w:eastAsia="IRNazanin" w:cs="IRNazanin"/>
          <w:lang w:bidi="fa-IR"/>
          <w:color w:val="111111"/>
          <w:sz w:val="28"/>
          <w:szCs w:val="28"/>
          <w:rtl/>
        </w:rPr>
        <w:t xml:space="preserve">ص: 1261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504" w:name="pg14419_167977"/>
    <w:bookmarkEnd w:id="504"/>
    <w:p>
      <w:pPr>
        <w:pStyle w:val="Heading4"/>
      </w:pPr>
      <w:bookmarkStart w:id="1474" w:name="_Toc914"/>
      <w:r>
        <w:t>المرحلة الرابعة فی مواد القضایا : الوجوب و الامتناع و الإمکان و انحصارها فی ثلاث</w:t>
      </w:r>
      <w:bookmarkEnd w:id="1474"/>
    </w:p>
    <w:p>
      <w:pPr>
        <w:pStyle w:val="Heading5"/>
      </w:pPr>
      <w:bookmarkStart w:id="1475" w:name="_Toc915"/>
      <w:r>
        <w:t>اشارة</w:t>
      </w:r>
      <w:bookmarkEnd w:id="14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المقصود بالذات فیها بیان انقسام الموجود إلی الواجب و الممکن و البحث عن خواصهما و أما البحث عن الممتنع و خواصه فمقصود بالتبع و بالقصد الثانی و فیها ثمانیة فصول.</w:t>
      </w:r>
    </w:p>
    <w:p>
      <w:pPr>
        <w:pStyle w:val="BookText"/>
      </w:pPr>
      <w:r>
        <w:rPr>
          <w:rFonts w:ascii="IRNazanin" w:hAnsi="IRNazanin" w:eastAsia="IRNazanin" w:cs="IRNazanin"/>
          <w:lang w:bidi="fa-IR"/>
          <w:color w:val="111111"/>
          <w:sz w:val="28"/>
          <w:szCs w:val="28"/>
          <w:rtl/>
        </w:rPr>
        <w:t xml:space="preserve">[شماره صفحه واقعی : 41]</w:t>
      </w:r>
    </w:p>
    <w:p>
      <w:pPr>
        <w:pStyle w:val="BookText"/>
      </w:pPr>
      <w:r>
        <w:rPr>
          <w:rFonts w:ascii="IRNazanin" w:hAnsi="IRNazanin" w:eastAsia="IRNazanin" w:cs="IRNazanin"/>
          <w:lang w:bidi="fa-IR"/>
          <w:color w:val="111111"/>
          <w:sz w:val="28"/>
          <w:szCs w:val="28"/>
          <w:rtl/>
        </w:rPr>
        <w:t xml:space="preserve">ص: 1262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505" w:name="pg14419_167978"/>
    <w:bookmarkEnd w:id="505"/>
    <w:p>
      <w:pPr>
        <w:pStyle w:val="Heading5"/>
      </w:pPr>
      <w:bookmarkStart w:id="1476" w:name="_Toc916"/>
      <w:r>
        <w:t>الفصل الأول فی أن کل مفهوم إما واجب و إما ممکن و إما ممتنع</w:t>
      </w:r>
      <w:bookmarkEnd w:id="1476"/>
    </w:p>
    <w:p>
      <w:pPr>
        <w:pStyle w:val="Heading6"/>
      </w:pPr>
      <w:bookmarkStart w:id="1477" w:name="_Toc917"/>
      <w:r>
        <w:t>اشارة</w:t>
      </w:r>
      <w:bookmarkEnd w:id="1477"/>
    </w:p>
    <w:p>
      <w:pPr>
        <w:pStyle w:val="BookText"/>
      </w:pPr>
      <w:r>
        <w:rPr>
          <w:rFonts w:ascii="IRNazanin" w:hAnsi="IRNazanin" w:eastAsia="IRNazanin" w:cs="IRNazanin"/>
          <w:lang w:bidi="fa-IR"/>
          <w:color w:val="111111"/>
          <w:sz w:val="28"/>
          <w:szCs w:val="28"/>
          <w:rtl/>
        </w:rPr>
        <w:t xml:space="preserve">کل مفهوم فرضناه ثم نسبنا إلیه الوجود فإما أن یکون الوجود ضروری الثبوت له و هو الوجوب أو یکون ضروری الانتفاء عنه و ذاک کون العدم ضروریا له و هو الامتناع أو لا یکون الوجود ضروریا له و لا العدم ضروریا له و هو الإمکان و أما احتمال کون الوجود و العدم معا ضروریین له فمندفع بأدنی التفات فکل مفهوم مفروض إما واجب و إما ممتنع و إما ممکن.</w:t>
      </w:r>
    </w:p>
    <w:p>
      <w:pPr>
        <w:pStyle w:val="BookText"/>
      </w:pPr>
      <w:r>
        <w:rPr>
          <w:rFonts w:ascii="IRNazanin" w:hAnsi="IRNazanin" w:eastAsia="IRNazanin" w:cs="IRNazanin"/>
          <w:lang w:bidi="fa-IR"/>
          <w:color w:val="111111"/>
          <w:sz w:val="28"/>
          <w:szCs w:val="28"/>
          <w:rtl/>
        </w:rPr>
        <w:t xml:space="preserve">و هذه قضیة منفصلة حقیقیة مقتنصة من تقسیمین دائرین بین النفی و الإثبات بأن یقال کل مفهوم مفروض فإما أن یکون الوجود ضروریا له أو لا و علی الثانی فإما أن یکون العدم ضروریا له أو لا الأول هو الواجب و الثانی هو الممتنع و الثالث هو الممکن.</w:t>
      </w:r>
    </w:p>
    <w:p>
      <w:pPr>
        <w:pStyle w:val="BookText"/>
      </w:pPr>
      <w:r>
        <w:rPr>
          <w:rFonts w:ascii="IRNazanin" w:hAnsi="IRNazanin" w:eastAsia="IRNazanin" w:cs="IRNazanin"/>
          <w:lang w:bidi="fa-IR"/>
          <w:color w:val="111111"/>
          <w:sz w:val="28"/>
          <w:szCs w:val="28"/>
          <w:rtl/>
        </w:rPr>
        <w:t xml:space="preserve">و الذی یعطیه التقسیم من تعریف المواد الثلاث أن وجوب الشی‌ء کون وجوده ضروریا له و امتناعه کون عدمه ضروریا له و إمکانه سلب الضرورتین بالنسبة إلیه فالواجب ما یجب وجوده و الممتنع ما یجب عدمه و الممکن ما لیس یجب وجوده و لا عدمه.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هذه جمیعا تعریفات لفظیة من قبیل شرح الاسم المفید للتنبیه و لیست بتعریفات حقیقیة لأن الضرورة و اللاضرورة من المعانی البینة البدیهیة التی ترتسم فی النفس ارتساما أولیا تعرف بنفسها و یعرف بها غیرها و لذلک من</w:t>
      </w:r>
    </w:p>
    <w:p>
      <w:pPr>
        <w:pStyle w:val="BookText"/>
      </w:pPr>
      <w:r>
        <w:rPr>
          <w:rFonts w:ascii="IRNazanin" w:hAnsi="IRNazanin" w:eastAsia="IRNazanin" w:cs="IRNazanin"/>
          <w:lang w:bidi="fa-IR"/>
          <w:color w:val="111111"/>
          <w:sz w:val="28"/>
          <w:szCs w:val="28"/>
          <w:rtl/>
        </w:rPr>
        <w:t xml:space="preserve">[شماره صفحه واقعی : 42]</w:t>
      </w:r>
    </w:p>
    <w:p>
      <w:pPr>
        <w:pStyle w:val="BookText"/>
      </w:pPr>
      <w:r>
        <w:rPr>
          <w:rFonts w:ascii="IRNazanin" w:hAnsi="IRNazanin" w:eastAsia="IRNazanin" w:cs="IRNazanin"/>
          <w:lang w:bidi="fa-IR"/>
          <w:color w:val="111111"/>
          <w:sz w:val="28"/>
          <w:szCs w:val="28"/>
          <w:rtl/>
        </w:rPr>
        <w:t xml:space="preserve">ص: 1263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حاول أن یعرفها تعریفا حقیقیا أتی بتعریفات دوریة کتعریف الممکن بما لیس بممتنع و تعریف الواجب بما یلزم من فرض عدمه محال أو ما فرض عدمه محال و تعریف المحال بما یجب أن لا یکون إلی غیر ذلک.</w:t>
      </w:r>
    </w:p>
    <w:p>
      <w:pPr>
        <w:pStyle w:val="BookText"/>
      </w:pPr>
      <w:r>
        <w:rPr>
          <w:rFonts w:ascii="IRNazanin" w:hAnsi="IRNazanin" w:eastAsia="IRNazanin" w:cs="IRNazanin"/>
          <w:lang w:bidi="fa-IR"/>
          <w:color w:val="111111"/>
          <w:sz w:val="28"/>
          <w:szCs w:val="28"/>
          <w:rtl/>
        </w:rPr>
        <w:t xml:space="preserve">و الذی یقع البحث عنه فی هذا الفن الباحث عن الموجود بما هو موجود بالقصد الأول من هذه المواد الثلاث هو الوجوب و الإمکان کما تقدمت الإشارة إلیه و هما وصفان ینقسم بهما الموجود من حیث نسبة وجوده إلیه انقساما أولیا.</w:t>
      </w:r>
    </w:p>
    <w:p>
      <w:pPr>
        <w:pStyle w:val="BookText"/>
      </w:pPr>
      <w:r>
        <w:rPr>
          <w:rFonts w:ascii="IRNazanin" w:hAnsi="IRNazanin" w:eastAsia="IRNazanin" w:cs="IRNazanin"/>
          <w:lang w:bidi="fa-IR"/>
          <w:color w:val="111111"/>
          <w:sz w:val="28"/>
          <w:szCs w:val="28"/>
          <w:rtl/>
        </w:rPr>
        <w:t xml:space="preserve">و بذلک یندفع ما أورد علی کون الإمکان وصفا ثابتا للممکن یحاذی الوجوب الذی هو وصف ثابت للواجب تقریره أن الإمکان کما تحصل من التقسیم السابق سلب ضرورة الوجوب و سلب ضرورة العدم فهما سلبان اثنان و إن عبر عنهما بنحو قولهم سلب الضرورتین فکیف یکون صفة واحدة ناعتة للممکن سلمنا أنه یرجع إلی سلب الضرورتین و أنه سلب واحد لکنه کما یظهر من التقسیم سلب تحصیلی لا إیجاب عدولی فما معنی اتصاف الممکن به فی الخارج و لا اتصاف إلا بالعدول کما اضطروا إلی التعبیر عن الإمکان بأنه لا ضرورة الوجود و العدم و بأنه استواء نسبة الماهیة إلی الوجود و العدم عند ما شرعوا فی بیان خواص الإمکان ککونه لا یفارق الماهیة و کونه علة للحاجة إلی العلة إلی غیر ذلک.</w:t>
      </w:r>
    </w:p>
    <w:p>
      <w:pPr>
        <w:pStyle w:val="BookText"/>
      </w:pPr>
      <w:r>
        <w:rPr>
          <w:rFonts w:ascii="IRNazanin" w:hAnsi="IRNazanin" w:eastAsia="IRNazanin" w:cs="IRNazanin"/>
          <w:lang w:bidi="fa-IR"/>
          <w:color w:val="111111"/>
          <w:sz w:val="28"/>
          <w:szCs w:val="28"/>
          <w:rtl/>
        </w:rPr>
        <w:t xml:space="preserve">وجه الاندفاع أن القضیة المعدولة المحمول تساوی السالبة المحصلة عند وجود الموضوع و قولنا لیس بعض الموجود ضروری الوجود و لا العدم و کذا قولنا لیست الماهیة من حیث هی ضروریة الوجود و لا العدم الموضوع فیه موجود فیتساوی الإیجاب العدولی و السلب التحصیلی فی الإمکان ثم لهذا السلب نسبة إلی الضرورة و إلی موضوعه المسلوب عنه الضرورتان یتمیز بها من غیره فیکون عدما مضافا له حظ من الوجود و له ما یترتب علیه من الآثار و إن وجده العقل أول ما یجد فی صورة السلب التحصیلی کما یجد العمی و هو</w:t>
      </w:r>
    </w:p>
    <w:p>
      <w:pPr>
        <w:pStyle w:val="BookText"/>
      </w:pPr>
      <w:r>
        <w:rPr>
          <w:rFonts w:ascii="IRNazanin" w:hAnsi="IRNazanin" w:eastAsia="IRNazanin" w:cs="IRNazanin"/>
          <w:lang w:bidi="fa-IR"/>
          <w:color w:val="111111"/>
          <w:sz w:val="28"/>
          <w:szCs w:val="28"/>
          <w:rtl/>
        </w:rPr>
        <w:t xml:space="preserve">[شماره صفحه واقعی : 43]</w:t>
      </w:r>
    </w:p>
    <w:p>
      <w:pPr>
        <w:pStyle w:val="BookText"/>
      </w:pPr>
      <w:r>
        <w:rPr>
          <w:rFonts w:ascii="IRNazanin" w:hAnsi="IRNazanin" w:eastAsia="IRNazanin" w:cs="IRNazanin"/>
          <w:lang w:bidi="fa-IR"/>
          <w:color w:val="111111"/>
          <w:sz w:val="28"/>
          <w:szCs w:val="28"/>
          <w:rtl/>
        </w:rPr>
        <w:t xml:space="preserve">ص: 1264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مضاف کذلک أول ما یجده.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یتفرع علی ما تقدم أمور:</w:t>
      </w:r>
    </w:p>
    <w:p>
      <w:pPr>
        <w:pStyle w:val="BookText"/>
      </w:pPr>
      <w:r>
        <w:rPr>
          <w:rFonts w:ascii="IRNazanin" w:hAnsi="IRNazanin" w:eastAsia="IRNazanin" w:cs="IRNazanin"/>
          <w:lang w:bidi="fa-IR"/>
          <w:color w:val="111111"/>
          <w:sz w:val="28"/>
          <w:szCs w:val="28"/>
          <w:rtl/>
        </w:rPr>
        <w:t xml:space="preserve">الأمر الأول أن موضوع الإمکان هو الماهیة إذ لا یتصف الشی‌ء بلا ضرورة الوجود و العدم إلا إذا کان فی نفسه خلوا من الوجود و العدم جمیعا و لیس إلا الماهیة من حیث هی فکل ممکن ذو ماهیة و بذلک یظهر معنی قولهم کل ممکن زوج ترکیبی له ماهیة و وجود.</w:t>
      </w:r>
    </w:p>
    <w:p>
      <w:pPr>
        <w:pStyle w:val="BookText"/>
      </w:pPr>
      <w:r>
        <w:rPr>
          <w:rFonts w:ascii="IRNazanin" w:hAnsi="IRNazanin" w:eastAsia="IRNazanin" w:cs="IRNazanin"/>
          <w:lang w:bidi="fa-IR"/>
          <w:color w:val="111111"/>
          <w:sz w:val="28"/>
          <w:szCs w:val="28"/>
          <w:rtl/>
        </w:rPr>
        <w:t xml:space="preserve">و أما إطلاق الممکن علی وجود غیر الواجب بالذات و تسمیته بالوجود الإمکانی فاصطلاح آخر فی الإمکان و الوجوب یستعمل فیه الإمکان و الوجوب بمعنی الفقر الذاتی و الغنی الذاتی و لیس یراد به سلب الضرورتین أو استواء النسبة إلی الوجود و العدم إذ لا یعقل ذلک بالنسبة إلی الوجود.</w:t>
      </w:r>
    </w:p>
    <w:p>
      <w:pPr>
        <w:pStyle w:val="BookText"/>
      </w:pPr>
      <w:r>
        <w:rPr>
          <w:rFonts w:ascii="IRNazanin" w:hAnsi="IRNazanin" w:eastAsia="IRNazanin" w:cs="IRNazanin"/>
          <w:lang w:bidi="fa-IR"/>
          <w:color w:val="111111"/>
          <w:sz w:val="28"/>
          <w:szCs w:val="28"/>
          <w:rtl/>
        </w:rPr>
        <w:t xml:space="preserve">الأمر الثانی أن الإمکان لازم الماهیة إذ لو لم یلزمها جاز أن تخلو منه فکانت واجبة أو ممتنعة فکانت فی نفسها موجودة أو معدومة و الماهیة من حیث هی لا موجودة و لا معدومة.</w:t>
      </w:r>
    </w:p>
    <w:p>
      <w:pPr>
        <w:pStyle w:val="BookText"/>
      </w:pPr>
      <w:r>
        <w:rPr>
          <w:rFonts w:ascii="IRNazanin" w:hAnsi="IRNazanin" w:eastAsia="IRNazanin" w:cs="IRNazanin"/>
          <w:lang w:bidi="fa-IR"/>
          <w:color w:val="111111"/>
          <w:sz w:val="28"/>
          <w:szCs w:val="28"/>
          <w:rtl/>
        </w:rPr>
        <w:t xml:space="preserve">و المراد بکونه لازما لها أن فرض الماهیة من حیث هی یکفی فی اتصافها بالإمکان من غیر حاجة إلی أمر زائد دون اللزوم الاصطلاحی و هو کون الملزوم علة مقتضیة لتحقق اللازم و لحوقه به إذ لا اقتضاء فی مرتبة الماهیة من حیث هی إثباتا و نفیا.</w:t>
      </w:r>
    </w:p>
    <w:p>
      <w:pPr>
        <w:pStyle w:val="BookText"/>
      </w:pPr>
      <w:r>
        <w:rPr>
          <w:rFonts w:ascii="IRNazanin" w:hAnsi="IRNazanin" w:eastAsia="IRNazanin" w:cs="IRNazanin"/>
          <w:lang w:bidi="fa-IR"/>
          <w:color w:val="111111"/>
          <w:sz w:val="28"/>
          <w:szCs w:val="28"/>
          <w:rtl/>
        </w:rPr>
        <w:t xml:space="preserve">لا یقال تحقق سلب الضرورتین فی مرتبة ذات الماهیة یقضی بکون الإمکان داخلا فی ذات الشی‌ء و هو ظاهر الفساد.</w:t>
      </w:r>
    </w:p>
    <w:p>
      <w:pPr>
        <w:pStyle w:val="BookText"/>
      </w:pPr>
      <w:r>
        <w:rPr>
          <w:rFonts w:ascii="IRNazanin" w:hAnsi="IRNazanin" w:eastAsia="IRNazanin" w:cs="IRNazanin"/>
          <w:lang w:bidi="fa-IR"/>
          <w:color w:val="111111"/>
          <w:sz w:val="28"/>
          <w:szCs w:val="28"/>
          <w:rtl/>
        </w:rPr>
        <w:t xml:space="preserve">فإنا نقول إنما یکون محمول من المحمولات داخلا فی الذات إذا کان الحمل حملا أولیا ملاکه الاتحاد المفهومی دون الحمل الشائع الذی ملاکه الاتحاد الوجودی و الإمکان و سائر لوازم الماهیات الحمل بینها و بین الماهیة من حیث هی حمل شائع لا أولی.</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الأمر الثالث أن الإمکان موجود بوجود موضوعه فی الأعیان و لیس</w:t>
      </w:r>
    </w:p>
    <w:p>
      <w:pPr>
        <w:pStyle w:val="BookText"/>
      </w:pPr>
      <w:r>
        <w:rPr>
          <w:rFonts w:ascii="IRNazanin" w:hAnsi="IRNazanin" w:eastAsia="IRNazanin" w:cs="IRNazanin"/>
          <w:lang w:bidi="fa-IR"/>
          <w:color w:val="111111"/>
          <w:sz w:val="28"/>
          <w:szCs w:val="28"/>
          <w:rtl/>
        </w:rPr>
        <w:t xml:space="preserve">[شماره صفحه واقعی : 44]</w:t>
      </w:r>
    </w:p>
    <w:p>
      <w:pPr>
        <w:pStyle w:val="BookText"/>
      </w:pPr>
      <w:r>
        <w:rPr>
          <w:rFonts w:ascii="IRNazanin" w:hAnsi="IRNazanin" w:eastAsia="IRNazanin" w:cs="IRNazanin"/>
          <w:lang w:bidi="fa-IR"/>
          <w:color w:val="111111"/>
          <w:sz w:val="28"/>
          <w:szCs w:val="28"/>
          <w:rtl/>
        </w:rPr>
        <w:t xml:space="preserve">ص: 1265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اعتبارا عقلیا محضا لا صورة له فی الأعیان کما قال به بعضهم و لا أنه موجود فی الخارج بوجود مستقل منحاز کما قال به آخرون.</w:t>
      </w:r>
    </w:p>
    <w:p>
      <w:pPr>
        <w:pStyle w:val="BookText"/>
      </w:pPr>
      <w:r>
        <w:rPr>
          <w:rFonts w:ascii="IRNazanin" w:hAnsi="IRNazanin" w:eastAsia="IRNazanin" w:cs="IRNazanin"/>
          <w:lang w:bidi="fa-IR"/>
          <w:color w:val="111111"/>
          <w:sz w:val="28"/>
          <w:szCs w:val="28"/>
          <w:rtl/>
        </w:rPr>
        <w:t xml:space="preserve">أما أنه موجود فی الأعیان بوجود موضوعه فلأنه قسیم فی التقسیم للواجب الذی ضرورة وجوده فی الأعیان فارتفاع الضرورة الذی هو الإمکان هو فی الأعیان و إذ کان موضوعا فی التقسیم المقتضی لاتصاف المقسم بکل واحد من الأقسام کان فی معنی وصف ثبوتی یتصف به موضوعه فهو معنی عدمی له حظ من الوجود و الماهیة متصفة به فی الأعیان و إذ کانت متصفة به فی الأعیان فله وجود فیها علی حد الأعدام المضافة التی هی أوصاف عدمیة ناعتة لموصوفاتها موجودة بوجودها و الآثار المترتبة علیه فی الحقیقة هی ارتفاع آثار الوجوب من صرافة الوجود و بساطة الذات و الغنی عن الغیر و غیر ذلک.</w:t>
      </w:r>
    </w:p>
    <w:p>
      <w:pPr>
        <w:pStyle w:val="BookText"/>
      </w:pPr>
      <w:r>
        <w:rPr>
          <w:rFonts w:ascii="IRNazanin" w:hAnsi="IRNazanin" w:eastAsia="IRNazanin" w:cs="IRNazanin"/>
          <w:lang w:bidi="fa-IR"/>
          <w:color w:val="111111"/>
          <w:sz w:val="28"/>
          <w:szCs w:val="28"/>
          <w:rtl/>
        </w:rPr>
        <w:t xml:space="preserve">و قد اتضح بهذا البیان فساد قول من قال إن الإمکان من الاعتبارات العقلیة المحضة التی لا صورة له فی خارج و لا ذهن و ذلک لظهور أن ضرورة وجود الموجود أمر وعاؤه الخارج و له آثار خارجیة وجودیة.</w:t>
      </w:r>
    </w:p>
    <w:p>
      <w:pPr>
        <w:pStyle w:val="BookText"/>
      </w:pPr>
      <w:r>
        <w:rPr>
          <w:rFonts w:ascii="IRNazanin" w:hAnsi="IRNazanin" w:eastAsia="IRNazanin" w:cs="IRNazanin"/>
          <w:lang w:bidi="fa-IR"/>
          <w:color w:val="111111"/>
          <w:sz w:val="28"/>
          <w:szCs w:val="28"/>
          <w:rtl/>
        </w:rPr>
        <w:t xml:space="preserve">و کذا قول من قال إن للإمکان وجودا فی الخارج منحازا مستقلا و ذلک لظهور أنه معنی عدمی واحد مشترک بین الماهیات ثابت بثبوتها فی أنفسها و هو سلب الضرورتین و لا معنی لوجود الأعدام بوجود منحاز مستقل.</w:t>
      </w:r>
    </w:p>
    <w:p>
      <w:pPr>
        <w:pStyle w:val="BookText"/>
      </w:pPr>
      <w:r>
        <w:rPr>
          <w:rFonts w:ascii="IRNazanin" w:hAnsi="IRNazanin" w:eastAsia="IRNazanin" w:cs="IRNazanin"/>
          <w:lang w:bidi="fa-IR"/>
          <w:color w:val="111111"/>
          <w:sz w:val="28"/>
          <w:szCs w:val="28"/>
          <w:rtl/>
        </w:rPr>
        <w:t xml:space="preserve">علی أنه لو کان موجودا فی الأعیان بوجود منحاز مستقل کان إما واجبا بالذات و هو ضروری البطلان و إما ممکنا و هو خارج عن ثبوت الماهیة لا یکفی فیه ثبوتها فی نفسها فکان بالغیر و سیجی‌ء استحالة الإمکان بالغیر.</w:t>
      </w:r>
    </w:p>
    <w:p>
      <w:pPr>
        <w:pStyle w:val="BookText"/>
      </w:pPr>
      <w:r>
        <w:rPr>
          <w:rFonts w:ascii="IRNazanin" w:hAnsi="IRNazanin" w:eastAsia="IRNazanin" w:cs="IRNazanin"/>
          <w:lang w:bidi="fa-IR"/>
          <w:color w:val="111111"/>
          <w:sz w:val="28"/>
          <w:szCs w:val="28"/>
          <w:rtl/>
        </w:rPr>
        <w:t xml:space="preserve">و قد استدلوا علی ذلک بوجوه أوجهها أن الممکن لو لم یکن ممکنا فی الأعیان لکان إما واجبا فیها أو ممتنعا فیها فیکون الممکن ضروری الوجود أو ضروری العدم هذا محال.</w:t>
      </w:r>
    </w:p>
    <w:p>
      <w:pPr>
        <w:pStyle w:val="BookText"/>
      </w:pPr>
      <w:r>
        <w:rPr>
          <w:rFonts w:ascii="IRNazanin" w:hAnsi="IRNazanin" w:eastAsia="IRNazanin" w:cs="IRNazanin"/>
          <w:lang w:bidi="fa-IR"/>
          <w:color w:val="111111"/>
          <w:sz w:val="28"/>
          <w:szCs w:val="28"/>
          <w:rtl/>
        </w:rPr>
        <w:t xml:space="preserve">و یرده أن الاتصاف بوصف فی الأعیان لا یستلزم تحقق الوصف فیها بوجود منحاز مستقل بل یکفی فیه أن یکون موجودا بوجود موصوفه و الإمکان</w:t>
      </w:r>
    </w:p>
    <w:p>
      <w:pPr>
        <w:pStyle w:val="BookText"/>
      </w:pPr>
      <w:r>
        <w:rPr>
          <w:rFonts w:ascii="IRNazanin" w:hAnsi="IRNazanin" w:eastAsia="IRNazanin" w:cs="IRNazanin"/>
          <w:lang w:bidi="fa-IR"/>
          <w:color w:val="111111"/>
          <w:sz w:val="28"/>
          <w:szCs w:val="28"/>
          <w:rtl/>
        </w:rPr>
        <w:t xml:space="preserve">[شماره صفحه واقعی : 45]</w:t>
      </w:r>
    </w:p>
    <w:p>
      <w:pPr>
        <w:pStyle w:val="BookText"/>
      </w:pPr>
      <w:r>
        <w:rPr>
          <w:rFonts w:ascii="IRNazanin" w:hAnsi="IRNazanin" w:eastAsia="IRNazanin" w:cs="IRNazanin"/>
          <w:lang w:bidi="fa-IR"/>
          <w:color w:val="111111"/>
          <w:sz w:val="28"/>
          <w:szCs w:val="28"/>
          <w:rtl/>
        </w:rPr>
        <w:t xml:space="preserve">ص: 1266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506" w:name="pg14419_167982"/>
    <w:bookmarkEnd w:id="506"/>
    <w:p>
      <w:pPr>
        <w:pStyle w:val="BookText"/>
      </w:pPr>
      <w:r>
        <w:rPr>
          <w:rFonts w:ascii="IRNazanin" w:hAnsi="IRNazanin" w:eastAsia="IRNazanin" w:cs="IRNazanin"/>
          <w:lang w:bidi="fa-IR"/>
          <w:color w:val="111111"/>
          <w:sz w:val="28"/>
          <w:szCs w:val="28"/>
          <w:rtl/>
        </w:rPr>
        <w:t xml:space="preserve">من المعقولات الثانیة الفلسفیة التی عروضها فی الذهن و الاتصاف بها فی الخارج و هی موجودة فی الخارج بوجود موضوعاتها.</w:t>
      </w:r>
    </w:p>
    <w:p>
      <w:pPr>
        <w:pStyle w:val="BookText"/>
      </w:pPr>
      <w:r>
        <w:rPr>
          <w:rFonts w:ascii="IRNazanin" w:hAnsi="IRNazanin" w:eastAsia="IRNazanin" w:cs="IRNazanin"/>
          <w:lang w:bidi="fa-IR"/>
          <w:color w:val="111111"/>
          <w:sz w:val="28"/>
          <w:szCs w:val="28"/>
          <w:rtl/>
        </w:rPr>
        <w:t xml:space="preserve">و قد تبین مما تقدم أن الإمکان معنی واحد مشترک کمفهوم الوجود.</w:t>
      </w:r>
    </w:p>
    <w:p>
      <w:pPr>
        <w:pStyle w:val="Heading6"/>
      </w:pPr>
      <w:bookmarkStart w:id="1478" w:name="_Toc918"/>
      <w:r>
        <w:t>تنبیه : فی أقسام الضرورة</w:t>
      </w:r>
      <w:bookmarkEnd w:id="14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تنقسم الضرورة إلی ضرورة أزلیة و هو کون المحمول ضروریا للموضوع لذاته من دون أی قید و شرط حتی الوجود و تختص بما إذا کان ذات الموضوع وجودا قائما بنفسه بحتا لا یشوبه عدم و لا تحده ماهیة و هو الوجود الواجبی تعالی و تقدس فیما یوصف به من صفاته التی هی عین ذاته.</w:t>
      </w:r>
    </w:p>
    <w:p>
      <w:pPr>
        <w:pStyle w:val="BookText"/>
      </w:pPr>
      <w:r>
        <w:rPr>
          <w:rFonts w:ascii="IRNazanin" w:hAnsi="IRNazanin" w:eastAsia="IRNazanin" w:cs="IRNazanin"/>
          <w:lang w:bidi="fa-IR"/>
          <w:color w:val="111111"/>
          <w:sz w:val="28"/>
          <w:szCs w:val="28"/>
          <w:rtl/>
        </w:rPr>
        <w:t xml:space="preserve">و إلی ضرورة ذاتیة و هی کون المحمول ضروریا للموضوع لذاته مع الوجود لا بالوجود کقولنا کل إنسان حیوان بالضرورة فالحیوانیة ذاتیة للإنسان ضروریة له ما دام موجودا و مع الوجود و لولاه لکان باطل الذات لا إنسان و لا حیوان.</w:t>
      </w:r>
    </w:p>
    <w:p>
      <w:pPr>
        <w:pStyle w:val="BookText"/>
      </w:pPr>
      <w:r>
        <w:rPr>
          <w:rFonts w:ascii="IRNazanin" w:hAnsi="IRNazanin" w:eastAsia="IRNazanin" w:cs="IRNazanin"/>
          <w:lang w:bidi="fa-IR"/>
          <w:color w:val="111111"/>
          <w:sz w:val="28"/>
          <w:szCs w:val="28"/>
          <w:rtl/>
        </w:rPr>
        <w:t xml:space="preserve">و إلی ضرورة وصفیة و هی کون المحمول ضروریا للموضوع لوصفه کقولنا کل کاتب متحرک الأصابع بالضرورة ما دام کاتبا و إلی ضرورة وقتیة و مرجعها إلی الضرورة الوصفیة بوجه.</w:t>
      </w:r>
    </w:p>
    <w:p>
      <w:pPr>
        <w:pStyle w:val="Heading6"/>
      </w:pPr>
      <w:bookmarkStart w:id="1479" w:name="_Toc919"/>
      <w:r>
        <w:t>تنبیه آخر</w:t>
      </w:r>
      <w:bookmarkEnd w:id="1479"/>
    </w:p>
    <w:p>
      <w:pPr>
        <w:pStyle w:val="BookText"/>
      </w:pPr>
      <w:r>
        <w:rPr>
          <w:rFonts w:ascii="IRNazanin" w:hAnsi="IRNazanin" w:eastAsia="IRNazanin" w:cs="IRNazanin"/>
          <w:lang w:bidi="fa-IR"/>
          <w:color w:val="111111"/>
          <w:sz w:val="28"/>
          <w:szCs w:val="28"/>
          <w:rtl/>
        </w:rPr>
        <w:t xml:space="preserve">هذا الذی تقدم من معنی الإمکان هو المبحوث عنه فی هذه المباحث و هو إحدی الجهات الثلاث التی لا یخلو عن واحدة منها شی‌ء من القضایا و قد کان الإمکان عند العامة یستعمل فی سلب الضرورة عن الجانب المخالف و لازمه سلب الامتناع عن الجانب الموافق و یصدق فی الموجبة فیما إذا کان</w:t>
      </w:r>
    </w:p>
    <w:p>
      <w:pPr>
        <w:pStyle w:val="BookText"/>
      </w:pPr>
      <w:r>
        <w:rPr>
          <w:rFonts w:ascii="IRNazanin" w:hAnsi="IRNazanin" w:eastAsia="IRNazanin" w:cs="IRNazanin"/>
          <w:lang w:bidi="fa-IR"/>
          <w:color w:val="111111"/>
          <w:sz w:val="28"/>
          <w:szCs w:val="28"/>
          <w:rtl/>
        </w:rPr>
        <w:t xml:space="preserve">[شماره صفحه واقعی : 46]</w:t>
      </w:r>
    </w:p>
    <w:p>
      <w:pPr>
        <w:pStyle w:val="BookText"/>
      </w:pPr>
      <w:r>
        <w:rPr>
          <w:rFonts w:ascii="IRNazanin" w:hAnsi="IRNazanin" w:eastAsia="IRNazanin" w:cs="IRNazanin"/>
          <w:lang w:bidi="fa-IR"/>
          <w:color w:val="111111"/>
          <w:sz w:val="28"/>
          <w:szCs w:val="28"/>
          <w:rtl/>
        </w:rPr>
        <w:t xml:space="preserve">ص: 1267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الجانب الموافق ضروریا نحو الکاتب متحرک الأصابع بالإمکان أو مسلوب الضرورة نحو الإنسان متحرک الأصابع بالإمکان و یصدق فی السالبة فیما إذا کان الجانب الموافق ممتنعا نحو لیس الکاتب بساکن الأصابع بالإمکان أو مسلوب الضرورة نحو لیس الإنسان بساکن الأصابع بالإمکان فالإمکان بهذا المعنی أعم موردا من الإمکان بالمعنی المتقدم أعنی سلب الضرورتین و من کل من الوجوب و الامتناع لا أنه أعم مفهوما إذ لا جامع مفهومی بین الجهات ثم نقله الحکماء إلی خصوص سلب الضرورة من الجانبین و سموه إمکانا خاصا و خاصیا و سموا ما عند العامة إمکانا عاما و عامیا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ربما أطلق الإمکان و أرید به سلب الضرورات الذاتیة و الوصفیة و الوقتیة و هو أخص من الإمکان الخاص و لذا یسمی الإمکان الأخص نحو الإنسان کاتب بالإمکان فالماهیة الإنسانیة لا تستوجب الکتابة لا لذاتها و لا لوصف و لا فی وقت مأخوذین فی القضیة و ربما أطلق الإمکان و أرید به سلب الضرورات جمیعا حتی الضرورة بشرط المحمول و هو فی الأمور المستقبلة التی لم یتعین فیها إیجاب و لا سلب فالضرورة مسلوبة عنها حتی بحسب المحمول إیجابا و سلبا و هذا الاعتبار بحسب النظر البسیط العامی الذی من شأنه الجهل بالحوادث المستقبلة لعدم إحاطته بالعلل و الأسباب و إلا فلکل أمر مفروض بحسب ظرفه إما الوجود و الوجوب و إما العدم و الامتناع و ربما أطلق الإمکان و أرید به الإمکان الاستعدادی و هو وصف وجودی من الکیفیات القائمة بالمادة تقبل به المادة الفعلیات المختلفة و الفرق بینه و بین الإمکان الخاص أنه صفة وجودیة تقبل الشدة و الضعف و القرب و البعد من الفعلیة موضوعة المادة الموجودة و یبطل منها بوجود المستعد</w:t>
      </w:r>
    </w:p>
    <w:p>
      <w:pPr>
        <w:pStyle w:val="BookText"/>
      </w:pPr>
      <w:r>
        <w:rPr>
          <w:rFonts w:ascii="IRNazanin" w:hAnsi="IRNazanin" w:eastAsia="IRNazanin" w:cs="IRNazanin"/>
          <w:lang w:bidi="fa-IR"/>
          <w:color w:val="111111"/>
          <w:sz w:val="28"/>
          <w:szCs w:val="28"/>
          <w:rtl/>
        </w:rPr>
        <w:t xml:space="preserve">[شماره صفحه واقعی : 47]</w:t>
      </w:r>
    </w:p>
    <w:p>
      <w:pPr>
        <w:pStyle w:val="BookText"/>
      </w:pPr>
      <w:r>
        <w:rPr>
          <w:rFonts w:ascii="IRNazanin" w:hAnsi="IRNazanin" w:eastAsia="IRNazanin" w:cs="IRNazanin"/>
          <w:lang w:bidi="fa-IR"/>
          <w:color w:val="111111"/>
          <w:sz w:val="28"/>
          <w:szCs w:val="28"/>
          <w:rtl/>
        </w:rPr>
        <w:t xml:space="preserve">ص: 1268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507" w:name="pg14419_167984"/>
    <w:bookmarkEnd w:id="507"/>
    <w:p>
      <w:pPr>
        <w:pStyle w:val="BookText"/>
      </w:pPr>
      <w:r>
        <w:rPr>
          <w:rFonts w:ascii="IRNazanin" w:hAnsi="IRNazanin" w:eastAsia="IRNazanin" w:cs="IRNazanin"/>
          <w:lang w:bidi="fa-IR"/>
          <w:color w:val="111111"/>
          <w:sz w:val="28"/>
          <w:szCs w:val="28"/>
          <w:rtl/>
        </w:rPr>
        <w:t xml:space="preserve">بخلاف الإمکان الخاص الذی هو معنی عقلی لا یتصف بشدة و ضعف و لا قرب و بعد و موضوعه الماهیة من حیث هی لا یفارق الماهیة موجودة کانت أو معدومة و ربما أطلق الإمکان و أرید به کون الشی‌ء بحیث لا یلزم من فرض وقوعه محال و یسمی الإمکان الوقوعی و ربما أطلق الإمکان و أرید به ما للوجود المعلولی من التعلق و التقوم بالوجود العلی و خاصة الفقر الذاتی للوجود الإمکانی بالنسبة إلی الوجود الواجبی جل و علا و یسمی الإمکان الفقری و الوجودی قبال الإمکان الماهوی.</w:t>
      </w:r>
    </w:p>
    <w:p>
      <w:pPr>
        <w:pStyle w:val="Heading6"/>
      </w:pPr>
      <w:bookmarkStart w:id="1480" w:name="_Toc920"/>
      <w:r>
        <w:t>تنبیه آخر</w:t>
      </w:r>
      <w:bookmarkEnd w:id="1480"/>
    </w:p>
    <w:p>
      <w:pPr>
        <w:pStyle w:val="BookText"/>
      </w:pPr>
      <w:r>
        <w:rPr>
          <w:rFonts w:ascii="IRNazanin" w:hAnsi="IRNazanin" w:eastAsia="IRNazanin" w:cs="IRNazanin"/>
          <w:lang w:bidi="fa-IR"/>
          <w:color w:val="111111"/>
          <w:sz w:val="28"/>
          <w:szCs w:val="28"/>
          <w:rtl/>
        </w:rPr>
        <w:t xml:space="preserve">الجهات الثلاث المذکورة لا تختص بالقضایا التی محمولها الوجود بل تتخلل واحدة منها بین أی محمول مفروض نسب إلی أی موضوع مفروض غیر أن الفلسفة لا تتعرض منها إلا بما یتخلل بین الوجود و عوارضه الذاتیة لکون موضوعها الموجود بما هو موجود.</w:t>
      </w:r>
    </w:p>
    <w:p>
      <w:pPr>
        <w:pStyle w:val="Heading5"/>
      </w:pPr>
      <w:bookmarkStart w:id="1481" w:name="_Toc921"/>
      <w:r>
        <w:t>الفصل الثانی فی انقسام کل من المواد الثلاث إلی ما بالذات و ما بالغیر و ما بالقیاس إلی الغیر إلا الإمکان</w:t>
      </w:r>
      <w:bookmarkEnd w:id="14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ینقسم کل من هذه المواد الثلاث إلی ما بالذات و ما بالغیر و ما</w:t>
      </w:r>
    </w:p>
    <w:p>
      <w:pPr>
        <w:pStyle w:val="BookText"/>
      </w:pPr>
      <w:r>
        <w:rPr>
          <w:rFonts w:ascii="IRNazanin" w:hAnsi="IRNazanin" w:eastAsia="IRNazanin" w:cs="IRNazanin"/>
          <w:lang w:bidi="fa-IR"/>
          <w:color w:val="111111"/>
          <w:sz w:val="28"/>
          <w:szCs w:val="28"/>
          <w:rtl/>
        </w:rPr>
        <w:t xml:space="preserve">[شماره صفحه واقعی : 48]</w:t>
      </w:r>
    </w:p>
    <w:p>
      <w:pPr>
        <w:pStyle w:val="BookText"/>
      </w:pPr>
      <w:r>
        <w:rPr>
          <w:rFonts w:ascii="IRNazanin" w:hAnsi="IRNazanin" w:eastAsia="IRNazanin" w:cs="IRNazanin"/>
          <w:lang w:bidi="fa-IR"/>
          <w:color w:val="111111"/>
          <w:sz w:val="28"/>
          <w:szCs w:val="28"/>
          <w:rtl/>
        </w:rPr>
        <w:t xml:space="preserve">ص: 1269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بالقیاس إلی الغیر إلا الإمکان فلا إمکان بالغیر و المراد بما بالذات أن یکون وضع الذات مع قطع النظر عن جمیع ما عداه کافیا فی اتصافه و بما بالغیر أن لا یکفی فیه وضعه کذلک بل یتوقف علی إعطاء الغیر و اقتضائه و بما بالقیاس إلی الغیر أن یکون الاتصاف بالنظر إلی الغیر علی سبیل استدعائه الأعم من الاقتضاء فالوجوب بالذات کضرورة الوجود لذات الواجب تعالی لذاته بذاته و الوجوب بالغیر کضرورة وجود الممکن التی تلحقه من ناحیة علته التامة و الامتناع بالذات کضرورة العدم للمحالات الذاتیة التی لا تقبل الوجود لذاتها المفروضة کاجتماع النقیضین و ارتفاعهما و سلب الشی‌ء عن نفسه و الامتناع بالغیر کضرورة عدم الممکن التی تلحقه من ناحیة عدم علته و الإمکان بالذات کون الشی‌ء فی حد ذاته مع قطع النظر عن جمیع ما عداه مسلوبة عنه ضرورة الوجود و ضرورة العدم و أما الإمکان بالغیر فممتنع کما تقدمت الإشارة إلیه و ذلک لأنه لو لحق الشی‌ء إمکان بالغیر من علة مقتضیة من خارج لکان الشی‌ء فی حد نفسه مع قطع النظر عما عداه إما واجبا بالذات أو ممتنعا بالذات أو ممکنا بالذات لما تقدم أن القسمة إلی الثلاثة حاصرة و علی الأولین یلزم الانقلاب بلحوق الإمکان له من خارج و علی الثالث أعنی کونه ممکنا بالذات فإما أن یکون بحیث لو فرضنا ارتفاع العلة الخارجة بقی الشی‌ء علی ما کان علیه من الإمکان فلا تأثیر للغیر فیه لاستواء وجوده و عدمه و قد فرض مؤثرا هذا خلف و إن لم یبق علی إمکانه لم یکن ممکنا بالذات و قد فرض کذلک هذا خلف هذا لو کان ما بالذات و ما بالغیر إمکانا واحدا هو بالذات و بالغیر معا و لو فرض کونه إمکانین اثنین بالذات و بالغیر کان لشی‌ء واحد من حیثیة</w:t>
      </w:r>
    </w:p>
    <w:p>
      <w:pPr>
        <w:pStyle w:val="BookText"/>
      </w:pPr>
      <w:r>
        <w:rPr>
          <w:rFonts w:ascii="IRNazanin" w:hAnsi="IRNazanin" w:eastAsia="IRNazanin" w:cs="IRNazanin"/>
          <w:lang w:bidi="fa-IR"/>
          <w:color w:val="111111"/>
          <w:sz w:val="28"/>
          <w:szCs w:val="28"/>
          <w:rtl/>
        </w:rPr>
        <w:t xml:space="preserve">[شماره صفحه واقعی : 49]</w:t>
      </w:r>
    </w:p>
    <w:p>
      <w:pPr>
        <w:pStyle w:val="BookText"/>
      </w:pPr>
      <w:r>
        <w:rPr>
          <w:rFonts w:ascii="IRNazanin" w:hAnsi="IRNazanin" w:eastAsia="IRNazanin" w:cs="IRNazanin"/>
          <w:lang w:bidi="fa-IR"/>
          <w:color w:val="111111"/>
          <w:sz w:val="28"/>
          <w:szCs w:val="28"/>
          <w:rtl/>
        </w:rPr>
        <w:t xml:space="preserve">ص: 1270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إمکانان لوجود واحد و هو واضح الفساد کتحقق وجودین لشی‌ء واحد و أیضا فی فرض الإمکان بالغیر فرض العلة الخارجة الموجبة للإمکان و هو فی معنی ارتفاع النقیضین لأن الغیر الذی یفید الإمکان الذی هو لا ضرورة الوجود و العدم لا یفیده إلا برفع العلة الموجبة للوجود و رفع العلة الموجبة للعدم التی هی عدم العلة الموجبة للوجود فإفادتها الإمکان لا تتم إلا برفعها وجود العلة الموجبة للوجود و عدمها معا و فیه ارتفاع النقیضین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الوجوب بالقیاس إلی الغیر کوجوب العلة إذا قیست إلی معلولها باستدعاء منه فإنه بوجوده یأبی إلا أن تکون علته موجودة و کوجوب المعلول إذا قیس إلی علته التامة باقتضاء منها فإنها بوجودها تأبی إلا أن یکون معلولها موجودا و کوجوب أحد المتضائفین إذا قیس إلی وجود الآخر و الضابط فیه أن تکون بین المقیس و المقیس إلیه علیة و معلولیة أو یکونا معلولی علة واحدة إذ لو لا رابطة العلیة بینهما لم یتوقف أحدهما علی الآخر فلم یجب عند ثبوت أحدهما ثبوت الآخر و الامتناع بالقیاس إلی الغیر کامتناع وجود العلة التامة إذا قیس إلی عدم المعلول بالاستدعاء و کامتناع وجود المعلول إذا قیس إلی عدم العلة بالاقتضاء و کامتناع وجود أحد المتضائفین إذا قیس إلی عدم الآخر و عدمه إذا قیس إلی وجود الآخر و الإمکان بالقیاس إلی الغیر حال الشی‌ء إذا قیس إلی ما لا یستدعی وجوده و لا عدمه و الضابط أن لا یکون بینهما علیة و معلولیة و لا معلولیتهما لواحد ثالث و لا إمکان بالقیاس بین موجودین لأن الشی‌ء المقیس إما واجب بالذات مقیس إلی ممکن أو بالعکس و بینهما علیة و معلولیة و إما ممکن مقیس إلی ممکن آخر و هما ینتهیان إلی الواجب بالذات</w:t>
      </w:r>
    </w:p>
    <w:p>
      <w:pPr>
        <w:pStyle w:val="BookText"/>
      </w:pPr>
      <w:r>
        <w:rPr>
          <w:rFonts w:ascii="IRNazanin" w:hAnsi="IRNazanin" w:eastAsia="IRNazanin" w:cs="IRNazanin"/>
          <w:lang w:bidi="fa-IR"/>
          <w:color w:val="111111"/>
          <w:sz w:val="28"/>
          <w:szCs w:val="28"/>
          <w:rtl/>
        </w:rPr>
        <w:t xml:space="preserve">[شماره صفحه واقعی : 50]</w:t>
      </w:r>
    </w:p>
    <w:p>
      <w:pPr>
        <w:pStyle w:val="BookText"/>
      </w:pPr>
      <w:r>
        <w:rPr>
          <w:rFonts w:ascii="IRNazanin" w:hAnsi="IRNazanin" w:eastAsia="IRNazanin" w:cs="IRNazanin"/>
          <w:lang w:bidi="fa-IR"/>
          <w:color w:val="111111"/>
          <w:sz w:val="28"/>
          <w:szCs w:val="28"/>
          <w:rtl/>
        </w:rPr>
        <w:t xml:space="preserve">ص: 1271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508" w:name="pg14419_167987"/>
    <w:bookmarkEnd w:id="508"/>
    <w:p>
      <w:pPr>
        <w:pStyle w:val="BookText"/>
      </w:pPr>
      <w:r>
        <w:rPr>
          <w:rFonts w:ascii="IRNazanin" w:hAnsi="IRNazanin" w:eastAsia="IRNazanin" w:cs="IRNazanin"/>
          <w:lang w:bidi="fa-IR"/>
          <w:color w:val="111111"/>
          <w:sz w:val="28"/>
          <w:szCs w:val="28"/>
          <w:rtl/>
        </w:rPr>
        <w:t xml:space="preserve">نعم للواجب بالذات إمکان بالقیاس إذا قیس إلی واجب آخر مفروض أو إلی معلولاته من خلقه حیث لیس بینهما علیة و معلولیة و لا هما معلولان لواحد ثالث و نظیر الواجبین بالذات المفروضین الممتنعان بالذات إذا قیس أحدهما إلی الآخر أو إلی ما یستلزمه الآخر و کذا الإمکان بالقیاس بین الواجب بالذات و الممکن المعدوم لعدم بعض شرائط وجوده فإنه معلول انعدام علته التامة التی یصیر الواجب بالذات علی الفرض جزءا من أجزائها غیر موجب للممکن المفروض فللواجب بالذات إمکان بالقیاس إلیه و بالعکس و قد تبین بما مر أولا أن الواجب بالذات لا یکون واجبا بالغیر و لا ممتنعا بالغیر و کذا الممتنع بالذات لا یکون ممتنعا بالغیر و لا واجبا بالغیر و یتبین به أن کل واجب بالغیر فهو ممکن و کذا کل ممتنع بالغیر فهو ممکن و ثانیا أنه لو فرض واجبان بالذات لم یکن بینهما علاقة لزومیة و ذلک لأنها إنما تتحقق بین شیئین أحدهما علة للآخر أو هما معلولا علة ثالثة و لا سبیل للمعلولیة إلی واجب بالذات.</w:t>
      </w:r>
    </w:p>
    <w:p>
      <w:pPr>
        <w:pStyle w:val="Heading5"/>
      </w:pPr>
      <w:bookmarkStart w:id="1482" w:name="_Toc922"/>
      <w:r>
        <w:t>الفصل الثالث فی أن واجب الوجود بالذات ماهیته إنیته</w:t>
      </w:r>
      <w:bookmarkEnd w:id="14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واجب الوجود بالذات ماهیته إنیته بمعنی أن لا ماهیة له وراء وجوده الخاص به و المسألة بینة بالعطف علی ما تقدم من أن الإمکان لازم الماهیة فکل ماهیة فهی ممکنة و ینعکس إلی أن ما لیس بممکن فلا ماهیة له فلا ماهیة للواجب بالذات وراء وجوده الواجبی</w:t>
      </w:r>
    </w:p>
    <w:p>
      <w:pPr>
        <w:pStyle w:val="BookText"/>
      </w:pPr>
      <w:r>
        <w:rPr>
          <w:rFonts w:ascii="IRNazanin" w:hAnsi="IRNazanin" w:eastAsia="IRNazanin" w:cs="IRNazanin"/>
          <w:lang w:bidi="fa-IR"/>
          <w:color w:val="111111"/>
          <w:sz w:val="28"/>
          <w:szCs w:val="28"/>
          <w:rtl/>
        </w:rPr>
        <w:t xml:space="preserve">[شماره صفحه واقعی : 51]</w:t>
      </w:r>
    </w:p>
    <w:p>
      <w:pPr>
        <w:pStyle w:val="BookText"/>
      </w:pPr>
      <w:r>
        <w:rPr>
          <w:rFonts w:ascii="IRNazanin" w:hAnsi="IRNazanin" w:eastAsia="IRNazanin" w:cs="IRNazanin"/>
          <w:lang w:bidi="fa-IR"/>
          <w:color w:val="111111"/>
          <w:sz w:val="28"/>
          <w:szCs w:val="28"/>
          <w:rtl/>
        </w:rPr>
        <w:t xml:space="preserve">ص: 1272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أقاموا علیه مع ذلک حججا أمتنها أنه لو کان للواجب بالذات ماهیة وراء وجوده الخاص به کان وجوده زائدا علیها عرضیا لها و کل عرضی معلل فکان وجوده معلولا إما لماهیته أو لغیرها و الثانی و هو المعلولیة للغیر ینافی وجوب الوجود بالذات و الأول و هو معلولیته لماهیته تستوجب تقدم ماهیته علی وجوده بالوجود لوجوب تقدم العلة علی معلولها بالوجود بالضرورة.</w:t>
      </w:r>
    </w:p>
    <w:p>
      <w:pPr>
        <w:pStyle w:val="BookText"/>
      </w:pPr>
      <w:r>
        <w:rPr>
          <w:rFonts w:ascii="IRNazanin" w:hAnsi="IRNazanin" w:eastAsia="IRNazanin" w:cs="IRNazanin"/>
          <w:lang w:bidi="fa-IR"/>
          <w:color w:val="111111"/>
          <w:sz w:val="28"/>
          <w:szCs w:val="28"/>
          <w:rtl/>
        </w:rPr>
        <w:t xml:space="preserve">فلو کان هذا الوجود المتقدم عین الوجود المتأخر لزم تقدم الشی‌ء علی نفسه و هو محال و لو کان غیره لزم أن توجد ماهیة واحدة بأکثر من وجود واحد و قد تقدمت استحالته علی أنا ننقل الکلام إلی الوجود المتقدم فیتسلسل.</w:t>
      </w:r>
    </w:p>
    <w:p>
      <w:pPr>
        <w:pStyle w:val="BookText"/>
      </w:pPr>
      <w:r>
        <w:rPr>
          <w:rFonts w:ascii="IRNazanin" w:hAnsi="IRNazanin" w:eastAsia="IRNazanin" w:cs="IRNazanin"/>
          <w:lang w:bidi="fa-IR"/>
          <w:color w:val="111111"/>
          <w:sz w:val="28"/>
          <w:szCs w:val="28"/>
          <w:rtl/>
        </w:rPr>
        <w:t xml:space="preserve">و اعترض علیه بأنه لم لا یجوز أن تکون ماهیته علة مقتضیة لوجوده و هی متقدمة علیه تقدما بالماهیة کما أن أجزاء الماهیة علل قوامها و هی متقدمة علیها تقدما بالماهیة لا بالوجود و دفع بأن الضرورة قائمة علی توقف المعلول فی نحو وجوده علی وجود علته فتقدم العلة فی نحو ثبوت المعلول غیر أنه أشد فإن کان ثبوت المعلول ثبوتا خارجیا کان تقدم العلة علیه فی الوجود الخارجی و إن کان ثبوتا ذهنیا فکذلک و إذ کان وجود الواجب لذاته حقیقیا خارجیا و کانت له ماهیة هی علة موجبة لوجوده کان من الواجب أن یتقدم ماهیته علیه فی الوجود الخارجی لا فی الثبوت الماهوی فالمحذور علی حاله حجة أخری کل ماهیة فإن العقل یجوز بالنظر إلی ذاتها أن یتحقق لها وراء ما وجد لها من الأفراد أفراد أخر إلی ما لا نهایة له فما لم یتحقق من فرد فلامتناعه بالغیر إذ لو کان لامتناعه بذاته لم یتحقق منه فرد أصلا فإذا فرض هذا الذی له ماهیة واجبا بالذات کانت ماهیته کلیة لها وراء ما وجد من أفراده فی الخارج أفراد معدومة جائزة الوجود بالنظر إلی نفس الماهیة و إنما امتنعت بالغیر و من المعلوم أن الامتناع بالغیر لا یجامع الوجوب</w:t>
      </w:r>
    </w:p>
    <w:p>
      <w:pPr>
        <w:pStyle w:val="BookText"/>
      </w:pPr>
      <w:r>
        <w:rPr>
          <w:rFonts w:ascii="IRNazanin" w:hAnsi="IRNazanin" w:eastAsia="IRNazanin" w:cs="IRNazanin"/>
          <w:lang w:bidi="fa-IR"/>
          <w:color w:val="111111"/>
          <w:sz w:val="28"/>
          <w:szCs w:val="28"/>
          <w:rtl/>
        </w:rPr>
        <w:t xml:space="preserve">[شماره صفحه واقعی : 52]</w:t>
      </w:r>
    </w:p>
    <w:p>
      <w:pPr>
        <w:pStyle w:val="BookText"/>
      </w:pPr>
      <w:r>
        <w:rPr>
          <w:rFonts w:ascii="IRNazanin" w:hAnsi="IRNazanin" w:eastAsia="IRNazanin" w:cs="IRNazanin"/>
          <w:lang w:bidi="fa-IR"/>
          <w:color w:val="111111"/>
          <w:sz w:val="28"/>
          <w:szCs w:val="28"/>
          <w:rtl/>
        </w:rPr>
        <w:t xml:space="preserve">ص: 1273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بالذات و قد تقدم أن کل واجب بالغیر و ممتنع بالغیر فهو ممکن فإذن الواجب بالذات لا ماهیة له وراء وجوده الخاص.</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اعترض علیه بأنه لم لا یجوز أن یکون للواجب بالذات حقیقة وجودیة غیر زائدة علی ذاته بل هو عین ذاته ثم العقل یحلله إلی وجود و معروض له جزئی شخصی غیر کلی هو ماهیته و دفع بأنه مبنی علی ما هو الحق من أن التشخص بالوجود لا غیر و سیأتی فی مباحث الماهیة.</w:t>
      </w:r>
    </w:p>
    <w:p>
      <w:pPr>
        <w:pStyle w:val="BookText"/>
      </w:pPr>
      <w:r>
        <w:rPr>
          <w:rFonts w:ascii="IRNazanin" w:hAnsi="IRNazanin" w:eastAsia="IRNazanin" w:cs="IRNazanin"/>
          <w:lang w:bidi="fa-IR"/>
          <w:color w:val="111111"/>
          <w:sz w:val="28"/>
          <w:szCs w:val="28"/>
          <w:rtl/>
        </w:rPr>
        <w:t xml:space="preserve">فقد تبین بما مر أن الواجب بالذات حقیقة وجودیة لا ماهیة لها تحدها هی بذاتها واجبة الوجود من دون حاجة إلی انضمام حیثیة تعلیلیة أو تقییدیة و هی الضرورة الأزلیة و قد تقدم فی المرحلة الأولی أن الوجود حقیقة عینیة مشککة ذات مراتب مختلفة کل مرتبة من مراتبها تجد الکمال الوجودی الذی لما دونها و تقومه و تتقوم بما فوقها فاقدة بعض ما له من الکمال و هو النقص و الحاجة إلا المرتبة التی هی أعلی المراتب التی تجد کل کمال و لا تفقد شیئا منه و تقوم بها کل مرتبة و لا تقوم بشی‌ء وراء ذاتها.</w:t>
      </w:r>
    </w:p>
    <w:p>
      <w:pPr>
        <w:pStyle w:val="BookText"/>
      </w:pPr>
      <w:r>
        <w:rPr>
          <w:rFonts w:ascii="IRNazanin" w:hAnsi="IRNazanin" w:eastAsia="IRNazanin" w:cs="IRNazanin"/>
          <w:lang w:bidi="fa-IR"/>
          <w:color w:val="111111"/>
          <w:sz w:val="28"/>
          <w:szCs w:val="28"/>
          <w:rtl/>
        </w:rPr>
        <w:t xml:space="preserve">فتنطبق الحقیقة الواجبیة علی القول بالتشکیک علی المرتبة التی هی أعلی المراتب التی لیس وراءها مرتبة تحدها و لا فی الوجود کمال تفقده و لا فی ذاتها نقص أو عدم یشوبها و لا حاجة تقیدها و ما یلزمها من الصفات السلبیة مرجعها إلی سلب السلب و انتفاء النقص و الحاجة و هو الإیجاب و بذلک یندفع وجوه من الاعتراض أوردوها علی القول بنفی الماهیة عن الواجب بالذات منها أن حقیقة الواجب بالذات لا تساوی حقیقة شی‌ء مما سواها لأن حقیقة غیره تقتضی الإمکان و حقیقته تنافیه و وجوده یساوی وجود الممکن فی أنه وجود فحقیقته غیر وجوده و إلا کان وجود کل ممکن واجبا.</w:t>
      </w:r>
    </w:p>
    <w:p>
      <w:pPr>
        <w:pStyle w:val="BookText"/>
      </w:pPr>
      <w:r>
        <w:rPr>
          <w:rFonts w:ascii="IRNazanin" w:hAnsi="IRNazanin" w:eastAsia="IRNazanin" w:cs="IRNazanin"/>
          <w:lang w:bidi="fa-IR"/>
          <w:color w:val="111111"/>
          <w:sz w:val="28"/>
          <w:szCs w:val="28"/>
          <w:rtl/>
        </w:rPr>
        <w:t xml:space="preserve">و منها أنه لو کان وجود الواجب بالذات مجردا عن الماهیة فحصول هذا</w:t>
      </w:r>
    </w:p>
    <w:p>
      <w:pPr>
        <w:pStyle w:val="BookText"/>
      </w:pPr>
      <w:r>
        <w:rPr>
          <w:rFonts w:ascii="IRNazanin" w:hAnsi="IRNazanin" w:eastAsia="IRNazanin" w:cs="IRNazanin"/>
          <w:lang w:bidi="fa-IR"/>
          <w:color w:val="111111"/>
          <w:sz w:val="28"/>
          <w:szCs w:val="28"/>
          <w:rtl/>
        </w:rPr>
        <w:t xml:space="preserve">[شماره صفحه واقعی : 53]</w:t>
      </w:r>
    </w:p>
    <w:p>
      <w:pPr>
        <w:pStyle w:val="BookText"/>
      </w:pPr>
      <w:r>
        <w:rPr>
          <w:rFonts w:ascii="IRNazanin" w:hAnsi="IRNazanin" w:eastAsia="IRNazanin" w:cs="IRNazanin"/>
          <w:lang w:bidi="fa-IR"/>
          <w:color w:val="111111"/>
          <w:sz w:val="28"/>
          <w:szCs w:val="28"/>
          <w:rtl/>
        </w:rPr>
        <w:t xml:space="preserve">ص: 1274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له إن کان لذاته کان وجود کل ممکن واجبا لاشتراک الوجود و هو محال و إن کان لغیره لزمت الحاجة إلی الغیر و لازمه الإمکان و هو خلف.</w:t>
      </w:r>
    </w:p>
    <w:p>
      <w:pPr>
        <w:pStyle w:val="BookText"/>
      </w:pPr>
      <w:r>
        <w:rPr>
          <w:rFonts w:ascii="IRNazanin" w:hAnsi="IRNazanin" w:eastAsia="IRNazanin" w:cs="IRNazanin"/>
          <w:lang w:bidi="fa-IR"/>
          <w:color w:val="111111"/>
          <w:sz w:val="28"/>
          <w:szCs w:val="28"/>
          <w:rtl/>
        </w:rPr>
        <w:t xml:space="preserve">و منها أن الواجب بالذات مبدأ للممکنات فعلی تجرده عن الماهیة إن کانت مبدئیته لذاته لزم أن یکون کل وجود کذلک و لازمه کون کل ممکن علة لنفسه و لعلله و هو بین الاستحالة و إن کانت لوجوده مع قید التجرد لزم ترکب المبدإ الأول بل عدمه لکون أحد جزأیه و هو التجرد عدمیا و إن کانت بشرط التجرد لزم جواز أن یکون کل وجود مبدأ لکل وجود إلا أن الحکم تخلف عنه لفقدان الشرط و هو التجرد.</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منها أن الواجب بذاته إن کان نفس الکون فی الأعیان و هو الکون المطلق لزم کون کل موجود واجبا و إن کان هو الکون مع قید التجرد عن الماهیة لزم ترکب الواجب مع أنه معنی عدمی لا یصلح أن یکون جزءا للواجب و إن کان هو الکون بشرط التجرد لم یکن الواجب بالذات واجبا بذاته و إن کان غیر الکون فی الأعیان فإن کان بدون الکون لزم أن لا یکون موجودا فلا یعقل وجود بدون الکون و إن کان الکون داخلا لزم الترکب و التوالی المتقدمة کلها ظاهرة البطلان و إن کان الکون خارجا عنه فوجوده خارج عن حقیقته و هو المطلوب إلی غیر ذلک من الاعتراضات.</w:t>
      </w:r>
    </w:p>
    <w:p>
      <w:pPr>
        <w:pStyle w:val="BookText"/>
      </w:pPr>
      <w:r>
        <w:rPr>
          <w:rFonts w:ascii="IRNazanin" w:hAnsi="IRNazanin" w:eastAsia="IRNazanin" w:cs="IRNazanin"/>
          <w:lang w:bidi="fa-IR"/>
          <w:color w:val="111111"/>
          <w:sz w:val="28"/>
          <w:szCs w:val="28"/>
          <w:rtl/>
        </w:rPr>
        <w:t xml:space="preserve">و وجه اندفاعها أن المراد بالوجود المأخوذ فیها إما المفهوم العام البدیهی و هو معنی عقلی اعتباری غیر الوجود الواجبی الذی هو حقیقة عینیة خاصة بالواجب و إما طبیعة کلیة مشترکة متواطئة متساویة المصادیق فالوجود العینی حقیقة مشککة مختلفة المراتب أعلی مراتبها الوجود الخاص بالواجب بالذات و أیضا التجرد عن الماهیة لیس وصفا عدمیا بل هو فی معنی نفی الحد الذی هو من سلب السلب الراجع إلی الإیجاب و قد تبین أیضا أن ضرورة الوجود للواجب بالذات ضرورة أزلیة لا ذاتیة</w:t>
      </w:r>
    </w:p>
    <w:p>
      <w:pPr>
        <w:pStyle w:val="BookText"/>
      </w:pPr>
      <w:r>
        <w:rPr>
          <w:rFonts w:ascii="IRNazanin" w:hAnsi="IRNazanin" w:eastAsia="IRNazanin" w:cs="IRNazanin"/>
          <w:lang w:bidi="fa-IR"/>
          <w:color w:val="111111"/>
          <w:sz w:val="28"/>
          <w:szCs w:val="28"/>
          <w:rtl/>
        </w:rPr>
        <w:t xml:space="preserve">[شماره صفحه واقعی : 54]</w:t>
      </w:r>
    </w:p>
    <w:p>
      <w:pPr>
        <w:pStyle w:val="BookText"/>
      </w:pPr>
      <w:r>
        <w:rPr>
          <w:rFonts w:ascii="IRNazanin" w:hAnsi="IRNazanin" w:eastAsia="IRNazanin" w:cs="IRNazanin"/>
          <w:lang w:bidi="fa-IR"/>
          <w:color w:val="111111"/>
          <w:sz w:val="28"/>
          <w:szCs w:val="28"/>
          <w:rtl/>
        </w:rPr>
        <w:t xml:space="preserve">ص: 1275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509" w:name="pg14419_167991"/>
    <w:bookmarkEnd w:id="509"/>
    <w:p>
      <w:pPr>
        <w:pStyle w:val="BookText"/>
      </w:pPr>
      <w:r>
        <w:rPr>
          <w:rFonts w:ascii="IRNazanin" w:hAnsi="IRNazanin" w:eastAsia="IRNazanin" w:cs="IRNazanin"/>
          <w:lang w:bidi="fa-IR"/>
          <w:color w:val="111111"/>
          <w:sz w:val="28"/>
          <w:szCs w:val="28"/>
          <w:rtl/>
        </w:rPr>
        <w:t xml:space="preserve">و لا وصفیة فإن من الضرورة ما هی أزلیة و هی ضرورة ثبوت المحمول للموضوع بذاته من دون أی قید و شرط کقولنا الواجب موجود بالضرورة و منها ضرورة ذاتیة و هی ضرورة ثبوت المحمول لذات الموضوع مع الوجود لا بالوجود سواء کان ذات الموضوع علة للمحمول کقولنا کل مثلث فإن زوایاه الثلاث مساویة لقائمتین بالضرورة فإن ماهیة المثلث علة للمساواة إذا کانت موجودة أو لم یکن ذات الموضوع علة لثبوت المحمول کقولنا کل إنسان إنسان بالضرورة أو حیوان أو ناطق بالضرورة فإن ضرورة ثبوت الشی‌ء لنفسه بمعنی عدم الانفکاک حال الوجود من دون أن یکون الذات علة لنفسه و منها ضرورة وصفیة و هی ضرورة ثبوت المحمول للموضوع بوصفه مع الوجود لا بالوجود کقولنا کل کاتب متحرک الأصابع بالضرورة ما دام کاتبا و قد تقدمت إشارة إلیها.</w:t>
      </w:r>
    </w:p>
    <w:p>
      <w:pPr>
        <w:pStyle w:val="Heading5"/>
      </w:pPr>
      <w:bookmarkStart w:id="1483" w:name="_Toc923"/>
      <w:r>
        <w:t>الفصل الرابع فی أن واجب الوجود بالذات واجب الوجود من جمیع الجهات</w:t>
      </w:r>
      <w:bookmarkEnd w:id="14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واجب الوجود بالذات واجب الوجود من جمیع الجهات</w:t>
      </w:r>
    </w:p>
    <w:p>
      <w:pPr>
        <w:pStyle w:val="BookText"/>
      </w:pPr>
      <w:r>
        <w:rPr>
          <w:rFonts w:ascii="IRNazanin" w:hAnsi="IRNazanin" w:eastAsia="IRNazanin" w:cs="IRNazanin"/>
          <w:lang w:bidi="fa-IR"/>
          <w:color w:val="111111"/>
          <w:sz w:val="28"/>
          <w:szCs w:val="28"/>
          <w:rtl/>
        </w:rPr>
        <w:t xml:space="preserve">قال صدر المتألهین رحمه الله : المقصود من هذا أن واجب الوجود لیس فیه جهة إمکانیة فإن کل ما یمکن له بالإمکان العام فهو واجب له و من فروع هذه الخاصة أنه لیس له حالة منتظرة فإن ذلک أصل یترتب علیه هذا الحکم و لیس هذا عینه کما زعمه کثیر من الناس فإن ذلک هو</w:t>
      </w:r>
    </w:p>
    <w:p>
      <w:pPr>
        <w:pStyle w:val="BookText"/>
      </w:pPr>
      <w:r>
        <w:rPr>
          <w:rFonts w:ascii="IRNazanin" w:hAnsi="IRNazanin" w:eastAsia="IRNazanin" w:cs="IRNazanin"/>
          <w:lang w:bidi="fa-IR"/>
          <w:color w:val="111111"/>
          <w:sz w:val="28"/>
          <w:szCs w:val="28"/>
          <w:rtl/>
        </w:rPr>
        <w:t xml:space="preserve">[شماره صفحه واقعی : 55]</w:t>
      </w:r>
    </w:p>
    <w:p>
      <w:pPr>
        <w:pStyle w:val="BookText"/>
      </w:pPr>
      <w:r>
        <w:rPr>
          <w:rFonts w:ascii="IRNazanin" w:hAnsi="IRNazanin" w:eastAsia="IRNazanin" w:cs="IRNazanin"/>
          <w:lang w:bidi="fa-IR"/>
          <w:color w:val="111111"/>
          <w:sz w:val="28"/>
          <w:szCs w:val="28"/>
          <w:rtl/>
        </w:rPr>
        <w:t xml:space="preserve">ص: 1276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یعد من خواص الواجب دون هذا لاتصاف المفارقات النوریة به إذ لو کان للمفارق حالة منتظرة کمالیة یمکن حصولها فیه لاستلزم تحقق الإمکان الاستعدادی فیه و الانفعال عن عالم الحرکة و الأوضاع الجرمانیة و ذلک یوجب تجسمه و تکدره مع کونه مجردا نوریا هذا خلف انتهی. (ج 1 ص 122)</w:t>
      </w:r>
    </w:p>
    <w:p>
      <w:pPr>
        <w:pStyle w:val="BookText"/>
      </w:pPr>
      <w:r>
        <w:rPr>
          <w:rFonts w:ascii="IRNazanin" w:hAnsi="IRNazanin" w:eastAsia="IRNazanin" w:cs="IRNazanin"/>
          <w:lang w:bidi="fa-IR"/>
          <w:color w:val="111111"/>
          <w:sz w:val="28"/>
          <w:szCs w:val="28"/>
          <w:rtl/>
        </w:rPr>
        <w:t xml:space="preserve">و الحجة فیه أنه لو کان للواجب بالذات المنزه عن الماهیة بالنسبة إلی صفة کمالیة من الکمالات الوجودیة جهة إمکانیة کانت ذاته فی ذاته فاقدة لها مستقرا فیها عدمها فکانت مرکبة من وجود و عدم و لازمه ترکب الذات و لازم الترکب الحاجة و لازم الحاجة الإمکان و المفروض وجوبه هذا خلف .</w:t>
      </w:r>
    </w:p>
    <w:p>
      <w:pPr>
        <w:pStyle w:val="BookText"/>
      </w:pPr>
      <w:r>
        <w:rPr>
          <w:rFonts w:ascii="IRNazanin" w:hAnsi="IRNazanin" w:eastAsia="IRNazanin" w:cs="IRNazanin"/>
          <w:lang w:bidi="fa-IR"/>
          <w:color w:val="111111"/>
          <w:sz w:val="28"/>
          <w:szCs w:val="28"/>
          <w:rtl/>
        </w:rPr>
        <w:t xml:space="preserve">حجة أخری أن ذات الواجب بالذات لو لم تکن کافیة فی وجوب شی‌ء من الصفات الکمالیة التی یمکن أن تتصف بها کانت محتاجة فیه إلی الغیر و حینئذ لو اعتبرنا الذات الواجبة بالذات فی نفسها مع قطع النظر عن ذلک الغیر وجودا و عدما فإن کانت واجبة مع وجود تلک الصفة لغت علیه ذلک الغیر و قد فرض علة هذا خلف و إن کانت واجبة مع عدم تلک الصفة لزم الخلف أیضا .</w:t>
      </w:r>
    </w:p>
    <w:p>
      <w:pPr>
        <w:pStyle w:val="BookText"/>
      </w:pPr>
      <w:r>
        <w:rPr>
          <w:rFonts w:ascii="IRNazanin" w:hAnsi="IRNazanin" w:eastAsia="IRNazanin" w:cs="IRNazanin"/>
          <w:lang w:bidi="fa-IR"/>
          <w:color w:val="111111"/>
          <w:sz w:val="28"/>
          <w:szCs w:val="28"/>
          <w:rtl/>
        </w:rPr>
        <w:t xml:space="preserve">و أورد علیها أن عدم اعتبار العلة بحسب اعتبار العقل لا ینافی تحققها فی نفس الأمر کما أن اعتبار الماهیة من حیث هی هی و خلوها بحسب هذا الاعتبار عن الوجود و العدم و العلة الموجبة لهما لا ینافی اتصافها فی الخارج بأحدهما و حصول علته و رد بأنه قیاس مع الفارق فإن حیثیة الماهیة من حیث هی غیر حیثیة الواقع فمن الجائز أن یعتبرها العقل و یقصر النظر إلیها من حیث هی من دون ملاحظة غیرها من وجود و عدم و علتهما و هذا بخلاف الوجود العینی فإن حیثیة ذاته عین حیثیة الواقع و متن التحقق فلا یمکن اعتباره بدون اعتبار جمیع ما یرتبط به من علة و شرط</w:t>
      </w:r>
    </w:p>
    <w:p>
      <w:pPr>
        <w:pStyle w:val="BookText"/>
      </w:pPr>
      <w:r>
        <w:rPr>
          <w:rFonts w:ascii="IRNazanin" w:hAnsi="IRNazanin" w:eastAsia="IRNazanin" w:cs="IRNazanin"/>
          <w:lang w:bidi="fa-IR"/>
          <w:color w:val="111111"/>
          <w:sz w:val="28"/>
          <w:szCs w:val="28"/>
          <w:rtl/>
        </w:rPr>
        <w:t xml:space="preserve">[شماره صفحه واقعی : 56]</w:t>
      </w:r>
    </w:p>
    <w:p>
      <w:pPr>
        <w:pStyle w:val="BookText"/>
      </w:pPr>
      <w:r>
        <w:rPr>
          <w:rFonts w:ascii="IRNazanin" w:hAnsi="IRNazanin" w:eastAsia="IRNazanin" w:cs="IRNazanin"/>
          <w:lang w:bidi="fa-IR"/>
          <w:color w:val="111111"/>
          <w:sz w:val="28"/>
          <w:szCs w:val="28"/>
          <w:rtl/>
        </w:rPr>
        <w:t xml:space="preserve">ص: 1277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تقریر الحجة بوجه آخر و هو أن عدم کفایة الذات فی وجوب صفة من صفاته الکمالیة یستدعی حاجته فی وجوبها إلی الغیر فهو العلة الموجبة و لازمه أن یتصف الواجب بالذات بالوجوب الغیری و قد تقدمت استحالته.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أورد علی أصل المسألة بأنه منقوض بالنسب و الإضافات اللاحقة للذات الواجبیة من قبل أفعاله المتعلقة بمعلولاته الممکنة الحادثة فإن النسب و الإضافات قائمة بأطرافها تابعة لها فی الإمکان کالخلق و الرزق و الإحیاء و الإماتة و غیرها.و یندفع بأن هذه النسب و الإضافات و الصفات المأخوذة منها کما سیأتی بیانه معان منتزعة من مقام الفعل لا من مقام الذات،نعم لوجود هذه النسب و الإضافات ارتباط واقعی به تعالی و الصفات المأخوذة منها للذات واجبة بوجوبها فکونه تعالی بحیث یخلق و کونه بحیث یرزق إلی غیر ذلک صفات واجبة و مرجعها إلی الإضافة الإشراقیة و سیأتی تفصیل القول فیه فیما سیأتی إن شاء الله تعالی.</w:t>
      </w:r>
    </w:p>
    <w:p>
      <w:pPr>
        <w:pStyle w:val="BookText"/>
      </w:pPr>
      <w:r>
        <w:rPr>
          <w:rFonts w:ascii="IRNazanin" w:hAnsi="IRNazanin" w:eastAsia="IRNazanin" w:cs="IRNazanin"/>
          <w:lang w:bidi="fa-IR"/>
          <w:color w:val="111111"/>
          <w:sz w:val="28"/>
          <w:szCs w:val="28"/>
          <w:rtl/>
        </w:rPr>
        <w:t xml:space="preserve">و قد تبین بما مر أولا أن الوجود الواجبی وجود صرف لا ماهیة له و لا عدم معه فله کل کمال فی الوجود و ثانیا أنه واحد وحدة الصرافة و هی المسماة بالوحدة الحقة بمعنی أن کل ما فرضته ثانیا له امتاز عنه بالضرورة بشی‌ء من الکمال لیس فیه فترکبت الذات من وجود و عدم و خرجت عن محوضة الوجود و صرافته و قد فرض صرفا هذا خلف فهو فی ذاته البحتة بحیث کلما فرضت له ثانیا عاد أولا و هذا هو المراد بقولهم إنه واحد لا بالعدد</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ثالثا أنه بسیط لا جزء له لا عقلا و لا خارجا و إلا خرج عن صرافة الوجود و قد فرض صرفا هذا خلف</w:t>
      </w:r>
    </w:p>
    <w:p>
      <w:pPr>
        <w:pStyle w:val="BookText"/>
      </w:pPr>
      <w:r>
        <w:rPr>
          <w:rFonts w:ascii="IRNazanin" w:hAnsi="IRNazanin" w:eastAsia="IRNazanin" w:cs="IRNazanin"/>
          <w:lang w:bidi="fa-IR"/>
          <w:color w:val="111111"/>
          <w:sz w:val="28"/>
          <w:szCs w:val="28"/>
          <w:rtl/>
        </w:rPr>
        <w:t xml:space="preserve">[شماره صفحه واقعی : 57]</w:t>
      </w:r>
    </w:p>
    <w:p>
      <w:pPr>
        <w:pStyle w:val="BookText"/>
      </w:pPr>
      <w:r>
        <w:rPr>
          <w:rFonts w:ascii="IRNazanin" w:hAnsi="IRNazanin" w:eastAsia="IRNazanin" w:cs="IRNazanin"/>
          <w:lang w:bidi="fa-IR"/>
          <w:color w:val="111111"/>
          <w:sz w:val="28"/>
          <w:szCs w:val="28"/>
          <w:rtl/>
        </w:rPr>
        <w:t xml:space="preserve">ص: 1278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510" w:name="pg14419_167994"/>
    <w:bookmarkEnd w:id="510"/>
    <w:p>
      <w:pPr>
        <w:pStyle w:val="BookText"/>
      </w:pPr>
      <w:r>
        <w:rPr>
          <w:rFonts w:ascii="IRNazanin" w:hAnsi="IRNazanin" w:eastAsia="IRNazanin" w:cs="IRNazanin"/>
          <w:lang w:bidi="fa-IR"/>
          <w:color w:val="111111"/>
          <w:sz w:val="28"/>
          <w:szCs w:val="28"/>
          <w:rtl/>
        </w:rPr>
        <w:t xml:space="preserve">و رابعا أن ما انتزع عنه وجوبه هو بعینه ما انتزع عنه وجوده و لازمه أن کل صفة من صفاته و هی جمیعا واجبة عین الصفة الأخری و هی جمیعا عین الذات المتعالیة و خامسا أن الوجوب من شئون الوجود الواجبی کالوحدة غیر خارج من ذاته و هو تأکد الوجود الذی مرجعه صراحة مناقضته لمطلق العدم و طرده له فیمتنع طرو العدم علیه و الوجود الإمکانی أیضا و إن کان مناقضا للعدم مطاردا له إلا أنه لما کان رابطا بالنسبة إلی علته التی هی الواجب بالذات بلا واسطة أو معها و هو قائم بها غیر مستقل عنها بوجه لم یکن محکوما بحکم فی نفسه إلا بانضمام علته إلیه فهو واجب بإیجاب علته التی هی الواجب بالذات یأبی العدم و یطرده بانضمامها إلیه.</w:t>
      </w:r>
    </w:p>
    <w:p>
      <w:pPr>
        <w:pStyle w:val="Heading5"/>
      </w:pPr>
      <w:bookmarkStart w:id="1484" w:name="_Toc924"/>
      <w:r>
        <w:t>الفصل الخامس الشی‌ء ما لم یجب لم یوجد و فیه بطلان القول بالأولویة</w:t>
      </w:r>
      <w:bookmarkEnd w:id="1484"/>
    </w:p>
    <w:p>
      <w:pPr>
        <w:pStyle w:val="BookText"/>
      </w:pPr>
      <w:r>
        <w:rPr>
          <w:rFonts w:ascii="IRNazanin" w:hAnsi="IRNazanin" w:eastAsia="IRNazanin" w:cs="IRNazanin"/>
          <w:lang w:bidi="fa-IR"/>
          <w:color w:val="111111"/>
          <w:sz w:val="28"/>
          <w:szCs w:val="28"/>
          <w:rtl/>
        </w:rPr>
        <w:t xml:space="preserve">قد تقدم أن الماهیة فی مرتبة ذاتها لیست إلا هی لا موجودة و لا معدومة و لا أی شی‌ء آخر مسلوبة عنها ضرورة الوجود و ضرورة العدم سلبا تحصیلیا و هو الإمکان فهی عند العقل متساویة النسبة إلی الوجود و العدم فلا یرتاب العقل فی أن تلبسها بواحد من الوجود و العدم لا یستند إلیها لمکان استواء النسبة و لا أنه یحصل من غیر سبب بل یتوقف علی أمر وراء الماهیة یخرجها من حد الاستواء و یرجح لها الوجود أو العدم و هو العلة و لیس ترجیح جانب الوجود بالعلة إلا بإیجاب الوجود إذ لو لا الإیجاب لم یتعین الوجود لها بل کانت جائزة الطرفین و لم ینقطع السؤال أنها لم صارت موجودة مع جواز</w:t>
      </w:r>
    </w:p>
    <w:p>
      <w:pPr>
        <w:pStyle w:val="BookText"/>
      </w:pPr>
      <w:r>
        <w:rPr>
          <w:rFonts w:ascii="IRNazanin" w:hAnsi="IRNazanin" w:eastAsia="IRNazanin" w:cs="IRNazanin"/>
          <w:lang w:bidi="fa-IR"/>
          <w:color w:val="111111"/>
          <w:sz w:val="28"/>
          <w:szCs w:val="28"/>
          <w:rtl/>
        </w:rPr>
        <w:t xml:space="preserve">[شماره صفحه واقعی : 58]</w:t>
      </w:r>
    </w:p>
    <w:p>
      <w:pPr>
        <w:pStyle w:val="BookText"/>
      </w:pPr>
      <w:r>
        <w:rPr>
          <w:rFonts w:ascii="IRNazanin" w:hAnsi="IRNazanin" w:eastAsia="IRNazanin" w:cs="IRNazanin"/>
          <w:lang w:bidi="fa-IR"/>
          <w:color w:val="111111"/>
          <w:sz w:val="28"/>
          <w:szCs w:val="28"/>
          <w:rtl/>
        </w:rPr>
        <w:t xml:space="preserve">ص: 1279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لها فلا یتم من العلة إیجاد إلا بإیجاب الوجود للمعلول قبل ذلک.</w:t>
      </w:r>
    </w:p>
    <w:p>
      <w:pPr>
        <w:pStyle w:val="BookText"/>
      </w:pPr>
      <w:r>
        <w:rPr>
          <w:rFonts w:ascii="IRNazanin" w:hAnsi="IRNazanin" w:eastAsia="IRNazanin" w:cs="IRNazanin"/>
          <w:lang w:bidi="fa-IR"/>
          <w:color w:val="111111"/>
          <w:sz w:val="28"/>
          <w:szCs w:val="28"/>
          <w:rtl/>
        </w:rPr>
        <w:t xml:space="preserve">و القول فی علة العدم و إعطائها الامتناع للمعلول نظیر القول فی علة الوجود و إعطائها الوجوب فعلة الوجود لا تتم علة إلا إذا صارت موجبة و علة العدم لا تتم علة إلا إذا کانت بحیث تفید امتناع معلولها فالشی‌ء ما لم یجب لم یوجد و ما لم یمتنع لم یعدم.</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قول بعضهم إن وجوب وجود المعلول یستلزم کون العلة علی الإطلاق موجبة بفتح الجیم غیر مختارة فیلزم کون الواجب تعالی موجبا فی فعله غیر مختار و هو محال فیدفعه أن هذا الوجوب الذی یتلبس به المعلول وجوب غیری و وجوب المعلول منتزع من وجوده لا یتعداه و من الممتنع أن یؤثر المعلول فی وجود علته و هو مترتب علیه متأخر عنه قائم به و قد ظهر بما تقدم بطلان القول بالأولویة علی أقسامها توضیحه أن قوما من المتکلمین زعما منهم أن القول باتصاف الممکن بالوجوب فی ترجح أحد جانبی الوجود و العدم له یستلزم کون الواجب فی مبدئیته للإیجاد فاعلا موجبا بفتح الجیم تعالی عن ذلک و تقدس.ذهبوا إلی أن ترجح أحد الجانبین له بخروج الماهیة عن حد الاستواء إلی أحد الجانبین بکون الوجود أولی له أو العدم أولی له من دون أن یبلغ أحد الجانبین فیخرج به من حد الإمکان فقد ترجح الموجود من الماهیات بکون الوجود أولی له من غیر وجوب و المعدوم منها بکون العدم أولی له من غیر وجوب و قد قسموا الأولویة إلی ذاتیة تقتضیها الماهیة بذاتها أو لا تنفک عنها و غیر ذاتیة تفیدها العلة الخارجة و کل من القسمین إما کافیة فی وقوع المعلول و إما غیر کافیة و نقل عن بعض القدماء أنهم اعتبروا أولویة الوجود فی بعض</w:t>
      </w:r>
    </w:p>
    <w:p>
      <w:pPr>
        <w:pStyle w:val="BookText"/>
      </w:pPr>
      <w:r>
        <w:rPr>
          <w:rFonts w:ascii="IRNazanin" w:hAnsi="IRNazanin" w:eastAsia="IRNazanin" w:cs="IRNazanin"/>
          <w:lang w:bidi="fa-IR"/>
          <w:color w:val="111111"/>
          <w:sz w:val="28"/>
          <w:szCs w:val="28"/>
          <w:rtl/>
        </w:rPr>
        <w:t xml:space="preserve">[شماره صفحه واقعی : 59]</w:t>
      </w:r>
    </w:p>
    <w:p>
      <w:pPr>
        <w:pStyle w:val="BookText"/>
      </w:pPr>
      <w:r>
        <w:rPr>
          <w:rFonts w:ascii="IRNazanin" w:hAnsi="IRNazanin" w:eastAsia="IRNazanin" w:cs="IRNazanin"/>
          <w:lang w:bidi="fa-IR"/>
          <w:color w:val="111111"/>
          <w:sz w:val="28"/>
          <w:szCs w:val="28"/>
          <w:rtl/>
        </w:rPr>
        <w:t xml:space="preserve">ص: 1280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الموجودات و أثره أکثریة الوجود أو شدته و قوته أو کونه أقل شرطا للوقوع و اعتبروا أولویة العدم فی بعض آخر و أثره أقلیة الوجود أو ضعفه أو کونه أکثر شرطا للوقوع و نقل عن بعضهم اعتبارها فی طرف العدم بالنسبة إلی طائفة من الموجودات فقط و نقل عن بعضهم اعتبار أولویة العدم بالنسبة إلی جمیع الموجودات الممکنة لکون العدم أسهل وقوعا.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هذه أقوالهم علی اختلافها و قد بان بما تقدم فساد القول بالأولویة من أصلها فإن حصول الأولویة فی أحد جانبی الوجود و العدم لا ینقطع به جواز وقوع الطرف الآخر و السؤال فی تعین الطرف الأولی مع جواز الطرف الآخر علی حاله و إن ذهبت الأولویات إلی غیر النهایة حتی ینتهی إلی ما یتعین به الطرف الأولی و ینقطع به جواز الطرف الآخر و هو الوجوب علی أن فی القول بالأولویة إبطالا لضرورة توقف الماهیات الممکنة فی وجودها و عدمها علی علة إذ یجوز علیه أن یقع الجانب المرجوح مع حصول الأولویة للجانب الآخر و حضور علته التامة و قد تقدم أن الجانب المرجوح الواقع یستحیل تحقق علته حینئذ فهو فی وقوعه لا یتوقف علی علة هذا خلف و لهم فی رد هذه الأقوال وجوه أخر أوضحوا بها فسادها أغمضنا عن إیرادها بعد ظهور الحال بما تقدم و أما حدیث استلزام الوجوب الغیری أعنی وجوب المعلول بالعلة لکون العلة موجبة بفتح الجیم فواضح الفساد کما تقدم لأن هذا الوجوب انتزاع عقلی عن وجود المعلول غیر زائد علی وجوده و المعلول بتمام حقیقته أمر متفرع علی علته قائم الذات بها متأخر عنها و ما شأنه هذا لا یعقل أن یؤثر فی العلة و یفعل فیها و من فروع هذه المسألة أن القضایا التی جهتها الأولویة لیست ببرهانیة</w:t>
      </w:r>
    </w:p>
    <w:p>
      <w:pPr>
        <w:pStyle w:val="BookText"/>
      </w:pPr>
      <w:r>
        <w:rPr>
          <w:rFonts w:ascii="IRNazanin" w:hAnsi="IRNazanin" w:eastAsia="IRNazanin" w:cs="IRNazanin"/>
          <w:lang w:bidi="fa-IR"/>
          <w:color w:val="111111"/>
          <w:sz w:val="28"/>
          <w:szCs w:val="28"/>
          <w:rtl/>
        </w:rPr>
        <w:t xml:space="preserve">[شماره صفحه واقعی : 60]</w:t>
      </w:r>
    </w:p>
    <w:p>
      <w:pPr>
        <w:pStyle w:val="BookText"/>
      </w:pPr>
      <w:r>
        <w:rPr>
          <w:rFonts w:ascii="IRNazanin" w:hAnsi="IRNazanin" w:eastAsia="IRNazanin" w:cs="IRNazanin"/>
          <w:lang w:bidi="fa-IR"/>
          <w:color w:val="111111"/>
          <w:sz w:val="28"/>
          <w:szCs w:val="28"/>
          <w:rtl/>
        </w:rPr>
        <w:t xml:space="preserve">ص: 1281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511" w:name="pg14419_167997"/>
    <w:bookmarkEnd w:id="511"/>
    <w:p>
      <w:pPr>
        <w:pStyle w:val="BookText"/>
      </w:pPr>
      <w:r>
        <w:rPr>
          <w:rFonts w:ascii="IRNazanin" w:hAnsi="IRNazanin" w:eastAsia="IRNazanin" w:cs="IRNazanin"/>
          <w:lang w:bidi="fa-IR"/>
          <w:color w:val="111111"/>
          <w:sz w:val="28"/>
          <w:szCs w:val="28"/>
          <w:rtl/>
        </w:rPr>
        <w:t xml:space="preserve">إذ لا جهة إلا الضرورة و الإمکان.اللهم إلا أن یرجع المعنی إلی نوع من التشکیک تنبیه ما مر من وجوب الوجود للماهیة وجوب بالغیر سابق علی وجودها منتزع عنه و هناک وجوب آخر لاحق یلحق الماهیة الموجودة و یسمی الضرورة بشرط المحمول و ذلک أنه لو أمکن للماهیة المتلبسة بالوجود ما دامت متلبسة أن یطرأها العدم الذی یقابله و یطرده لکان فی ذلک إمکان اقتران النقیضین و هو محال. و لازمه استحالة انفکاک الوجود عنها ما دام التلبس و من حیثه و ذلک وجوب الوجود من هذه الحیثیة و نظیر البیان یجری فی الامتناع اللاحق للماهیة المعدومة فالماهیة الموجودة محفوفة بوجوبین و الماهیة المعدومة محفوفة بامتناعین و لیعلم أن هذا الوجوب اللاحق وجوب بالغیر کما أن الوجوب السابق کان بالغیر و ذلک لمکان انتزاعه من وجود الماهیة من حیث اتصاف الماهیة به کما أن الوجوب السابق منتزع منه من حیث انتسابه إلی العلة الفیاضة له.</w:t>
      </w:r>
    </w:p>
    <w:p>
      <w:pPr>
        <w:pStyle w:val="Heading5"/>
      </w:pPr>
      <w:bookmarkStart w:id="1485" w:name="_Toc925"/>
      <w:r>
        <w:t>الفصل السادس فی حاجة الممکن إلی العلة و أن علة حاجته إلی العلة هو الإمکان دون الحدوث</w:t>
      </w:r>
      <w:bookmarkEnd w:id="1485"/>
    </w:p>
    <w:p>
      <w:pPr>
        <w:pStyle w:val="Heading6"/>
      </w:pPr>
      <w:bookmarkStart w:id="1486" w:name="_Toc926"/>
      <w:r>
        <w:t>اشارة</w:t>
      </w:r>
      <w:bookmarkEnd w:id="14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حاجة الممکن أی توقفه فی تلبسه بالوجود أو العدم إلی أمر وراء ماهیته</w:t>
      </w:r>
    </w:p>
    <w:p>
      <w:pPr>
        <w:pStyle w:val="BookText"/>
      </w:pPr>
      <w:r>
        <w:rPr>
          <w:rFonts w:ascii="IRNazanin" w:hAnsi="IRNazanin" w:eastAsia="IRNazanin" w:cs="IRNazanin"/>
          <w:lang w:bidi="fa-IR"/>
          <w:color w:val="111111"/>
          <w:sz w:val="28"/>
          <w:szCs w:val="28"/>
          <w:rtl/>
        </w:rPr>
        <w:t xml:space="preserve">[شماره صفحه واقعی : 61]</w:t>
      </w:r>
    </w:p>
    <w:p>
      <w:pPr>
        <w:pStyle w:val="BookText"/>
      </w:pPr>
      <w:r>
        <w:rPr>
          <w:rFonts w:ascii="IRNazanin" w:hAnsi="IRNazanin" w:eastAsia="IRNazanin" w:cs="IRNazanin"/>
          <w:lang w:bidi="fa-IR"/>
          <w:color w:val="111111"/>
          <w:sz w:val="28"/>
          <w:szCs w:val="28"/>
          <w:rtl/>
        </w:rPr>
        <w:t xml:space="preserve">ص: 1282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الضروریات الأولیة التی لا یتوقف التصدیق بها علی أزید من تصور موضوعها و محمولها.فإنا إذا تصورنا الماهیة بما أنها ممکنة تستوی نسبتها إلی الوجود و العدم و توقف ترجح أحد الجانبین لها و تلبسها به علی أمر وراء الماهیة لم نلبث دون أن نصدق به،فاتصاف الممکن بأحد الوصفین أعنی الوجود و العدم متوقف علی أمر وراء نفسه و نسمیه العلة لا یرتاب فیه عقل سلیم.</w:t>
      </w:r>
    </w:p>
    <w:p>
      <w:pPr>
        <w:pStyle w:val="BookText"/>
      </w:pPr>
      <w:r>
        <w:rPr>
          <w:rFonts w:ascii="IRNazanin" w:hAnsi="IRNazanin" w:eastAsia="IRNazanin" w:cs="IRNazanin"/>
          <w:lang w:bidi="fa-IR"/>
          <w:color w:val="111111"/>
          <w:sz w:val="28"/>
          <w:szCs w:val="28"/>
          <w:rtl/>
        </w:rPr>
        <w:t xml:space="preserve">و أما تجویز اتصافه و هو ممکن مستوی النسبة إلی الطرفین بأحدهما لا لنفسه و لا لأمر وراء نفسه فخروج عن الفطرة الإنسانیة و هل علة حاجته إلی العلة هو الإمکان أو الحدوث.</w:t>
      </w:r>
    </w:p>
    <w:p>
      <w:pPr>
        <w:pStyle w:val="BookText"/>
      </w:pPr>
      <w:r>
        <w:rPr>
          <w:rFonts w:ascii="IRNazanin" w:hAnsi="IRNazanin" w:eastAsia="IRNazanin" w:cs="IRNazanin"/>
          <w:lang w:bidi="fa-IR"/>
          <w:color w:val="111111"/>
          <w:sz w:val="28"/>
          <w:szCs w:val="28"/>
          <w:rtl/>
        </w:rPr>
        <w:t xml:space="preserve">قال جمع من المتکلمین بالثانی و الحق هو الأول و به قالت الحکماء و استدلوا علیه بأن الماهیة باعتبار وجودها ضروریة الوجود و باعتبار عدمها ضروریة العدم و هاتان ضرورتان بشرط المحمول و الضرورة مناط الغنی عن العلة و السبب و الحدوث هو کون وجود الشی‌ء بعد عدمه و إن شئت فقل هو ترتب إحدی الضرورتین علی الأخری و الضرورة کما عرفت مناط الغنی عن السبب. فما لم تعتبر الماهیة بإمکانها لم یرتفع الغنی و لم تتحقق الحاجة و لا تتحقق الحاجة إلا بعلتها و لیس لها إلا الإمکان حجة أخری الحدوث و هو کون الوجود مسبوقا بالعدم صفة الوجود الخاص فهو مسبوق بوجود المعلول لتقدم الموصوف علی الصفة و الوجود مسبوق بإیجاد العلة و الإیجاد مسبوق بوجوب المعلول و وجوبه مسبوق بإیجاب العلة علی ما تقدم و إیجاب العلة مسبوق بحاجة المعلول و حاجة المعلول مسبوقة بإمکانه.إذ لو لم یکن ممکنا لکان إما واجبا و إما ممتنعا و الوجوب و الامتناع مناط الغنی عن العلة فلو کان الحدوث علة للحاجة و العلة متقدمة علی معلولها بالضرورة لکان متقدما علی نفسه بمراتب و هو محال.</w:t>
      </w:r>
    </w:p>
    <w:p>
      <w:pPr>
        <w:pStyle w:val="BookText"/>
      </w:pPr>
      <w:r>
        <w:rPr>
          <w:rFonts w:ascii="IRNazanin" w:hAnsi="IRNazanin" w:eastAsia="IRNazanin" w:cs="IRNazanin"/>
          <w:lang w:bidi="fa-IR"/>
          <w:color w:val="111111"/>
          <w:sz w:val="28"/>
          <w:szCs w:val="28"/>
          <w:rtl/>
        </w:rPr>
        <w:t xml:space="preserve">فالعلة هی الإمکان إذ لا یسبقها مما یصلح للعلیة غیره و الحاجة تدور معه وجودا و عدما و الحجة تنفی کون الحدوث مما یتوقف علیه الحاجة بجمیع احتمالاته من</w:t>
      </w:r>
    </w:p>
    <w:p>
      <w:pPr>
        <w:pStyle w:val="BookText"/>
      </w:pPr>
      <w:r>
        <w:rPr>
          <w:rFonts w:ascii="IRNazanin" w:hAnsi="IRNazanin" w:eastAsia="IRNazanin" w:cs="IRNazanin"/>
          <w:lang w:bidi="fa-IR"/>
          <w:color w:val="111111"/>
          <w:sz w:val="28"/>
          <w:szCs w:val="28"/>
          <w:rtl/>
        </w:rPr>
        <w:t xml:space="preserve">[شماره صفحه واقعی : 62]</w:t>
      </w:r>
    </w:p>
    <w:p>
      <w:pPr>
        <w:pStyle w:val="BookText"/>
      </w:pPr>
      <w:r>
        <w:rPr>
          <w:rFonts w:ascii="IRNazanin" w:hAnsi="IRNazanin" w:eastAsia="IRNazanin" w:cs="IRNazanin"/>
          <w:lang w:bidi="fa-IR"/>
          <w:color w:val="111111"/>
          <w:sz w:val="28"/>
          <w:szCs w:val="28"/>
          <w:rtl/>
        </w:rPr>
        <w:t xml:space="preserve">ص: 1283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الحدوث علة وحده و کون العلة هو الإمکان و الحدوث جمیعا و کون الحدوث علة و الإمکان شرطا و کون الإمکان علة و الحدوث شرطا أو عدم الحدوث مانعا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استدلوا علی نفی علیة الإمکان وحده للحاجة بأنه لو کان علة الحاجة إلی العلة هو الإمکان من دون الحدوث جاز أن یوجد القدیم الزمانی و هو الذی لا یسبقه عدم زمانی و هو محال.</w:t>
      </w:r>
    </w:p>
    <w:p>
      <w:pPr>
        <w:pStyle w:val="BookText"/>
      </w:pPr>
      <w:r>
        <w:rPr>
          <w:rFonts w:ascii="IRNazanin" w:hAnsi="IRNazanin" w:eastAsia="IRNazanin" w:cs="IRNazanin"/>
          <w:lang w:bidi="fa-IR"/>
          <w:color w:val="111111"/>
          <w:sz w:val="28"/>
          <w:szCs w:val="28"/>
          <w:rtl/>
        </w:rPr>
        <w:t xml:space="preserve">فإنه لدوام وجوده لا سبیل للعدم إلیه حتی یحتاج فی رفعه إلی علة تفیض علیه الوجود فدوام الوجود یغنیه عن العلة و یدفعه أن موضوع الحاجة هو الماهیة بما أنها ممکنة دون الماهیة بما أنها موجودة و الماهیة بوصف الإمکان محفوظة مع الوجود الدائم کما أنها محفوظة مع غیره فالماهیة القدیمة الوجود تحتاج إلی العلة بما هی ممکنة کالماهیة الحادثة الوجود و الوجود الدائم مفاض علیها کالوجود الحادث و أما الماهیة الموجودة بما أنها موجوده فلها الضرورة بشرط المحمول و الضرورة مناط الغنی عن العلة بمعنی أن الموجود بما أنها موجودة لا یحتاج إلی موجودیة أخری تطرأ علیه علی أن مرادهم من الحدوث الذی اشترطوه فی الحاجة الحدوث الزمانی الذی هو کون الوجود مسبوقا بعدم زمانی فما ذکروه منتقض بنفس الزمان إذ لا معنی لکون الزمان مسبوقا بعدم زمانی مضافا إلی أن إثبات الزمان قبل کل ماهیة إمکانیة إثبات للحرکة الراسة للزمان و فیه إثبات متحرک تقوم به الحرکة و فیه إثبات الجسم المتحرک و المادة و الصورة فکلما فرض وجود لماهیة ممکنة کانت قبله قطعة زمان و کلما فرضت قطعة زمان کان عندها ماهیة ممکنة فالزمان لا یسبقه عدم زمانی و أجاب بعضهم عن النقض بأن الزمان أمر اعتباری وهمی لا بأس بنسبة القدم علیه إذ لا حقیقة له وراء الوهم و فیه أنه هدم لما بنوه من إسناد حاجة الممکن إلی حدوثه الزمانی إذ</w:t>
      </w:r>
    </w:p>
    <w:p>
      <w:pPr>
        <w:pStyle w:val="BookText"/>
      </w:pPr>
      <w:r>
        <w:rPr>
          <w:rFonts w:ascii="IRNazanin" w:hAnsi="IRNazanin" w:eastAsia="IRNazanin" w:cs="IRNazanin"/>
          <w:lang w:bidi="fa-IR"/>
          <w:color w:val="111111"/>
          <w:sz w:val="28"/>
          <w:szCs w:val="28"/>
          <w:rtl/>
        </w:rPr>
        <w:t xml:space="preserve">[شماره صفحه واقعی : 63]</w:t>
      </w:r>
    </w:p>
    <w:p>
      <w:pPr>
        <w:pStyle w:val="BookText"/>
      </w:pPr>
      <w:r>
        <w:rPr>
          <w:rFonts w:ascii="IRNazanin" w:hAnsi="IRNazanin" w:eastAsia="IRNazanin" w:cs="IRNazanin"/>
          <w:lang w:bidi="fa-IR"/>
          <w:color w:val="111111"/>
          <w:sz w:val="28"/>
          <w:szCs w:val="28"/>
          <w:rtl/>
        </w:rPr>
        <w:t xml:space="preserve">ص: 1284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512" w:name="pg14419_168000"/>
    <w:bookmarkEnd w:id="512"/>
    <w:p>
      <w:pPr>
        <w:pStyle w:val="BookText"/>
      </w:pPr>
      <w:r>
        <w:rPr>
          <w:rFonts w:ascii="IRNazanin" w:hAnsi="IRNazanin" w:eastAsia="IRNazanin" w:cs="IRNazanin"/>
          <w:lang w:bidi="fa-IR"/>
          <w:color w:val="111111"/>
          <w:sz w:val="28"/>
          <w:szCs w:val="28"/>
          <w:rtl/>
        </w:rPr>
        <w:t xml:space="preserve">الحادث و القدیم علیه واحد و أجاب آخرون بأن الزمان منتزع عن وجود الواجب تعالی فهو من صقع المبدإ تعالی لا بأس بقدمه و رد بأن الزمان متغیر بالذات و انتزاعه من ذات الواجب بالذات مستلزم لتطرق التغیر علی ذاته تعالی و تقدس و دفع ذلک بأن من الجائز أن لا یطابق المعنی المنتزع المصداق المنتزع منه من کل جهة فیباینه و فیه أن تجویز مباینة المفهوم المنتزع للمنتزع منه سفسطة إذ لو جاز مباینة المفهوم للمصداق لانهدم بنیان التصدیق العلمی من أصله</w:t>
      </w:r>
    </w:p>
    <w:p>
      <w:pPr>
        <w:pStyle w:val="Heading6"/>
      </w:pPr>
      <w:bookmarkStart w:id="1487" w:name="_Toc927"/>
      <w:r>
        <w:t>تنبیه</w:t>
      </w:r>
      <w:bookmarkEnd w:id="14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 فی مباحث العدم أن العدم بطلان محض لا شیئیة له و لا تمایز فیه غیر أن العقل ربما یضیفه إلی الوجود فیحصل له ثبوت ما ذهنی و حظ ما من الوجود فیتمیز بذلک عدم من عدم کعدم البصر المتمیز من عدم السمع و عدم الإنسان المتمیز من عدم الفرس فیرتب العقل علیه ما یراه من الأحکام الضروریة و مرجعها بالحقیقة تثبیت ما یحاذیها من أحکام الوجود و من هذا القبیل حکم العقل بحاجة الماهیة الممکنة فی تلبسها بالعدم إلی علة هی عدم علة الوجود فالعقل إذا تصور الماهیة من حیث هی الخالیة من التحصل و اللاتحصل ثم قاس إلیها الوجود و العدم وجد بالضرورة إن تحصلها بالوجود متوقف علی علة موجودة و یستتبعه أن علة وجودها لو لم توجد لم توجد الماهیة المعلولة فیتم الحکم بأن الماهیة الممکنة لإمکانها تحتاج فی اتصافها بشی‌ء من الوجود و العدم إلی مرجح یرجح ذلک و مرجح الوجود وجود العلة و مرجح العدم عدمها أی لو انتفت العلة الموجدة لم توجد الماهیة</w:t>
      </w:r>
    </w:p>
    <w:p>
      <w:pPr>
        <w:pStyle w:val="BookText"/>
      </w:pPr>
      <w:r>
        <w:rPr>
          <w:rFonts w:ascii="IRNazanin" w:hAnsi="IRNazanin" w:eastAsia="IRNazanin" w:cs="IRNazanin"/>
          <w:lang w:bidi="fa-IR"/>
          <w:color w:val="111111"/>
          <w:sz w:val="28"/>
          <w:szCs w:val="28"/>
          <w:rtl/>
        </w:rPr>
        <w:t xml:space="preserve">[شماره صفحه واقعی : 64]</w:t>
      </w:r>
    </w:p>
    <w:p>
      <w:pPr>
        <w:pStyle w:val="BookText"/>
      </w:pPr>
      <w:r>
        <w:rPr>
          <w:rFonts w:ascii="IRNazanin" w:hAnsi="IRNazanin" w:eastAsia="IRNazanin" w:cs="IRNazanin"/>
          <w:lang w:bidi="fa-IR"/>
          <w:color w:val="111111"/>
          <w:sz w:val="28"/>
          <w:szCs w:val="28"/>
          <w:rtl/>
        </w:rPr>
        <w:t xml:space="preserve">ص: 1285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513" w:name="pg14419_168001"/>
    <w:bookmarkEnd w:id="513"/>
    <w:p>
      <w:pPr>
        <w:pStyle w:val="BookText"/>
      </w:pPr>
      <w:r>
        <w:rPr>
          <w:rFonts w:ascii="IRNazanin" w:hAnsi="IRNazanin" w:eastAsia="IRNazanin" w:cs="IRNazanin"/>
          <w:lang w:bidi="fa-IR"/>
          <w:color w:val="111111"/>
          <w:sz w:val="28"/>
          <w:szCs w:val="28"/>
          <w:rtl/>
        </w:rPr>
        <w:t xml:space="preserve">المعلولة و حقیقته أن وجود الماهیة الممکنة متوقف علی وجود علتها.</w:t>
      </w:r>
    </w:p>
    <w:p>
      <w:pPr>
        <w:pStyle w:val="Heading5"/>
      </w:pPr>
      <w:bookmarkStart w:id="1488" w:name="_Toc928"/>
      <w:r>
        <w:t>الفصل السابع الممکن محتاج إلی العلة بقاء کما أنه محتاج إلیها حدوثا</w:t>
      </w:r>
      <w:bookmarkEnd w:id="1488"/>
    </w:p>
    <w:p>
      <w:pPr>
        <w:pStyle w:val="BookText"/>
      </w:pPr>
      <w:r>
        <w:rPr>
          <w:rFonts w:ascii="IRNazanin" w:hAnsi="IRNazanin" w:eastAsia="IRNazanin" w:cs="IRNazanin"/>
          <w:lang w:bidi="fa-IR"/>
          <w:color w:val="111111"/>
          <w:sz w:val="28"/>
          <w:szCs w:val="28"/>
          <w:rtl/>
        </w:rPr>
        <w:t xml:space="preserve">و ذلک لأن علة حاجته إلی العلة هی إمکانه اللازم لماهیته کما تقدم بیانه و الماهیة محفوظة معه بقاء کما أنها محفوظة معه حدوثا فله حاجة إلی العلة الفیاضة لوجوده حدوثا و بقاء و هو المطلوب حجة أخری الهویة العینیة لکل شی‌ء هو وجوده الخاص به و الماهیة اعتباریة منتزعة منه کما تقدم بیانه و وجود الممکن المعلول وجود رابط متعلق الذات بعلته متقوم بها لا استقلال له دونها لا ینسلخ عن هذا الشأن کما سیجی‌ء بیانه إن شاء الله فحاله فی الحاجة إلی العلة حدوثا و بقاء واحد و الحاجة ملازمة له و الفرق بین الحجتین أن الأولی تثبت المطلوب من طریق الإمکان الماهوی بمعنی استواء نسبة الماهیة إلی الوجود و العدم و الثانیة من طریق الإمکان الوجودی بمعنی الفقر الوجودی المتقوم بغنی العلة.</w:t>
      </w:r>
    </w:p>
    <w:p>
      <w:pPr>
        <w:pStyle w:val="Heading5"/>
      </w:pPr>
      <w:bookmarkStart w:id="1489" w:name="_Toc929"/>
      <w:r>
        <w:t>الفصل الثامن فی بعض أحکام الممتنع بالذات</w:t>
      </w:r>
      <w:bookmarkEnd w:id="14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لما کان الامتناع بالذات هو ضرورة العدم بالنظر إلی ذات الشی‌ء المفروضة کان مقابلا للوجوب بالذات الذی هو ضرورة الوجود بالنظر إلی ذات الشی‌ء العینیة یجری فیه من الأحکام ما یقابل أحکام الوجوب الذاتی</w:t>
      </w:r>
    </w:p>
    <w:p>
      <w:pPr>
        <w:pStyle w:val="BookText"/>
      </w:pPr>
      <w:r>
        <w:rPr>
          <w:rFonts w:ascii="IRNazanin" w:hAnsi="IRNazanin" w:eastAsia="IRNazanin" w:cs="IRNazanin"/>
          <w:lang w:bidi="fa-IR"/>
          <w:color w:val="111111"/>
          <w:sz w:val="28"/>
          <w:szCs w:val="28"/>
          <w:rtl/>
        </w:rPr>
        <w:t xml:space="preserve">[شماره صفحه واقعی : 65]</w:t>
      </w:r>
    </w:p>
    <w:p>
      <w:pPr>
        <w:pStyle w:val="BookText"/>
      </w:pPr>
      <w:r>
        <w:rPr>
          <w:rFonts w:ascii="IRNazanin" w:hAnsi="IRNazanin" w:eastAsia="IRNazanin" w:cs="IRNazanin"/>
          <w:lang w:bidi="fa-IR"/>
          <w:color w:val="111111"/>
          <w:sz w:val="28"/>
          <w:szCs w:val="28"/>
          <w:rtl/>
        </w:rPr>
        <w:t xml:space="preserve">ص: 1286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الأسفار بعد کلام له : فی أن العقل کما لا یقدر أن یتعقل حقیقة الواجب بالذات لغایة مجده و عدم تناهی عظمته و کبریائه کذلک لا یقدر أن یتصور الممتنع بالذات بما هو ممتنع بالذات لغایة نقصه و محوضة بطلانه و لا شیئیته و کما تحقق أن الواجب بالذات لا یکون واجبا بغیره فکذلک الممتنع بالذات لا یکون ممتنعا بغیره بمثل ذلک البیان و کما لا یکون لشی‌ء واحد وجوبان بذاته و بغیره أو بذاته فقط أو بغیره فقط فلا یکون لأمر واحد امتناعان کذلک فإذن قد استبان أن الموصوف بما بالغیر من الوجوب و الامتناع ممکن بالذات و ما یستلزم الممتنع بالذات فهو ممتنع لا محالة من جهة بها یستلزم الممتنع و إن کانت له جهة أخری إمکانیة لکن لیس الاستلزام للممتنع إلا من الجهة الامتناعیة مثلا کون الجسم غیر متناهی الأبعاد یستلزم ممتنعا بالذات هو کون المحصور غیر محصور الذی مرجعه إلی کون الشی‌ء غیر نفسه مع کونه عین نفسه فأحدهما محال بالذات و الآخر محال بالغیر فلا محالة یکون ممکنا باعتبار غیر اعتبار علاقته مع الممتنع بالذات علی قیاس ما علمت فی استلزام الشی‌ء للواجب بالذات فإنه لیس من جهة ماهیته الإمکانیة بل من جهة وجوب وجوده الإمکانی و بالجملة فکما أن الاستلزام فی الوجود بین الشیئین لا بد له من علاقة علیة و معلولیة بین المتلازمین فکذلک الاستلزام فی العدم و الامتناع بین شیئین لا ینفک عن تعلق ارتباطی بینهما و کما أن الواجبین لو فرضنا لم یکونا متلازمین بل متصاحبین بحسب البخت و الاتفاق کذلک التلازم الاصطلاحی لا یکون بین ممتنعین بالذات بل بین ممتنع بالذات و ممتنع بالغیر و هو لا محالة ممکن بالذات کما مر</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بهذا یفرق الشرطی اللزومی عن الشرطی الاتفاقی فإن الأول یحکم</w:t>
      </w:r>
    </w:p>
    <w:p>
      <w:pPr>
        <w:pStyle w:val="BookText"/>
      </w:pPr>
      <w:r>
        <w:rPr>
          <w:rFonts w:ascii="IRNazanin" w:hAnsi="IRNazanin" w:eastAsia="IRNazanin" w:cs="IRNazanin"/>
          <w:lang w:bidi="fa-IR"/>
          <w:color w:val="111111"/>
          <w:sz w:val="28"/>
          <w:szCs w:val="28"/>
          <w:rtl/>
        </w:rPr>
        <w:t xml:space="preserve">[شماره صفحه واقعی : 66]</w:t>
      </w:r>
    </w:p>
    <w:p>
      <w:pPr>
        <w:pStyle w:val="BookText"/>
      </w:pPr>
      <w:r>
        <w:rPr>
          <w:rFonts w:ascii="IRNazanin" w:hAnsi="IRNazanin" w:eastAsia="IRNazanin" w:cs="IRNazanin"/>
          <w:lang w:bidi="fa-IR"/>
          <w:color w:val="111111"/>
          <w:sz w:val="28"/>
          <w:szCs w:val="28"/>
          <w:rtl/>
        </w:rPr>
        <w:t xml:space="preserve">ص: 1287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بصدق التالی وضعا و رفعا علی تقدیر صدق المقدم وضعا و رفعا لعلاقة ذاتیة بینهما و الثانی یحکم فیه کذلک من غیر علاقة لزومیة بل بمجرد الموافاة الاتفاقیة بین المقدم و التالی فما فشا عند عامة الجدلیین فی أثناء المناظرة عند فرض أمر مستحیل لیتوصل به إلی استحالة أمر من الأمور بالبیان الخلفی أو الاستقامی أن یقال إن مفروضک مستحیل فجاز أن یستلزم نقیض ما ادعیت استلزامه إیاه لکون المحال قد یلزم منه محال آخر واضح الفساد فإن المحال لا یستلزم أی محال کان بل محالا إذا قدر وجودهما یکون بینهما تعلق سببی و مسببی انتهی.(ج 1 ص 236)</w:t>
      </w:r>
    </w:p>
    <w:p>
      <w:pPr>
        <w:pStyle w:val="BookText"/>
      </w:pPr>
      <w:r>
        <w:rPr>
          <w:rFonts w:ascii="IRNazanin" w:hAnsi="IRNazanin" w:eastAsia="IRNazanin" w:cs="IRNazanin"/>
          <w:lang w:bidi="fa-IR"/>
          <w:color w:val="111111"/>
          <w:sz w:val="28"/>
          <w:szCs w:val="28"/>
          <w:rtl/>
        </w:rPr>
        <w:t xml:space="preserve">فإن قیل الممتنع بالذات لیس إلا ما یفترضه العقل و یخبر عنه بأنه ممتنع بالذات فما معنی عدم قدرته علی تعقله قیل إن المراد بذلک أن لا حقیقة عینیة له حتی یتعلق به علم حتی أن الذی نفرضه ممتنعا بالذات و نحکم علیه بذلک ممتنع بالذات بالحمل الأولی محکوم علیه بالامتناع و صورة علمیة ممکنة موجودة بالحمل الشائع و هذا نظیر ما یقال فی دفع التناقض المتراءی فی قولنا المعدوم المطلق لا یخبر عنه حیث یدل علی نفی الإخبار عن المعدوم المطلق و هو بعینه إخبار عنه إن نفی الإخبار عن المعدوم المطلق بالحمل الشائع إذ لا شیئیة له حتی یخبر عنه بشی‌ء و هذا بعینه إخبار عن المعدوم المطلق بالحمل الأولی الذی هو موجود ممکن ذهنی.</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إن قیل إن الذی ذکر أن الممتنعین بالذات لیس بینهما إلا الصحابة الاتفاقیة ممنوع لأن المعانی التی یثبت العقل امتناعها علی الواجب بالذات کالشریک و الماهیة و الترکیب و غیر ذلک یجب أن تکون صفات له ممتنعة علیه بالذات إذ لو کانت ممتنعة بالغیر کانت ممکنة له بالذات کما تقدم و لا صفة إمکانیة فیه تعالی لما بین أن الواجب الوجود بالذات واجب الوجود من</w:t>
      </w:r>
    </w:p>
    <w:p>
      <w:pPr>
        <w:pStyle w:val="BookText"/>
      </w:pPr>
      <w:r>
        <w:rPr>
          <w:rFonts w:ascii="IRNazanin" w:hAnsi="IRNazanin" w:eastAsia="IRNazanin" w:cs="IRNazanin"/>
          <w:lang w:bidi="fa-IR"/>
          <w:color w:val="111111"/>
          <w:sz w:val="28"/>
          <w:szCs w:val="28"/>
          <w:rtl/>
        </w:rPr>
        <w:t xml:space="preserve">[شماره صفحه واقعی : 67]</w:t>
      </w:r>
    </w:p>
    <w:p>
      <w:pPr>
        <w:pStyle w:val="BookText"/>
      </w:pPr>
      <w:r>
        <w:rPr>
          <w:rFonts w:ascii="IRNazanin" w:hAnsi="IRNazanin" w:eastAsia="IRNazanin" w:cs="IRNazanin"/>
          <w:lang w:bidi="fa-IR"/>
          <w:color w:val="111111"/>
          <w:sz w:val="28"/>
          <w:szCs w:val="28"/>
          <w:rtl/>
        </w:rPr>
        <w:t xml:space="preserve">ص: 1288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الجهات ثم الحجج القائمة علی نفی هذه الصفات الممتنعة علی ما أشیر إلیه فی أول الکتاب براهین إنیة تسلک من طریق الملازمات العامة فللنتائج و هی امتناع هذه الصفات علاقة لزومیة مع المقدمات فهی جمیعا معلولة لما وراءها ممتنعة بغیرها و قد بین أنها ممتنعة بذاتها هذا خلف أجیب عنه بأن الصفات الممتنعة التی تنفیها البراهین الإنیة عن الواجب بالذات مرجعها جمیعا إلی نفی الوجوب الذاتی الذی هو عین الواجب بالذات فهی واحدة بحسب المصداق المفروض لها و إن تکثرت مفهوما کما أن الصفات الثبوتیة التی للواجب بالذات هی عین الوجود البحت الواجبی مصداقا و إن کانت متکثرة مفهوما فعدم الانفکاک بین هذه الصفات و السلوک البرهانی من بعضها إلی بعض لمکان وحدتها بحسب المصداق المفروض و إن کان فی صورة التلازم بینها بحسب المفهوم کما أن الأمر فی الصفات الثبوتیة کذلک و یعبر عنه بأن الصفات الذاتیة کالوجوب الذاتی مثلا بالذات و باقتضاء من الذات و لا اقتضاء و لا علیة بین الشی‌ء و نفسه.</w:t>
      </w:r>
    </w:p>
    <w:p>
      <w:pPr>
        <w:pStyle w:val="BookText"/>
      </w:pPr>
      <w:r>
        <w:rPr>
          <w:rFonts w:ascii="IRNazanin" w:hAnsi="IRNazanin" w:eastAsia="IRNazanin" w:cs="IRNazanin"/>
          <w:lang w:bidi="fa-IR"/>
          <w:color w:val="111111"/>
          <w:sz w:val="28"/>
          <w:szCs w:val="28"/>
          <w:rtl/>
        </w:rPr>
        <w:t xml:space="preserve">و هذا معنی ما قیل إن الدلیل علی وجود الحق المبدع إنما یکون بنحو من البیان الشبیه بالبرهان اللمی فامتناع الماهیة التی سلکنا إلی بیانه من طریق امتناع الإمکان علیه تعالی مثلا هو و امتناع الإمکان یرجعان إلی بطلان الوجوب الذاتی الممتنع علیه تعالی و قد استحضره العقل بعرض الوجوب الذاتی المنتزع عن عین الذات.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اعلم أنه کما یمتنع الملازمة بین ممتنعین بالذات کذلک یمتنع استلزام الممکن لممتنع بالذات فإن جواز تحقق الملزوم الممکن مع امتناع اللازم بالذات و قد فرضت بینهما ملازمة یستلزم تحقق الملزوم مع عدم اللازم و فیه نفی الملازمة هذا خلف</w:t>
      </w:r>
    </w:p>
    <w:p>
      <w:pPr>
        <w:pStyle w:val="BookText"/>
      </w:pPr>
      <w:r>
        <w:rPr>
          <w:rFonts w:ascii="IRNazanin" w:hAnsi="IRNazanin" w:eastAsia="IRNazanin" w:cs="IRNazanin"/>
          <w:lang w:bidi="fa-IR"/>
          <w:color w:val="111111"/>
          <w:sz w:val="28"/>
          <w:szCs w:val="28"/>
          <w:rtl/>
        </w:rPr>
        <w:t xml:space="preserve">[شماره صفحه واقعی : 68]</w:t>
      </w:r>
    </w:p>
    <w:p>
      <w:pPr>
        <w:pStyle w:val="BookText"/>
      </w:pPr>
      <w:r>
        <w:rPr>
          <w:rFonts w:ascii="IRNazanin" w:hAnsi="IRNazanin" w:eastAsia="IRNazanin" w:cs="IRNazanin"/>
          <w:lang w:bidi="fa-IR"/>
          <w:color w:val="111111"/>
          <w:sz w:val="28"/>
          <w:szCs w:val="28"/>
          <w:rtl/>
        </w:rPr>
        <w:t xml:space="preserve">ص: 1289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514" w:name="pg14419_168005"/>
    <w:bookmarkEnd w:id="514"/>
    <w:p>
      <w:pPr>
        <w:pStyle w:val="BookText"/>
      </w:pPr>
      <w:r>
        <w:rPr>
          <w:rFonts w:ascii="IRNazanin" w:hAnsi="IRNazanin" w:eastAsia="IRNazanin" w:cs="IRNazanin"/>
          <w:lang w:bidi="fa-IR"/>
          <w:color w:val="111111"/>
          <w:sz w:val="28"/>
          <w:szCs w:val="28"/>
          <w:rtl/>
        </w:rPr>
        <w:t xml:space="preserve">و قد أورد علیه بأن عدم المعلول الأول و هو ممکن یستلزم عدم الواجب بالذات و هو ممتنع بالذات فمن الجائز أن یستلزم الممکن ممتنعا بالذات کما أن من الجائز عکس ذلک کاستلزام عدم الواجب عدم المعلول الأول و یدفعه أن المراد بالممکن هو الماهیة المتساویة النسبة إلی جانبی الوجود و العدم و من المعلوم أنه لا ارتباط لذاتها بشی‌ء وراء ذاتها الثابتة لذاتها بالحمل الأولی فماهیة المعلول الأول لا ارتباط بینها و بین الواجب بالذات نعم وجودها مرتبط بوجوده واجب بوجوبه و عدمها مرتبط عقلا بعدمه ممتنع بامتناع عدمه و لیس شی‌ء منهما ممکنا بمعنی المتساوی النسبة إلی الوجود و العدم و أما عدهم وجود الممکن ممکنا فالإمکان فیه بمعنی الفقر و التعلق الذاتی لوجود الماهیة بوجود العلة دون الإمکان بمعنی استواء النسبة إلی الوجود و العدم ففی الإشکال مغالطة بوضع الإمکان الوجودی موضع الإمکان الماهوی</w:t>
      </w:r>
    </w:p>
    <w:p>
      <w:pPr>
        <w:pStyle w:val="Heading5"/>
      </w:pPr>
      <w:bookmarkStart w:id="1490" w:name="_Toc930"/>
      <w:r>
        <w:t>خاتمة</w:t>
      </w:r>
      <w:bookmarkEnd w:id="1490"/>
    </w:p>
    <w:p>
      <w:pPr>
        <w:pStyle w:val="BookText"/>
      </w:pPr>
      <w:r>
        <w:rPr>
          <w:rFonts w:ascii="IRNazanin" w:hAnsi="IRNazanin" w:eastAsia="IRNazanin" w:cs="IRNazanin"/>
          <w:lang w:bidi="fa-IR"/>
          <w:color w:val="111111"/>
          <w:sz w:val="28"/>
          <w:szCs w:val="28"/>
          <w:rtl/>
        </w:rPr>
        <w:t xml:space="preserve">قد اتضح من الأبحاث السابقة أن الوجوب و الإمکان و الامتناع کیفیات للنسب فی القضایا لا تخلو عن واحد منها قضیة و أن الوجوب و الإمکان أمران وجودیان لمطابقة القضایا الموجهة بهما بما أنها موجهة بهما للخارج مطابقة تامة فهما موجودان فی الخارج لکن بوجود موضوعهما لا بوجود منحاز مستقل فهما من الشئون الوجودیة الموجودة لمطلق الموجود کالوحدة و الکثرة و الحدوث و القدم و سائر المعانی الفلسفیة المبحوث عنها فی الفلسفة بمعنی کون الاتصاف بها فی الخارج و عروضها فی الذهن و هی المسماة بالمعقولات الثانیة الفلسفیة</w:t>
      </w:r>
    </w:p>
    <w:p>
      <w:pPr>
        <w:pStyle w:val="BookText"/>
      </w:pPr>
      <w:r>
        <w:rPr>
          <w:rFonts w:ascii="IRNazanin" w:hAnsi="IRNazanin" w:eastAsia="IRNazanin" w:cs="IRNazanin"/>
          <w:lang w:bidi="fa-IR"/>
          <w:color w:val="111111"/>
          <w:sz w:val="28"/>
          <w:szCs w:val="28"/>
          <w:rtl/>
        </w:rPr>
        <w:t xml:space="preserve">[شماره صفحه واقعی : 69]</w:t>
      </w:r>
    </w:p>
    <w:p>
      <w:pPr>
        <w:pStyle w:val="BookText"/>
      </w:pPr>
      <w:r>
        <w:rPr>
          <w:rFonts w:ascii="IRNazanin" w:hAnsi="IRNazanin" w:eastAsia="IRNazanin" w:cs="IRNazanin"/>
          <w:lang w:bidi="fa-IR"/>
          <w:color w:val="111111"/>
          <w:sz w:val="28"/>
          <w:szCs w:val="28"/>
          <w:rtl/>
        </w:rPr>
        <w:t xml:space="preserve">ص: 1290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الامتناع فهو أمر عدمی هذا کله بالنظر إلی اعتبار العقل الماهیات و المفاهیم موضوعات للأحکام و أما بالنظر إلی کون الوجود العینی هو الموضوع لها بالحقیقة لأصالته فالوجوب نهایة شدة الوجود الملازم لقیامه بذاته و استقلاله بنفسه و الإمکان فقره فی نفسه و تعلقه بغیره بحیث لا یستقل عنه بذاته کما فی وجود الماهیات الممکنة فهما شأنان قائمان بالوجود غیر خارجین عنه.</w:t>
      </w:r>
    </w:p>
    <w:p>
      <w:pPr>
        <w:pStyle w:val="BookText"/>
      </w:pPr>
      <w:r>
        <w:rPr>
          <w:rFonts w:ascii="IRNazanin" w:hAnsi="IRNazanin" w:eastAsia="IRNazanin" w:cs="IRNazanin"/>
          <w:lang w:bidi="fa-IR"/>
          <w:color w:val="111111"/>
          <w:sz w:val="28"/>
          <w:szCs w:val="28"/>
          <w:rtl/>
        </w:rPr>
        <w:t xml:space="preserve">[شماره صفحه واقعی : 70]</w:t>
      </w:r>
    </w:p>
    <w:p>
      <w:pPr>
        <w:pStyle w:val="BookText"/>
      </w:pPr>
      <w:r>
        <w:rPr>
          <w:rFonts w:ascii="IRNazanin" w:hAnsi="IRNazanin" w:eastAsia="IRNazanin" w:cs="IRNazanin"/>
          <w:lang w:bidi="fa-IR"/>
          <w:color w:val="111111"/>
          <w:sz w:val="28"/>
          <w:szCs w:val="28"/>
          <w:rtl/>
        </w:rPr>
        <w:t xml:space="preserve">ص: 1291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515" w:name="pg14419_168007"/>
    <w:bookmarkEnd w:id="515"/>
    <w:p>
      <w:pPr>
        <w:pStyle w:val="Heading4"/>
      </w:pPr>
      <w:bookmarkStart w:id="1491" w:name="_Toc931"/>
      <w:r>
        <w:t>المرحلة الخامسة فی الماهیة و أحکامها</w:t>
      </w:r>
      <w:bookmarkEnd w:id="1491"/>
    </w:p>
    <w:p>
      <w:pPr>
        <w:pStyle w:val="Heading5"/>
      </w:pPr>
      <w:bookmarkStart w:id="1492" w:name="_Toc932"/>
      <w:r>
        <w:t>اشارة</w:t>
      </w:r>
      <w:bookmarkEnd w:id="14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سبعة فصول</w:t>
      </w:r>
    </w:p>
    <w:p>
      <w:pPr>
        <w:pStyle w:val="BookText"/>
      </w:pPr>
      <w:r>
        <w:rPr>
          <w:rFonts w:ascii="IRNazanin" w:hAnsi="IRNazanin" w:eastAsia="IRNazanin" w:cs="IRNazanin"/>
          <w:lang w:bidi="fa-IR"/>
          <w:color w:val="111111"/>
          <w:sz w:val="28"/>
          <w:szCs w:val="28"/>
          <w:rtl/>
        </w:rPr>
        <w:t xml:space="preserve">[شماره صفحه واقعی : 71]</w:t>
      </w:r>
    </w:p>
    <w:p>
      <w:pPr>
        <w:pStyle w:val="BookText"/>
      </w:pPr>
      <w:r>
        <w:rPr>
          <w:rFonts w:ascii="IRNazanin" w:hAnsi="IRNazanin" w:eastAsia="IRNazanin" w:cs="IRNazanin"/>
          <w:lang w:bidi="fa-IR"/>
          <w:color w:val="111111"/>
          <w:sz w:val="28"/>
          <w:szCs w:val="28"/>
          <w:rtl/>
        </w:rPr>
        <w:t xml:space="preserve">ص: 1292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516" w:name="pg14419_168008"/>
    <w:bookmarkEnd w:id="516"/>
    <w:p>
      <w:pPr>
        <w:pStyle w:val="Heading5"/>
      </w:pPr>
      <w:bookmarkStart w:id="1493" w:name="_Toc933"/>
      <w:r>
        <w:t>الفصل الأول فی أن الماهیة فی حد ذاتها لا موجودة و لا لا موجودة</w:t>
      </w:r>
      <w:bookmarkEnd w:id="1493"/>
    </w:p>
    <w:p>
      <w:pPr>
        <w:pStyle w:val="BookText"/>
      </w:pPr>
      <w:r>
        <w:rPr>
          <w:rFonts w:ascii="IRNazanin" w:hAnsi="IRNazanin" w:eastAsia="IRNazanin" w:cs="IRNazanin"/>
          <w:lang w:bidi="fa-IR"/>
          <w:color w:val="111111"/>
          <w:sz w:val="28"/>
          <w:szCs w:val="28"/>
          <w:rtl/>
        </w:rPr>
        <w:t xml:space="preserve">الماهیة و هی ما یقال فی جواب ما هو لما کانت من حیث هی و بالنظر إلی ذاتها فی حد ذاتها لا تأبی أن تتصف بأنها موجودة أو معدومة کانت فی حد ذاتها لا موجودة و لا موجودة بمعنی أن الموجود و اللاموجود لیس شی‌ء منهما مأخوذا فی حد ذاتها بأن یکون عینها أو جزءها و إن کانت لا تخلو عن الاتصاف بأحدهما فی نفس الأمر بنحو الاتصاف بصفة خارجة عن الذات و بعبارة أخری الماهیة بحسب الحمل الأولی لیست بموجودة و لا لاموجودة و إن کانت بحسب الحمل الشائع إما موجودة و إما لا موجودة و هذا هو المراد بقولهم إن ارتفاع الوجود و العدم عن الماهیة من حیث هی من ارتفاع النقیضین عن المرتبة و لیس ذلک بمستحیل و إنما المستحیل ارتفاعهما عن الواقع مطلقا و بجمیع مراتبه یعنون به أن نقیض الوجود المأخوذ فی حد الذات لیس هو العدم المأخوذ فی حد الذات بل عدم الوجود المأخوذ فی حد الذات بأن یکون حد الذات و هو المرتبة قیدا للوجود لا للعدم أی رفع المقید دون الرفع المقید و لذا قالوا إذا سئل عن الماهیة من حیث هی بطرفی النقیضین کان من الواجب أن یجاب بسلب الطرفین مع تقدیم السلب علی الحیثیة حتی یفید سلب المقید دون السلب المقید فإذا سئل هل الماهیة من حیث هی موجودة</w:t>
      </w:r>
    </w:p>
    <w:p>
      <w:pPr>
        <w:pStyle w:val="BookText"/>
      </w:pPr>
      <w:r>
        <w:rPr>
          <w:rFonts w:ascii="IRNazanin" w:hAnsi="IRNazanin" w:eastAsia="IRNazanin" w:cs="IRNazanin"/>
          <w:lang w:bidi="fa-IR"/>
          <w:color w:val="111111"/>
          <w:sz w:val="28"/>
          <w:szCs w:val="28"/>
          <w:rtl/>
        </w:rPr>
        <w:t xml:space="preserve">[شماره صفحه واقعی : 72]</w:t>
      </w:r>
    </w:p>
    <w:p>
      <w:pPr>
        <w:pStyle w:val="BookText"/>
      </w:pPr>
      <w:r>
        <w:rPr>
          <w:rFonts w:ascii="IRNazanin" w:hAnsi="IRNazanin" w:eastAsia="IRNazanin" w:cs="IRNazanin"/>
          <w:lang w:bidi="fa-IR"/>
          <w:color w:val="111111"/>
          <w:sz w:val="28"/>
          <w:szCs w:val="28"/>
          <w:rtl/>
        </w:rPr>
        <w:t xml:space="preserve">ص: 1293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517" w:name="pg14419_168009"/>
    <w:bookmarkEnd w:id="517"/>
    <w:p>
      <w:pPr>
        <w:pStyle w:val="BookText"/>
      </w:pPr>
      <w:r>
        <w:rPr>
          <w:rFonts w:ascii="IRNazanin" w:hAnsi="IRNazanin" w:eastAsia="IRNazanin" w:cs="IRNazanin"/>
          <w:lang w:bidi="fa-IR"/>
          <w:color w:val="111111"/>
          <w:sz w:val="28"/>
          <w:szCs w:val="28"/>
          <w:rtl/>
        </w:rPr>
        <w:t xml:space="preserve">أو لیست بموجودة فالجواب لیست الماهیة من حیث هی بموجودة و لا لاموجودة لیفید أن شیئا من الوجود و العدم غیر مأخوذ فی حد ذات الماهیة و نظیر الوجود و العدم فی خروجهما عن الماهیة من حیث هی سائر المعانی المتقابلة التی فی قوة النقیضین حتی ما عدوه من لوازم الماهیات فلیست الماهیة من حیث هی لا واحدة و لا کثیرة و لا کلیة و لا جزئیة و لا غیر ذلک من المتقابلات و لیست الأربعة من حیث هی زوجا و لا فردا.</w:t>
      </w:r>
    </w:p>
    <w:p>
      <w:pPr>
        <w:pStyle w:val="Heading5"/>
      </w:pPr>
      <w:bookmarkStart w:id="1494" w:name="_Toc934"/>
      <w:r>
        <w:t>الفصل الثانی فی اعتبارات الماهیة</w:t>
      </w:r>
      <w:bookmarkEnd w:id="14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للماهیة بالنسبة إلی ما یقارنها من الخصوصیات اعتبارات ثلاث و هی أخذها بشرط شی‌ء و أخذها بشرط لا و أخذها لا بشرط و القسمة حاصرة أما الأول فأن تؤخذ الماهیة بما هی مقارنة لما یلحق بها من الخصوصیات فتصدق علی المجموع کأخذ ماهیة الإنسان بشرط کونها مع خصوصیات زید فتصدق علیه و أما الثانی فأن تؤخذ وحدها و هذا علی وجهین أحدهما أن یقصر النظر فی ذاتها مع قطر النظر عما عداها و هذا هو المراد بشرط لا فی مباحث الماهیة و الآخر أن تؤخذ وحدها بحیث لو قارنها أی مقارن مفروض کان زائدا علیها غیر داخل فیها فتکون موضوعة للمقارن المفروض غیر محمولة علیه و أما الثالث فأن لا یشترط معها شی‌ء من المقارنة و اللامقارنة بل تؤخذ مطلقة من غیر تقیید بنفی أو إثبات و تسمی الماهیة بشرط شی‌ء مخلوطة و البشرط لا مجردة و اللابشرط</w:t>
      </w:r>
    </w:p>
    <w:p>
      <w:pPr>
        <w:pStyle w:val="BookText"/>
      </w:pPr>
      <w:r>
        <w:rPr>
          <w:rFonts w:ascii="IRNazanin" w:hAnsi="IRNazanin" w:eastAsia="IRNazanin" w:cs="IRNazanin"/>
          <w:lang w:bidi="fa-IR"/>
          <w:color w:val="111111"/>
          <w:sz w:val="28"/>
          <w:szCs w:val="28"/>
          <w:rtl/>
        </w:rPr>
        <w:t xml:space="preserve">[شماره صفحه واقعی : 73]</w:t>
      </w:r>
    </w:p>
    <w:p>
      <w:pPr>
        <w:pStyle w:val="BookText"/>
      </w:pPr>
      <w:r>
        <w:rPr>
          <w:rFonts w:ascii="IRNazanin" w:hAnsi="IRNazanin" w:eastAsia="IRNazanin" w:cs="IRNazanin"/>
          <w:lang w:bidi="fa-IR"/>
          <w:color w:val="111111"/>
          <w:sz w:val="28"/>
          <w:szCs w:val="28"/>
          <w:rtl/>
        </w:rPr>
        <w:t xml:space="preserve">ص: 1294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518" w:name="pg14419_168010"/>
    <w:bookmarkEnd w:id="518"/>
    <w:p>
      <w:pPr>
        <w:pStyle w:val="BookText"/>
      </w:pPr>
      <w:r>
        <w:rPr>
          <w:rFonts w:ascii="IRNazanin" w:hAnsi="IRNazanin" w:eastAsia="IRNazanin" w:cs="IRNazanin"/>
          <w:lang w:bidi="fa-IR"/>
          <w:color w:val="111111"/>
          <w:sz w:val="28"/>
          <w:szCs w:val="28"/>
          <w:rtl/>
        </w:rPr>
        <w:t xml:space="preserve">مطلقة و المقسم للأقسام الثلاث الماهیة و هی الکلی الطبیعی و تسمی اللابشرط المقسمی و هی موجودة فی الخارج لوجود بعض أقسامها فیه کالمخلوطة و الموجود من الکلی فی کل فرد غیر الموجود منه فی فرد آخر بالعدد و لو کان الموجود منه فی الأفراد الخارجیة واحدا بالعدد کان الواحد کثیرا بعینه و هو محال و کان الواحد متصفا بصفات متقابلة و هو محال و هذا معنی قولهم إن نسبة الماهیة إلی أفرادها کنسبة الآباء الکثیرین إلی أولادهم لا کنسبة الأب الواحد إلی أولاده الکثیرین فالماهیة کثیرة فی الخارج بکثرة أفرادها نعم هی بوصف الکلیة و الاشتراک واحدة موجودة فی الذهن کما سیأتی.</w:t>
      </w:r>
    </w:p>
    <w:p>
      <w:pPr>
        <w:pStyle w:val="Heading5"/>
      </w:pPr>
      <w:bookmarkStart w:id="1495" w:name="_Toc935"/>
      <w:r>
        <w:t>الفصل الثالث فی الکلی و الجزئی</w:t>
      </w:r>
      <w:bookmarkEnd w:id="14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ریب أن الماهیة الکثیرة الأفراد تصدق علی کل واحد من أفرادها و تحمل علیه بمعنی أن الماهیة التی فی الذهن کلما ورد فیه فرد من أفرادها و عرض علیها اتحدت معه و کانت هی هو و هذه الخاصة هی المسماة بالکلیة و هی المراد باشتراک الأفراد فی الماهیة فالعقل لا یمتنع من تجویز صدق الماهیة علی کثیرین بالنظر إلی نفسها سواء کانت ذات أفراد کثیرین فی الخارج أم لا فالکلیة خاصة ذهنیة تعرض الماهیة فی الذهن إذ الوجود الخارجی العینی مساوق للشخصیة مانع عن الاشتراک فالکلیة من لوازم الوجود</w:t>
      </w:r>
    </w:p>
    <w:p>
      <w:pPr>
        <w:pStyle w:val="BookText"/>
      </w:pPr>
      <w:r>
        <w:rPr>
          <w:rFonts w:ascii="IRNazanin" w:hAnsi="IRNazanin" w:eastAsia="IRNazanin" w:cs="IRNazanin"/>
          <w:lang w:bidi="fa-IR"/>
          <w:color w:val="111111"/>
          <w:sz w:val="28"/>
          <w:szCs w:val="28"/>
          <w:rtl/>
        </w:rPr>
        <w:t xml:space="preserve">[شماره صفحه واقعی : 74]</w:t>
      </w:r>
    </w:p>
    <w:p>
      <w:pPr>
        <w:pStyle w:val="BookText"/>
      </w:pPr>
      <w:r>
        <w:rPr>
          <w:rFonts w:ascii="IRNazanin" w:hAnsi="IRNazanin" w:eastAsia="IRNazanin" w:cs="IRNazanin"/>
          <w:lang w:bidi="fa-IR"/>
          <w:color w:val="111111"/>
          <w:sz w:val="28"/>
          <w:szCs w:val="28"/>
          <w:rtl/>
        </w:rPr>
        <w:t xml:space="preserve">ص: 1295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الذهنی للماهیة کما أن الجزئیة و الشخصیة من لوازم الوجود الخارجی فما قیل إن الکلیة و الجزئیة فی نحو الإدراک بمعنی أن الحس لقوة إدراکه ینال الشی‌ء نیلا کاملا بحیث یمتاز عما سواه مطلقا و یتشخص و العقل لضعف إدراکه یناله نیلا هینا یتردد ما ناله بین أمور و یقبل الانطباق علی کثیرین کالشبح المرئی من بعید بحیث لا یتمیز کل التمیز فیتردد بین أن یکون مثلا هو زیدا أو عمرا أو خشبة منصوبة أو غیر ذلک و لیس إلا واحدا من المحتملات و کالدرهم الممسوح المردد بین الدراهم المختلفة و لیس إلا واحدا منها فاسد إذ لو کان الأمر کذلک لم یکن مصداق الماهیة فی الحقیقة إلا واحدا من الأفراد و لکذبت القضایا الکلیة کقولنا کل ممکن فله علة و کل أربعة زوج و کل کثیر فإنه مؤلف من آحاد و الضرورة تدفعه،فالحق أن الکلیة و الجزئیة لازمان لوجود الماهیات فالکلیة لوجودها الذهنی و الجزئیة لوجودها الخارجی و کذا ما قیل إن الماهیة الموجودة فی الذهن جزئیة شخصیة کالماهیة الموجودة فی الخارج فإنها موجودة فی ذهن خاص قائمة بنفس جزئیة فالماهیة الإنسانیة الموجودة فی ذهن زید مثلا غیر الماهیة الإنسانیة الموجودة فی ذهن عمرو و الموجودة منها فی ذهن زید الیوم غیر الموجودة فی ذهنه بالأمس و هکذا فاسد فإن الماهیة المعقولة من الحیثیة المذکورة أعنی کونها قائمة بنفس جزئیة ناعتة لها و کذا کونها کیفیة من الکیفیات النفسانیة و کمالا لها هی من الموجودات الخارجیة الخارجة من بحثنا و کلامنا فی الماهیة بوجودها الذهنی الذی لا یترتب علیها فیه آثارها الخارجیة و هی من هذه الجهة لا تأبی الصدق علی کثیرین.</w:t>
      </w:r>
    </w:p>
    <w:p>
      <w:pPr>
        <w:pStyle w:val="BookText"/>
      </w:pPr>
      <w:r>
        <w:rPr>
          <w:rFonts w:ascii="IRNazanin" w:hAnsi="IRNazanin" w:eastAsia="IRNazanin" w:cs="IRNazanin"/>
          <w:lang w:bidi="fa-IR"/>
          <w:color w:val="111111"/>
          <w:sz w:val="28"/>
          <w:szCs w:val="28"/>
          <w:rtl/>
        </w:rPr>
        <w:t xml:space="preserve">ثم إن الأشیاء المشترکة فی معنی کلی یتمیز بعضها من بعض بأحد أمور</w:t>
      </w:r>
    </w:p>
    <w:p>
      <w:pPr>
        <w:pStyle w:val="BookText"/>
      </w:pPr>
      <w:r>
        <w:rPr>
          <w:rFonts w:ascii="IRNazanin" w:hAnsi="IRNazanin" w:eastAsia="IRNazanin" w:cs="IRNazanin"/>
          <w:lang w:bidi="fa-IR"/>
          <w:color w:val="111111"/>
          <w:sz w:val="28"/>
          <w:szCs w:val="28"/>
          <w:rtl/>
        </w:rPr>
        <w:t xml:space="preserve">[شماره صفحه واقعی : 75]</w:t>
      </w:r>
    </w:p>
    <w:p>
      <w:pPr>
        <w:pStyle w:val="BookText"/>
      </w:pPr>
      <w:r>
        <w:rPr>
          <w:rFonts w:ascii="IRNazanin" w:hAnsi="IRNazanin" w:eastAsia="IRNazanin" w:cs="IRNazanin"/>
          <w:lang w:bidi="fa-IR"/>
          <w:color w:val="111111"/>
          <w:sz w:val="28"/>
          <w:szCs w:val="28"/>
          <w:rtl/>
        </w:rPr>
        <w:t xml:space="preserve">ص: 1296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فإنها إن اشترکت فی عرضی خارج من الذات فقط تمیزت بتمام الذات کالنوعین من مقولتین من المقولات العرضیة المشترکین فی العرضیة و إن اشترکت فی ذاتی فإن کان فی بعض الذات و لا محالة هو الجنس تمیزت ببعض آخر و هو الفصل کالإنسان و الفرس المشترکین فی الحیوانیة المتمیزین بالنطق و الصهیل و إن کان فی تمام الذات تمیزت بعرضی مفارق إذ لو کان لازما لم یخل عنه فرد فلازم النوع لازم لجمیع أفراده و زاد بعضهم علی هذه الأقسام الثلاثة قسما رابعا و هو التمیز بالتمام و النقص و الشدة و الضعف فی نفس الطبیعة المشترکة و هو التشکیک.و الحق أن الماهیة بما أنها هی لا تقبل التشکیک و إنما التشکیک فی الوجود.</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هذا کله فی الکلیة و أنها خاصة ذهنیة للماهیة و أما الجزئیة و هی امتناع الشرکة فی الشی‌ء و تسمی الشخصیة فالحق أنها بالوجود کما ذهب إلیه الفارابی ره و تبعه صدر المتألهین ره ،قال فی الأسفار : و الحق أن تشخص الشی‌ء بمعنی کونه ممتنع الشرکة فیه بحسب نفس تصوره إنما یکون بأمر زائد علی الماهیة مانع بحسب ذاته من تصور الاشتراک فیه فالمشخص للشی‌ء بمعنی ما به یصیر ممتنع الاشتراک فیه لا یکون بالحقیقة إلا نفس وجود ذلک الشی‌ء کما ذهب إلیه المعلم الثانی فإن کل وجود متشخص بنفس ذاته و إذا قطع النظر عن نحو الوجود الخاص للشی‌ء فالعقل لا یأبی عن تجویز الاشتراک فیه و إن ضم إلیه ألف مخصص فإن الامتیاز فی الواقع غیر التشخص إذ الأول للشی‌ء بالقیاس إلی المشارکات فی أمر عام و الثانی باعتباره فی نفسه حتی أنه لو لم یکن له مشارک لا یحتاج إلی ممیز زائد مع أن له تشخصا فی نفسه و لا یبعد أن یکون التمیز یوجب للشی‌ء استعداد التشخص فإن النوع المادی المنتشر ما لم تکن المادة متخصصة الاستعداد لواحد منه لا یفیض وجوده عن المبدإ الأعلی انتهی.(ج 2 ص 10)</w:t>
      </w:r>
    </w:p>
    <w:p>
      <w:pPr>
        <w:pStyle w:val="BookText"/>
      </w:pPr>
      <w:r>
        <w:rPr>
          <w:rFonts w:ascii="IRNazanin" w:hAnsi="IRNazanin" w:eastAsia="IRNazanin" w:cs="IRNazanin"/>
          <w:lang w:bidi="fa-IR"/>
          <w:color w:val="111111"/>
          <w:sz w:val="28"/>
          <w:szCs w:val="28"/>
          <w:rtl/>
        </w:rPr>
        <w:t xml:space="preserve">و یتبین به أولا أن الأعراض المشخصة التی أسندوا التشخیص إلیها</w:t>
      </w:r>
    </w:p>
    <w:p>
      <w:pPr>
        <w:pStyle w:val="BookText"/>
      </w:pPr>
      <w:r>
        <w:rPr>
          <w:rFonts w:ascii="IRNazanin" w:hAnsi="IRNazanin" w:eastAsia="IRNazanin" w:cs="IRNazanin"/>
          <w:lang w:bidi="fa-IR"/>
          <w:color w:val="111111"/>
          <w:sz w:val="28"/>
          <w:szCs w:val="28"/>
          <w:rtl/>
        </w:rPr>
        <w:t xml:space="preserve">[شماره صفحه واقعی : 76]</w:t>
      </w:r>
    </w:p>
    <w:p>
      <w:pPr>
        <w:pStyle w:val="BookText"/>
      </w:pPr>
      <w:r>
        <w:rPr>
          <w:rFonts w:ascii="IRNazanin" w:hAnsi="IRNazanin" w:eastAsia="IRNazanin" w:cs="IRNazanin"/>
          <w:lang w:bidi="fa-IR"/>
          <w:color w:val="111111"/>
          <w:sz w:val="28"/>
          <w:szCs w:val="28"/>
          <w:rtl/>
        </w:rPr>
        <w:t xml:space="preserve">ص: 1297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519" w:name="pg14419_168013"/>
    <w:bookmarkEnd w:id="519"/>
    <w:p>
      <w:pPr>
        <w:pStyle w:val="BookText"/>
      </w:pPr>
      <w:r>
        <w:rPr>
          <w:rFonts w:ascii="IRNazanin" w:hAnsi="IRNazanin" w:eastAsia="IRNazanin" w:cs="IRNazanin"/>
          <w:lang w:bidi="fa-IR"/>
          <w:color w:val="111111"/>
          <w:sz w:val="28"/>
          <w:szCs w:val="28"/>
          <w:rtl/>
        </w:rPr>
        <w:t xml:space="preserve">و هی عامة الأعراض کما هو ظاهر کلام بعضهم و خصوص الوضع و متی و أین کما صرح به بعض آخر و خصوص الزمان کما قال به آخرون و کذا ما قیل إنه المادة أمارات للتشخص و من لوازمه و ثانیا أن قول بعضهم إن المشخص للشی‌ء هو فاعله القریب المفیض لوجوده و کذا قول بعضهم إن المشخص هو فاعل الکل و هو الواجب تعالی الفیاض لکل وجود و کذا قول بعضهم إن تشخص العرض بموضوعه لا یخلو عن استقامة غیر أنه من الإسناد إلی السبب البعید و السبب القریب الذی یستند إلیه التشخص هو نفس وجود الشی‌ء إذ الوجود العینی للشی‌ء بما هو وجود عینی یمتنع وقوع الشرکة فیه فهو المتشخص بذاته و الماهیة متشخصة به و للفاعل أو الموضوع دخل فی التشخص من جهة أنهما من علل الوجود لکن أقرب الأسباب هو وجود نفس الشی‌ء کما عرفت و ثالثا أن جزئیة المعلوم المحسوس لیس من قبل نفسه بما أنه مفهوم ذهنی بل من قبل الاتصال الحسی بالخارج و علم الإنسان بأنه نوع تأثر له من العین الخارجی و کذا جزئیة الصورة الخیالیة من قبل الاتصال بالحس کما إذا أحضر صورة خیالیة مخزونة عنده من جهة الحس أو رکب مما عنده من الصور الحسیة المخزونة صورة فرد خیالی فافهم.</w:t>
      </w:r>
    </w:p>
    <w:p>
      <w:pPr>
        <w:pStyle w:val="Heading5"/>
      </w:pPr>
      <w:bookmarkStart w:id="1496" w:name="_Toc936"/>
      <w:r>
        <w:t>الفصل الرابع فی الذاتی و العرضی</w:t>
      </w:r>
      <w:bookmarkEnd w:id="14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المفاهیم المعتبرة فی الماهیات و هی التی تؤخذ فی حدودها و ترتفع الماهیات بارتفاعها تسمی ذاتیات و ما سوی ذلک مما یحمل علیها و هی خارجة من الحدود کالکاتب من الإنسان و الماشی من الحیوان تسمی</w:t>
      </w:r>
    </w:p>
    <w:p>
      <w:pPr>
        <w:pStyle w:val="BookText"/>
      </w:pPr>
      <w:r>
        <w:rPr>
          <w:rFonts w:ascii="IRNazanin" w:hAnsi="IRNazanin" w:eastAsia="IRNazanin" w:cs="IRNazanin"/>
          <w:lang w:bidi="fa-IR"/>
          <w:color w:val="111111"/>
          <w:sz w:val="28"/>
          <w:szCs w:val="28"/>
          <w:rtl/>
        </w:rPr>
        <w:t xml:space="preserve">[شماره صفحه واقعی : 77]</w:t>
      </w:r>
    </w:p>
    <w:p>
      <w:pPr>
        <w:pStyle w:val="BookText"/>
      </w:pPr>
      <w:r>
        <w:rPr>
          <w:rFonts w:ascii="IRNazanin" w:hAnsi="IRNazanin" w:eastAsia="IRNazanin" w:cs="IRNazanin"/>
          <w:lang w:bidi="fa-IR"/>
          <w:color w:val="111111"/>
          <w:sz w:val="28"/>
          <w:szCs w:val="28"/>
          <w:rtl/>
        </w:rPr>
        <w:t xml:space="preserve">ص: 1298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520" w:name="pg14419_168014"/>
    <w:bookmarkEnd w:id="520"/>
    <w:p>
      <w:pPr>
        <w:pStyle w:val="BookText"/>
      </w:pPr>
      <w:r>
        <w:rPr>
          <w:rFonts w:ascii="IRNazanin" w:hAnsi="IRNazanin" w:eastAsia="IRNazanin" w:cs="IRNazanin"/>
          <w:lang w:bidi="fa-IR"/>
          <w:color w:val="111111"/>
          <w:sz w:val="28"/>
          <w:szCs w:val="28"/>
          <w:rtl/>
        </w:rPr>
        <w:t xml:space="preserve">عرضیات و العرضی قسمان فإنه إن توقف انتزاعه و حمله علی انضمام کتوقف انتزاع الحار و حمله علی الجسم علی انضمام الحرارة إلیه سمی محمولا بالضمیمة و إن لم یتوقف علی انضمام شی‌ء إلی الموضوع سمی الخارج المحمول کالعالی و السافل هذا هو المشهور و قد تقدم أن العرض من مراتب وجود الجوهر و یتمیز الذاتی من غیر الذاتی بخواصه التی هی لوازم ذاتیته و هی کونه ضروری الثبوت لذی الذاتی لضروریة ثبوت الشی‌ء لنفسه و کونه غنیا عن السبب فالسبب الموجد لذی الذاتی هو السبب الموجد للذاتی لمکان العینیة و کونه متقدما علی ذی الذاتی تقدما بالتجوهر کما سیجی‌ء إن شاء الله و قد ظهر مما تقدم أن الحمل بین الذات و بین أجزائه الذاتیة حمل أولی و به یندفع الإشکال فی تقدم أجزاء الماهیة علیها بأن مجموع الأجزاء عین الکل فتقدم المجموع علی الکل تقدم الشی‌ء علی نفسه و هو محال و ذلک أن الذاتی سواء کان أعم و هو الجنس أو أخص و هو الفصل عین الذات و الحمل بینهما أولی و إنما سمی جزءا لوقوعه جزءا من الحد علی أن إشکال تقدم الأجزاء علی الکل مدفوع بأن التقدم للأجزاء بالأسر علی الکل و بین الاعتبارین تغایر.</w:t>
      </w:r>
    </w:p>
    <w:p>
      <w:pPr>
        <w:pStyle w:val="Heading5"/>
      </w:pPr>
      <w:bookmarkStart w:id="1497" w:name="_Toc937"/>
      <w:r>
        <w:t>الفصل الخامس فی الجنس و الفصل و النوع و بعض ما یلحق بذلک</w:t>
      </w:r>
      <w:bookmarkEnd w:id="14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الماهیة التامة التی لها آثار خاصة حقیقیة تسمی من حیث هی کذلک</w:t>
      </w:r>
    </w:p>
    <w:p>
      <w:pPr>
        <w:pStyle w:val="BookText"/>
      </w:pPr>
      <w:r>
        <w:rPr>
          <w:rFonts w:ascii="IRNazanin" w:hAnsi="IRNazanin" w:eastAsia="IRNazanin" w:cs="IRNazanin"/>
          <w:lang w:bidi="fa-IR"/>
          <w:color w:val="111111"/>
          <w:sz w:val="28"/>
          <w:szCs w:val="28"/>
          <w:rtl/>
        </w:rPr>
        <w:t xml:space="preserve">[شماره صفحه واقعی : 78]</w:t>
      </w:r>
    </w:p>
    <w:p>
      <w:pPr>
        <w:pStyle w:val="BookText"/>
      </w:pPr>
      <w:r>
        <w:rPr>
          <w:rFonts w:ascii="IRNazanin" w:hAnsi="IRNazanin" w:eastAsia="IRNazanin" w:cs="IRNazanin"/>
          <w:lang w:bidi="fa-IR"/>
          <w:color w:val="111111"/>
          <w:sz w:val="28"/>
          <w:szCs w:val="28"/>
          <w:rtl/>
        </w:rPr>
        <w:t xml:space="preserve">ص: 1299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نوعا کالإنسان و الفرس و الغنم و قد بین فی المنطق أن من المعانی الذاتیة للأنواع الواقعة فی حدودها ما یشترک فیه أکثر من نوع واحد کالحیوان الذی یشترک فیه الإنسان و الفرس و غیرهما کما أن منها ما یختص بنوع واحد کالناطق المختص بالإنسان و یسمی الجزء المشترک فیه جنسا و الجزء المختص فصلا و ینقسم الجنس و الفصل إلی قریب و بعید و أیضا ینقسم الجنس و النوع إلی عال و متوسط و سافل کل ذلک مبین فی محله ثم إنا إذا أخذنا معنی الحیوان الموجود فی أکثر من نوع واحد مثلا و عقلناه بأنه الجوهر الجسم النامی الحساس المتحرک بالإرادة جاز أن نعقله وحده بحیث یکون کل ما یقارنه من المعانی کالناطق زائدا علیه خارجا من ذاته و یکون ما عقلناه من المعنی مغایرا للمجموع منه و من المقارن غیر محمول علیه کما أنه غیر محمول علی المقارن فالمفهوم المعقول من الحیوان غیر مفهوم الحیوان الناطق و غیر مفهوم الناطق کان المعنی المعقول علی هذا الوجه مادة بالنسبة إلی المعنی الزائد المقارن و علة مادیة بالنسبة إلی المجموع منه و من المقارن .و جاز أن نعقله مقیسا إلی عدة من الأنواع التی تشترک فیه کأن نعقل معنی الحیوان المذکور آنفا مثلا بأنه الحیوان الذی هو إما إنسان و إما فرس و إما غنم و إما غیر ذلک من أنواع الحیوان فیکون المعنی المعقول علی هذا النحو ماهیة ناقصة غیر محصلة حتی ینضم إلیها الفصل المختص بأحد تلک الأنواع فیحصلها ماهیة تامة فتکون ذلک النوع بعینه کأن ینضم فصل الإنسان مثلا و هو الناطق إلی الحیوان فیکون هو الحیوان الناطق بعینه و هو نوع الإنسان و یسمی الذاتی المشترک فیه المأخوذ بهذا الاعتبار جنسا و الذی یحصله فصلا .</w:t>
      </w:r>
    </w:p>
    <w:p>
      <w:pPr>
        <w:pStyle w:val="BookText"/>
      </w:pPr>
      <w:r>
        <w:rPr>
          <w:rFonts w:ascii="IRNazanin" w:hAnsi="IRNazanin" w:eastAsia="IRNazanin" w:cs="IRNazanin"/>
          <w:lang w:bidi="fa-IR"/>
          <w:color w:val="111111"/>
          <w:sz w:val="28"/>
          <w:szCs w:val="28"/>
          <w:rtl/>
        </w:rPr>
        <w:t xml:space="preserve">و الاعتباران المذکوران الجاریان فی الجزء المشترک أعنی أخذه بشرط لا و لا بشرط یجریان فی الجزء المختص فیکون بالاعتبار الأول صورة للجزء الآخر المقارن و علة صوریة للمجموع و لا یحمل علی شی‌ء منها و بالاعتبار الثانی فصلا یحصل الجنس و یتمم النوع و یحمل علیه حملا أولیا</w:t>
      </w:r>
    </w:p>
    <w:p>
      <w:pPr>
        <w:pStyle w:val="BookText"/>
      </w:pPr>
      <w:r>
        <w:rPr>
          <w:rFonts w:ascii="IRNazanin" w:hAnsi="IRNazanin" w:eastAsia="IRNazanin" w:cs="IRNazanin"/>
          <w:lang w:bidi="fa-IR"/>
          <w:color w:val="111111"/>
          <w:sz w:val="28"/>
          <w:szCs w:val="28"/>
          <w:rtl/>
        </w:rPr>
        <w:t xml:space="preserve">[شماره صفحه واقعی : 79]</w:t>
      </w:r>
    </w:p>
    <w:p>
      <w:pPr>
        <w:pStyle w:val="BookText"/>
      </w:pPr>
      <w:r>
        <w:rPr>
          <w:rFonts w:ascii="IRNazanin" w:hAnsi="IRNazanin" w:eastAsia="IRNazanin" w:cs="IRNazanin"/>
          <w:lang w:bidi="fa-IR"/>
          <w:color w:val="111111"/>
          <w:sz w:val="28"/>
          <w:szCs w:val="28"/>
          <w:rtl/>
        </w:rPr>
        <w:t xml:space="preserve">ص: 1300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تحصل أن الجزء الأعم فی الماهیات و هو الجنس متقوم بالجزء الأخص الذی هو الفصل بحسب التحلیل العقلی.</w:t>
      </w:r>
    </w:p>
    <w:p>
      <w:pPr>
        <w:pStyle w:val="BookText"/>
      </w:pPr>
      <w:r>
        <w:rPr>
          <w:rFonts w:ascii="IRNazanin" w:hAnsi="IRNazanin" w:eastAsia="IRNazanin" w:cs="IRNazanin"/>
          <w:lang w:bidi="fa-IR"/>
          <w:color w:val="111111"/>
          <w:sz w:val="28"/>
          <w:szCs w:val="28"/>
          <w:rtl/>
        </w:rPr>
        <w:t xml:space="preserve">قال فی الأسفار فی کیفیة تقوم الجنس بالفصل : هذا التقویم لیس بحسب الخارج لاتحادهما فی الوجود و المتحدان فی ظرف لا یمکن تقوم أحدهما بالآخر وجودا بل بحسب تحلیل العقل الماهیة النوعیة إلی جزءین عقلیین و حکمه بعلیة أحدهما للآخر ضرورة احتیاج أجزاء ماهیة واحدة بعضها إلی بعض و المحتاج إلیه و العلة لا یکون إلا الجزء الفصلی لاستحالة أن یکون الجزء الجنسی علة لوجود الجزء الفصلی و إلا لکانت الفصول المتقابلة لازمة له فیکون الشی‌ء الواحد مختلفا متقابلا هذا ممتنع فبقی أن یکون الجزء الفصلی علة لوجود الجزء الجنسی و یکون مقسما للطبیعة الجنسیة المطلقة و علة للقدر الذی هو حصة النوع و جزءا للمجموع الحاصل منه و مما یتمیز به عن غیره انتهی. (ج 2 ص 30-29)</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فإن قیل إن الفصل إن کان علة لمطلق الجنس لم یکن مقسما له و إن کان علة للحصة التی فی نوعه و هو المختص به فلا بد أن یفرض التخصص أولا حتی یکون الفصل علة له لکنه إذا تخصص دخل فی الوجود و استغنی بذلک عن العلة قیل إن الخصوصیة التی بها یصیر الجنس المبهم حصة خاصة بالنوع من شئون تحصله الوجودی الجائی إلیه من ناحیة علته التی هی الفصل و العلة متقدمة بالوجود علی معلولها فالتخصص حاصل بالفصل و به یقسم الجنس الفاقد له فی نفسه و لا ضیر فی علیة فصول متعددة لماهیة واحدة جنسیة لضعف وحدتها فإن قیل التحصل الذی یدخل به الجنس فی الوجود هو تحصله بالوجود الفردی فما لم یتلبس بالوجود الخارجی لم یتم و لم یکن له شی‌ء من الشؤون الوجودیة فما معنی عد الفصل علة له</w:t>
      </w:r>
    </w:p>
    <w:p>
      <w:pPr>
        <w:pStyle w:val="BookText"/>
      </w:pPr>
      <w:r>
        <w:rPr>
          <w:rFonts w:ascii="IRNazanin" w:hAnsi="IRNazanin" w:eastAsia="IRNazanin" w:cs="IRNazanin"/>
          <w:lang w:bidi="fa-IR"/>
          <w:color w:val="111111"/>
          <w:sz w:val="28"/>
          <w:szCs w:val="28"/>
          <w:rtl/>
        </w:rPr>
        <w:t xml:space="preserve">[شماره صفحه واقعی : 80]</w:t>
      </w:r>
    </w:p>
    <w:p>
      <w:pPr>
        <w:pStyle w:val="BookText"/>
      </w:pPr>
      <w:r>
        <w:rPr>
          <w:rFonts w:ascii="IRNazanin" w:hAnsi="IRNazanin" w:eastAsia="IRNazanin" w:cs="IRNazanin"/>
          <w:lang w:bidi="fa-IR"/>
          <w:color w:val="111111"/>
          <w:sz w:val="28"/>
          <w:szCs w:val="28"/>
          <w:rtl/>
        </w:rPr>
        <w:t xml:space="preserve">ص: 1301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المراد بتحصله بالفصل ثبوته التعقلی و کینونته ماهیة تامة نوعیة و الذی یکتسبه بالوجود الفردی هو تحقق الماهیة التامة تحققا یترتب علیه الآثار الخارجیة فالذی یفیده الفصل هو تحصل الماهیة المبهمة الجنسیة و صیرورتها ماهیة نوعیة تامة و الذی یفیده الوجود الفردی هو تحصل الماهیة التامة و صیرورتها حقیقة خارجیة یترتب علیها الآثار فتبین بما مر أولا أن الجنس هو النوع مبهما و الفصل هو النوع محصلا و النوع هو الماهیة التامة من غیر نظر إلی إبهام أو تحصل و ثانیا أن کلا من الجنس و الفصل محمول علی النوع حملا أولیا و أما النسبة بین الجنس و الفصل أنفسهما فالجنس عرض عام للفصل و الفصل خاصة للجنس و الحمل بینهما حمل شائع و ثالثا أن من الممتنع تحقق أکثر من جنس واحد فی مرتبة واحدة فی ماهیة نوعیة واحدة و کذا تحقق أکثر من فصل واحد فی مرتبة واحدة فی ماهیة نوعیة واحدة لاستلزامه کون الواحد بعینه کثیرا و هو محال و رابعا أن الجنس و المادة متحدان ذاتا و مختلفان اعتبارا فالمادة إذا أخذت لا بشرط کانت جنسا و الجنس إذا أخذ بشرط لا کان مادة و کذلک الفصل و الصورة متحدان ذاتا و مختلفان اعتبارا فالفصل بشرط لا صورة کما أن الصورة لا بشرط فصل و هذا فی الجواهر المادیة المرکبة ظاهر فإن المادة و الصورة موجودتان فیها خارجا فیؤخذ منهما معنی المادة و الصورة ثم یؤخذان لا بشرط فیکونان جنسا و فصلا و أما الأعراض فهی بسائط خارجیة غیر مرکبة من مادة و صورة فما به الاشتراک فیها عین ما به الامتیاز لکن العقل یجد فیها مشترکات و مختصات فیعتبرها أجناسا و فصولا لها ثم یعتبرها بشرط لا فتعود مواد و صورا عقلیة لها</w:t>
      </w:r>
    </w:p>
    <w:p>
      <w:pPr>
        <w:pStyle w:val="BookText"/>
      </w:pPr>
      <w:r>
        <w:rPr>
          <w:rFonts w:ascii="IRNazanin" w:hAnsi="IRNazanin" w:eastAsia="IRNazanin" w:cs="IRNazanin"/>
          <w:lang w:bidi="fa-IR"/>
          <w:color w:val="111111"/>
          <w:sz w:val="28"/>
          <w:szCs w:val="28"/>
          <w:rtl/>
        </w:rPr>
        <w:t xml:space="preserve">[شماره صفحه واقعی : 81]</w:t>
      </w:r>
    </w:p>
    <w:p>
      <w:pPr>
        <w:pStyle w:val="BookText"/>
      </w:pPr>
      <w:r>
        <w:rPr>
          <w:rFonts w:ascii="IRNazanin" w:hAnsi="IRNazanin" w:eastAsia="IRNazanin" w:cs="IRNazanin"/>
          <w:lang w:bidi="fa-IR"/>
          <w:color w:val="111111"/>
          <w:sz w:val="28"/>
          <w:szCs w:val="28"/>
          <w:rtl/>
        </w:rPr>
        <w:t xml:space="preserve">ص: 1302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521" w:name="pg14419_168018"/>
    <w:bookmarkEnd w:id="521"/>
    <w:p>
      <w:pPr>
        <w:pStyle w:val="BookText"/>
      </w:pPr>
      <w:r>
        <w:rPr>
          <w:rFonts w:ascii="IRNazanin" w:hAnsi="IRNazanin" w:eastAsia="IRNazanin" w:cs="IRNazanin"/>
          <w:lang w:bidi="fa-IR"/>
          <w:color w:val="111111"/>
          <w:sz w:val="28"/>
          <w:szCs w:val="28"/>
          <w:rtl/>
        </w:rPr>
        <w:t xml:space="preserve">و الأمر فی الجواهر المجردة أیضا علی هذه الوتیرة.</w:t>
      </w:r>
    </w:p>
    <w:p>
      <w:pPr>
        <w:pStyle w:val="Heading5"/>
      </w:pPr>
      <w:bookmarkStart w:id="1498" w:name="_Toc938"/>
      <w:r>
        <w:t>الفصل السادس فی بعض ما یرجع إلی الفصل</w:t>
      </w:r>
      <w:bookmarkEnd w:id="14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یستعمل لفظ الفصل فی کلماتهم فی معنیین أحدهما أخص اللوازم التی یعرض النوع و أعرفها و هو إنما یعد فصلا و یوضع فی الحدود موضع الفصول الحقیقیة لصعوبة الحصول علی الفصول الحقیقیة التی تقوم الأنواع أو لعدم وجود اسم دال علیها بالمطابقة فی اللغة کالناطق المأخوذ فصلا للإنسان فإن المراد بالنطق إما التکلم و هو بوجه من الکیفیات المسموعة و إما إدراک الکلیات و هو عندهم من الکیفیات النفسانیة و الکیفیة کیفما کانت من الأعراض و الأعراض لا تقوم الجواهر و یسمی فصلا منطقیا و الثانی ما یقوم النوع و یحصل الجنس حقیقة و هو مبدأ الفصل المنطقی ککون الإنسان ذا نفس ناطقة فصلا للنوع الإنسانی و یسمی فصلا اشتقاقیا.</w:t>
      </w:r>
    </w:p>
    <w:p>
      <w:pPr>
        <w:pStyle w:val="BookText"/>
      </w:pPr>
      <w:r>
        <w:rPr>
          <w:rFonts w:ascii="IRNazanin" w:hAnsi="IRNazanin" w:eastAsia="IRNazanin" w:cs="IRNazanin"/>
          <w:lang w:bidi="fa-IR"/>
          <w:color w:val="111111"/>
          <w:sz w:val="28"/>
          <w:szCs w:val="28"/>
          <w:rtl/>
        </w:rPr>
        <w:t xml:space="preserve">ثم إن الفصل الأخیر تمام حقیقة النوع لأنه محصل الجنس الذی یحصله و یتممه نوعا فما أخذ فی أجناسه و فصوله الأخر علی وجه الإبهام مأخوذ فیه علی وجه التحصیل و یتفرع علیه أن نوعیة النوع محفوظة بالفصل و لو تبدلت بعض أجناسه و لذا لو تجردت صورته التی هی الفصل بشرط لا عن المادة التی هی الجنس بشرط لا فی المرکبات المادیة کالإنسان تتجرد نفسه فتفارق البدن کانت حقیقة النوع محفوظة بالصورة.</w:t>
      </w:r>
    </w:p>
    <w:p>
      <w:pPr>
        <w:pStyle w:val="BookText"/>
      </w:pPr>
      <w:r>
        <w:rPr>
          <w:rFonts w:ascii="IRNazanin" w:hAnsi="IRNazanin" w:eastAsia="IRNazanin" w:cs="IRNazanin"/>
          <w:lang w:bidi="fa-IR"/>
          <w:color w:val="111111"/>
          <w:sz w:val="28"/>
          <w:szCs w:val="28"/>
          <w:rtl/>
        </w:rPr>
        <w:t xml:space="preserve">ثم إن الفصل غیر مندرج تحت جنسه الذی یحصله بمعنی أن الجنس غیر</w:t>
      </w:r>
    </w:p>
    <w:p>
      <w:pPr>
        <w:pStyle w:val="BookText"/>
      </w:pPr>
      <w:r>
        <w:rPr>
          <w:rFonts w:ascii="IRNazanin" w:hAnsi="IRNazanin" w:eastAsia="IRNazanin" w:cs="IRNazanin"/>
          <w:lang w:bidi="fa-IR"/>
          <w:color w:val="111111"/>
          <w:sz w:val="28"/>
          <w:szCs w:val="28"/>
          <w:rtl/>
        </w:rPr>
        <w:t xml:space="preserve">[شماره صفحه واقعی : 82]</w:t>
      </w:r>
    </w:p>
    <w:p>
      <w:pPr>
        <w:pStyle w:val="BookText"/>
      </w:pPr>
      <w:r>
        <w:rPr>
          <w:rFonts w:ascii="IRNazanin" w:hAnsi="IRNazanin" w:eastAsia="IRNazanin" w:cs="IRNazanin"/>
          <w:lang w:bidi="fa-IR"/>
          <w:color w:val="111111"/>
          <w:sz w:val="28"/>
          <w:szCs w:val="28"/>
          <w:rtl/>
        </w:rPr>
        <w:t xml:space="preserve">ص: 1303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مأخوذ فی حده أخذ الجنس فی النوع ففصول الجواهر لیست بجواهر و ذلک لأنه لو اندرج تحت جنسه افتقر إلی فصل یقومه و ننقل الکلام إلی فصله و یتسلسل بترتب فصول غیر متناهیة و تحقق أنواع غیر متناهیة فی کل فصل و یتکرر الجنس بعدد الفصول و صریح العقل یدفعه علی أن النسبة بین الجنس و الفصل تنقلب إلی العینیة و یکون الحمل بینهما حملا أولیا و یبطل کون الجنس عرضا عاما للفصل و الفصل خاصة للجنس و لا ینافی ذلک وقوع الحمل بین الجنس و فصله المقسم،کقولنا کل ناطق حیوان و بعض الحیوان ناطق لأنه حمل شائع بین الخاصة و العرض العام کما تقدمت الإشارة إلیه و الذی نفیناه هو الحمل الأولی فالجوهر مثلا صادق علی فصوله المقسمة له من غیر أن تندرج تحته فیکون جزءا من ماهیتها.</w:t>
      </w:r>
    </w:p>
    <w:p>
      <w:pPr>
        <w:pStyle w:val="BookText"/>
      </w:pPr>
      <w:r>
        <w:rPr>
          <w:rFonts w:ascii="IRNazanin" w:hAnsi="IRNazanin" w:eastAsia="IRNazanin" w:cs="IRNazanin"/>
          <w:lang w:bidi="fa-IR"/>
          <w:color w:val="111111"/>
          <w:sz w:val="28"/>
          <w:szCs w:val="28"/>
          <w:rtl/>
        </w:rPr>
        <w:t xml:space="preserve">فإن قلت ما تقدم من عدم دخول فصل النوع تحت جنسه ینافی قولهم فی تقسیم الجوهر علی العقل و النفس و الهیولی و الصورة الجسمیة و الجسم بکون الصورة الجسمیة و النفس نوعین من الجوهر و لازم کون الشی‌ء نوعا من مقولة اندراجه و دخوله تحتها و من المعلوم أن الصورة الجسمیة هی فصل الجسم مأخوذا بشرط لا ففی کونه نوعا من الجوهر دخول الفصل الجوهری تحت جنس الجوهر و أخذ الجوهر فی حده و نظیر البیان جار فی عدهم النفس نوعا من الجوهر علی أنهم بینوا بالبرهان أن النفس الإنسانیة جوهر مجرد باق بعد مفارقة البدن و النفس الناطقة صورة الإنسان و هی بعینها مأخوذة لا بشرط فصل للماهیة الإنسانیة.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قلت یختلف حکم المفاهیم باختلاف الاعتبار العقلی الذی یطرؤها و قد تقدم فی بحث الوجود لنفسه و لغیره أن الوجود فی نفسه هو الذی ینتزع عنه ماهیة الشی‌ء و أما اعتبار وجوده لشی‌ء فلا ینتزع عنه ماهیة و إن کان وجوده لغیره عین وجوده فی نفسه و الفصل مفهوم مضاف إلی الجنس حیثیته</w:t>
      </w:r>
    </w:p>
    <w:p>
      <w:pPr>
        <w:pStyle w:val="BookText"/>
      </w:pPr>
      <w:r>
        <w:rPr>
          <w:rFonts w:ascii="IRNazanin" w:hAnsi="IRNazanin" w:eastAsia="IRNazanin" w:cs="IRNazanin"/>
          <w:lang w:bidi="fa-IR"/>
          <w:color w:val="111111"/>
          <w:sz w:val="28"/>
          <w:szCs w:val="28"/>
          <w:rtl/>
        </w:rPr>
        <w:t xml:space="preserve">[شماره صفحه واقعی : 83]</w:t>
      </w:r>
    </w:p>
    <w:p>
      <w:pPr>
        <w:pStyle w:val="BookText"/>
      </w:pPr>
      <w:r>
        <w:rPr>
          <w:rFonts w:ascii="IRNazanin" w:hAnsi="IRNazanin" w:eastAsia="IRNazanin" w:cs="IRNazanin"/>
          <w:lang w:bidi="fa-IR"/>
          <w:color w:val="111111"/>
          <w:sz w:val="28"/>
          <w:szCs w:val="28"/>
          <w:rtl/>
        </w:rPr>
        <w:t xml:space="preserve">ص: 1304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ممیز ذاتی للنوع وجوده للجنس فلا ماهیة له من حیث إنه فصل و هذا معنی قولهم إن لازم کون الجنس عرضا عاما للفصل و الفصل خاصة له أن لیست فصول الجواهر جواهر بمعنی کونها مندرجة تحت معنی الجواهر اندراج الأنواع تحت جنسها بل کاندراج الملزومات تحت لازمها الذی لا یدخل فی ماهیتها و أما الصورة من حیث إنها صورة مقومة للمادة فحیث کانت بشرط لا بالنسبة إلی المادة لم یکن بینهما حمل أولی فلا اندراج لها تحت الجنس و إلا کانت نوعا بینه و بین الجنس عینیة و حمل أولی هذا خلف و إن کان بینها و بین المادة حمل شائع بناء علی الترکیب الاتحادی بین المادة و الصورة.</w:t>
      </w:r>
    </w:p>
    <w:p>
      <w:pPr>
        <w:pStyle w:val="BookText"/>
      </w:pPr>
      <w:r>
        <w:rPr>
          <w:rFonts w:ascii="IRNazanin" w:hAnsi="IRNazanin" w:eastAsia="IRNazanin" w:cs="IRNazanin"/>
          <w:lang w:bidi="fa-IR"/>
          <w:color w:val="111111"/>
          <w:sz w:val="28"/>
          <w:szCs w:val="28"/>
          <w:rtl/>
        </w:rPr>
        <w:t xml:space="preserve">نعم لما کانت الصورة تمام ماهیة النوع کما عرفوها بأنها ما به الشی‌ء هو هو بالفعل کانت فصول الجواهر جواهر لأنها عین حقیقة النوع و فعلیته لکن لا یستوجب ذلک دخولها تحت جنس الجوهر بحیث یکون الجوهر مأخوذا فی حدها بینه و بینها حمل أولی فتبین بما تقدم أن الفصول بما أنها فصول بسائط غیر مرکبة من الجنس و الفصل ممحضة فی أنها ممیزات ذاتیة و کذلک الصور المادیة التی هی فی ذاتها مادیة موجودة للمادة بسائط فی الخارج غیر مرکبة من المادة و الصورة و بسائط فی العقل غیر مرکبة من الجنس و الفصل و إلا کانت الواحدة منها أنواعا متسلسلة کما تقدمت الإشارة إلیها و أما النفس المجردة فهی باعتبار أنها فصل للنوع حیثیتها حیثیة الوجود الناعتی و قد عرفت أن لا ماهیة للوجود الناعتی و أما من حیث تجردها فی ذاتها فإن تجردها مصحح وجودها لنفسها کما أنها موجودة فی نفسها و هی تمام حقیقة النوع فیصدق علیه الجوهر فتکون هی النوع الجوهری الذی کانت جزءا صوریا له و لیست بصورة و لا ینافیه کون وجودها للمادة أیضا فإن هذا التعلق إنما هو فی مقام الفعل دون الذات فهی مادیة فی فعلها لا فی ذاتها</w:t>
      </w:r>
    </w:p>
    <w:p>
      <w:pPr>
        <w:pStyle w:val="BookText"/>
      </w:pPr>
      <w:r>
        <w:rPr>
          <w:rFonts w:ascii="IRNazanin" w:hAnsi="IRNazanin" w:eastAsia="IRNazanin" w:cs="IRNazanin"/>
          <w:lang w:bidi="fa-IR"/>
          <w:color w:val="111111"/>
          <w:sz w:val="28"/>
          <w:szCs w:val="28"/>
          <w:rtl/>
        </w:rPr>
        <w:t xml:space="preserve">[شماره صفحه واقعی : 84]</w:t>
      </w:r>
    </w:p>
    <w:p>
      <w:pPr>
        <w:pStyle w:val="BookText"/>
      </w:pPr>
      <w:r>
        <w:rPr>
          <w:rFonts w:ascii="IRNazanin" w:hAnsi="IRNazanin" w:eastAsia="IRNazanin" w:cs="IRNazanin"/>
          <w:lang w:bidi="fa-IR"/>
          <w:color w:val="111111"/>
          <w:sz w:val="28"/>
          <w:szCs w:val="28"/>
          <w:rtl/>
        </w:rPr>
        <w:t xml:space="preserve">ص: 1305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522" w:name="pg14419_168021"/>
    <w:bookmarkEnd w:id="522"/>
    <w:p>
      <w:pPr>
        <w:pStyle w:val="BookText"/>
      </w:pPr>
      <w:r>
        <w:rPr>
          <w:rFonts w:ascii="IRNazanin" w:hAnsi="IRNazanin" w:eastAsia="IRNazanin" w:cs="IRNazanin"/>
          <w:lang w:bidi="fa-IR"/>
          <w:color w:val="111111"/>
          <w:sz w:val="28"/>
          <w:szCs w:val="28"/>
          <w:rtl/>
        </w:rPr>
        <w:t xml:space="preserve">هذا علی القول بکون النفس المجردة روحانیة الحدوث و البقاء کما علیه المشاءون و أما علی القول بکونها جسمانیة الحدوث روحانیة البقاء فهی تتجرد فی ذاتها أولا و هی بعد متعلقة بالمادة فعلا ثم تتجرد عنها فی فعلها أیضا بمفارقة البدن.</w:t>
      </w:r>
    </w:p>
    <w:p>
      <w:pPr>
        <w:pStyle w:val="Heading5"/>
      </w:pPr>
      <w:bookmarkStart w:id="1499" w:name="_Toc939"/>
      <w:r>
        <w:t>الفصل السابع فی بعض أحکام النوع</w:t>
      </w:r>
      <w:bookmarkEnd w:id="14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النوع هو الماهیة التامة التی لها فی الوجود آثار خاصة و ینقسم إلی ما لا یتوقف فی ترتب آثاره علیه إلا علی الوجود الخارجی الذی یشخصه فردا کالإنسان مثلا و یسمی النوع الحقیقی و إلی ما یتوقف فی ترتب آثاره علیه علی لحوق فصل أو فصول به فیکون جنسا بالنسبة إلی أنواع دونه و إن کان نوعا بالنظر إلی تمام ماهیته کالأنواع العالیة و المتوسطة کالجسم الذی هو نوع من الجوهر عال ثم هو جنس للأنواع النباتیة و الجمادیة و الحیوان الذی هو نوع متوسط من الجوهر و جنس للإنسان و سائر الأنواع الحیوانیة و یسمی النوع الإضافی ثم إن الماهیة النوعیة توجد أجزاؤها فی الخارج بوجود واحد هو وجود النوع لأن الحمل بین کل منها و بین النوع حمل أولی و النوع موجود بوجود واحد و أما فی الذهن فبینها تغایر بالإبهام و التحصل و لذلک کان کل من الجنس و الفصل عرضیا للآخر کما تقدم و من هنا ما ذکروا أنه لا بد فی المرکبات الحقیقیة و هی الأنواع المادیة أن یکون بین أجزائها فقر و حاجة من بعضها إلی بعض حتی ترتبط و تتحد حقیقة واحدة و قد عدوا المسألة ضروریة</w:t>
      </w:r>
    </w:p>
    <w:p>
      <w:pPr>
        <w:pStyle w:val="BookText"/>
      </w:pPr>
      <w:r>
        <w:rPr>
          <w:rFonts w:ascii="IRNazanin" w:hAnsi="IRNazanin" w:eastAsia="IRNazanin" w:cs="IRNazanin"/>
          <w:lang w:bidi="fa-IR"/>
          <w:color w:val="111111"/>
          <w:sz w:val="28"/>
          <w:szCs w:val="28"/>
          <w:rtl/>
        </w:rPr>
        <w:t xml:space="preserve">[شماره صفحه واقعی : 85]</w:t>
      </w:r>
    </w:p>
    <w:p>
      <w:pPr>
        <w:pStyle w:val="BookText"/>
      </w:pPr>
      <w:r>
        <w:rPr>
          <w:rFonts w:ascii="IRNazanin" w:hAnsi="IRNazanin" w:eastAsia="IRNazanin" w:cs="IRNazanin"/>
          <w:lang w:bidi="fa-IR"/>
          <w:color w:val="111111"/>
          <w:sz w:val="28"/>
          <w:szCs w:val="28"/>
          <w:rtl/>
        </w:rPr>
        <w:t xml:space="preserve">ص: 1306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یمتاز المرکب الحقیقی من غیره بالوحدة الحقیقیة و ذلک بأن یحصل من تألف الأجزاء أمر آخر وراءها له أثر جدید خاص وراء آثار الأجزاء لا مثل المرکبات الاعتباریة التی لا أثر لها وراء آثار الأجزاء کالعسکر المرکب من أفراد و البیت المرکب من اللبن و الجص و غیرهما و من هنا یترجح القول بأن الترکیب بین المادة و الصورة ترکیب اتحادی لا انضمامی کما سیأتی إن شاء الله.</w:t>
      </w:r>
    </w:p>
    <w:p>
      <w:pPr>
        <w:pStyle w:val="BookText"/>
      </w:pPr>
      <w:r>
        <w:rPr>
          <w:rFonts w:ascii="IRNazanin" w:hAnsi="IRNazanin" w:eastAsia="IRNazanin" w:cs="IRNazanin"/>
          <w:lang w:bidi="fa-IR"/>
          <w:color w:val="111111"/>
          <w:sz w:val="28"/>
          <w:szCs w:val="28"/>
          <w:rtl/>
        </w:rPr>
        <w:t xml:space="preserve">ثم إن الماهیات النوعیة منها ما هو کثیر الأفراد کالأنواع التی لها تعلق ما بالمادة کالعنصر و کالإنسان و منها ما هو منحصر فی فرد کالنوع المجرد عن المادة ذاتا و فعلا و هو العقل و ذلک أن الکثرة إما أن تکون تمام ذات الماهیة النوعیة أو بعضها أو خارجة منها لازمة أو مفارقة و علی التقادیر الثلاثة الأول یمتنع أن یتحقق لها فرد إذ کل ما فرض فردا لها وجب کونه کثیرا و کل کثیر مؤلف من آحاد و کل واحد مفروض یجب أن یکون کثیرا و کل کثیر فإنه مؤلف من آحاد و هکذا فیذهب الأمر إلی غیر النهایة و لا ینتهی إلی واحد فلا یتحقق الواحد فلا یتحقق لها فرد و قد فرض کثیر الأفراد هذا خلف و علی التقدیر الرابع کانت الکثرة بعرض مفارق یعرض النوع تتحقق بانضمامه إلیه و عدم انضمامه الکثرة و کل عرض مفارق یتوقف عروضه علی سبق إمکان حامله المادة فیکون النوع مادیا بالضرورة فکل نوع کثیر الأفراد فهو مادی و ینعکس بعکس النقیض إلی أن کل نوع مجرد فهو منحصر فی فرد و هو المطلوب.</w:t>
      </w:r>
    </w:p>
    <w:p>
      <w:pPr>
        <w:pStyle w:val="BookText"/>
      </w:pPr>
      <w:r>
        <w:rPr>
          <w:rFonts w:ascii="IRNazanin" w:hAnsi="IRNazanin" w:eastAsia="IRNazanin" w:cs="IRNazanin"/>
          <w:lang w:bidi="fa-IR"/>
          <w:color w:val="111111"/>
          <w:sz w:val="28"/>
          <w:szCs w:val="28"/>
          <w:rtl/>
        </w:rPr>
        <w:t xml:space="preserve">[شماره صفحه واقعی : 86]</w:t>
      </w:r>
    </w:p>
    <w:p>
      <w:pPr>
        <w:pStyle w:val="BookText"/>
      </w:pPr>
      <w:r>
        <w:rPr>
          <w:rFonts w:ascii="IRNazanin" w:hAnsi="IRNazanin" w:eastAsia="IRNazanin" w:cs="IRNazanin"/>
          <w:lang w:bidi="fa-IR"/>
          <w:color w:val="111111"/>
          <w:sz w:val="28"/>
          <w:szCs w:val="28"/>
          <w:rtl/>
        </w:rPr>
        <w:t xml:space="preserve">ص: 1307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523" w:name="pg14419_168023"/>
    <w:bookmarkEnd w:id="523"/>
    <w:p>
      <w:pPr>
        <w:pStyle w:val="Heading4"/>
      </w:pPr>
      <w:bookmarkStart w:id="1500" w:name="_Toc940"/>
      <w:r>
        <w:t>المرحلة السادسة فی المقولات العشر</w:t>
      </w:r>
      <w:bookmarkEnd w:id="1500"/>
    </w:p>
    <w:p>
      <w:pPr>
        <w:pStyle w:val="Heading5"/>
      </w:pPr>
      <w:bookmarkStart w:id="1501" w:name="_Toc941"/>
      <w:r>
        <w:t>اشارة</w:t>
      </w:r>
      <w:bookmarkEnd w:id="15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هی الأجناس العالیة التی إلیها تنتهی الماهیات بالتحلیل و فیها واحد و عشرون فصلا</w:t>
      </w:r>
    </w:p>
    <w:p>
      <w:pPr>
        <w:pStyle w:val="BookText"/>
      </w:pPr>
      <w:r>
        <w:rPr>
          <w:rFonts w:ascii="IRNazanin" w:hAnsi="IRNazanin" w:eastAsia="IRNazanin" w:cs="IRNazanin"/>
          <w:lang w:bidi="fa-IR"/>
          <w:color w:val="111111"/>
          <w:sz w:val="28"/>
          <w:szCs w:val="28"/>
          <w:rtl/>
        </w:rPr>
        <w:t xml:space="preserve">[شماره صفحه واقعی : 87]</w:t>
      </w:r>
    </w:p>
    <w:p>
      <w:pPr>
        <w:pStyle w:val="BookText"/>
      </w:pPr>
      <w:r>
        <w:rPr>
          <w:rFonts w:ascii="IRNazanin" w:hAnsi="IRNazanin" w:eastAsia="IRNazanin" w:cs="IRNazanin"/>
          <w:lang w:bidi="fa-IR"/>
          <w:color w:val="111111"/>
          <w:sz w:val="28"/>
          <w:szCs w:val="28"/>
          <w:rtl/>
        </w:rPr>
        <w:t xml:space="preserve">ص: 1308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524" w:name="pg14419_168024"/>
    <w:bookmarkEnd w:id="524"/>
    <w:p>
      <w:pPr>
        <w:pStyle w:val="Heading5"/>
      </w:pPr>
      <w:bookmarkStart w:id="1502" w:name="_Toc942"/>
      <w:r>
        <w:t>الفصل الأول فی المقولات و عددها</w:t>
      </w:r>
      <w:bookmarkEnd w:id="1502"/>
    </w:p>
    <w:p>
      <w:pPr>
        <w:pStyle w:val="BookText"/>
      </w:pPr>
      <w:r>
        <w:rPr>
          <w:rFonts w:ascii="IRNazanin" w:hAnsi="IRNazanin" w:eastAsia="IRNazanin" w:cs="IRNazanin"/>
          <w:lang w:bidi="fa-IR"/>
          <w:color w:val="111111"/>
          <w:sz w:val="28"/>
          <w:szCs w:val="28"/>
          <w:rtl/>
        </w:rPr>
        <w:t xml:space="preserve">لا ریب أن للموجود الممکن ماهیة هی ذاته التی تستوی نسبتها إلی الوجود و العدم و هی ما یقال فی جواب ما هو و أن فی هذه الماهیات مشترکات و مختصات أعنی الأجناس و الفصول و أن فی الأجناس ما هو أعم و ما هو أخص أی أنها قد تترتب متصاعدة من أخص إلی أعم فلا محالة تنتهی السلسلة إلی جنس لا جنس فوقها لاستحالة ذهابها إلی غیر النهایة المستلزم لترکب ذات الممکن من أجزاء غیر متناهیة،فلا یمکن تعقل شی‌ء من هذه الماهیات بتمام ذاتیاتها علی أن هذه الأجناس باعتبار أخذها بشرط لا مواد خارجیة أو عقلیة و المادة من علل القوام و هی متناهیة کما سیأتی إن شاء الله تعالی.</w:t>
      </w:r>
    </w:p>
    <w:p>
      <w:pPr>
        <w:pStyle w:val="BookText"/>
      </w:pPr>
      <w:r>
        <w:rPr>
          <w:rFonts w:ascii="IRNazanin" w:hAnsi="IRNazanin" w:eastAsia="IRNazanin" w:cs="IRNazanin"/>
          <w:lang w:bidi="fa-IR"/>
          <w:color w:val="111111"/>
          <w:sz w:val="28"/>
          <w:szCs w:val="28"/>
          <w:rtl/>
        </w:rPr>
        <w:t xml:space="preserve">فتحصل أن هناک أجناسا عالیة لیس فوقها جنس و هی المسماة بالمقولات و من هنا یظهر أولا أن المقولات بسائط غیر مرکبة من جنس و فصل و إلا کان هناک جنس أعلی منها هذا خلف و ثانیا أنها متباینة بتمام ذواتها البسیطة و إلا کان بینها مشترک ذاتی و هو الجنس فکان فوقها جنس هذا خلف</w:t>
      </w:r>
    </w:p>
    <w:p>
      <w:pPr>
        <w:pStyle w:val="BookText"/>
      </w:pPr>
      <w:r>
        <w:rPr>
          <w:rFonts w:ascii="IRNazanin" w:hAnsi="IRNazanin" w:eastAsia="IRNazanin" w:cs="IRNazanin"/>
          <w:lang w:bidi="fa-IR"/>
          <w:color w:val="111111"/>
          <w:sz w:val="28"/>
          <w:szCs w:val="28"/>
          <w:rtl/>
        </w:rPr>
        <w:t xml:space="preserve">[شماره صفحه واقعی : 88]</w:t>
      </w:r>
    </w:p>
    <w:p>
      <w:pPr>
        <w:pStyle w:val="BookText"/>
      </w:pPr>
      <w:r>
        <w:rPr>
          <w:rFonts w:ascii="IRNazanin" w:hAnsi="IRNazanin" w:eastAsia="IRNazanin" w:cs="IRNazanin"/>
          <w:lang w:bidi="fa-IR"/>
          <w:color w:val="111111"/>
          <w:sz w:val="28"/>
          <w:szCs w:val="28"/>
          <w:rtl/>
        </w:rPr>
        <w:t xml:space="preserve">ص: 1309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أن الماهیة الواحدة لا تندرج تحت أکثر من مقولة واحدة فلا یکون شی‌ء واحد جوهرا و کما معا و لا کما و کیفا معا و هکذا و یتفرع علیه أن کل معنی یوجد فی أکثر من مقولة واحدة فهو غیر داخل تحت المقولة إذ لو دخل تحت ما یصدق علیه لکان مجنسا بجنسین متباینین أو أجناس متباینة و هو محال و مثله ما یصدق من المفاهیم علی الواجب و الممکن جمیعا و قد تقدمت الإشارة إلی ذلک و رابعا أن الماهیات البسیطة کالفصول الجوهریة مثلا و کالنوع المفرد إن کان خارجة عن المقولات و قد تقدم فی مرحلة الماهیة و خامسا أن الواجب و الممتنع خارجان عن المقولات إذ لا ماهیة لهما و المقولات ماهیات جنسیة ثم إن جمهور المشائین علی أن المقولات عشر و هی الجوهر و الکم و الکیف و الوضع و أین و متی و الجدة و الإضافة و أن یفعل و أن ینفعل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المعول فیما ذکروه علی الاستقراء و لم یقم برهان علی أن لیس فوقها مقولة هی أعم من الجمیع أو أعم من البعض و أما مفهوم الماهیة و الشی‌ء و الموجود و أمثالها الصادقة علی العشر جمیعا و مفهوم العرض و الهیئة و الحال الصادقة علی التسع غیر الجوهر و الهیئة النسبیة الصادقة علی السبع الأخیرة المسماة بالأعراض النسبیة،فهی مفاهیم عامة منتزعة من نحو وجودها خارجة من سنخ الماهیة فماهیة الشی‌ء هو ذاته المقول علیه فی جواب ما هو و لا هویة إلا للشی‌ء الموجود و شیئیة الشی‌ء موجود فلا شیئیة لما لیس بموجود و عرضیة الشی‌ء کون وجوده قائما بالغیر و قریب منه کونه هیئة و حالا و نسبیة الشی‌ء کون وجوده فی غیره غیر خارج من وجود الغیر.</w:t>
      </w:r>
    </w:p>
    <w:p>
      <w:pPr>
        <w:pStyle w:val="BookText"/>
      </w:pPr>
      <w:r>
        <w:rPr>
          <w:rFonts w:ascii="IRNazanin" w:hAnsi="IRNazanin" w:eastAsia="IRNazanin" w:cs="IRNazanin"/>
          <w:lang w:bidi="fa-IR"/>
          <w:color w:val="111111"/>
          <w:sz w:val="28"/>
          <w:szCs w:val="28"/>
          <w:rtl/>
        </w:rPr>
        <w:t xml:space="preserve">فهذه مفاهیم منتزعة من نحو الوجود محمولة علی أکثر من مقولة واحدة فلیست من المقولات کما تقدم و عن بعضهم أن المقولات أربع بإرجاع المقولات النسبیة إلی مقولة واحدة فهی الجوهر و الکم و الکیف و النسبة</w:t>
      </w:r>
    </w:p>
    <w:p>
      <w:pPr>
        <w:pStyle w:val="BookText"/>
      </w:pPr>
      <w:r>
        <w:rPr>
          <w:rFonts w:ascii="IRNazanin" w:hAnsi="IRNazanin" w:eastAsia="IRNazanin" w:cs="IRNazanin"/>
          <w:lang w:bidi="fa-IR"/>
          <w:color w:val="111111"/>
          <w:sz w:val="28"/>
          <w:szCs w:val="28"/>
          <w:rtl/>
        </w:rPr>
        <w:t xml:space="preserve">[شماره صفحه واقعی : 89]</w:t>
      </w:r>
    </w:p>
    <w:p>
      <w:pPr>
        <w:pStyle w:val="BookText"/>
      </w:pPr>
      <w:r>
        <w:rPr>
          <w:rFonts w:ascii="IRNazanin" w:hAnsi="IRNazanin" w:eastAsia="IRNazanin" w:cs="IRNazanin"/>
          <w:lang w:bidi="fa-IR"/>
          <w:color w:val="111111"/>
          <w:sz w:val="28"/>
          <w:szCs w:val="28"/>
          <w:rtl/>
        </w:rPr>
        <w:t xml:space="preserve">ص: 1310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525" w:name="pg14419_168026"/>
    <w:bookmarkEnd w:id="525"/>
    <w:p>
      <w:pPr>
        <w:pStyle w:val="BookText"/>
      </w:pPr>
      <w:r>
        <w:rPr>
          <w:rFonts w:ascii="IRNazanin" w:hAnsi="IRNazanin" w:eastAsia="IRNazanin" w:cs="IRNazanin"/>
          <w:lang w:bidi="fa-IR"/>
          <w:color w:val="111111"/>
          <w:sz w:val="28"/>
          <w:szCs w:val="28"/>
          <w:rtl/>
        </w:rPr>
        <w:t xml:space="preserve">و یدفعه ما تقدم أن النسبة مفهوم غیر ماهوی منتزع من نحو الوجود و لو کفی مجرد عموم المفهوم فی جعله مقولة فلیرد المقولات إلی مقولتین الجوهر و العرض لصدق مفهوم العرض علی غیر الجوهر من المقولات بل إلی مقولة واحدة هی الماهیة أو الشی‌ء و عن شیخ الإشراق أن المقولات خمس الجوهر و الکم و الکیف و النسبة و الحرکة و یرد علیه ما یرد علی سابقه مضافا إلی أن الحرکة أیضا مفهوم منتزع من نحو الوجود و هو الوجود السیال غیر القار الثابت فلا مساغ لدخولها فی المقولات.</w:t>
      </w:r>
    </w:p>
    <w:p>
      <w:pPr>
        <w:pStyle w:val="Heading5"/>
      </w:pPr>
      <w:bookmarkStart w:id="1503" w:name="_Toc943"/>
      <w:r>
        <w:t>الفصل الثانی فی تعریف الجوهر و أنه جنس لما تحته من الماهیات</w:t>
      </w:r>
      <w:bookmarkEnd w:id="15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تنقسم الماهیة انقساما أولیا إلی الماهیة التی إذا وجدت فی الخارج وجدت لا فی موضوع مستغن عنها و هی ماهیة الجوهر و إلی الماهیة التی إذا وجدت فی الخارج وجدت فی موضوع مستغن عنها و هی المقولات التسع العرضیة فالجوهر ماهیة إذا وجدت فی الخارج وجدت لا فی موضوع مستغن عنها و هذا تعریف بوصف لازم للوجود من غیر أن یکون حدا مؤلفا من الجنس و الفصل إذ لا معنی لذلک فی جنس عال کما أن تعریف العرض بالماهیة التی إذا وجدت فی الخارج وجدت فی موضوع مستغن عنها تعریف بوصف لازم لوجود المقولات التسع العرضیة و لیس من الحد فی شی‌ء و التعریف تعریف جامع مانع و إن لم یکن حدا فقولن ا ماهیة یشمل عامة الماهیات و یخرج به الواجب بالذات حیث کان وجودا صرفا</w:t>
      </w:r>
    </w:p>
    <w:p>
      <w:pPr>
        <w:pStyle w:val="BookText"/>
      </w:pPr>
      <w:r>
        <w:rPr>
          <w:rFonts w:ascii="IRNazanin" w:hAnsi="IRNazanin" w:eastAsia="IRNazanin" w:cs="IRNazanin"/>
          <w:lang w:bidi="fa-IR"/>
          <w:color w:val="111111"/>
          <w:sz w:val="28"/>
          <w:szCs w:val="28"/>
          <w:rtl/>
        </w:rPr>
        <w:t xml:space="preserve">[شماره صفحه واقعی : 90]</w:t>
      </w:r>
    </w:p>
    <w:p>
      <w:pPr>
        <w:pStyle w:val="BookText"/>
      </w:pPr>
      <w:r>
        <w:rPr>
          <w:rFonts w:ascii="IRNazanin" w:hAnsi="IRNazanin" w:eastAsia="IRNazanin" w:cs="IRNazanin"/>
          <w:lang w:bidi="fa-IR"/>
          <w:color w:val="111111"/>
          <w:sz w:val="28"/>
          <w:szCs w:val="28"/>
          <w:rtl/>
        </w:rPr>
        <w:t xml:space="preserve">ص: 1311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ماهیة له و تقیید الماهیة بقولنا إذا وجدت فی الخارج للدلالة علی أن التعریف لماهیة الجوهر الذی هو جوهر بالحمل الشائع إذ لو لم یتحقق المفهوم بالوجود الخارجی لم یکن ماهیة حقیقیة لها آثارها الحقیقیة و یخرج بذلک الجواهر الذهنیة التی هی جواهر بالحمل الأولی عن التعریف فإن صدق المفهوم علی نفسه حمل أولی لا یوجب اندراج المفهوم تحت نفسه و تقیید الموضوع بکونه مستغنیا عنها للإشارة إلی تعریف الموضوع بصفته اللازمة له و هو أن یکون قائما بنفسه أی موجودا لنفسه فالجوهر موجود لا فی موضوع أی لیس وجوده لغیره کالأعراض بل لنفسه.</w:t>
      </w:r>
    </w:p>
    <w:p>
      <w:pPr>
        <w:pStyle w:val="BookText"/>
      </w:pPr>
      <w:r>
        <w:rPr>
          <w:rFonts w:ascii="IRNazanin" w:hAnsi="IRNazanin" w:eastAsia="IRNazanin" w:cs="IRNazanin"/>
          <w:lang w:bidi="fa-IR"/>
          <w:color w:val="111111"/>
          <w:sz w:val="28"/>
          <w:szCs w:val="28"/>
          <w:rtl/>
        </w:rPr>
        <w:t xml:space="preserve">و أما ما قیل إن التقیید بالاستغناء لإدخال الصور الجوهریة الحالة فی المادة فی التعریف فإنها و إن وجدت فی الموضوع لکن موضوعها غیر مستغن عنها بل مفتقرة إلیها ففیه أن الحق أن الصور الجوهریة ماهیات بسیطة غیر مندرجة تحت مقولة الجوهر و لا مجنسة بجنس کما تقدمت الإشارة إلیه فی مرحلة الماهیة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وجود القسمین أعنی الجوهر و العرض فی الخارج ضروری فی الجملة فمن أنکر وجود الجوهر فقد قال بجوهریة الأعراض من حیث لا یشعر و من الأعراض ما لا ریب فی عرضیته کالأعراض النسبیة و الجوهر جنس لما یصدق علیه من الماهیات النوعیة مقوم لها مأخوذ فی حدودها لأن کون الماهیات العرضیة مفتقرة فی وجودها الخارجی إلی موضوع مستغن عنها یستلزم وجود ماهیة هی فی ذاتها موضوعة لها مستغنیة عنها و إلا ذهبت سلسلة الافتقار إلی غیر النهایة فلم تتقرر ماهیة و هو ظاهر و أما ما استدل به علی جنسیة الجوهر لما تحته بأن کون وجود الجوهر لا فی موضوع وصف واحد مشترک بین الماهیات الجوهریة حاصل لها علی وجه اللزوم مع قطع النظر عن الأمور الخارجة فلو لم یکن الجوهر جنسا لها بل کان لازم وجودها و هی ماهیات متباینة بتمام الذات لزم انتزاع مفهوم</w:t>
      </w:r>
    </w:p>
    <w:p>
      <w:pPr>
        <w:pStyle w:val="BookText"/>
      </w:pPr>
      <w:r>
        <w:rPr>
          <w:rFonts w:ascii="IRNazanin" w:hAnsi="IRNazanin" w:eastAsia="IRNazanin" w:cs="IRNazanin"/>
          <w:lang w:bidi="fa-IR"/>
          <w:color w:val="111111"/>
          <w:sz w:val="28"/>
          <w:szCs w:val="28"/>
          <w:rtl/>
        </w:rPr>
        <w:t xml:space="preserve">[شماره صفحه واقعی : 91]</w:t>
      </w:r>
    </w:p>
    <w:p>
      <w:pPr>
        <w:pStyle w:val="BookText"/>
      </w:pPr>
      <w:r>
        <w:rPr>
          <w:rFonts w:ascii="IRNazanin" w:hAnsi="IRNazanin" w:eastAsia="IRNazanin" w:cs="IRNazanin"/>
          <w:lang w:bidi="fa-IR"/>
          <w:color w:val="111111"/>
          <w:sz w:val="28"/>
          <w:szCs w:val="28"/>
          <w:rtl/>
        </w:rPr>
        <w:t xml:space="preserve">ص: 1312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526" w:name="pg14419_168028"/>
    <w:bookmarkEnd w:id="526"/>
    <w:p>
      <w:pPr>
        <w:pStyle w:val="BookText"/>
      </w:pPr>
      <w:r>
        <w:rPr>
          <w:rFonts w:ascii="IRNazanin" w:hAnsi="IRNazanin" w:eastAsia="IRNazanin" w:cs="IRNazanin"/>
          <w:lang w:bidi="fa-IR"/>
          <w:color w:val="111111"/>
          <w:sz w:val="28"/>
          <w:szCs w:val="28"/>
          <w:rtl/>
        </w:rPr>
        <w:t xml:space="preserve">واحد من مصادیق کثیرة متباینة بما هی کذلک و هو محال فبین هذه الماهیات الکثیرة المتباینة جامع ماهوی واحد لازمه الوجودی کون وجودها لا فی الموضوع ففیه أن الوصف المذکور معنی منتزع من سنخ وجود هذه الماهیات الجوهریة لا من الماهیات کما أن کون الوجود فی الموضوع و هو وصف واحد لازم للمقولات التسع العرضیة معنی واحد منتزع من سنخ وجود الأعراض جمیعا فلو استلزم کون الوصف المنتزع من الجواهر معنی واحدا جامعا ماهویا واحدا فی الماهیات الجوهریة لاستلزم کون الوصف المنتزع من المقولات العرضیة معنی واحدا جامعا ماهویا واحدا فی المقولات العرضیة هو جنس لها و انتهت الماهیات إلی مقولتین هما الجوهر و العرض فالمعول فی إثبات جنسیة الجوهر لما تحته من الماهیات علی ما تقدم من أن افتقار العرض إلی موضوع یقوم به یستلزم ماهیة قائمة بنفسها و یتفرع علی ما تقدم أن الشی‌ء الواحد لا یکون جوهرا و عرضا معا و ناهیک فی ذلک أن الجوهر وجوده لا فی موضوع و العرض وجوده فی موضوع و الوصفان لا یجتمعان فی شی‌ء واحد بالبداهة.</w:t>
      </w:r>
    </w:p>
    <w:p>
      <w:pPr>
        <w:pStyle w:val="Heading5"/>
      </w:pPr>
      <w:bookmarkStart w:id="1504" w:name="_Toc944"/>
      <w:r>
        <w:t>الفصل الثالث فی أقسام الجوهر الأولیة</w:t>
      </w:r>
      <w:bookmarkEnd w:id="15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قالوا إن الجوهر إما أن یکون فی محل أو لا یکون فیه و الکائن فی المحل</w:t>
      </w:r>
    </w:p>
    <w:p>
      <w:pPr>
        <w:pStyle w:val="BookText"/>
      </w:pPr>
      <w:r>
        <w:rPr>
          <w:rFonts w:ascii="IRNazanin" w:hAnsi="IRNazanin" w:eastAsia="IRNazanin" w:cs="IRNazanin"/>
          <w:lang w:bidi="fa-IR"/>
          <w:color w:val="111111"/>
          <w:sz w:val="28"/>
          <w:szCs w:val="28"/>
          <w:rtl/>
        </w:rPr>
        <w:t xml:space="preserve">[شماره صفحه واقعی : 92]</w:t>
      </w:r>
    </w:p>
    <w:p>
      <w:pPr>
        <w:pStyle w:val="BookText"/>
      </w:pPr>
      <w:r>
        <w:rPr>
          <w:rFonts w:ascii="IRNazanin" w:hAnsi="IRNazanin" w:eastAsia="IRNazanin" w:cs="IRNazanin"/>
          <w:lang w:bidi="fa-IR"/>
          <w:color w:val="111111"/>
          <w:sz w:val="28"/>
          <w:szCs w:val="28"/>
          <w:rtl/>
        </w:rPr>
        <w:t xml:space="preserve">ص: 1313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الصورة المادیة و غیر الکائن فیه إما أن یکون محلا لشی‌ء یقوم به أو لا یکون و الأول هو الهیولی و الثانی لا یخلو إما أن یکون مرکبا من الهیولی و الصورة أو لا یکون و الأول هو الجسم و الثانی إما أن یکون ذا علاقة انفعالیة بالجسم بوجه أو لا یکون و الأول هو النفس و الثانی هو العقل فأقسام الجوهر الأولیة خمسة هی الصورة المادیة و الهیولی و الجسم و النفس و العقل و لیس التقسیم عقلیا دائرا بین النفی و الإثبات فإن الجوهر المرکب من الجوهر الحال و الجوهر المحل لیس ینحصر بحسب الاحتمال العقلی فی الجسم فمن الجائز أن یکون فی الوجود جوهر مادی مرکب من المادة و صورة غیر الصورة الجسمیة لکنهم قصروا النوع المادی الأول فی الجسم تعویلا علی استقرائهم علی أنک قد عرفت أن الصورة الجوهریة لیست مندرجة تحت مقولة الجوهر و إن صدق علیها الجوهر صدق الخارج اللازم.</w:t>
      </w:r>
    </w:p>
    <w:p>
      <w:pPr>
        <w:pStyle w:val="BookText"/>
      </w:pPr>
      <w:r>
        <w:rPr>
          <w:rFonts w:ascii="IRNazanin" w:hAnsi="IRNazanin" w:eastAsia="IRNazanin" w:cs="IRNazanin"/>
          <w:lang w:bidi="fa-IR"/>
          <w:color w:val="111111"/>
          <w:sz w:val="28"/>
          <w:szCs w:val="28"/>
          <w:rtl/>
        </w:rPr>
        <w:t xml:space="preserve">قال فی الأسفار بعد الإشارة إلی التقسیم المذکور : «و الأجود فی هذا التقسیم أن یقال الجوهر إن کان قابلا للأبعاد الثلاثة فهو الجسم و إلا فإن کان جزءا منه هو به بالفعل سواء کان فی جنسه أو فی نوعه فصورة إما امتدادیة أو طبیعیة أو جزء هو به بالقوة فمادة و إن لم یکن جزءا منه فإن کان متصرفا فیه بالمباشرة فنفس و إلا فعقل».</w:t>
      </w:r>
    </w:p>
    <w:p>
      <w:pPr>
        <w:pStyle w:val="BookText"/>
      </w:pPr>
      <w:r>
        <w:rPr>
          <w:rFonts w:ascii="IRNazanin" w:hAnsi="IRNazanin" w:eastAsia="IRNazanin" w:cs="IRNazanin"/>
          <w:lang w:bidi="fa-IR"/>
          <w:color w:val="111111"/>
          <w:sz w:val="28"/>
          <w:szCs w:val="28"/>
          <w:rtl/>
        </w:rPr>
        <w:t xml:space="preserve">ثم قال مشیرا إلی وجه جودة هذا التقسیم : «و ذلک لما سیظهر من تضاعیف ما حققناه من کون الجوهر النفسانی الإنسانی مادة للصورة الإدراکیة التی یتحصل بها جوهرا آخر کمالیا بالفعل من الأنواع المحصلة التی یکون لها نحو آخر من الوجود غیر الوجود الطبیعی الذی لهذه الأنواع المحصلة</w:t>
      </w:r>
    </w:p>
    <w:p>
      <w:pPr>
        <w:pStyle w:val="BookText"/>
      </w:pPr>
      <w:r>
        <w:rPr>
          <w:rFonts w:ascii="IRNazanin" w:hAnsi="IRNazanin" w:eastAsia="IRNazanin" w:cs="IRNazanin"/>
          <w:lang w:bidi="fa-IR"/>
          <w:color w:val="111111"/>
          <w:sz w:val="28"/>
          <w:szCs w:val="28"/>
          <w:rtl/>
        </w:rPr>
        <w:t xml:space="preserve">[شماره صفحه واقعی : 93]</w:t>
      </w:r>
    </w:p>
    <w:p>
      <w:pPr>
        <w:pStyle w:val="BookText"/>
      </w:pPr>
      <w:r>
        <w:rPr>
          <w:rFonts w:ascii="IRNazanin" w:hAnsi="IRNazanin" w:eastAsia="IRNazanin" w:cs="IRNazanin"/>
          <w:lang w:bidi="fa-IR"/>
          <w:color w:val="111111"/>
          <w:sz w:val="28"/>
          <w:szCs w:val="28"/>
          <w:rtl/>
        </w:rPr>
        <w:t xml:space="preserve">ص: 1314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527" w:name="pg14419_168030"/>
    <w:bookmarkEnd w:id="527"/>
    <w:p>
      <w:pPr>
        <w:pStyle w:val="BookText"/>
      </w:pPr>
      <w:r>
        <w:rPr>
          <w:rFonts w:ascii="IRNazanin" w:hAnsi="IRNazanin" w:eastAsia="IRNazanin" w:cs="IRNazanin"/>
          <w:lang w:bidi="fa-IR"/>
          <w:color w:val="111111"/>
          <w:sz w:val="28"/>
          <w:szCs w:val="28"/>
          <w:rtl/>
        </w:rPr>
        <w:t xml:space="preserve">الطبیعیة» انتهی. (ج 4 ص 234)</w:t>
      </w:r>
    </w:p>
    <w:p>
      <w:pPr>
        <w:pStyle w:val="BookText"/>
      </w:pPr>
      <w:r>
        <w:rPr>
          <w:rFonts w:ascii="IRNazanin" w:hAnsi="IRNazanin" w:eastAsia="IRNazanin" w:cs="IRNazanin"/>
          <w:lang w:bidi="fa-IR"/>
          <w:color w:val="111111"/>
          <w:sz w:val="28"/>
          <w:szCs w:val="28"/>
          <w:rtl/>
        </w:rPr>
        <w:t xml:space="preserve">و ما یرد علی التقسیم السابق یرد علی هذا التقسیم أیضا علی أن عطف الصور الطبیعیة و هی متأخرة عن نوعیة الجسم علی الصورة الامتدادیة لا یلائم کون الانقسام أولیا و کیف کان فالذی یهمنا هاهنا أن نبحث عن حقیقة الجسم و جزئیة المادة و الصورة الجسمیة و أما النفس فاستیفاء البحث عنها فی علم النفس و ستنکشف حقیقتها بعض الانکشاف فی مرحلتی القوة و الفعل و العاقل و المعقول و أما العقل فیقع الکلام فی حقیقته فی الإلهیات بالمعنی الأخص و ستنکشف بعض الانکشاف فی مرحلتی القوة و الفعل و العاقل و المعقول إن شاء الله تعالی.</w:t>
      </w:r>
    </w:p>
    <w:p>
      <w:pPr>
        <w:pStyle w:val="Heading5"/>
      </w:pPr>
      <w:bookmarkStart w:id="1505" w:name="_Toc945"/>
      <w:r>
        <w:t>الفصل الرابع فی ماهیة الجسم</w:t>
      </w:r>
      <w:bookmarkEnd w:id="15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ریب فی وجود الجسم بمعنی الجوهر الذی یمکن أن یفرض فیه ثلاثة خطوط متقاطعة علی زوایا قوائم و إن لم تکن موجودة فیه بالفعل کما فی الکرة و الأسطوانة فحواسنا التی انتهی إلیها علومنا و إن لم یکن فیها ما ینال الموجود الجوهری و إنما تدرک أحوال الأجسام و أوصافها العرضیة لکن أنواع التجربات تهدینا هدایة قاطعة إلی أن ما بین السطوح و النهایات من الأجسام مملوءة فی الجملة غیر خالیة عن جوهر ذی امتداد فی جهاته الثلاث و الذی یجده الحس من هذا الجوهر الممتد فی جهاته الثلاث یجده متصلا واحدا یقبل القسمة إلی أجزاء بالفعل لا مجموعا من أجزاء بالفعل ذوات</w:t>
      </w:r>
    </w:p>
    <w:p>
      <w:pPr>
        <w:pStyle w:val="BookText"/>
      </w:pPr>
      <w:r>
        <w:rPr>
          <w:rFonts w:ascii="IRNazanin" w:hAnsi="IRNazanin" w:eastAsia="IRNazanin" w:cs="IRNazanin"/>
          <w:lang w:bidi="fa-IR"/>
          <w:color w:val="111111"/>
          <w:sz w:val="28"/>
          <w:szCs w:val="28"/>
          <w:rtl/>
        </w:rPr>
        <w:t xml:space="preserve">[شماره صفحه واقعی : 94]</w:t>
      </w:r>
    </w:p>
    <w:p>
      <w:pPr>
        <w:pStyle w:val="BookText"/>
      </w:pPr>
      <w:r>
        <w:rPr>
          <w:rFonts w:ascii="IRNazanin" w:hAnsi="IRNazanin" w:eastAsia="IRNazanin" w:cs="IRNazanin"/>
          <w:lang w:bidi="fa-IR"/>
          <w:color w:val="111111"/>
          <w:sz w:val="28"/>
          <w:szCs w:val="28"/>
          <w:rtl/>
        </w:rPr>
        <w:t xml:space="preserve">ص: 1315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فواصل هذا بحسب الحس و أما بحسب الحقیقة فاختلفوا فیه علی أقوال أحدها أنه مرکب من أجزاء ذوات أوضاع لا تتجزی و لا تنقسم أصلا لا خارجا و لا وهما و لا عقلا و هی متناهیة و هو مذهب جمهور المتکلمین الثانی أنه مرکب کما فی القول الأول غیر أن الأجزاء غیر متناهیة و نسب إلی النظام الثالث أنه مرکب من أجزاء بالفعل متناهیة صغار صلبة لا تقبل القسمة الخارجیة لصغرها و صلابتها و لکن تقبل القسمة الوهمیة و العقلیة و نسب إلی ذیمقراطیس الرابع أنه متصل واحد کما فی الحس و یقبل القسمة إلی أجزاء متناهیة و نسب إلی الشهرستانی الخامس أنه جوهر بسیط هو الاتصال و الامتداد الجوهری الذی یقبل القسمة خارجا و وهما و عقلا و نسب إلی أفلاطون الإلهی السادس أنه مرکب من جوهر و عرض و هما الجوهر و الجسمیة التعلیمیة التی هی امتداد کمی فی الجهات الثلاث و نسب إلی شیخ الإشراق السابع أنه جوهر مرکب من جوهرین أحدهما المادة التی هی قوة کل فعلیة و الثانی الاتصال الجوهری الذی هو صورتها و الصورة اتصال و امتداد جوهری یقبل القسمة إلی أجزاء غیر متناهیة بمعنی لا یقف فإن اختلاف العرضین یقسمه و کذا الآلة القطاعة تقسمه بالقطع حتی إذا أعیت لصغر الجزء أو صلابته أخذ الوهم فی التقسیم حتی إذا عجز عنه لنهایة صغر الجزء أخذ العقل فی تقسیمه علی نحو کلی بأنه کلما قسم إلی أجزاء کان الجزء الجدید ذا حجم له جانب غیر جانب یقبل القسمة من غیر أن تقف فورود القسمة لا یعدم الجسم و هو قول أرسطو و الأساطین من حکماء الإسلام هذا ما بلغنا من أقوالهم فی ماهیة الجوهر المسمی بالجسم و فی کل منها</w:t>
      </w:r>
    </w:p>
    <w:p>
      <w:pPr>
        <w:pStyle w:val="BookText"/>
      </w:pPr>
      <w:r>
        <w:rPr>
          <w:rFonts w:ascii="IRNazanin" w:hAnsi="IRNazanin" w:eastAsia="IRNazanin" w:cs="IRNazanin"/>
          <w:lang w:bidi="fa-IR"/>
          <w:color w:val="111111"/>
          <w:sz w:val="28"/>
          <w:szCs w:val="28"/>
          <w:rtl/>
        </w:rPr>
        <w:t xml:space="preserve">[شماره صفحه واقعی : 95]</w:t>
      </w:r>
    </w:p>
    <w:p>
      <w:pPr>
        <w:pStyle w:val="BookText"/>
      </w:pPr>
      <w:r>
        <w:rPr>
          <w:rFonts w:ascii="IRNazanin" w:hAnsi="IRNazanin" w:eastAsia="IRNazanin" w:cs="IRNazanin"/>
          <w:lang w:bidi="fa-IR"/>
          <w:color w:val="111111"/>
          <w:sz w:val="28"/>
          <w:szCs w:val="28"/>
          <w:rtl/>
        </w:rPr>
        <w:t xml:space="preserve">ص: 1316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أو وجوه من الضعف نشیر إلیها بما تیسر.</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القول الأول المنسوب إلی المتکلمین و هو أن الجسم مرکب من أجزاء لا تتجزی أصلا تمر الآلة القطاعة علی فواصل الأجزاء و هی متناهیة تقبل الإشارة الحسیة ففیه أن الجزء المفروض إن کان ذا حجم کان له جانب غیر جانب بالضرورة فیجری فیه الانقسام العقلی و إن لم یمکن تقسیمه خارجا و لا وهما لنهایة صغره و إن لم یکن له حجم امتنع أن یحصل من اجتماعه مع غیره جسم ذو حجم و أیضا لنفرض جزءا لا یتجزی بین جزءین کذلک فإن کان یحجز عن مماسة الطرفین انقسم فإن کلا من الطرفین یلقی منه غیر ما یلقاه الآخر و إن لم یحجز عن مماستهما استوی وجود الوسط و عدمه و مثله کل وسط مفروض فلم یحجب شی‌ء شیئا و هو ضروری البطلان و أیضا لیفرض جزء لا یتجزی فوق جزءین کذلک و علی ملتقاهما فإن لقی بکله أو ببعضه کل کلیهما تجزی و إن لقی بکله کل أحدهما فقط فلیس علی الملتقی و قد فرض علیه و إن لقی بکله أو ببعضه من کل منهما شیئا انقسم و انقسما جمیعا و قد أوردوا فی بطلان الجزء الذی لا یتجزی وجوها من البراهین و هی کثیرة مذکورة فی کتبهم و أما القول الثانی المنسوب إلی النظام و هو أن الجسم مرکب من أجزاء لا تتجزی غیر متناهیة فیرد علیه ما یرد علی القول الأول مضافا إلی أن عدم تناهی الأجزاء علی تقدیر کونها ذوات حجم یوجب کون الجسم المتکون من اجتماعها غیر متناهی الحجم بالضرورة و الضرورة تدفعه و أما القول الثالث المنسوب إلی ذیمقراطیس و هو أن الجسم مرکب من أجزاء صغار صلبة لا تتجزی خارجا و إن جاز أن تتجزی وهما و عقلا ففیه أن هذه الأجزاء لا محالة جواهر ذوات حجم فتکون أجساما ذوات اتصال</w:t>
      </w:r>
    </w:p>
    <w:p>
      <w:pPr>
        <w:pStyle w:val="BookText"/>
      </w:pPr>
      <w:r>
        <w:rPr>
          <w:rFonts w:ascii="IRNazanin" w:hAnsi="IRNazanin" w:eastAsia="IRNazanin" w:cs="IRNazanin"/>
          <w:lang w:bidi="fa-IR"/>
          <w:color w:val="111111"/>
          <w:sz w:val="28"/>
          <w:szCs w:val="28"/>
          <w:rtl/>
        </w:rPr>
        <w:t xml:space="preserve">[شماره صفحه واقعی : 96]</w:t>
      </w:r>
    </w:p>
    <w:p>
      <w:pPr>
        <w:pStyle w:val="BookText"/>
      </w:pPr>
      <w:r>
        <w:rPr>
          <w:rFonts w:ascii="IRNazanin" w:hAnsi="IRNazanin" w:eastAsia="IRNazanin" w:cs="IRNazanin"/>
          <w:lang w:bidi="fa-IR"/>
          <w:color w:val="111111"/>
          <w:sz w:val="28"/>
          <w:szCs w:val="28"/>
          <w:rtl/>
        </w:rPr>
        <w:t xml:space="preserve">ص: 1317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جوهری تتألف منها الأجسام المحسوسة فالذی یثبته هذا القول أن هاهنا أجساما أولیة هی مبادی هذه الأجسام المحسوسة علی أن هذا القول لا یتبین به نفی الهیولی و إبطال ترکب الجسم منها و من الصورة الجسمیة و سیأتی إثباتها فی الفصل التالی فیئول إلی إثبات الصورة الجسمیة للأجسام الأولیة التی هی مبادی‌ء هذه الأجسام المحسوسة و إلیها تنتهی بالتجزئة و أما القول الرابع المنسوب إلی الشهرستانی و هو کون الجسم متصلا واحدا کما فی الحس یقبل القسمة إلی أجزاء متناهیة ففیه أن لازمه وقوف القسمة العقلیة و هو ضروری البطلان و أما القول الخامس المنسوب إلی أفلاطون و هو کون الجسم جوهرا بسیطا و هو الاتصال الجوهری القابل للقسمة إلی غیر النهایة ففیه منع کون الجسم بسیطا لما سیوافیک من إثبات الهیولی للجسم علی أن فی کون الاتصال الجوهری الذی للجسم هو ما یناله الحس من الأجسام المحسوسة کلاما سیأتی إن شاء الله.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القول السادس المنسوب إلی شیخ الإشراق و هو کون الجسم مرکبا من جوهر و عرض و هما المادة و الجسم التعلیمی الذی هو من أنواع الکم المتصل ففیه أولا أن لا معنی لتقویم العرض للجوهر مع ما فیه من تألف ماهیة حقیقیة من مقولتین و هما الجوهر و الکم و المقولات متباینة بتمام الذات و ثانیا أن الکم عرض محتاج إلی الموضوع حیثما کان فهذا الامتداد المقداری الذی یتعین به طول الجسم و عرضه و عمقه کم محتاج إلی موضوع یحل فیه و لو لا أن فی موضوعه اتصالا ما یقبل أن یوصف بالتعین لم یعرضه و لم یحل فیه فلو أخذنا مقدارا من شمعة و سویناها کرة ثم أسطوانیا ثم مخروطا ثم مکعبا و هکذا وجدنا الأشکال متغیرة متبدلة و للشمعة اتصال باق محفوظ فی الأشکال المختلفة المتبدلة فهناک اتصالان اتصال مبهم غیر</w:t>
      </w:r>
    </w:p>
    <w:p>
      <w:pPr>
        <w:pStyle w:val="BookText"/>
      </w:pPr>
      <w:r>
        <w:rPr>
          <w:rFonts w:ascii="IRNazanin" w:hAnsi="IRNazanin" w:eastAsia="IRNazanin" w:cs="IRNazanin"/>
          <w:lang w:bidi="fa-IR"/>
          <w:color w:val="111111"/>
          <w:sz w:val="28"/>
          <w:szCs w:val="28"/>
          <w:rtl/>
        </w:rPr>
        <w:t xml:space="preserve">[شماره صفحه واقعی : 97]</w:t>
      </w:r>
    </w:p>
    <w:p>
      <w:pPr>
        <w:pStyle w:val="BookText"/>
      </w:pPr>
      <w:r>
        <w:rPr>
          <w:rFonts w:ascii="IRNazanin" w:hAnsi="IRNazanin" w:eastAsia="IRNazanin" w:cs="IRNazanin"/>
          <w:lang w:bidi="fa-IR"/>
          <w:color w:val="111111"/>
          <w:sz w:val="28"/>
          <w:szCs w:val="28"/>
          <w:rtl/>
        </w:rPr>
        <w:t xml:space="preserve">ص: 1318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متعین فی نفسه لولاه لم یکن شمعة و اتصال و امتداد متعین لو بطل لم یبطل به جسم الشمعة و الأول هو صورة الجسم و الثانی عرض یعرض الجسم و الانقسام یعرض الجسم من حیث عرضه هذا و أما من حیث اتصاله الذاتی المبهم فله إمکان أن یفرض فیه أبعاد ثلاثة.</w:t>
      </w:r>
    </w:p>
    <w:p>
      <w:pPr>
        <w:pStyle w:val="BookText"/>
      </w:pPr>
      <w:r>
        <w:rPr>
          <w:rFonts w:ascii="IRNazanin" w:hAnsi="IRNazanin" w:eastAsia="IRNazanin" w:cs="IRNazanin"/>
          <w:lang w:bidi="fa-IR"/>
          <w:color w:val="111111"/>
          <w:sz w:val="28"/>
          <w:szCs w:val="28"/>
          <w:rtl/>
        </w:rPr>
        <w:t xml:space="preserve">قال الشیخ فی الشفاء : «فالجسمیة بالحقیقة صورة الاتصال القابل لما قلناه من فرض الأبعاد الثلاثة و هذا المعنی غیر المقدار و غیر الجسمیة التعلیمیة فإن هذا الجسم من حیث له هذه الصورة لا یخالف جسما آخر بأنه أکبر أو أصغر و لا یناسبه بأنه مساو أو معدود به أو عاد له أو مشارک أو مباین و إنما ذلک له من حیث هو مقدر و من حیث جزء منه یعده و هذا الاعتبار غیر اعتبار الجسمیة التی ذکرناها» انتهی. (ص 64)</w:t>
      </w:r>
    </w:p>
    <w:p>
      <w:pPr>
        <w:pStyle w:val="BookText"/>
      </w:pPr>
      <w:r>
        <w:rPr>
          <w:rFonts w:ascii="IRNazanin" w:hAnsi="IRNazanin" w:eastAsia="IRNazanin" w:cs="IRNazanin"/>
          <w:lang w:bidi="fa-IR"/>
          <w:color w:val="111111"/>
          <w:sz w:val="28"/>
          <w:szCs w:val="28"/>
          <w:rtl/>
        </w:rPr>
        <w:t xml:space="preserve">و بالجملة فأخذ الامتداد الکمی العرضی فی ماهیة الجوهر علی ما فیه من الفساد خلط بین الاتصال الجوهری و الامتداد العرضی الذی هو الجسم التعلیمی و أما القول السابع المنسوب إلی أرسطو و هو ترکب الجسم من الهیولی و الصورة الجسمیة و هی الاتصال الجوهری علی ما عند الحس و هو کون الشی‌ء بحیث یمکن أن یفرض فیه امتدادات ثلاثة متقاطعة علی قوائم تقبل القسمة إلی أجزاء غیر متناهیة أما الهیولی فسیجی‌ء إثباتها و أما الصورة الجسمیة التی هی الاتصال فقد تقدم توضیحه فف یه أن کون الجسم مرکبا من مادة و اتصال جوهری یقبل القسمة إلی غیر النهایة لا غبار علیه لکن لا حجة تدل علی کون الجسم فی اتصاله کما هو علیه عند الحس فخطأ الحس غیر مأمون و قد اکتشف علماء الطبیعیة أخیرا بعد تجارب دقیقة فنیة أن الأجسام مؤلفة من أجزاء ذریة لا تخلو من جرم بینها من الفواصل أضعاف ما لأجرامها من الامتداد فلینطبق هذا القول علی ما اکتشفوه من الأجسام الذریة التی</w:t>
      </w:r>
    </w:p>
    <w:p>
      <w:pPr>
        <w:pStyle w:val="BookText"/>
      </w:pPr>
      <w:r>
        <w:rPr>
          <w:rFonts w:ascii="IRNazanin" w:hAnsi="IRNazanin" w:eastAsia="IRNazanin" w:cs="IRNazanin"/>
          <w:lang w:bidi="fa-IR"/>
          <w:color w:val="111111"/>
          <w:sz w:val="28"/>
          <w:szCs w:val="28"/>
          <w:rtl/>
        </w:rPr>
        <w:t xml:space="preserve">[شماره صفحه واقعی : 98]</w:t>
      </w:r>
    </w:p>
    <w:p>
      <w:pPr>
        <w:pStyle w:val="BookText"/>
      </w:pPr>
      <w:r>
        <w:rPr>
          <w:rFonts w:ascii="IRNazanin" w:hAnsi="IRNazanin" w:eastAsia="IRNazanin" w:cs="IRNazanin"/>
          <w:lang w:bidi="fa-IR"/>
          <w:color w:val="111111"/>
          <w:sz w:val="28"/>
          <w:szCs w:val="28"/>
          <w:rtl/>
        </w:rPr>
        <w:t xml:space="preserve">ص: 1319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528" w:name="pg14419_168035"/>
    <w:bookmarkEnd w:id="528"/>
    <w:p>
      <w:pPr>
        <w:pStyle w:val="BookText"/>
      </w:pPr>
      <w:r>
        <w:rPr>
          <w:rFonts w:ascii="IRNazanin" w:hAnsi="IRNazanin" w:eastAsia="IRNazanin" w:cs="IRNazanin"/>
          <w:lang w:bidi="fa-IR"/>
          <w:color w:val="111111"/>
          <w:sz w:val="28"/>
          <w:szCs w:val="28"/>
          <w:rtl/>
        </w:rPr>
        <w:t xml:space="preserve">هی مبادی‌ء تکون الأجسام المحسوسة و لیکن وجود الجسم بهذا المعنی أصلا موضوعا لنا نعم لو سلم ما یقال إن المادة یعنون بها الأجسام الذریة الأول قابلة التبدل إلی الطاقة و أنها مجموعة من ذرات الطاقة المتراکمة کان من الواجب فی البحث الحکمی أخذ الطاقة نوعا عالیا مترتبا علی الجوهر قبل الجسم ثم ترتیب الأبحاث المتفرقة علی ما یناسب هذا الوضع فلیتأمّل.</w:t>
      </w:r>
    </w:p>
    <w:p>
      <w:pPr>
        <w:pStyle w:val="Heading5"/>
      </w:pPr>
      <w:bookmarkStart w:id="1506" w:name="_Toc946"/>
      <w:r>
        <w:t>الفصل الخامس فی ماهیة المادة و إثبات وجودها</w:t>
      </w:r>
      <w:bookmarkEnd w:id="150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ریب أن الجسم فی أنه جوهر یمکن أن یفرض فیه الامتدادات الثلاثة أمر بالفعل و فی أنه یمکن أن یوجد فیه کمالات أخر أولیة مسماة بالصورة النوعیة التی تکمل جوهره و کمالات ثانیة من الأعراض الخارجة عن جوهره أمر بالقوة و حیثیة الفعل غیر حیثیة القوة لما أن الفعل لا یتم إلا بالوجدان و القوة تلازم الفقدان فالذی یقبل من ذاته هذه الکمالات الأولی و الثانیة الممکنة فیه و یتحد بها أمر غیر صورته الاتصالیة التی هو بها بالفعل فإن الاتصال الجوهری من حیث هو اتصال جوهری لا غیر و أما حیثیة قوة الکمالات اللاحقة و إمکانها فأمر خارج عن الاتصال المذکور مغایر له فللجسم وراء اتصاله الجوهری جزء آخر حیثیة ذاته حیثیة قبول الصور و الأعراض اللاحقة و هو الجزء المسمی بالهیولی و المادة فتبین أن الجسم جوهر مرکب من جزءین جوهریین المادة التی إنیتها قبول الصور المتعلقة نوع تعلق بالجسم و الأعراض المتعلقة بها و الصورة الجسمیة و أن المادة جوهر قابل للصور و الأعراض الجسمانیة و أن الامتداد</w:t>
      </w:r>
    </w:p>
    <w:p>
      <w:pPr>
        <w:pStyle w:val="BookText"/>
      </w:pPr>
      <w:r>
        <w:rPr>
          <w:rFonts w:ascii="IRNazanin" w:hAnsi="IRNazanin" w:eastAsia="IRNazanin" w:cs="IRNazanin"/>
          <w:lang w:bidi="fa-IR"/>
          <w:color w:val="111111"/>
          <w:sz w:val="28"/>
          <w:szCs w:val="28"/>
          <w:rtl/>
        </w:rPr>
        <w:t xml:space="preserve">[شماره صفحه واقعی : 99]</w:t>
      </w:r>
    </w:p>
    <w:p>
      <w:pPr>
        <w:pStyle w:val="BookText"/>
      </w:pPr>
      <w:r>
        <w:rPr>
          <w:rFonts w:ascii="IRNazanin" w:hAnsi="IRNazanin" w:eastAsia="IRNazanin" w:cs="IRNazanin"/>
          <w:lang w:bidi="fa-IR"/>
          <w:color w:val="111111"/>
          <w:sz w:val="28"/>
          <w:szCs w:val="28"/>
          <w:rtl/>
        </w:rPr>
        <w:t xml:space="preserve">ص: 1320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الجوهری صورة لها لا یقال لا ریب أن الصور و الأعراض الحادثة اللاحقة بالأجسام یسبقها إمکان فی المحل و استعداد و تهیؤ فیه لها و کلما قرب الممکن من الوقوع زاد الاستعداد اختصاصا و اشتد حتی إذا صار استعدادا تاما وجد الممکن بإفاضة من الفاعل فما المانع من إسناد القبول إلی الجسم أعنی الاتصال الجوهری بواسطة قیام الاستعداد به عروضا من غیر حاجة إلی استعداد و قبول جوهری نثبتها جزءا للجسم علی أن القبول و الاستعداد مفهوم عرضی قائم بالغیر فلا یصلح أن یکون حقیقة جوهریة علی أن من الضروری أن الاستعداد یبطل مع تحقق المستعد له فلو کان هناک هیولی هی استعداد و قبول جوهری و جزء للجسم لبطلت بتحقق الممکن المستعد له و بطل الجسم ببطلان جزئه و انعدم بانعدامه و هو خلاف الضرورة فإنه یقال مغایرة الجسم بما أنه اتصال جوهری لا غیر مع کل من الصور النوعیة تأبی أن یکون موضوعا للقبول و الاستعداد لها بل یحتاج إلی أمر آخر لا یأبی أن یتحد مع کل من الصور اللاحقة فیکون فی ذاته قابلا لکل منها و تکون الاستعدادات الخاصة التی تتوسط بینه و بین الصور الممکنة أنحاء تعینات القبول الذی له فی ذاته فنسبة الاستعدادات المتفرقة المتعینة إلی الاستعداد المبهم الذی للمادة فی ذاتها نسبة الأجسام التعلیمیة و الامتدادات المقداریة التی هی تعینات للامتداد و الاتصال الجوهری إلی الاتصال الجوهری و لو کان الجسم بما أنه اتصال جوهری هو الموضوع للاستعداد و الجسم من الحوادث التی یسبقها إمکان لکان حاملا لإمکان نفسه فکان متقدما علی نفسه بالزمان.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ما قیل إن المفهوم من القبول معنی عرضی قائم بالغیر فلا معنی للقول</w:t>
      </w:r>
    </w:p>
    <w:p>
      <w:pPr>
        <w:pStyle w:val="BookText"/>
      </w:pPr>
      <w:r>
        <w:rPr>
          <w:rFonts w:ascii="IRNazanin" w:hAnsi="IRNazanin" w:eastAsia="IRNazanin" w:cs="IRNazanin"/>
          <w:lang w:bidi="fa-IR"/>
          <w:color w:val="111111"/>
          <w:sz w:val="28"/>
          <w:szCs w:val="28"/>
          <w:rtl/>
        </w:rPr>
        <w:t xml:space="preserve">[شماره صفحه واقعی : 100]</w:t>
      </w:r>
    </w:p>
    <w:p>
      <w:pPr>
        <w:pStyle w:val="BookText"/>
      </w:pPr>
      <w:r>
        <w:rPr>
          <w:rFonts w:ascii="IRNazanin" w:hAnsi="IRNazanin" w:eastAsia="IRNazanin" w:cs="IRNazanin"/>
          <w:lang w:bidi="fa-IR"/>
          <w:color w:val="111111"/>
          <w:sz w:val="28"/>
          <w:szCs w:val="28"/>
          <w:rtl/>
        </w:rPr>
        <w:t xml:space="preserve">ص: 1321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بکون المادة قبولا بذاته و هو کون القبول جوهرا فیدفعه أن البحث حقیقی و المتبع فی الأبحاث الحقیقیة البرهان دون الألفاظ بمفاهیمها اللغویة و معانیها العرفیة و أما حدیث بطلان الاستعداد بفعلیة تحقق المستعد له المقوی علیه فلا ضیر فیه فإن المادة هی فی ذاتها قوة کل شی‌ء من غیر تعین شی‌ء منها و تعین هذه القوة المستتبع لتعین المقوی علیه عرض موضوعه المادة و بفعلیة الممکن المقوی علیه تبطل القوة المتعینة و الاستعداد الخاص و المادة علی ما هی علیه من کونها قوة علی الصور الممکنة و بالجملة إن کان مراد المستشکل بقوله إن الاستعداد یبطل بفعلیة الممکن المستعد له هو مطلق الاستعداد الذی للمادة فممنوع و إن کان مراده هو الاستعداد الخاص الذی هو عرض قائم بالمادة فمسلم لکن بطلانه لا یوجب بطلان المادة لا یقال الحجة أعنی السلوک إلی إثبات المادة بمغایرة القوة و الفعل منقوضة بالنفس الإنسانیة فإنها بسیطة مجردة من المادة و لها آثار بالقوة کسنوح الإرادات و التصورات و غیر ذلک فهی أمر بالفعل فی ذاتها المجردة و بالقوة من حیث کمالاتها الثانیة فإذا جاز کونها علی بساطتها بالفعل و بالقوة معا فلیجز فی الجسم أن یکون متصفا بالفعلیة و القوة من غیر أن یکون مرکبا من المادة و الصورة فإنه یقال النفس لیست مجردة تامة ذاتا و فعلا بل هی متعلقة بالمادة فعلا فلها الفعلیة من حیث تجردها و القوة من حیث تعلقها بالمادة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لا یقال الحجة منقوضة بالنفس الإنسانیة من جهة أخری و هو أنهم ذکروا و هو الحق أن النفس الإنسانیة العقلیة مادة للمعقولات المجردة و هی مجردة کلما تعقلت معقولا صارت هی هو فإنا نقول خروج النفس المجردة من القوة إلی الفعل باتحادها بعقل بعد</w:t>
      </w:r>
    </w:p>
    <w:p>
      <w:pPr>
        <w:pStyle w:val="BookText"/>
      </w:pPr>
      <w:r>
        <w:rPr>
          <w:rFonts w:ascii="IRNazanin" w:hAnsi="IRNazanin" w:eastAsia="IRNazanin" w:cs="IRNazanin"/>
          <w:lang w:bidi="fa-IR"/>
          <w:color w:val="111111"/>
          <w:sz w:val="28"/>
          <w:szCs w:val="28"/>
          <w:rtl/>
        </w:rPr>
        <w:t xml:space="preserve">[شماره صفحه واقعی : 101]</w:t>
      </w:r>
    </w:p>
    <w:p>
      <w:pPr>
        <w:pStyle w:val="BookText"/>
      </w:pPr>
      <w:r>
        <w:rPr>
          <w:rFonts w:ascii="IRNazanin" w:hAnsi="IRNazanin" w:eastAsia="IRNazanin" w:cs="IRNazanin"/>
          <w:lang w:bidi="fa-IR"/>
          <w:color w:val="111111"/>
          <w:sz w:val="28"/>
          <w:szCs w:val="28"/>
          <w:rtl/>
        </w:rPr>
        <w:t xml:space="preserve">ص: 1322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لیس من باب الحرکة المعروفة التی هی کمال أول لما بالقوة من حیث إنه بالقوة و إلا استلزم قوة و استعدادا و تغیرا و زمانا و کل ذلک ینافی التجرد الذی هو الفعلیة التامة العاریة من القوة بل المراد بکون النفس مادة للصور المعقولة اشتداد وجودها المجرد من غیر تغیر و زمان باتحادها بالمرتبة العقلیة التی فوق مرتبة وجودها بإضافة المرتبة العالیة و هی الشرط فی إفاضة المرتبة التی هی فوق ما فوقها و بالجملة مادیة النفس للصور المجردة المعقولة غیر المادیة بالمعنی الذی فی عالم الأجسام نوعا و ناهیک فی ذلک عدم وجود خواص المادة الجسمانیة هناک لا یقال الحجة منقوضة بنفس المادة فإنها فی نفسها جوهر موجود بالفعل و لها قوة قبول الأشیاء فیلزم ترکبها من صورة تکون بها بالفعل و مادة تکون بها بالقوة و ننقل الکلام إلی مادة المادة و هلم جرا فیتسلسل و بذلک یتبین أن الاشتمال علی القوة و الفعل لا یستلزم ترکبا فی الجسم لأنه یقال کما أجاب عنه الشیخ إن المادة متضمنة للقوة و الفعل لکن قوتها عین فعلیتها و فعلیتها عین قوتها فهی فی ذاتها محض قوة الأشیاء لا فعلیة لها إلا فعلیة أنها قوة الأشیاء لا یقال الحجة منقوضة بالعقل فإنه مؤثر فیما دونه متأثر عما فوقه ففیه جهتا فعل و انفعال فیلزم علی قولکم ترکبه من مادة و صورة حتی یفعل بالصورة و ینفعل بالمادة فإنه یقال إن الانفعال و القبول هناک غیر الانفعال و القبول المبحوث عنه فی الأجسام فانفعال العقل و قبوله الوجود مما فوقه لیس إلا مجرد وجوده الفائض علیه من غیر سبق قوة و استعداد یقرب موضوعه من الفعلیة و إنما العقل یفرض للعقل ماهیة یعتبرها قابلة للوجود و العدم فیعتبر تلبسها بالوجود قبولا و انفعالا فالقبول کالانفعال مشترک بین المعنیین و الذی یستلزم</w:t>
      </w:r>
    </w:p>
    <w:p>
      <w:pPr>
        <w:pStyle w:val="BookText"/>
      </w:pPr>
      <w:r>
        <w:rPr>
          <w:rFonts w:ascii="IRNazanin" w:hAnsi="IRNazanin" w:eastAsia="IRNazanin" w:cs="IRNazanin"/>
          <w:lang w:bidi="fa-IR"/>
          <w:color w:val="111111"/>
          <w:sz w:val="28"/>
          <w:szCs w:val="28"/>
          <w:rtl/>
        </w:rPr>
        <w:t xml:space="preserve">[شماره صفحه واقعی : 102]</w:t>
      </w:r>
    </w:p>
    <w:p>
      <w:pPr>
        <w:pStyle w:val="BookText"/>
      </w:pPr>
      <w:r>
        <w:rPr>
          <w:rFonts w:ascii="IRNazanin" w:hAnsi="IRNazanin" w:eastAsia="IRNazanin" w:cs="IRNazanin"/>
          <w:lang w:bidi="fa-IR"/>
          <w:color w:val="111111"/>
          <w:sz w:val="28"/>
          <w:szCs w:val="28"/>
          <w:rtl/>
        </w:rPr>
        <w:t xml:space="preserve">ص: 1323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529" w:name="pg14419_168039"/>
    <w:bookmarkEnd w:id="529"/>
    <w:p>
      <w:pPr>
        <w:pStyle w:val="BookText"/>
      </w:pPr>
      <w:r>
        <w:rPr>
          <w:rFonts w:ascii="IRNazanin" w:hAnsi="IRNazanin" w:eastAsia="IRNazanin" w:cs="IRNazanin"/>
          <w:lang w:bidi="fa-IR"/>
          <w:color w:val="111111"/>
          <w:sz w:val="28"/>
          <w:szCs w:val="28"/>
          <w:rtl/>
        </w:rPr>
        <w:t xml:space="preserve">الترکب هو القبول بمعنی الاستعداد و القوة السابقة دون القبول بمعنی فیضان الوجود فالعقل یفعل بعین ما یقبل و ینفعل به.</w:t>
      </w:r>
    </w:p>
    <w:p>
      <w:pPr>
        <w:pStyle w:val="Heading5"/>
      </w:pPr>
      <w:bookmarkStart w:id="1507" w:name="_Toc947"/>
      <w:r>
        <w:t>الفصل السادس فی أن المادة لا تفارق الجسمیة و الجسمیة لا تفارق المادة أی أن کل واحدة منها لا تفارق صاحبتها</w:t>
      </w:r>
      <w:bookmarkEnd w:id="15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أن المادة لا تتعری عن الصورة فلأنها فی ذاتها و جوهرها قوة الأشیاء لا نصیب لها من الفعلیة إلا فعلیة أنها لا فعلیة لها و من الضروری أن الوجود یلازم الفعلیة المقابلة للقوة فهی أعنی المادة فی وجودها مفتقرة إلی موجود فعلی محصل الوجود تتحد به فتحصل بتحصله و هو المسمی صورة و أیضا لو وجدت المادة مجردة عن الصورة لکان لها فعلیة فی وجودها و هی قوة الأشیاء محضا و فیه اجتماع المتنافیین فی ذات واحدة و هو محال ثم إن المادة لما کانت متقومة الوجود بوجود الصورة فللصورة جهة الفاعلیة بالنسبة إلیها غیر أنها لیست تامة الفاعلیة لتبدل الصور علیها و المعلول الواحد لا تکون لها إلا علة واحدة فللمادة فاعل أعلی وجودا من المادة و المادیات یفعل المادة و یحفظ وجودها باتحاد صورة علیها بعد صورة فالصورة شریکة العلة للمادة لا یقال المادة علی ما قالوا واحدة بالعدد و صورة ما واحدة بالعموم و الواحد بالعدد أقوی وجودا من الواحد بالعموم فلازم علیة صورة ما للمادة کون ما هو أقوی وجودا معلولا للأضعف وجودا و هو محال فإنه یقال إن المادة و إن کانت واحدة بالعدد لکن وحدتها مبهمة</w:t>
      </w:r>
    </w:p>
    <w:p>
      <w:pPr>
        <w:pStyle w:val="BookText"/>
      </w:pPr>
      <w:r>
        <w:rPr>
          <w:rFonts w:ascii="IRNazanin" w:hAnsi="IRNazanin" w:eastAsia="IRNazanin" w:cs="IRNazanin"/>
          <w:lang w:bidi="fa-IR"/>
          <w:color w:val="111111"/>
          <w:sz w:val="28"/>
          <w:szCs w:val="28"/>
          <w:rtl/>
        </w:rPr>
        <w:t xml:space="preserve">[شماره صفحه واقعی : 103]</w:t>
      </w:r>
    </w:p>
    <w:p>
      <w:pPr>
        <w:pStyle w:val="BookText"/>
      </w:pPr>
      <w:r>
        <w:rPr>
          <w:rFonts w:ascii="IRNazanin" w:hAnsi="IRNazanin" w:eastAsia="IRNazanin" w:cs="IRNazanin"/>
          <w:lang w:bidi="fa-IR"/>
          <w:color w:val="111111"/>
          <w:sz w:val="28"/>
          <w:szCs w:val="28"/>
          <w:rtl/>
        </w:rPr>
        <w:t xml:space="preserve">ص: 1324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ضعیفة لإبهام وجودها و کونها محض القوة و وحدة الصورة و هی شریکة العلة التی هی المفارق مستظهرة بوحدة المفارق فمثل إبقاء المفارق و حفظ المادة بصورة ما مثل السقف یحفظ من الانهدام بنصب دعامة بعد دعامة و سیأتی فی مباحث الحرکة الجوهریة إن شاء الله ما ینکشف به حقیقة الحال فی کثرة هذه الصور المتعاقبة علی المادة و قد تبین بما تقدم أن کل فعلیة و تحصل تعرض المادة فإنما هی بفعلیة الصورة لما أن تحصلها بتحصل الصورة و أن الصورة شریکة العلة للمادة و أن الصورة متقدمة علی المادة وجودا و إن کانت المادة متقدمة علیها زمانا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أن الصورة الجسمیة لا تتعری عن المادة فلأن الجسم أیا ما کان لا یخلو عن عوارض مفارقة تتوارد علیه من أقسام الحرکات و الکم و الکیف و الأین و الوضع و غیرها و کذلک الصور النوعیة المتعاقبة علیه و هی جمیعا تتوقف علی إمکان و استعداد سابق لا حامل له إلا المادة فلا جسم إلا فی مادة و أیضا الجسم بما أنه جوهر قابل للأبعاد الثلاثة طبیعة نوعیة تامة واحدة و إن کانت تحته أنواع و لیس کمفهوم الجوهر الذی لیس له إلا أن یکون ماهیة جنسیة لا حکم له إلا حکم أنواعه المندرجة تحته فإذا کان طبیعة نوعیة فهو بطبیعته و فی ذاته إما أن یکون غنیا عن المادة غیر مفتقر إلیها أو مفتقرا إلیها فإن کان غنیا بذاته استحال أن یحل المادة لأن الحلول عین الافتقار لکنا نجد بعض الأجسام حالا فی المادة فلیس بغنی عنها و إن کان مفتقرا إلیها بذاته ثبت الافتقار و هو الحلول فی کل جسم لا یقال لم لا یجوز أن یکون غنیا عنها بحسب ذاته و تعرضه المقارنة فی بعض الأفراد لسبب خارج عن الذات کعروض الأعراض المفارقة للطبائع النوعیة لأنه یقال مقارنة الجسم للمادة کما أشیر إلیه بحلوله فیها و بعبارة</w:t>
      </w:r>
    </w:p>
    <w:p>
      <w:pPr>
        <w:pStyle w:val="BookText"/>
      </w:pPr>
      <w:r>
        <w:rPr>
          <w:rFonts w:ascii="IRNazanin" w:hAnsi="IRNazanin" w:eastAsia="IRNazanin" w:cs="IRNazanin"/>
          <w:lang w:bidi="fa-IR"/>
          <w:color w:val="111111"/>
          <w:sz w:val="28"/>
          <w:szCs w:val="28"/>
          <w:rtl/>
        </w:rPr>
        <w:t xml:space="preserve">[شماره صفحه واقعی : 104]</w:t>
      </w:r>
    </w:p>
    <w:p>
      <w:pPr>
        <w:pStyle w:val="BookText"/>
      </w:pPr>
      <w:r>
        <w:rPr>
          <w:rFonts w:ascii="IRNazanin" w:hAnsi="IRNazanin" w:eastAsia="IRNazanin" w:cs="IRNazanin"/>
          <w:lang w:bidi="fa-IR"/>
          <w:color w:val="111111"/>
          <w:sz w:val="28"/>
          <w:szCs w:val="28"/>
          <w:rtl/>
        </w:rPr>
        <w:t xml:space="preserve">ص: 1325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بصیرورة وجوده للمادة ناعتا لها فمعنی عروض الافتقار له بسبب خارج بعد غناه عنها فی ذاته صیرورة وجوده لغیره بعد ما کان لنفسه و هو محال بالضرورة و اعلم أن المسألة و إن عقدت فی تجرد الصورة الجسمیة لکن الدلیل یجری فی کل صورة فی إمکانها أن یلحقها کمالات طارئة.</w:t>
      </w:r>
    </w:p>
    <w:p>
      <w:pPr>
        <w:pStyle w:val="BookText"/>
      </w:pPr>
      <w:r>
        <w:rPr>
          <w:rFonts w:ascii="IRNazanin" w:hAnsi="IRNazanin" w:eastAsia="IRNazanin" w:cs="IRNazanin"/>
          <w:lang w:bidi="fa-IR"/>
          <w:color w:val="111111"/>
          <w:sz w:val="28"/>
          <w:szCs w:val="28"/>
          <w:rtl/>
        </w:rPr>
        <w:t xml:space="preserve">و سیأتی فی بحث الحرکة الجوهریة أن الجوهر المادی متحرک فی صورها حتی یتخلص إلی فعلیة محضة لا قوة معها و ذلک باللبس بعد اللبس لا بالخلع و اللبس فبناء علیه یکون استحالة تجرد الصورة المادیة عن المادة مقیدة بالحرکة دون ما إذا تمت الحرکة و بلغت الغایة.</w:t>
      </w:r>
    </w:p>
    <w:p>
      <w:pPr>
        <w:pStyle w:val="BookText"/>
      </w:pPr>
      <w:r>
        <w:rPr>
          <w:rFonts w:ascii="IRNazanin" w:hAnsi="IRNazanin" w:eastAsia="IRNazanin" w:cs="IRNazanin"/>
          <w:lang w:bidi="fa-IR"/>
          <w:color w:val="111111"/>
          <w:sz w:val="28"/>
          <w:szCs w:val="28"/>
          <w:rtl/>
        </w:rPr>
        <w:t xml:space="preserve">و یتأید ذلک بما ذکره الشیخ و صدر المتألهین أن المادة غیر داخلة فی حد الجسم دخول الأجناس فی حدود أنواعها فماهیة الجسم و هی الجوهر القابل للأبعاد الثلاثة لا خبر فیها عن المادة التی هی الجوهر الذی فیه قوة الأشیاء لکن الجسم مثلا مأخوذ فی حد الجسم النامی و الجسم النامی مأخوذ فی حد الحیوان و الحیوان مأخوذ فی حد الإنسان.</w:t>
      </w:r>
    </w:p>
    <w:p>
      <w:pPr>
        <w:pStyle w:val="BookText"/>
      </w:pPr>
      <w:r>
        <w:rPr>
          <w:rFonts w:ascii="IRNazanin" w:hAnsi="IRNazanin" w:eastAsia="IRNazanin" w:cs="IRNazanin"/>
          <w:lang w:bidi="fa-IR"/>
          <w:color w:val="111111"/>
          <w:sz w:val="28"/>
          <w:szCs w:val="28"/>
          <w:rtl/>
        </w:rPr>
        <w:t xml:space="preserve">و قد بینه صدر المتألهین بأنها لو کانت داخلة فی ماهیة الجسم لکانت بینة الثبوت له علی ما هو خاصة الذاتی لکنا نشک فی ثبوتها للجسم فی بادی‌ء النظر ثم نثبتها له بالبرهان و لا برهان علی ذاتی.</w:t>
      </w:r>
    </w:p>
    <w:p>
      <w:pPr>
        <w:pStyle w:val="BookText"/>
      </w:pPr>
      <w:r>
        <w:rPr>
          <w:rFonts w:ascii="IRNazanin" w:hAnsi="IRNazanin" w:eastAsia="IRNazanin" w:cs="IRNazanin"/>
          <w:lang w:bidi="fa-IR"/>
          <w:color w:val="111111"/>
          <w:sz w:val="28"/>
          <w:szCs w:val="28"/>
          <w:rtl/>
        </w:rPr>
        <w:t xml:space="preserve">و لا منافاة بین القول بخروجها عن ماهیة الجسم و القول باتحادها مع الصورة الجسمیة علی ما هو لازم اجتماع ما بالقوة مع ما بالفعل لأن الاتحاد المدعی إنما هو الوجود لا فی الماهیة.</w:t>
      </w:r>
    </w:p>
    <w:p>
      <w:pPr>
        <w:pStyle w:val="BookText"/>
      </w:pPr>
      <w:r>
        <w:rPr>
          <w:rFonts w:ascii="IRNazanin" w:hAnsi="IRNazanin" w:eastAsia="IRNazanin" w:cs="IRNazanin"/>
          <w:lang w:bidi="fa-IR"/>
          <w:color w:val="111111"/>
          <w:sz w:val="28"/>
          <w:szCs w:val="28"/>
          <w:rtl/>
        </w:rPr>
        <w:t xml:space="preserve">و لازم ذلک أن لو تجرد بعض الأنواع المادیة عن المادة لم یلزم انقلاب بتغیر الحد و أن المادة من لوازم وجوده لا جزء ماهیته.</w:t>
      </w:r>
    </w:p>
    <w:p>
      <w:pPr>
        <w:pStyle w:val="BookText"/>
      </w:pPr>
      <w:r>
        <w:rPr>
          <w:rFonts w:ascii="IRNazanin" w:hAnsi="IRNazanin" w:eastAsia="IRNazanin" w:cs="IRNazanin"/>
          <w:lang w:bidi="fa-IR"/>
          <w:color w:val="111111"/>
          <w:sz w:val="28"/>
          <w:szCs w:val="28"/>
          <w:rtl/>
        </w:rPr>
        <w:t xml:space="preserve">[شماره صفحه واقعی : 105]</w:t>
      </w:r>
    </w:p>
    <w:p>
      <w:pPr>
        <w:pStyle w:val="BookText"/>
      </w:pPr>
      <w:r>
        <w:rPr>
          <w:rFonts w:ascii="IRNazanin" w:hAnsi="IRNazanin" w:eastAsia="IRNazanin" w:cs="IRNazanin"/>
          <w:lang w:bidi="fa-IR"/>
          <w:color w:val="111111"/>
          <w:sz w:val="28"/>
          <w:szCs w:val="28"/>
          <w:rtl/>
        </w:rPr>
        <w:t xml:space="preserve">ص: 1326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530" w:name="pg14419_168042"/>
    <w:bookmarkEnd w:id="530"/>
    <w:p>
      <w:pPr>
        <w:pStyle w:val="Heading5"/>
      </w:pPr>
      <w:bookmarkStart w:id="1508" w:name="_Toc948"/>
      <w:r>
        <w:t>الفصل السابع فی إثبات الصور النوعیة و هی الصور الجوهریة المنوعة لجوهر الجسم المطلق</w:t>
      </w:r>
      <w:bookmarkEnd w:id="15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إنا نجد فی الأجسام اختلافا من حیث صدق مفاهیم علیها هی بینة الثبوت لها ممتنعة الانفکاک عنها فإنا لا نقدر أن نتصور جسما دون أن نتصوره مثلا عنصرا أو مرکبا معدنیا أو شجرا أو حیوانا و هکذا و تلبس الجسم بهذه المفاهیم علی هذا النحو أمارة کونها من مقوماته.</w:t>
      </w:r>
    </w:p>
    <w:p>
      <w:pPr>
        <w:pStyle w:val="BookText"/>
      </w:pPr>
      <w:r>
        <w:rPr>
          <w:rFonts w:ascii="IRNazanin" w:hAnsi="IRNazanin" w:eastAsia="IRNazanin" w:cs="IRNazanin"/>
          <w:lang w:bidi="fa-IR"/>
          <w:color w:val="111111"/>
          <w:sz w:val="28"/>
          <w:szCs w:val="28"/>
          <w:rtl/>
        </w:rPr>
        <w:t xml:space="preserve">و لما کان کل منها أخص من الجسم فهی مقومة لجوهر ذاته فیحصل بانضمام کل منها إلیه نوع منه و لا یقوم الجوهر إلا جوهر فهی صور جوهریة منوعة.</w:t>
      </w:r>
    </w:p>
    <w:p>
      <w:pPr>
        <w:pStyle w:val="BookText"/>
      </w:pPr>
      <w:r>
        <w:rPr>
          <w:rFonts w:ascii="IRNazanin" w:hAnsi="IRNazanin" w:eastAsia="IRNazanin" w:cs="IRNazanin"/>
          <w:lang w:bidi="fa-IR"/>
          <w:color w:val="111111"/>
          <w:sz w:val="28"/>
          <w:szCs w:val="28"/>
          <w:rtl/>
        </w:rPr>
        <w:t xml:space="preserve">لا یقال لا نسلم أن الجوهر لا یقومه إلا جوهر فکثیرا ما یوجد الشی‌ء و یقال علیه الجوهر فی جواب ما هو ثم ینضم إلیه شی‌ء من الأعراض و یتغیر به جواب السؤال عنه بما هو کالحدید الذی هو جوهر فإذا صنع منه السیف بضم هیئات عرضیة إلیه و سئل عنه بما هو کان الجواب عنه غیر الجواب عنه و هو حدید و کالطین و الحجر و هما جوهران فإذا بنی منهما بناء وقع فی جواب السؤال عنه بما هو البیت و لم ینضم إلیها إلا هیئات عرضیة.</w:t>
      </w:r>
    </w:p>
    <w:p>
      <w:pPr>
        <w:pStyle w:val="BookText"/>
      </w:pPr>
      <w:r>
        <w:rPr>
          <w:rFonts w:ascii="IRNazanin" w:hAnsi="IRNazanin" w:eastAsia="IRNazanin" w:cs="IRNazanin"/>
          <w:lang w:bidi="fa-IR"/>
          <w:color w:val="111111"/>
          <w:sz w:val="28"/>
          <w:szCs w:val="28"/>
          <w:rtl/>
        </w:rPr>
        <w:t xml:space="preserve">فإنه یقال فیه خلط بین الأنواع الحقیقیة التی هی مرکبات حقیقیة تحصل من ترکبها هویة واحدة وراء الأجزاء لها آثار وراء آثار الأجزاء کالعناصر و الموالید و بین المرکبات الاعتباریة التی لا یحصل من ترکب أجزائها أمر وراء الأجزاء و لا أثر وراء آثارها کالسیف و البیت من الأمور</w:t>
      </w:r>
    </w:p>
    <w:p>
      <w:pPr>
        <w:pStyle w:val="BookText"/>
      </w:pPr>
      <w:r>
        <w:rPr>
          <w:rFonts w:ascii="IRNazanin" w:hAnsi="IRNazanin" w:eastAsia="IRNazanin" w:cs="IRNazanin"/>
          <w:lang w:bidi="fa-IR"/>
          <w:color w:val="111111"/>
          <w:sz w:val="28"/>
          <w:szCs w:val="28"/>
          <w:rtl/>
        </w:rPr>
        <w:t xml:space="preserve">[شماره صفحه واقعی : 106]</w:t>
      </w:r>
    </w:p>
    <w:p>
      <w:pPr>
        <w:pStyle w:val="BookText"/>
      </w:pPr>
      <w:r>
        <w:rPr>
          <w:rFonts w:ascii="IRNazanin" w:hAnsi="IRNazanin" w:eastAsia="IRNazanin" w:cs="IRNazanin"/>
          <w:lang w:bidi="fa-IR"/>
          <w:color w:val="111111"/>
          <w:sz w:val="28"/>
          <w:szCs w:val="28"/>
          <w:rtl/>
        </w:rPr>
        <w:t xml:space="preserve">ص: 1327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الصناعیة و غیرها.</w:t>
      </w:r>
    </w:p>
    <w:p>
      <w:pPr>
        <w:pStyle w:val="BookText"/>
      </w:pPr>
      <w:r>
        <w:rPr>
          <w:rFonts w:ascii="IRNazanin" w:hAnsi="IRNazanin" w:eastAsia="IRNazanin" w:cs="IRNazanin"/>
          <w:lang w:bidi="fa-IR"/>
          <w:color w:val="111111"/>
          <w:sz w:val="28"/>
          <w:szCs w:val="28"/>
          <w:rtl/>
        </w:rPr>
        <w:t xml:space="preserve">و بالجملة المرکبات الاعتباریة لا یحصل منها أمر وراء نفس الأجزاء و المرکب من جوهر و عرض لا جوهر و لا عرض فلا ماهیة له حتی یقع فی جواب ما هو کل ذلک لتباین المقولات بتمام ذواتها البسیطة فلا یتکون من أکثر من واحدة منها ماهیة.</w:t>
      </w:r>
    </w:p>
    <w:p>
      <w:pPr>
        <w:pStyle w:val="BookText"/>
      </w:pPr>
      <w:r>
        <w:rPr>
          <w:rFonts w:ascii="IRNazanin" w:hAnsi="IRNazanin" w:eastAsia="IRNazanin" w:cs="IRNazanin"/>
          <w:lang w:bidi="fa-IR"/>
          <w:color w:val="111111"/>
          <w:sz w:val="28"/>
          <w:szCs w:val="28"/>
          <w:rtl/>
        </w:rPr>
        <w:t xml:space="preserve">و لا یقال کون الصور النوعیة جواهر ینافی قولهم إن فصول الجواهر غیر مندرجة تحت جنس الجوهر.</w:t>
      </w:r>
    </w:p>
    <w:p>
      <w:pPr>
        <w:pStyle w:val="BookText"/>
      </w:pPr>
      <w:r>
        <w:rPr>
          <w:rFonts w:ascii="IRNazanin" w:hAnsi="IRNazanin" w:eastAsia="IRNazanin" w:cs="IRNazanin"/>
          <w:lang w:bidi="fa-IR"/>
          <w:color w:val="111111"/>
          <w:sz w:val="28"/>
          <w:szCs w:val="28"/>
          <w:rtl/>
        </w:rPr>
        <w:t xml:space="preserve">فإنه یقال قد تقدم البحث عنه فی مرحلة الماهیة و اتضح به أن معنی جوهریة فصول الجواهر و هی الصور النوعیة مأخوذة بشرط لا أن جنس الجوهر صادق علیها صدق العرض العام علی الخاصة فهی مقومات للأنواع عارضة علی الجنس.</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حجة أخری إنا نجد الأجسام مختلفة بحسب الآثار القائمة بها من العوارض اللازمة و المفارقة و اختصاص کل من هذه المختلفات الآثار بما اختص به من الآثار لیس إلا لمخصص بالضرورة.</w:t>
      </w:r>
    </w:p>
    <w:p>
      <w:pPr>
        <w:pStyle w:val="BookText"/>
      </w:pPr>
      <w:r>
        <w:rPr>
          <w:rFonts w:ascii="IRNazanin" w:hAnsi="IRNazanin" w:eastAsia="IRNazanin" w:cs="IRNazanin"/>
          <w:lang w:bidi="fa-IR"/>
          <w:color w:val="111111"/>
          <w:sz w:val="28"/>
          <w:szCs w:val="28"/>
          <w:rtl/>
        </w:rPr>
        <w:t xml:space="preserve">و من المحال أن یکون المخصص هو الجسمیة المشترکة لاشتراکها بین جمیع الأجسام و لا المادة المشترکة لأن شأنها القبول و الاستعداد دون الفعل و الاقتضاء و لا موجود مفارق لاستواء نسبته إلی جمیع الأجسام و یمتنع أن یکون المخصص هو بعض الأعراض اللاحقة بأن یتخصص أثر بأثر سابق فإنا ننقل الکلام إلی الأثر السابق فیتسلسل أو یدور أو ینتهی إلی أمر غیر خارج عن جوهر الجسم الذی عنده الأثر و الأولان محالان فیبقی الثالث و هو استناد الآثار إلی أمر غیر خارج من جوهر الجسم فیکون مقوما له و مقوم الجوهر جوهر و إذ کان هذا المقوم الجوهری أخص من الجسم المطلق فهو صورة جوهریة منوعة له.</w:t>
      </w:r>
    </w:p>
    <w:p>
      <w:pPr>
        <w:pStyle w:val="BookText"/>
      </w:pPr>
      <w:r>
        <w:rPr>
          <w:rFonts w:ascii="IRNazanin" w:hAnsi="IRNazanin" w:eastAsia="IRNazanin" w:cs="IRNazanin"/>
          <w:lang w:bidi="fa-IR"/>
          <w:color w:val="111111"/>
          <w:sz w:val="28"/>
          <w:szCs w:val="28"/>
          <w:rtl/>
        </w:rPr>
        <w:t xml:space="preserve">ففی الأجسام علی اختلافها صور نوعیة جوهریة هی مباد للآثار المختلفة</w:t>
      </w:r>
    </w:p>
    <w:p>
      <w:pPr>
        <w:pStyle w:val="BookText"/>
      </w:pPr>
      <w:r>
        <w:rPr>
          <w:rFonts w:ascii="IRNazanin" w:hAnsi="IRNazanin" w:eastAsia="IRNazanin" w:cs="IRNazanin"/>
          <w:lang w:bidi="fa-IR"/>
          <w:color w:val="111111"/>
          <w:sz w:val="28"/>
          <w:szCs w:val="28"/>
          <w:rtl/>
        </w:rPr>
        <w:t xml:space="preserve">[شماره صفحه واقعی : 107]</w:t>
      </w:r>
    </w:p>
    <w:p>
      <w:pPr>
        <w:pStyle w:val="BookText"/>
      </w:pPr>
      <w:r>
        <w:rPr>
          <w:rFonts w:ascii="IRNazanin" w:hAnsi="IRNazanin" w:eastAsia="IRNazanin" w:cs="IRNazanin"/>
          <w:lang w:bidi="fa-IR"/>
          <w:color w:val="111111"/>
          <w:sz w:val="28"/>
          <w:szCs w:val="28"/>
          <w:rtl/>
        </w:rPr>
        <w:t xml:space="preserve">ص: 1328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531" w:name="pg14419_168044"/>
    <w:bookmarkEnd w:id="531"/>
    <w:p>
      <w:pPr>
        <w:pStyle w:val="BookText"/>
      </w:pPr>
      <w:r>
        <w:rPr>
          <w:rFonts w:ascii="IRNazanin" w:hAnsi="IRNazanin" w:eastAsia="IRNazanin" w:cs="IRNazanin"/>
          <w:lang w:bidi="fa-IR"/>
          <w:color w:val="111111"/>
          <w:sz w:val="28"/>
          <w:szCs w:val="28"/>
          <w:rtl/>
        </w:rPr>
        <w:t xml:space="preserve">باختلاف الأنواع.</w:t>
      </w:r>
    </w:p>
    <w:p>
      <w:pPr>
        <w:pStyle w:val="BookText"/>
      </w:pPr>
      <w:r>
        <w:rPr>
          <w:rFonts w:ascii="IRNazanin" w:hAnsi="IRNazanin" w:eastAsia="IRNazanin" w:cs="IRNazanin"/>
          <w:lang w:bidi="fa-IR"/>
          <w:color w:val="111111"/>
          <w:sz w:val="28"/>
          <w:szCs w:val="28"/>
          <w:rtl/>
        </w:rPr>
        <w:t xml:space="preserve">لا یقال إن فی أفراد کل نوع من الأنواع الجسمانیة آثارا مختصة و عوارض مشخصة لا یوجد ما هو عند فرد منها عند غیره من الأفراد و یجری فیها ما سقتموه من الحجة فهلا أثبتم بعد الصور التی سمیتموها صورا نوعیة صورا شخصیة مقومة لماهیة النوع.</w:t>
      </w:r>
    </w:p>
    <w:p>
      <w:pPr>
        <w:pStyle w:val="BookText"/>
      </w:pPr>
      <w:r>
        <w:rPr>
          <w:rFonts w:ascii="IRNazanin" w:hAnsi="IRNazanin" w:eastAsia="IRNazanin" w:cs="IRNazanin"/>
          <w:lang w:bidi="fa-IR"/>
          <w:color w:val="111111"/>
          <w:sz w:val="28"/>
          <w:szCs w:val="28"/>
          <w:rtl/>
        </w:rPr>
        <w:t xml:space="preserve">لأنه یقال الأعراض المسماة عوارض مشخصة لوازم التشخص و لیست بمشخصة و إنما التشخص بالوجود کما تقدم فی مرحلة الماهیة و تشخص الأعراض بتشخص موضوعاتها إذ لا معنی لعموم العرض القائم بالموضوع المشخص و الأعراض الفعلیة اللاحقة بالفرد مبدؤها الطبیعة النوعیة التی فی الفرد تقتضی من الکم و الکیف و الوضع و غیرها عرضا عریضا ثم الأسباب و الشرائط الخارجیة الاتفاقیة تخصص ما تقتضیه الطبیعة النوعیة و بتغیر تلک الأسباب و الشرائط ینتقل الفرد من عارض یتلبس به إلی آخر من نوعه أو جنسه.</w:t>
      </w:r>
    </w:p>
    <w:p>
      <w:pPr>
        <w:pStyle w:val="Heading5"/>
      </w:pPr>
      <w:bookmarkStart w:id="1509" w:name="_Toc949"/>
      <w:r>
        <w:t>خاتمة للفصل</w:t>
      </w:r>
      <w:bookmarkEnd w:id="1509"/>
    </w:p>
    <w:p>
      <w:pPr>
        <w:pStyle w:val="BookText"/>
      </w:pPr>
      <w:r>
        <w:rPr>
          <w:rFonts w:ascii="IRNazanin" w:hAnsi="IRNazanin" w:eastAsia="IRNazanin" w:cs="IRNazanin"/>
          <w:lang w:bidi="fa-IR"/>
          <w:color w:val="111111"/>
          <w:sz w:val="28"/>
          <w:szCs w:val="28"/>
          <w:rtl/>
        </w:rPr>
        <w:t xml:space="preserve">لما کانت الصورة النوعیة مقومة لمادتها الثانیة التی هی الجسم المؤلف من المادة و الصورة الجسمیة کانت علة فاعلیة للجسم متقدمة علیه کما أن الصورة الجسمیة شریکة العلة للمادة الأولی.</w:t>
      </w:r>
    </w:p>
    <w:p>
      <w:pPr>
        <w:pStyle w:val="BookText"/>
      </w:pPr>
      <w:r>
        <w:rPr>
          <w:rFonts w:ascii="IRNazanin" w:hAnsi="IRNazanin" w:eastAsia="IRNazanin" w:cs="IRNazanin"/>
          <w:lang w:bidi="fa-IR"/>
          <w:color w:val="111111"/>
          <w:sz w:val="28"/>
          <w:szCs w:val="28"/>
          <w:rtl/>
        </w:rPr>
        <w:t xml:space="preserve">و یتفرع علیه أولا أن الوجود أولا للصورة النوعیة و بوجودها توجد الصورة الجسمیة ثم الهیولی بوجودها الفعلی.</w:t>
      </w:r>
    </w:p>
    <w:p>
      <w:pPr>
        <w:pStyle w:val="BookText"/>
      </w:pPr>
      <w:r>
        <w:rPr>
          <w:rFonts w:ascii="IRNazanin" w:hAnsi="IRNazanin" w:eastAsia="IRNazanin" w:cs="IRNazanin"/>
          <w:lang w:bidi="fa-IR"/>
          <w:color w:val="111111"/>
          <w:sz w:val="28"/>
          <w:szCs w:val="28"/>
          <w:rtl/>
        </w:rPr>
        <w:t xml:space="preserve">و ثانیا أن الصور النوعیة لا تحفظ الجسمیة إلی بدل بل توجد بوجودها الجسمیة ثم إذا تبدلت إلی صورة أخری تخالفها نوعا بطل ببطلانها الجسم ثم حدثت جسمیة أخری بحدوث الصورة التالیة.</w:t>
      </w:r>
    </w:p>
    <w:p>
      <w:pPr>
        <w:pStyle w:val="BookText"/>
      </w:pPr>
      <w:r>
        <w:rPr>
          <w:rFonts w:ascii="IRNazanin" w:hAnsi="IRNazanin" w:eastAsia="IRNazanin" w:cs="IRNazanin"/>
          <w:lang w:bidi="fa-IR"/>
          <w:color w:val="111111"/>
          <w:sz w:val="28"/>
          <w:szCs w:val="28"/>
          <w:rtl/>
        </w:rPr>
        <w:t xml:space="preserve">[شماره صفحه واقعی : 108]</w:t>
      </w:r>
    </w:p>
    <w:p>
      <w:pPr>
        <w:pStyle w:val="BookText"/>
      </w:pPr>
      <w:r>
        <w:rPr>
          <w:rFonts w:ascii="IRNazanin" w:hAnsi="IRNazanin" w:eastAsia="IRNazanin" w:cs="IRNazanin"/>
          <w:lang w:bidi="fa-IR"/>
          <w:color w:val="111111"/>
          <w:sz w:val="28"/>
          <w:szCs w:val="28"/>
          <w:rtl/>
        </w:rPr>
        <w:t xml:space="preserve">ص: 1329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532" w:name="pg14419_168045"/>
    <w:bookmarkEnd w:id="532"/>
    <w:p>
      <w:pPr>
        <w:pStyle w:val="Heading5"/>
      </w:pPr>
      <w:bookmarkStart w:id="1510" w:name="_Toc950"/>
      <w:r>
        <w:t>الفصل الثامن فی الکم و هو من المقولات العرضیة</w:t>
      </w:r>
      <w:bookmarkEnd w:id="1510"/>
    </w:p>
    <w:p>
      <w:pPr>
        <w:pStyle w:val="BookText"/>
      </w:pPr>
      <w:r>
        <w:rPr>
          <w:rFonts w:ascii="IRNazanin" w:hAnsi="IRNazanin" w:eastAsia="IRNazanin" w:cs="IRNazanin"/>
          <w:lang w:bidi="fa-IR"/>
          <w:color w:val="111111"/>
          <w:sz w:val="28"/>
          <w:szCs w:val="28"/>
          <w:rtl/>
        </w:rPr>
        <w:t xml:space="preserve">قد تقدم أن العرض ماهیة إذا وجدت فی الأعیان وجدت فی موضوع مستغن عنه و أن العرضیة کعرض عام لتسع من المقولات هی أجناس عالیة لا جنس فوقها و لذا کان ما عرف به کل واحدة منها تعریفا بالخاصة لا حدا حقیقیا ذا جنس و فصل.</w:t>
      </w:r>
    </w:p>
    <w:p>
      <w:pPr>
        <w:pStyle w:val="BookText"/>
      </w:pPr>
      <w:r>
        <w:rPr>
          <w:rFonts w:ascii="IRNazanin" w:hAnsi="IRNazanin" w:eastAsia="IRNazanin" w:cs="IRNazanin"/>
          <w:lang w:bidi="fa-IR"/>
          <w:color w:val="111111"/>
          <w:sz w:val="28"/>
          <w:szCs w:val="28"/>
          <w:rtl/>
        </w:rPr>
        <w:t xml:space="preserve">و قد عرف الشیخان الفارابی و ابن سینا الکم بأنه العرض الذی بذاته یمکن أن یوجد فیه شی‌ء واحد یعده و هو أحسن ما أورد له من التعریف و أما تعریفه بأنه العرض الذی یقبل القسمة لذاته فقد أورد علیه بأنه تعریف بالأخص لاختصاص قبول القسمة بالکم المتصل و أما المنفصل فهو ذو أجزاء بالفعل و کذا تعریفه بأنه العرض الذی یقبل المساواة فقد أورد علیه بأنه تعریف دوری لأن المساواة هی الاتحاد فی الکم و کیف کان فما یشتمل علیه هذه التعاریف خواص ثلاثة للکم و هی العد و الانقسام و المساواة</w:t>
      </w:r>
    </w:p>
    <w:p>
      <w:pPr>
        <w:pStyle w:val="Heading5"/>
      </w:pPr>
      <w:bookmarkStart w:id="1511" w:name="_Toc951"/>
      <w:r>
        <w:t>الفصل التاسع فی انقسامات الکم</w:t>
      </w:r>
      <w:bookmarkEnd w:id="1511"/>
    </w:p>
    <w:p>
      <w:pPr>
        <w:pStyle w:val="BookText"/>
      </w:pPr>
      <w:r>
        <w:rPr>
          <w:rFonts w:ascii="IRNazanin" w:hAnsi="IRNazanin" w:eastAsia="IRNazanin" w:cs="IRNazanin"/>
          <w:lang w:bidi="fa-IR"/>
          <w:color w:val="111111"/>
          <w:sz w:val="28"/>
          <w:szCs w:val="28"/>
          <w:rtl/>
        </w:rPr>
        <w:t xml:space="preserve">ینقسم الکم انقساما أولیا إلی المتصل و المنفصل و المتصل هو الکم الذی یمکن أن یفرض فیه أجزاء تتلاقی علی حدود مشترکة و الحد المشترک هو</w:t>
      </w:r>
    </w:p>
    <w:p>
      <w:pPr>
        <w:pStyle w:val="BookText"/>
      </w:pPr>
      <w:r>
        <w:rPr>
          <w:rFonts w:ascii="IRNazanin" w:hAnsi="IRNazanin" w:eastAsia="IRNazanin" w:cs="IRNazanin"/>
          <w:lang w:bidi="fa-IR"/>
          <w:color w:val="111111"/>
          <w:sz w:val="28"/>
          <w:szCs w:val="28"/>
          <w:rtl/>
        </w:rPr>
        <w:t xml:space="preserve">[شماره صفحه واقعی : 109]</w:t>
      </w:r>
    </w:p>
    <w:p>
      <w:pPr>
        <w:pStyle w:val="BookText"/>
      </w:pPr>
      <w:r>
        <w:rPr>
          <w:rFonts w:ascii="IRNazanin" w:hAnsi="IRNazanin" w:eastAsia="IRNazanin" w:cs="IRNazanin"/>
          <w:lang w:bidi="fa-IR"/>
          <w:color w:val="111111"/>
          <w:sz w:val="28"/>
          <w:szCs w:val="28"/>
          <w:rtl/>
        </w:rPr>
        <w:t xml:space="preserve">ص: 1330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یمکن أن یجعل بدایة لجزء کما یمکن أن یجعل نهایة لآخر کالخط إذا فرض انقسامه إلی ثلاثة أجزاء فإن القسم المتوسط یمکن أن یجعل بدایة لکل من الجانبین و نهایة له فیکون القسمان قسما واحدا و الخط ذا قسمین.</w:t>
      </w:r>
    </w:p>
    <w:p>
      <w:pPr>
        <w:pStyle w:val="BookText"/>
      </w:pPr>
      <w:r>
        <w:rPr>
          <w:rFonts w:ascii="IRNazanin" w:hAnsi="IRNazanin" w:eastAsia="IRNazanin" w:cs="IRNazanin"/>
          <w:lang w:bidi="fa-IR"/>
          <w:color w:val="111111"/>
          <w:sz w:val="28"/>
          <w:szCs w:val="28"/>
          <w:rtl/>
        </w:rPr>
        <w:t xml:space="preserve">و عرف المتصل أیضا بما یقبل الانقسام إلی غیر النهایة و المنفصل خلاف المتصل و هو العدد الحاصل من تکرر الواحد فإنه منقسم إلی أجزاء بالفعل و لیس بینها حد مشترک فإن الخمسة مثلا إذا قسم إلی اثنین و ثلاثة فإن کان بینهما حد مشترک من الأجزاء کانت أربعة أو من خارج کانت ستة.</w:t>
      </w:r>
    </w:p>
    <w:p>
      <w:pPr>
        <w:pStyle w:val="BookText"/>
      </w:pPr>
      <w:r>
        <w:rPr>
          <w:rFonts w:ascii="IRNazanin" w:hAnsi="IRNazanin" w:eastAsia="IRNazanin" w:cs="IRNazanin"/>
          <w:lang w:bidi="fa-IR"/>
          <w:color w:val="111111"/>
          <w:sz w:val="28"/>
          <w:szCs w:val="28"/>
          <w:rtl/>
        </w:rPr>
        <w:t xml:space="preserve">و المتصل ینقسم إلی قسمین قار و غیر قار و القار هو الثابت المجتمع الأجزاء بالفعل کالسطح و غیر القار هو الذی لا یجتمع أجزاؤه المفروضة بالفعل کالزمان فإن کل جزء منه بالفعل قوة للجزء التالی فلا یجتمعان بالفعل إذ فعلیة الشی‌ء لا تجامع قوته.</w:t>
      </w:r>
    </w:p>
    <w:p>
      <w:pPr>
        <w:pStyle w:val="BookText"/>
      </w:pPr>
      <w:r>
        <w:rPr>
          <w:rFonts w:ascii="IRNazanin" w:hAnsi="IRNazanin" w:eastAsia="IRNazanin" w:cs="IRNazanin"/>
          <w:lang w:bidi="fa-IR"/>
          <w:color w:val="111111"/>
          <w:sz w:val="28"/>
          <w:szCs w:val="28"/>
          <w:rtl/>
        </w:rPr>
        <w:t xml:space="preserve">و القار ینقسم إلی الجسم التعلیمی و هو القابل للانقسام فی جهاته الثلاث العرض و الطول و العمق و السطح و هو القابل للانقسام فی الجهتین العرض و الطول و الخط و هو القابل للانقسام فی جهة واحدة.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الکم المنفصل و هو العدد موجود فی الخارج بالضرورة و الکم المتصل غیر القار و هو الزمان سیأتی إثبات وجوده فی مباحث القوة و الفعل.</w:t>
      </w:r>
    </w:p>
    <w:p>
      <w:pPr>
        <w:pStyle w:val="BookText"/>
      </w:pPr>
      <w:r>
        <w:rPr>
          <w:rFonts w:ascii="IRNazanin" w:hAnsi="IRNazanin" w:eastAsia="IRNazanin" w:cs="IRNazanin"/>
          <w:lang w:bidi="fa-IR"/>
          <w:color w:val="111111"/>
          <w:sz w:val="28"/>
          <w:szCs w:val="28"/>
          <w:rtl/>
        </w:rPr>
        <w:t xml:space="preserve">و أما الکم المتصل القار فالجسم التعلیمی و السطح موجودان فی الخارج لأن هناک أجساما طبیعیة منفصلا بعضها من بعض متعینة متناهیة و لازم تعینها الجسم التعلیمی و لازم تناهیها السطح.</w:t>
      </w:r>
    </w:p>
    <w:p>
      <w:pPr>
        <w:pStyle w:val="BookText"/>
      </w:pPr>
      <w:r>
        <w:rPr>
          <w:rFonts w:ascii="IRNazanin" w:hAnsi="IRNazanin" w:eastAsia="IRNazanin" w:cs="IRNazanin"/>
          <w:lang w:bidi="fa-IR"/>
          <w:color w:val="111111"/>
          <w:sz w:val="28"/>
          <w:szCs w:val="28"/>
          <w:rtl/>
        </w:rPr>
        <w:t xml:space="preserve">و أما الخط فهو موجود فی الخارج إن ثبتت أجسام لها سطوح متقاطعة کالمکعب و المخروط و الهرم و نحوها.</w:t>
      </w:r>
    </w:p>
    <w:p>
      <w:pPr>
        <w:pStyle w:val="BookText"/>
      </w:pPr>
      <w:r>
        <w:rPr>
          <w:rFonts w:ascii="IRNazanin" w:hAnsi="IRNazanin" w:eastAsia="IRNazanin" w:cs="IRNazanin"/>
          <w:lang w:bidi="fa-IR"/>
          <w:color w:val="111111"/>
          <w:sz w:val="28"/>
          <w:szCs w:val="28"/>
          <w:rtl/>
        </w:rPr>
        <w:t xml:space="preserve">ثم إن کل مرتبة من مراتب العدد غیر المتناهیة نوع خاص منه مباین لسائرها لاختصاصها بخواص عددیة لا تتعداها إلی غیرها.</w:t>
      </w:r>
    </w:p>
    <w:p>
      <w:pPr>
        <w:pStyle w:val="BookText"/>
      </w:pPr>
      <w:r>
        <w:rPr>
          <w:rFonts w:ascii="IRNazanin" w:hAnsi="IRNazanin" w:eastAsia="IRNazanin" w:cs="IRNazanin"/>
          <w:lang w:bidi="fa-IR"/>
          <w:color w:val="111111"/>
          <w:sz w:val="28"/>
          <w:szCs w:val="28"/>
          <w:rtl/>
        </w:rPr>
        <w:t xml:space="preserve">و الزمان نوع واحد و إن کان معروضه أنواع الحرکات الجوهریة و العرضیة</w:t>
      </w:r>
    </w:p>
    <w:p>
      <w:pPr>
        <w:pStyle w:val="BookText"/>
      </w:pPr>
      <w:r>
        <w:rPr>
          <w:rFonts w:ascii="IRNazanin" w:hAnsi="IRNazanin" w:eastAsia="IRNazanin" w:cs="IRNazanin"/>
          <w:lang w:bidi="fa-IR"/>
          <w:color w:val="111111"/>
          <w:sz w:val="28"/>
          <w:szCs w:val="28"/>
          <w:rtl/>
        </w:rPr>
        <w:t xml:space="preserve">[شماره صفحه واقعی : 110]</w:t>
      </w:r>
    </w:p>
    <w:p>
      <w:pPr>
        <w:pStyle w:val="BookText"/>
      </w:pPr>
      <w:r>
        <w:rPr>
          <w:rFonts w:ascii="IRNazanin" w:hAnsi="IRNazanin" w:eastAsia="IRNazanin" w:cs="IRNazanin"/>
          <w:lang w:bidi="fa-IR"/>
          <w:color w:val="111111"/>
          <w:sz w:val="28"/>
          <w:szCs w:val="28"/>
          <w:rtl/>
        </w:rPr>
        <w:t xml:space="preserve">ص: 1331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533" w:name="pg14419_168047"/>
    <w:bookmarkEnd w:id="533"/>
    <w:p>
      <w:pPr>
        <w:pStyle w:val="BookText"/>
      </w:pPr>
      <w:r>
        <w:rPr>
          <w:rFonts w:ascii="IRNazanin" w:hAnsi="IRNazanin" w:eastAsia="IRNazanin" w:cs="IRNazanin"/>
          <w:lang w:bidi="fa-IR"/>
          <w:color w:val="111111"/>
          <w:sz w:val="28"/>
          <w:szCs w:val="28"/>
          <w:rtl/>
        </w:rPr>
        <w:t xml:space="preserve">لما أن بین أفرادها عادا مشترکا.</w:t>
      </w:r>
    </w:p>
    <w:p>
      <w:pPr>
        <w:pStyle w:val="BookText"/>
      </w:pPr>
      <w:r>
        <w:rPr>
          <w:rFonts w:ascii="IRNazanin" w:hAnsi="IRNazanin" w:eastAsia="IRNazanin" w:cs="IRNazanin"/>
          <w:lang w:bidi="fa-IR"/>
          <w:color w:val="111111"/>
          <w:sz w:val="28"/>
          <w:szCs w:val="28"/>
          <w:rtl/>
        </w:rPr>
        <w:t xml:space="preserve">و الأجسام التعلیمیة التی لا عاد مشترکا بینها کالکرة و المخروط و المکعب و نحوها أنواع متباینة و کذا السطوح التی لا عاد مشترکا بینها کالسطح المستوی و أقسام السطوح المحدبة و المقعرة و کذا الخطوط التی لا عاد مشترکا بینها إن کانت موجودة کالخط المستقیم و أنواع الأقواس و أما الأجسام و السطوح و الخطوط غیر المنتظمة فلیست بأنواع بل مرکبة من أنواع شتی.</w:t>
      </w:r>
    </w:p>
    <w:p>
      <w:pPr>
        <w:pStyle w:val="Heading5"/>
      </w:pPr>
      <w:bookmarkStart w:id="1512" w:name="_Toc952"/>
      <w:r>
        <w:t>الفصل العاشر فی أحکام مختلفة للکم</w:t>
      </w:r>
      <w:bookmarkEnd w:id="15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تقدمت الإشارة إلی أن من خواص الکم المساواة و المفاوتة و منها الانقسام خارجا کما فی العدد أو وهما کما فی غیره و منها وجود عاد منه یعده و هناک أحکام أخر أوردوها.</w:t>
      </w:r>
    </w:p>
    <w:p>
      <w:pPr>
        <w:pStyle w:val="BookText"/>
      </w:pPr>
      <w:r>
        <w:rPr>
          <w:rFonts w:ascii="IRNazanin" w:hAnsi="IRNazanin" w:eastAsia="IRNazanin" w:cs="IRNazanin"/>
          <w:lang w:bidi="fa-IR"/>
          <w:color w:val="111111"/>
          <w:sz w:val="28"/>
          <w:szCs w:val="28"/>
          <w:rtl/>
        </w:rPr>
        <w:t xml:space="preserve">أحدها أن الکم المنفصل و هو العدد یوجد فی المادیات و المجردات جمیعا و أما المتصل غیر القار منه و هو الزمان فلا یوجد إلا فی المادیات و أما المتصل القار و هو الجسم التعلیمی و السطح و الخط فلا یوجد فی المجردات إلا عند من یثبت عالما مقداریا مجردا له آثار المادة دون نفس المادة.</w:t>
      </w:r>
    </w:p>
    <w:p>
      <w:pPr>
        <w:pStyle w:val="BookText"/>
      </w:pPr>
      <w:r>
        <w:rPr>
          <w:rFonts w:ascii="IRNazanin" w:hAnsi="IRNazanin" w:eastAsia="IRNazanin" w:cs="IRNazanin"/>
          <w:lang w:bidi="fa-IR"/>
          <w:color w:val="111111"/>
          <w:sz w:val="28"/>
          <w:szCs w:val="28"/>
          <w:rtl/>
        </w:rPr>
        <w:t xml:space="preserve">الثانی أن العدد لا تضاد فیه لأن من شروط التضاد غایة الخلاف بین المتضادین و لیست بین عددین غایة الخلاف إذ کل مرتبتین مفروضتین من العدد فإن الأکثر منهما یزید بعدا من الأقل بإضافة واحد علیه.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الاحتجاج علیه بأن کل مرتبة من العدد متقوم بما هو دونه و الضد لا یتقوم بالضد ففیه أن المرتبة من العدد لو ترکبت مما دونها من المراتب کانت المراتب التی تحتها فی جواز تقویمها علی السواء کالعشرة مثلا یجوز فرض ترکبها</w:t>
      </w:r>
    </w:p>
    <w:p>
      <w:pPr>
        <w:pStyle w:val="BookText"/>
      </w:pPr>
      <w:r>
        <w:rPr>
          <w:rFonts w:ascii="IRNazanin" w:hAnsi="IRNazanin" w:eastAsia="IRNazanin" w:cs="IRNazanin"/>
          <w:lang w:bidi="fa-IR"/>
          <w:color w:val="111111"/>
          <w:sz w:val="28"/>
          <w:szCs w:val="28"/>
          <w:rtl/>
        </w:rPr>
        <w:t xml:space="preserve">[شماره صفحه واقعی : 111]</w:t>
      </w:r>
    </w:p>
    <w:p>
      <w:pPr>
        <w:pStyle w:val="BookText"/>
      </w:pPr>
      <w:r>
        <w:rPr>
          <w:rFonts w:ascii="IRNazanin" w:hAnsi="IRNazanin" w:eastAsia="IRNazanin" w:cs="IRNazanin"/>
          <w:lang w:bidi="fa-IR"/>
          <w:color w:val="111111"/>
          <w:sz w:val="28"/>
          <w:szCs w:val="28"/>
          <w:rtl/>
        </w:rPr>
        <w:t xml:space="preserve">ص: 1332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تسعة و واحدة و ثمانیة و اثنین و سبعة و ثلاثة و ستة و أربعة و خمسة و خمسة و تعین بعضها للجزئیة ترجح بلا مرجح و هو محال و قول الریاضیین إن العشرة مجموع الثمانیة و الاثنین معناه مساواة مرتبة من العدد لمرتبتین لا کون المرتبة و هی نوع واحد عین المرتبتین و هما نوعان اثنان.</w:t>
      </w:r>
    </w:p>
    <w:p>
      <w:pPr>
        <w:pStyle w:val="BookText"/>
      </w:pPr>
      <w:r>
        <w:rPr>
          <w:rFonts w:ascii="IRNazanin" w:hAnsi="IRNazanin" w:eastAsia="IRNazanin" w:cs="IRNazanin"/>
          <w:lang w:bidi="fa-IR"/>
          <w:color w:val="111111"/>
          <w:sz w:val="28"/>
          <w:szCs w:val="28"/>
          <w:rtl/>
        </w:rPr>
        <w:t xml:space="preserve">و نظیر الکلام یجری فی الکم المتصل مطلقا و کذا لا یضاد الجسم التعلیمی سطحا و لا خطا و لا سطح خطا إذ لا موضوع واحدا هناک یتعاقبان علیه و لا یتصور هناک غایة الخلاف.</w:t>
      </w:r>
    </w:p>
    <w:p>
      <w:pPr>
        <w:pStyle w:val="BookText"/>
      </w:pPr>
      <w:r>
        <w:rPr>
          <w:rFonts w:ascii="IRNazanin" w:hAnsi="IRNazanin" w:eastAsia="IRNazanin" w:cs="IRNazanin"/>
          <w:lang w:bidi="fa-IR"/>
          <w:color w:val="111111"/>
          <w:sz w:val="28"/>
          <w:szCs w:val="28"/>
          <w:rtl/>
        </w:rPr>
        <w:t xml:space="preserve">الثالث أن الکم لا یوجد فیه التشکیک بالشدة و الضعف و هو ضروری أو قریب منه نعم یوجد فیه التشکیک بالزیادة و النقص کأن یکون خط أزید من خط فی الطول إذا قیس إلیه وجودا لا فی أن له ماهیة الخط و کذا السطح یزید و ینقص من سطح آخر من نوعه و کذا الجسم التعلیمی.</w:t>
      </w:r>
    </w:p>
    <w:p>
      <w:pPr>
        <w:pStyle w:val="BookText"/>
      </w:pPr>
      <w:r>
        <w:rPr>
          <w:rFonts w:ascii="IRNazanin" w:hAnsi="IRNazanin" w:eastAsia="IRNazanin" w:cs="IRNazanin"/>
          <w:lang w:bidi="fa-IR"/>
          <w:color w:val="111111"/>
          <w:sz w:val="28"/>
          <w:szCs w:val="28"/>
          <w:rtl/>
        </w:rPr>
        <w:t xml:space="preserve">الرابع قالوا إن الأبعاد متناهیة و استدلوا علیه بوجوه من أوضحها أنا نفرض خطا غیر متناه و کرة خرج من مرکزها خط مواز لذلک الخط غیر المتناهی فإذا تحرکت الکرة تلاقی الخطان بمصادرة أقلیدس فصار الخط الخارج من المرکز مسامتا للخط غیر المتناهی المفروض بعد ما کان موازیا له ففی الخط غیر المتناهی نقطة بالضرورة هی أول نقط المسامتة لکن ذلک محال إذ لا یمکن أن یفرض علی الخط نقطة مسامتة إلا و فوقها نقطة یسامتها الخط قبلها.</w:t>
      </w:r>
    </w:p>
    <w:p>
      <w:pPr>
        <w:pStyle w:val="BookText"/>
      </w:pPr>
      <w:r>
        <w:rPr>
          <w:rFonts w:ascii="IRNazanin" w:hAnsi="IRNazanin" w:eastAsia="IRNazanin" w:cs="IRNazanin"/>
          <w:lang w:bidi="fa-IR"/>
          <w:color w:val="111111"/>
          <w:sz w:val="28"/>
          <w:szCs w:val="28"/>
          <w:rtl/>
        </w:rPr>
        <w:t xml:space="preserve">و قد أقیم علی استحالة وجود بعد غیر متناه براهین أخر کبرهان التطبیق و البرهان السلمی و غیر ذلک.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الخامس أن الخلاء و لازمه قیام البعد بنفسه من دون معروض یقوم به محال و سیأتی الکلام فیه فی بحث الأین.</w:t>
      </w:r>
    </w:p>
    <w:p>
      <w:pPr>
        <w:pStyle w:val="BookText"/>
      </w:pPr>
      <w:r>
        <w:rPr>
          <w:rFonts w:ascii="IRNazanin" w:hAnsi="IRNazanin" w:eastAsia="IRNazanin" w:cs="IRNazanin"/>
          <w:lang w:bidi="fa-IR"/>
          <w:color w:val="111111"/>
          <w:sz w:val="28"/>
          <w:szCs w:val="28"/>
          <w:rtl/>
        </w:rPr>
        <w:t xml:space="preserve">السادس أن العدد لیس بمتناه و معناه أنه لا توجد مرتبة من العدد إلا و یمکن فرض ما یزید علیها و کذا فرض ما یزد علی الزائد و لا تقف السلسلة</w:t>
      </w:r>
    </w:p>
    <w:p>
      <w:pPr>
        <w:pStyle w:val="BookText"/>
      </w:pPr>
      <w:r>
        <w:rPr>
          <w:rFonts w:ascii="IRNazanin" w:hAnsi="IRNazanin" w:eastAsia="IRNazanin" w:cs="IRNazanin"/>
          <w:lang w:bidi="fa-IR"/>
          <w:color w:val="111111"/>
          <w:sz w:val="28"/>
          <w:szCs w:val="28"/>
          <w:rtl/>
        </w:rPr>
        <w:t xml:space="preserve">[شماره صفحه واقعی : 112]</w:t>
      </w:r>
    </w:p>
    <w:p>
      <w:pPr>
        <w:pStyle w:val="BookText"/>
      </w:pPr>
      <w:r>
        <w:rPr>
          <w:rFonts w:ascii="IRNazanin" w:hAnsi="IRNazanin" w:eastAsia="IRNazanin" w:cs="IRNazanin"/>
          <w:lang w:bidi="fa-IR"/>
          <w:color w:val="111111"/>
          <w:sz w:val="28"/>
          <w:szCs w:val="28"/>
          <w:rtl/>
        </w:rPr>
        <w:t xml:space="preserve">ص: 1333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534" w:name="pg14419_168049"/>
    <w:bookmarkEnd w:id="534"/>
    <w:p>
      <w:pPr>
        <w:pStyle w:val="BookText"/>
      </w:pPr>
      <w:r>
        <w:rPr>
          <w:rFonts w:ascii="IRNazanin" w:hAnsi="IRNazanin" w:eastAsia="IRNazanin" w:cs="IRNazanin"/>
          <w:lang w:bidi="fa-IR"/>
          <w:color w:val="111111"/>
          <w:sz w:val="28"/>
          <w:szCs w:val="28"/>
          <w:rtl/>
        </w:rPr>
        <w:t xml:space="preserve">حتی تنقطع بانقطاع الاعتبار و یسمی غیر المتناهی اللایقفی و لا یوجد من السلسلة دائما بالفعل إلا مقدار متناه و ما یزید علیه فهو فی القوة و أما ذهاب السلسلة بالفعل إلی غیر النهایة علی نحو العدول دون السلب التحصیلی فغیر معقول فلا کل و لا مجموع لغیر المتناهی بهذا المعنی و لا تحقق فیه لشی‌ء من النسب الکسریة کالنصف و الثلث و الربع و إلا عاد متناهیا.</w:t>
      </w:r>
    </w:p>
    <w:p>
      <w:pPr>
        <w:pStyle w:val="Heading5"/>
      </w:pPr>
      <w:bookmarkStart w:id="1513" w:name="_Toc953"/>
      <w:r>
        <w:t>الفصل الحادی عشر فی الکیف و انقسامه الأولی</w:t>
      </w:r>
      <w:bookmarkEnd w:id="1513"/>
    </w:p>
    <w:p>
      <w:pPr>
        <w:pStyle w:val="BookText"/>
      </w:pPr>
      <w:r>
        <w:rPr>
          <w:rFonts w:ascii="IRNazanin" w:hAnsi="IRNazanin" w:eastAsia="IRNazanin" w:cs="IRNazanin"/>
          <w:lang w:bidi="fa-IR"/>
          <w:color w:val="111111"/>
          <w:sz w:val="28"/>
          <w:szCs w:val="28"/>
          <w:rtl/>
        </w:rPr>
        <w:t xml:space="preserve">عرفوه بأنه عرض لا یقبل القسمة و لا النسبة لذاته فیخرج بالعرض الواجب لذاته و الجوهر و بقید عدم قبول القسمة الکم و بقید عدم قبول النسبة المقولات السبع النسبیة و یدخل بقید لذاته ما یعرضه قسمة أو نسبة بالعرض.</w:t>
      </w:r>
    </w:p>
    <w:p>
      <w:pPr>
        <w:pStyle w:val="BookText"/>
      </w:pPr>
      <w:r>
        <w:rPr>
          <w:rFonts w:ascii="IRNazanin" w:hAnsi="IRNazanin" w:eastAsia="IRNazanin" w:cs="IRNazanin"/>
          <w:lang w:bidi="fa-IR"/>
          <w:color w:val="111111"/>
          <w:sz w:val="28"/>
          <w:szCs w:val="28"/>
          <w:rtl/>
        </w:rPr>
        <w:t xml:space="preserve">قال صدر المتألهین : «المقولات لما کانت أجناسا عالیة لیس فوقها جنس لم یمکن أن یورد لها حد و لذلک کان ما یورد لها من التعریفات رسوما ناقصة یکتفی فیها بذکر الخواص لإفادة التمییز و لم یظفر فی الکیف بخاصة لازمة شاملة إلا المرکب من العرضیة و المغایرة للکم و الأعراض النسبیة فعرف بما محصله أنه عرض یغایر الکم و الأعراض النسبیة لکن هذا التعریف تعریف للشی‌ء بما یساویه فی المعرفة و الجهالة لأن الأجناس العالیة لیس بعضها أجلی من البعض و لو جاز ذلک لجاز مثله فی سائر المقولات بل ذلک أولی لأن الأمور النسبیة لا تعرف إلا بعد معروضاتها التی هی الکیفیات فعدلوا عن ذکر کل من الکم و الأعراض النسبیة إلی ذکر الخاصة التی هی أجلی.» انتهی ملخصا. (الأسفار ج 4 ص 58).</w:t>
      </w:r>
    </w:p>
    <w:p>
      <w:pPr>
        <w:pStyle w:val="BookText"/>
      </w:pPr>
      <w:r>
        <w:rPr>
          <w:rFonts w:ascii="IRNazanin" w:hAnsi="IRNazanin" w:eastAsia="IRNazanin" w:cs="IRNazanin"/>
          <w:lang w:bidi="fa-IR"/>
          <w:color w:val="111111"/>
          <w:sz w:val="28"/>
          <w:szCs w:val="28"/>
          <w:rtl/>
        </w:rPr>
        <w:t xml:space="preserve">[شماره صفحه واقعی : 113]</w:t>
      </w:r>
    </w:p>
    <w:p>
      <w:pPr>
        <w:pStyle w:val="BookText"/>
      </w:pPr>
      <w:r>
        <w:rPr>
          <w:rFonts w:ascii="IRNazanin" w:hAnsi="IRNazanin" w:eastAsia="IRNazanin" w:cs="IRNazanin"/>
          <w:lang w:bidi="fa-IR"/>
          <w:color w:val="111111"/>
          <w:sz w:val="28"/>
          <w:szCs w:val="28"/>
          <w:rtl/>
        </w:rPr>
        <w:t xml:space="preserve">ص: 1334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535" w:name="pg14419_168050"/>
    <w:bookmarkEnd w:id="535"/>
    <w:p>
      <w:pPr>
        <w:pStyle w:val="BookText"/>
      </w:pPr>
      <w:r>
        <w:rPr>
          <w:rFonts w:ascii="IRNazanin" w:hAnsi="IRNazanin" w:eastAsia="IRNazanin" w:cs="IRNazanin"/>
          <w:lang w:bidi="fa-IR"/>
          <w:color w:val="111111"/>
          <w:sz w:val="28"/>
          <w:szCs w:val="28"/>
          <w:rtl/>
        </w:rPr>
        <w:t xml:space="preserve">و ینقسم الکیف انقساما أولیا إلی أربعة أقسام کلیة هی الکیفیات المحسوسة و النفسانیة و المختصة بالکمیات و الاستعدادیة و تعویلهم فی حصرها فی الأربعة علی الاستقراء.</w:t>
      </w:r>
    </w:p>
    <w:p>
      <w:pPr>
        <w:pStyle w:val="Heading5"/>
      </w:pPr>
      <w:bookmarkStart w:id="1514" w:name="_Toc954"/>
      <w:r>
        <w:t>الفصل الثانی عشر فی الکیفیات المحسوسة</w:t>
      </w:r>
      <w:bookmarkEnd w:id="15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 خاصتها أن فعلها بطریق التشبیه أی جعل الغیر شبیها بنفسها کما تجعل الحرارة مجاورها حارا و کما یلقی السواد مثلا شبحه أی مثاله علی العین و الکیفیات المحسوسة تنقسم إلی المبصرات و المسموعات و المذوقات و المشمومات و الملموسات.</w:t>
      </w:r>
    </w:p>
    <w:p>
      <w:pPr>
        <w:pStyle w:val="BookText"/>
      </w:pPr>
      <w:r>
        <w:rPr>
          <w:rFonts w:ascii="IRNazanin" w:hAnsi="IRNazanin" w:eastAsia="IRNazanin" w:cs="IRNazanin"/>
          <w:lang w:bidi="fa-IR"/>
          <w:color w:val="111111"/>
          <w:sz w:val="28"/>
          <w:szCs w:val="28"/>
          <w:rtl/>
        </w:rPr>
        <w:t xml:space="preserve">و المبصرات منها الألوان فالمشهور أنها کیفیات عینیة موجودة فی خارج الحس و أن البسیط منها البیاض و السواد و باقی الألوان حاصلة من ترکبهما أقساما من الترکیب و قیل الألوان البسیطة التی هی الأصول خمسة السواد و البیاض و الحمرة و الصفرة و الخضرة و باقی الألوان مرکب منها.</w:t>
      </w:r>
    </w:p>
    <w:p>
      <w:pPr>
        <w:pStyle w:val="BookText"/>
      </w:pPr>
      <w:r>
        <w:rPr>
          <w:rFonts w:ascii="IRNazanin" w:hAnsi="IRNazanin" w:eastAsia="IRNazanin" w:cs="IRNazanin"/>
          <w:lang w:bidi="fa-IR"/>
          <w:color w:val="111111"/>
          <w:sz w:val="28"/>
          <w:szCs w:val="28"/>
          <w:rtl/>
        </w:rPr>
        <w:t xml:space="preserve">و قیل اللون کیفیة خیالیة لا وجود لها وراء الحس کالهالة و قوس قزح و غیرهما و هی حاصلة من أنواع اختلاط الهواء بالأجسام المشفة أو انعکاس منها.</w:t>
      </w:r>
    </w:p>
    <w:p>
      <w:pPr>
        <w:pStyle w:val="BookText"/>
      </w:pPr>
      <w:r>
        <w:rPr>
          <w:rFonts w:ascii="IRNazanin" w:hAnsi="IRNazanin" w:eastAsia="IRNazanin" w:cs="IRNazanin"/>
          <w:lang w:bidi="fa-IR"/>
          <w:color w:val="111111"/>
          <w:sz w:val="28"/>
          <w:szCs w:val="28"/>
          <w:rtl/>
        </w:rPr>
        <w:t xml:space="preserve">و من المبصرات النور و هو غنی عن التعریف و ربما یعرف بأنه الظاهر بذاته المظهر لغیره و ینبغی أن یراد به إظهاره الأجسام للبصر و لو أطلق الإظهار کان ذلک خاصة للوجود.</w:t>
      </w:r>
    </w:p>
    <w:p>
      <w:pPr>
        <w:pStyle w:val="BookText"/>
      </w:pPr>
      <w:r>
        <w:rPr>
          <w:rFonts w:ascii="IRNazanin" w:hAnsi="IRNazanin" w:eastAsia="IRNazanin" w:cs="IRNazanin"/>
          <w:lang w:bidi="fa-IR"/>
          <w:color w:val="111111"/>
          <w:sz w:val="28"/>
          <w:szCs w:val="28"/>
          <w:rtl/>
        </w:rPr>
        <w:t xml:space="preserve">و کیف کان فالمعروف من مذهبهم أنه کیفیة مبصرة توجد فی الأجسام</w:t>
      </w:r>
    </w:p>
    <w:p>
      <w:pPr>
        <w:pStyle w:val="BookText"/>
      </w:pPr>
      <w:r>
        <w:rPr>
          <w:rFonts w:ascii="IRNazanin" w:hAnsi="IRNazanin" w:eastAsia="IRNazanin" w:cs="IRNazanin"/>
          <w:lang w:bidi="fa-IR"/>
          <w:color w:val="111111"/>
          <w:sz w:val="28"/>
          <w:szCs w:val="28"/>
          <w:rtl/>
        </w:rPr>
        <w:t xml:space="preserve">[شماره صفحه واقعی : 114]</w:t>
      </w:r>
    </w:p>
    <w:p>
      <w:pPr>
        <w:pStyle w:val="BookText"/>
      </w:pPr>
      <w:r>
        <w:rPr>
          <w:rFonts w:ascii="IRNazanin" w:hAnsi="IRNazanin" w:eastAsia="IRNazanin" w:cs="IRNazanin"/>
          <w:lang w:bidi="fa-IR"/>
          <w:color w:val="111111"/>
          <w:sz w:val="28"/>
          <w:szCs w:val="28"/>
          <w:rtl/>
        </w:rPr>
        <w:t xml:space="preserve">ص: 1335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النیرة بذاتها أو فی الجسم الذی یقابل نیرا من غیر أن ینتقل من النیر إلی المستنیر و یقابله الظلمة مقابلة العدم للملکة و قیل إن النور جوهر جسمانی و قیل إنه ظهور اللون.</w:t>
      </w:r>
    </w:p>
    <w:p>
      <w:pPr>
        <w:pStyle w:val="BookText"/>
      </w:pPr>
      <w:r>
        <w:rPr>
          <w:rFonts w:ascii="IRNazanin" w:hAnsi="IRNazanin" w:eastAsia="IRNazanin" w:cs="IRNazanin"/>
          <w:lang w:bidi="fa-IR"/>
          <w:color w:val="111111"/>
          <w:sz w:val="28"/>
          <w:szCs w:val="28"/>
          <w:rtl/>
        </w:rPr>
        <w:t xml:space="preserve">و المسموعات هی الأصوات و الصوت کیفیة حاصلة من قرع عنیف أو قلع عنیف مستتبع لتموج الهواء الحامل للأصوات فإذا بلغ التموج الهواء المجاور لصماخ الأذن أحس الصوت و لیس الصوت هو التموج و لا نفس القلع و القرع و لیس الصوت المحسوس خیالا فی الحس معدوما فی خارج الحس.</w:t>
      </w:r>
    </w:p>
    <w:p>
      <w:pPr>
        <w:pStyle w:val="BookText"/>
      </w:pPr>
      <w:r>
        <w:rPr>
          <w:rFonts w:ascii="IRNazanin" w:hAnsi="IRNazanin" w:eastAsia="IRNazanin" w:cs="IRNazanin"/>
          <w:lang w:bidi="fa-IR"/>
          <w:color w:val="111111"/>
          <w:sz w:val="28"/>
          <w:szCs w:val="28"/>
          <w:rtl/>
        </w:rPr>
        <w:t xml:space="preserve">و المذوقات هی الطعوم المدرکة بالذائقة و قد عدوا بسائطها تسعة و هی الحرافة و الملاحة و المرارة و الدسومة و الحلاوة و التفه و العفوصة و القبض و الحموضة و ما عدا هذه الطعوم طعوم مرکبة منها.</w:t>
      </w:r>
    </w:p>
    <w:p>
      <w:pPr>
        <w:pStyle w:val="BookText"/>
      </w:pPr>
      <w:r>
        <w:rPr>
          <w:rFonts w:ascii="IRNazanin" w:hAnsi="IRNazanin" w:eastAsia="IRNazanin" w:cs="IRNazanin"/>
          <w:lang w:bidi="fa-IR"/>
          <w:color w:val="111111"/>
          <w:sz w:val="28"/>
          <w:szCs w:val="28"/>
          <w:rtl/>
        </w:rPr>
        <w:t xml:space="preserve">و المشمومات أنواع الروائح المحسوسة بالشامة و لیس لأنواع الروائح التی ندرکها أسماء عندنا نعرفها بها إلا من جهة إضافتنا لها إلی موضوعاتها کما نقول رائحة المسک و رائحة الورد أو من جهة موافقتها للطبع و مخالفتها له کما نقول رائحة طیبة و رائحة منتنة أو من جهة نسبتها إلی الطعم کما نقول رائحة حلوة و رائحة حامضة و هذا کله دلیل ضعف الإنسان فی شامته کما ذکره الشیخ.</w:t>
      </w:r>
    </w:p>
    <w:p>
      <w:pPr>
        <w:pStyle w:val="BookText"/>
      </w:pPr>
      <w:r>
        <w:rPr>
          <w:rFonts w:ascii="IRNazanin" w:hAnsi="IRNazanin" w:eastAsia="IRNazanin" w:cs="IRNazanin"/>
          <w:lang w:bidi="fa-IR"/>
          <w:color w:val="111111"/>
          <w:sz w:val="28"/>
          <w:szCs w:val="28"/>
          <w:rtl/>
        </w:rPr>
        <w:t xml:space="preserve">و الملموسات أنواع الکیفیات المحسوسة بحس اللمس و قد عدوا بسائطها اثنی عشر نوعا هی الحرارة و البرودة و الرطوبة و الیبوسة و اللطافة و الکثافة و اللزوجة و الهشاشة و الجفاف و البلة و الثقل و الخفة و قد ألحق بها بعضهم الخشونة و الملاسة و الصلابة و اللین و المعروف أنها مرکبة.</w:t>
      </w:r>
    </w:p>
    <w:p>
      <w:pPr>
        <w:pStyle w:val="BookText"/>
      </w:pPr>
      <w:r>
        <w:rPr>
          <w:rFonts w:ascii="IRNazanin" w:hAnsi="IRNazanin" w:eastAsia="IRNazanin" w:cs="IRNazanin"/>
          <w:lang w:bidi="fa-IR"/>
          <w:color w:val="111111"/>
          <w:sz w:val="28"/>
          <w:szCs w:val="28"/>
          <w:rtl/>
        </w:rPr>
        <w:t xml:space="preserve">[شماره صفحه واقعی : 115]</w:t>
      </w:r>
    </w:p>
    <w:p>
      <w:pPr>
        <w:pStyle w:val="BookText"/>
      </w:pPr>
      <w:r>
        <w:rPr>
          <w:rFonts w:ascii="IRNazanin" w:hAnsi="IRNazanin" w:eastAsia="IRNazanin" w:cs="IRNazanin"/>
          <w:lang w:bidi="fa-IR"/>
          <w:color w:val="111111"/>
          <w:sz w:val="28"/>
          <w:szCs w:val="28"/>
          <w:rtl/>
        </w:rPr>
        <w:t xml:space="preserve">ص: 1336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536" w:name="pg14419_168052"/>
    <w:bookmarkEnd w:id="536"/>
    <w:p>
      <w:pPr>
        <w:pStyle w:val="Heading5"/>
      </w:pPr>
      <w:bookmarkStart w:id="1515" w:name="_Toc955"/>
      <w:r>
        <w:t>الفصل الثالث عشر فی الکیفیات المختصة بالکمیات</w:t>
      </w:r>
      <w:bookmarkEnd w:id="15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هی الکیفیات العارضة للجسم بواسطة کمیته فیتصف بها الکم أولا ثم الجسم لکمیته کالاستدارة فی الخط و الزوجیة فی العدد.</w:t>
      </w:r>
    </w:p>
    <w:p>
      <w:pPr>
        <w:pStyle w:val="BookText"/>
      </w:pPr>
      <w:r>
        <w:rPr>
          <w:rFonts w:ascii="IRNazanin" w:hAnsi="IRNazanin" w:eastAsia="IRNazanin" w:cs="IRNazanin"/>
          <w:lang w:bidi="fa-IR"/>
          <w:color w:val="111111"/>
          <w:sz w:val="28"/>
          <w:szCs w:val="28"/>
          <w:rtl/>
        </w:rPr>
        <w:t xml:space="preserve">و هی ثلاثة أقسام بالاستقراء الأول الشکل و الزاویة الثانی ما لیس بشکل و زاویة مثل الاستدارة و الاستقامة من الکیفیات العارضة للخط و السطح و الجسم التعلیمی الثالث الکیفیات العارضة للعدد مثل الزوجیة و الفردیة و التربیع و التجذیر و غیر ذلک.</w:t>
      </w:r>
    </w:p>
    <w:p>
      <w:pPr>
        <w:pStyle w:val="BookText"/>
      </w:pPr>
      <w:r>
        <w:rPr>
          <w:rFonts w:ascii="IRNazanin" w:hAnsi="IRNazanin" w:eastAsia="IRNazanin" w:cs="IRNazanin"/>
          <w:lang w:bidi="fa-IR"/>
          <w:color w:val="111111"/>
          <w:sz w:val="28"/>
          <w:szCs w:val="28"/>
          <w:rtl/>
        </w:rPr>
        <w:t xml:space="preserve">و ألحق بعضهم بالثلاثة الخلقة و مرادهم بها مجموع اللون و الشکل و یدفعه أنها لیس لها وحدة حقیقیة ذات ماهیة حقیقیة بل هی من المرکبات الاعتباریة و لو کانت ذات ماهیة کان من الواجب أن یندرج تحت الکیفیات المبصرة و الکیفیات المختصة بالکمیات و هما جنسان متباینان و ذلک محال.</w:t>
      </w:r>
    </w:p>
    <w:p>
      <w:pPr>
        <w:pStyle w:val="BookText"/>
      </w:pPr>
      <w:r>
        <w:rPr>
          <w:rFonts w:ascii="IRNazanin" w:hAnsi="IRNazanin" w:eastAsia="IRNazanin" w:cs="IRNazanin"/>
          <w:lang w:bidi="fa-IR"/>
          <w:color w:val="111111"/>
          <w:sz w:val="28"/>
          <w:szCs w:val="28"/>
          <w:rtl/>
        </w:rPr>
        <w:t xml:space="preserve">أما القسم الأول فالشکل هیئة حاصلة للکم من إحاطة حد أو حدود به إحاطة تامة کشکل الدائرة التی تحیط بها خط واحد و شکل المثلث و المربع و کثیر الأضلاع التی یحیط بها حدود و الکرة التی یحیط بها سطح واحد و المخروط و الأسطوانة و المکعب التی تحیط بها سطوح فوق الواحد.</w:t>
      </w:r>
    </w:p>
    <w:p>
      <w:pPr>
        <w:pStyle w:val="BookText"/>
      </w:pPr>
      <w:r>
        <w:rPr>
          <w:rFonts w:ascii="IRNazanin" w:hAnsi="IRNazanin" w:eastAsia="IRNazanin" w:cs="IRNazanin"/>
          <w:lang w:bidi="fa-IR"/>
          <w:color w:val="111111"/>
          <w:sz w:val="28"/>
          <w:szCs w:val="28"/>
          <w:rtl/>
        </w:rPr>
        <w:t xml:space="preserve">و الشکل من الکیفیات لصدق حد الکیف علیه و لیس هو السطح أو الجسم و لا الحدود المحیطة به و لا المجموع بل الهیئة الحاصلة من سطح أو جسم أحاط به حدود خاصة.</w:t>
      </w:r>
    </w:p>
    <w:p>
      <w:pPr>
        <w:pStyle w:val="BookText"/>
      </w:pPr>
      <w:r>
        <w:rPr>
          <w:rFonts w:ascii="IRNazanin" w:hAnsi="IRNazanin" w:eastAsia="IRNazanin" w:cs="IRNazanin"/>
          <w:lang w:bidi="fa-IR"/>
          <w:color w:val="111111"/>
          <w:sz w:val="28"/>
          <w:szCs w:val="28"/>
          <w:rtl/>
        </w:rPr>
        <w:t xml:space="preserve">و الزاویة هی الهیئة الحاصلة من إحاطة حدین أو حدود متلاقیة فی حد</w:t>
      </w:r>
    </w:p>
    <w:p>
      <w:pPr>
        <w:pStyle w:val="BookText"/>
      </w:pPr>
      <w:r>
        <w:rPr>
          <w:rFonts w:ascii="IRNazanin" w:hAnsi="IRNazanin" w:eastAsia="IRNazanin" w:cs="IRNazanin"/>
          <w:lang w:bidi="fa-IR"/>
          <w:color w:val="111111"/>
          <w:sz w:val="28"/>
          <w:szCs w:val="28"/>
          <w:rtl/>
        </w:rPr>
        <w:t xml:space="preserve">[شماره صفحه واقعی : 116]</w:t>
      </w:r>
    </w:p>
    <w:p>
      <w:pPr>
        <w:pStyle w:val="BookText"/>
      </w:pPr>
      <w:r>
        <w:rPr>
          <w:rFonts w:ascii="IRNazanin" w:hAnsi="IRNazanin" w:eastAsia="IRNazanin" w:cs="IRNazanin"/>
          <w:lang w:bidi="fa-IR"/>
          <w:color w:val="111111"/>
          <w:sz w:val="28"/>
          <w:szCs w:val="28"/>
          <w:rtl/>
        </w:rPr>
        <w:t xml:space="preserve">ص: 1337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إحاطة غیر تامة کالزاویة المسطحة الحاصلة من إحاطة خطین متلاقیین فی نقطة و الزاویة المجسمة الحاصلة من إحاطة سطح المخروط المنتهی إلی نقطة الرأس و زاویة المکعب المحیط بها سطوح ثلاثة و الکلام فی کون الزاویة کیفا لا کما نظیر ما مر من الکلام فی کون الشکل من مقولة الکیف.</w:t>
      </w:r>
    </w:p>
    <w:p>
      <w:pPr>
        <w:pStyle w:val="BookText"/>
      </w:pPr>
      <w:r>
        <w:rPr>
          <w:rFonts w:ascii="IRNazanin" w:hAnsi="IRNazanin" w:eastAsia="IRNazanin" w:cs="IRNazanin"/>
          <w:lang w:bidi="fa-IR"/>
          <w:color w:val="111111"/>
          <w:sz w:val="28"/>
          <w:szCs w:val="28"/>
          <w:rtl/>
        </w:rPr>
        <w:t xml:space="preserve">و جوز الشیخ کون الهیئة الحاصلة من إحاطة السطحین من المکعب مثلا المتلاقیین فی خط زاویة لانطباق خواص الزاویة علیها.</w:t>
      </w:r>
    </w:p>
    <w:p>
      <w:pPr>
        <w:pStyle w:val="BookText"/>
      </w:pPr>
      <w:r>
        <w:rPr>
          <w:rFonts w:ascii="IRNazanin" w:hAnsi="IRNazanin" w:eastAsia="IRNazanin" w:cs="IRNazanin"/>
          <w:lang w:bidi="fa-IR"/>
          <w:color w:val="111111"/>
          <w:sz w:val="28"/>
          <w:szCs w:val="28"/>
          <w:rtl/>
        </w:rPr>
        <w:t xml:space="preserve">و أما القسم الثانی فالاستقامة فی الخط و تقابلها الاستدارة من مقولة الکیف دون الکم و بینهما تخالف نوعی أما أنهما من مقولة الکیف فلأنا نعقل مفهومی الاستقامة و الاستدارة و هما مفهومان ضروریان و لا نجد فیهما معنی قبول الانقسام و إن کانا لا یفارقان ذلک وجودا لعروضهما للکم و لو کان قبول الانقسام جزءا من حدیهما أو من أعرف خواصهما لم یخل عنه تعقلهما.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أما کونهما نوعین متخالفین متباینین فلأنهما لو کانا نوعا واحدا کان ما یوجد فیهما من التخالف عرضیا غیر جزء للذات و لا لازما له فکان من الجائز عند العقل أن یزول وصف الاستقامة عن الخط المستقیم و یبقی أصل الخط ثم یوصف بالاستدارة لکن ذلک محال لأن الخط نهایة السطح کما أن السطح نهایة الجسم و لا یمکن أن یتغیر حال النهایة إلا بعد تغیر حال ذی النهایة فلو لم یتغیر حال السطح فی انبساطه و تمدده لم یتغیر حال الخط فی استقامته و لو لم یتغیر حال الجسم فی انبساطه و تمدده لم یتغیر حال السطح فی ذلک و الجسم التعلیمی یبطل بذلک و یوجد غیره و کذا السطح الذی هو نهایته و کذا الخط الذی هو نهایته فإذا بطل المعروض و وجد معروض آخر بالعدد کان العارض أیضا کذلک.</w:t>
      </w:r>
    </w:p>
    <w:p>
      <w:pPr>
        <w:pStyle w:val="BookText"/>
      </w:pPr>
      <w:r>
        <w:rPr>
          <w:rFonts w:ascii="IRNazanin" w:hAnsi="IRNazanin" w:eastAsia="IRNazanin" w:cs="IRNazanin"/>
          <w:lang w:bidi="fa-IR"/>
          <w:color w:val="111111"/>
          <w:sz w:val="28"/>
          <w:szCs w:val="28"/>
          <w:rtl/>
        </w:rPr>
        <w:t xml:space="preserve">فإذا امتنع بقاء المستقیم من الخط مع زوال استقامته علم منه أن الاستقامة إما فصله أو لازم فصله فالمستقیم یغایر المستدیر فی نوعیته و کذا</w:t>
      </w:r>
    </w:p>
    <w:p>
      <w:pPr>
        <w:pStyle w:val="BookText"/>
      </w:pPr>
      <w:r>
        <w:rPr>
          <w:rFonts w:ascii="IRNazanin" w:hAnsi="IRNazanin" w:eastAsia="IRNazanin" w:cs="IRNazanin"/>
          <w:lang w:bidi="fa-IR"/>
          <w:color w:val="111111"/>
          <w:sz w:val="28"/>
          <w:szCs w:val="28"/>
          <w:rtl/>
        </w:rPr>
        <w:t xml:space="preserve">[شماره صفحه واقعی : 117]</w:t>
      </w:r>
    </w:p>
    <w:p>
      <w:pPr>
        <w:pStyle w:val="BookText"/>
      </w:pPr>
      <w:r>
        <w:rPr>
          <w:rFonts w:ascii="IRNazanin" w:hAnsi="IRNazanin" w:eastAsia="IRNazanin" w:cs="IRNazanin"/>
          <w:lang w:bidi="fa-IR"/>
          <w:color w:val="111111"/>
          <w:sz w:val="28"/>
          <w:szCs w:val="28"/>
          <w:rtl/>
        </w:rPr>
        <w:t xml:space="preserve">ص: 1338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السطح المستوی و غیره و أیضا غیره لما یخالفه و کذا الأجسام التعلیمیة لما یخالفها.</w:t>
      </w:r>
    </w:p>
    <w:p>
      <w:pPr>
        <w:pStyle w:val="BookText"/>
      </w:pPr>
      <w:r>
        <w:rPr>
          <w:rFonts w:ascii="IRNazanin" w:hAnsi="IRNazanin" w:eastAsia="IRNazanin" w:cs="IRNazanin"/>
          <w:lang w:bidi="fa-IR"/>
          <w:color w:val="111111"/>
          <w:sz w:val="28"/>
          <w:szCs w:val="28"/>
          <w:rtl/>
        </w:rPr>
        <w:t xml:space="preserve">و یتفرع علی ما تقدم أولا أن لا تضاد بین المستقیم و المستدیر لعدم التعاقب علی موضوع واحد و لعدم غایة الخلاف و کذا ما بین الخط و السطح و کذا ما بین السطح و الجسم التعلیمی و کذا ما بین السطوح أنفسها و بین الأجسام التعلیمیة أنفسها.</w:t>
      </w:r>
    </w:p>
    <w:p>
      <w:pPr>
        <w:pStyle w:val="BookText"/>
      </w:pPr>
      <w:r>
        <w:rPr>
          <w:rFonts w:ascii="IRNazanin" w:hAnsi="IRNazanin" w:eastAsia="IRNazanin" w:cs="IRNazanin"/>
          <w:lang w:bidi="fa-IR"/>
          <w:color w:val="111111"/>
          <w:sz w:val="28"/>
          <w:szCs w:val="28"/>
          <w:rtl/>
        </w:rPr>
        <w:t xml:space="preserve">و ثانیا أن لا اشتداد و تضعف بین المستقیم و المستدیر إذ من الواجب فی التشکیک أن یشمل الشدید علی الضعیف و زیادة و قد تبین أن المستقیم لا یتضمن المستدیر و بالعکس.</w:t>
      </w:r>
    </w:p>
    <w:p>
      <w:pPr>
        <w:pStyle w:val="BookText"/>
      </w:pPr>
      <w:r>
        <w:rPr>
          <w:rFonts w:ascii="IRNazanin" w:hAnsi="IRNazanin" w:eastAsia="IRNazanin" w:cs="IRNazanin"/>
          <w:lang w:bidi="fa-IR"/>
          <w:color w:val="111111"/>
          <w:sz w:val="28"/>
          <w:szCs w:val="28"/>
          <w:rtl/>
        </w:rPr>
        <w:t xml:space="preserve">و أما القسم الثالث فالزوجیة و الفردیة العارضتان للعدد و کذا التربیع و التجذیر و التکعیب و ما یناظرها و هی من الکیفیات دون الکم لصدق حد الکیف علیها و هو ظاهر بالنظر إلی أن کل مرتبة من مراتب العدد نوع منه مستقل فی نوعیته مباین لغیره یشارک سائر المراتب فی الانقسام و کون الانقسام بمتساویین و عدم کونه کذلک نعت للانقسام غیر قابل فی نفسه للانقسام و غیر نسبی فی نفسه فلیس بکم و لا بواحد من الأعراض النسبیة فلیس شی‌ء من الزوجیة و الفردیة إلا کیفا عارضا للکم.</w:t>
      </w:r>
    </w:p>
    <w:p>
      <w:pPr>
        <w:pStyle w:val="BookText"/>
      </w:pPr>
      <w:r>
        <w:rPr>
          <w:rFonts w:ascii="IRNazanin" w:hAnsi="IRNazanin" w:eastAsia="IRNazanin" w:cs="IRNazanin"/>
          <w:lang w:bidi="fa-IR"/>
          <w:color w:val="111111"/>
          <w:sz w:val="28"/>
          <w:szCs w:val="28"/>
          <w:rtl/>
        </w:rPr>
        <w:t xml:space="preserve">و نظیر البیان یجری فی سائر أحوال الأعداد من التربیع و التجذیر و غیر ذلک.</w:t>
      </w:r>
    </w:p>
    <w:p>
      <w:pPr>
        <w:pStyle w:val="BookText"/>
      </w:pPr>
      <w:r>
        <w:rPr>
          <w:rFonts w:ascii="IRNazanin" w:hAnsi="IRNazanin" w:eastAsia="IRNazanin" w:cs="IRNazanin"/>
          <w:lang w:bidi="fa-IR"/>
          <w:color w:val="111111"/>
          <w:sz w:val="28"/>
          <w:szCs w:val="28"/>
          <w:rtl/>
        </w:rPr>
        <w:t xml:space="preserve">و بالتأمّل فیما تقدم یظهر أولا أن لا تضاد بین هذه الأحوال العددیة إذ لا موضوع مشترکا بین الزوجیة و الفردیة یتعاقبان علیه علی ما هو شرط التضاد.</w:t>
      </w:r>
    </w:p>
    <w:p>
      <w:pPr>
        <w:pStyle w:val="BookText"/>
      </w:pPr>
      <w:r>
        <w:rPr>
          <w:rFonts w:ascii="IRNazanin" w:hAnsi="IRNazanin" w:eastAsia="IRNazanin" w:cs="IRNazanin"/>
          <w:lang w:bidi="fa-IR"/>
          <w:color w:val="111111"/>
          <w:sz w:val="28"/>
          <w:szCs w:val="28"/>
          <w:rtl/>
        </w:rPr>
        <w:t xml:space="preserve">و ثانیا أن لا تشکیک بالشدة و الضعف و لا بالزیادة و النقیصة فی هذه الأحوال العددیة فکما لا یتبدل تقوس و استدارة إلی تقوس و استدارة أخری إلا مع بطلان موضوعه و وجود موضوع آخر غیره بالعدد کذلک لا تتبدل</w:t>
      </w:r>
    </w:p>
    <w:p>
      <w:pPr>
        <w:pStyle w:val="BookText"/>
      </w:pPr>
      <w:r>
        <w:rPr>
          <w:rFonts w:ascii="IRNazanin" w:hAnsi="IRNazanin" w:eastAsia="IRNazanin" w:cs="IRNazanin"/>
          <w:lang w:bidi="fa-IR"/>
          <w:color w:val="111111"/>
          <w:sz w:val="28"/>
          <w:szCs w:val="28"/>
          <w:rtl/>
        </w:rPr>
        <w:t xml:space="preserve">[شماره صفحه واقعی : 118]</w:t>
      </w:r>
    </w:p>
    <w:p>
      <w:pPr>
        <w:pStyle w:val="BookText"/>
      </w:pPr>
      <w:r>
        <w:rPr>
          <w:rFonts w:ascii="IRNazanin" w:hAnsi="IRNazanin" w:eastAsia="IRNazanin" w:cs="IRNazanin"/>
          <w:lang w:bidi="fa-IR"/>
          <w:color w:val="111111"/>
          <w:sz w:val="28"/>
          <w:szCs w:val="28"/>
          <w:rtl/>
        </w:rPr>
        <w:t xml:space="preserve">ص: 1339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537" w:name="pg14419_168055"/>
    <w:bookmarkEnd w:id="537"/>
    <w:p>
      <w:pPr>
        <w:pStyle w:val="BookText"/>
      </w:pPr>
      <w:r>
        <w:rPr>
          <w:rFonts w:ascii="IRNazanin" w:hAnsi="IRNazanin" w:eastAsia="IRNazanin" w:cs="IRNazanin"/>
          <w:lang w:bidi="fa-IR"/>
          <w:color w:val="111111"/>
          <w:sz w:val="28"/>
          <w:szCs w:val="28"/>
          <w:rtl/>
        </w:rPr>
        <w:t xml:space="preserve">زوجیة مثلا إلی زوجیة زوج الزوج إلا مع بطلان موضوعه الذی هو المعدود و وجود موضوع آخر غیره بالعدد و فی ذلک بطلان الزوجیة التی هی عرض و وجود زوجیة أخری بالعدد و لیس ذلک من التشکیک فی شی‌ء.</w:t>
      </w:r>
    </w:p>
    <w:p>
      <w:pPr>
        <w:pStyle w:val="BookText"/>
      </w:pPr>
      <w:r>
        <w:rPr>
          <w:rFonts w:ascii="IRNazanin" w:hAnsi="IRNazanin" w:eastAsia="IRNazanin" w:cs="IRNazanin"/>
          <w:lang w:bidi="fa-IR"/>
          <w:color w:val="111111"/>
          <w:sz w:val="28"/>
          <w:szCs w:val="28"/>
          <w:rtl/>
        </w:rPr>
        <w:t xml:space="preserve">و ثالثا یعلم بالتذکر لما تقدم أن الکیفیات المختصة بالکمیات توجد فی المادیات و المجردات المثالیة جمیعا بناء علی تجرد المثال.</w:t>
      </w:r>
    </w:p>
    <w:p>
      <w:pPr>
        <w:pStyle w:val="Heading5"/>
      </w:pPr>
      <w:bookmarkStart w:id="1516" w:name="_Toc956"/>
      <w:r>
        <w:t>الفصل الرابع عشر فی الکیفیات الاستعدادیة و تسمی أیضا القوة و اللاقوة</w:t>
      </w:r>
      <w:bookmarkEnd w:id="15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المعنی الجامع بینها الذی هو بمنزلة النوع من مطلق الکیف و بمنزلة الجنس لأنواعها الخاصة بها أنها استعداد شدید جسمانی نحو أمر خارج بمعنی أنه الذی یترجح به حدوث أمر من خارج و لها نوعان أحدهما الاستعداد الشدید علی أن ینفعل کالممراضیة و اللین و الثانی الاستعداد الشدید علی أن لا ینفعل کالمصحاحیة و الصلابة.</w:t>
      </w:r>
    </w:p>
    <w:p>
      <w:pPr>
        <w:pStyle w:val="BookText"/>
      </w:pPr>
      <w:r>
        <w:rPr>
          <w:rFonts w:ascii="IRNazanin" w:hAnsi="IRNazanin" w:eastAsia="IRNazanin" w:cs="IRNazanin"/>
          <w:lang w:bidi="fa-IR"/>
          <w:color w:val="111111"/>
          <w:sz w:val="28"/>
          <w:szCs w:val="28"/>
          <w:rtl/>
        </w:rPr>
        <w:t xml:space="preserve">و ألحق بعضهم بالنوعین نوعا ثالثا و هو الاستعداد الشدید نحو الفعل کالمصارعیة و رده الشیخ و تبعه صدر المتألهین قال فی الأسفار : «إنه لا خلاف فی أن القوة علی الانفعال و القوة علی المقاومة داخلتان تحت هذا النوع و أما القوة علی الفعل هل هی داخلة تحت هذا النوع فالمشهور أنها منه و الشیخ أخرجها منه و هو الحق کما سیظهر لک وجهه فإذا أرید تلخیص معنی جامع للقسمین دون الأمر الثالث فیقال إنه کیفیة بها یترجح أحد جانبی القبول و اللاقبول لقابلها.</w:t>
      </w:r>
    </w:p>
    <w:p>
      <w:pPr>
        <w:pStyle w:val="BookText"/>
      </w:pPr>
      <w:r>
        <w:rPr>
          <w:rFonts w:ascii="IRNazanin" w:hAnsi="IRNazanin" w:eastAsia="IRNazanin" w:cs="IRNazanin"/>
          <w:lang w:bidi="fa-IR"/>
          <w:color w:val="111111"/>
          <w:sz w:val="28"/>
          <w:szCs w:val="28"/>
          <w:rtl/>
        </w:rPr>
        <w:t xml:space="preserve">[شماره صفحه واقعی : 119]</w:t>
      </w:r>
    </w:p>
    <w:p>
      <w:pPr>
        <w:pStyle w:val="BookText"/>
      </w:pPr>
      <w:r>
        <w:rPr>
          <w:rFonts w:ascii="IRNazanin" w:hAnsi="IRNazanin" w:eastAsia="IRNazanin" w:cs="IRNazanin"/>
          <w:lang w:bidi="fa-IR"/>
          <w:color w:val="111111"/>
          <w:sz w:val="28"/>
          <w:szCs w:val="28"/>
          <w:rtl/>
        </w:rPr>
        <w:t xml:space="preserve">ص: 1340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538" w:name="pg14419_168056"/>
    <w:bookmarkEnd w:id="538"/>
    <w:p>
      <w:pPr>
        <w:pStyle w:val="BookText"/>
      </w:pPr>
      <w:r>
        <w:rPr>
          <w:rFonts w:ascii="IRNazanin" w:hAnsi="IRNazanin" w:eastAsia="IRNazanin" w:cs="IRNazanin"/>
          <w:lang w:bidi="fa-IR"/>
          <w:color w:val="111111"/>
          <w:sz w:val="28"/>
          <w:szCs w:val="28"/>
          <w:rtl/>
        </w:rPr>
        <w:t xml:space="preserve">و أما بیان أن القوة علی الفعل لا تصلح أن تکون داخلة تحت هذا النوع کما ذهب إلیه الشیخ فیحتاج أولا إلی أن نعرف أصلا کلیا و هو أن جهات الفعل دائما تکون من لوازم الذات لأن کل ذات لها حقیقة فلها اقتضاء أثر إذا خلی و طبعه و لم یکن مانع یفعل ذلک الأثر فلا یحتاج فی فعلها إلی قوة زائدة علیها و إذا فرض إضافة قوة أخری لها لم تکن تلک الذات بالقیاس إلیها فاعلة لها بل قابلة إیاها و إذا اعتبرت الذات و القوة معا کان المجموع شیئا آخر إن کان له فعل کان فعله لازما من غیر تراخی استعداد له لحصول ذلک الفعل.</w:t>
      </w:r>
    </w:p>
    <w:p>
      <w:pPr>
        <w:pStyle w:val="BookText"/>
      </w:pPr>
      <w:r>
        <w:rPr>
          <w:rFonts w:ascii="IRNazanin" w:hAnsi="IRNazanin" w:eastAsia="IRNazanin" w:cs="IRNazanin"/>
          <w:lang w:bidi="fa-IR"/>
          <w:color w:val="111111"/>
          <w:sz w:val="28"/>
          <w:szCs w:val="28"/>
          <w:rtl/>
        </w:rPr>
        <w:t xml:space="preserve">و لو فرض ذلک الاستعداد للفاعلیة له کان یلزمه أولا قوة انفعالیة لحصول ما یتم به کونه فاعلا فذلک الاستعداد المفروض لم یکن بالحقیقة لفاعلیته بل لانفعاله فلیس للفاعلیة استعداد بل للمنفعلیة أولا و بالذات و للفاعلیة بالعرض.</w:t>
      </w:r>
    </w:p>
    <w:p>
      <w:pPr>
        <w:pStyle w:val="BookText"/>
      </w:pPr>
      <w:r>
        <w:rPr>
          <w:rFonts w:ascii="IRNazanin" w:hAnsi="IRNazanin" w:eastAsia="IRNazanin" w:cs="IRNazanin"/>
          <w:lang w:bidi="fa-IR"/>
          <w:color w:val="111111"/>
          <w:sz w:val="28"/>
          <w:szCs w:val="28"/>
          <w:rtl/>
        </w:rPr>
        <w:t xml:space="preserve">فثبت مما بینا بالبرهان أن لا قوة و لا استعداد بالذات لکون الشی‌ء فاعلا بل إنما القوة و الاستعداد للانفعال و لصیرورة الشی‌ء قابلا لشی‌ء بعد أن لم یکن» انتهی. (الأسفار ج 4 ص 105).</w:t>
      </w:r>
    </w:p>
    <w:p>
      <w:pPr>
        <w:pStyle w:val="BookText"/>
      </w:pPr>
      <w:r>
        <w:rPr>
          <w:rFonts w:ascii="IRNazanin" w:hAnsi="IRNazanin" w:eastAsia="IRNazanin" w:cs="IRNazanin"/>
          <w:lang w:bidi="fa-IR"/>
          <w:color w:val="111111"/>
          <w:sz w:val="28"/>
          <w:szCs w:val="28"/>
          <w:rtl/>
        </w:rPr>
        <w:t xml:space="preserve">و أما نفس الاستعداد فقد قیل إنها من المضاف إذ لا یعقل إلا بین شیئین مستعد و مستعد له فلا یکون نوعا من الکیف و یظهر من بعضهم أنه کیف یلزمه إضافة کالعلم الذی هو من الکیفیات النفسانیة و یلزمه الإضافة بین موضوعه و متعلقه أعنی العالم و المعلوم و کالقدرة و الإرادة.</w:t>
      </w:r>
    </w:p>
    <w:p>
      <w:pPr>
        <w:pStyle w:val="Heading5"/>
      </w:pPr>
      <w:bookmarkStart w:id="1517" w:name="_Toc957"/>
      <w:r>
        <w:t>الفصل الخامس عشر فی الکیفیات النفسانیة</w:t>
      </w:r>
      <w:bookmarkEnd w:id="15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الکیفیة النفسانیة و هی کما قال الشیخ ما لا یتعلق بالأجسام علی</w:t>
      </w:r>
    </w:p>
    <w:p>
      <w:pPr>
        <w:pStyle w:val="BookText"/>
      </w:pPr>
      <w:r>
        <w:rPr>
          <w:rFonts w:ascii="IRNazanin" w:hAnsi="IRNazanin" w:eastAsia="IRNazanin" w:cs="IRNazanin"/>
          <w:lang w:bidi="fa-IR"/>
          <w:color w:val="111111"/>
          <w:sz w:val="28"/>
          <w:szCs w:val="28"/>
          <w:rtl/>
        </w:rPr>
        <w:t xml:space="preserve">[شماره صفحه واقعی : 120]</w:t>
      </w:r>
    </w:p>
    <w:p>
      <w:pPr>
        <w:pStyle w:val="BookText"/>
      </w:pPr>
      <w:r>
        <w:rPr>
          <w:rFonts w:ascii="IRNazanin" w:hAnsi="IRNazanin" w:eastAsia="IRNazanin" w:cs="IRNazanin"/>
          <w:lang w:bidi="fa-IR"/>
          <w:color w:val="111111"/>
          <w:sz w:val="28"/>
          <w:szCs w:val="28"/>
          <w:rtl/>
        </w:rPr>
        <w:t xml:space="preserve">ص: 1341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إن لم تکن راسخة سمیت حالا و إن کانت راسخة سمیت ملکة و إذ کانت النسبة بین الحال و الملکة نسبة الضعف و الشدة و هم یعدون المرتبتین من الضعف و الشدة نوعین مختلفین کان لازمه عد الحال مغایرا للملکة نوعا و وجودا.</w:t>
      </w:r>
    </w:p>
    <w:p>
      <w:pPr>
        <w:pStyle w:val="BookText"/>
      </w:pPr>
      <w:r>
        <w:rPr>
          <w:rFonts w:ascii="IRNazanin" w:hAnsi="IRNazanin" w:eastAsia="IRNazanin" w:cs="IRNazanin"/>
          <w:lang w:bidi="fa-IR"/>
          <w:color w:val="111111"/>
          <w:sz w:val="28"/>
          <w:szCs w:val="28"/>
          <w:rtl/>
        </w:rPr>
        <w:t xml:space="preserve">و الکیفیات النفسانیة کثیرة و إنما أوردوا منها فی هذا الباب بعض ما یهم البحث عنه.</w:t>
      </w:r>
    </w:p>
    <w:p>
      <w:pPr>
        <w:pStyle w:val="BookText"/>
      </w:pPr>
      <w:r>
        <w:rPr>
          <w:rFonts w:ascii="IRNazanin" w:hAnsi="IRNazanin" w:eastAsia="IRNazanin" w:cs="IRNazanin"/>
          <w:lang w:bidi="fa-IR"/>
          <w:color w:val="111111"/>
          <w:sz w:val="28"/>
          <w:szCs w:val="28"/>
          <w:rtl/>
        </w:rPr>
        <w:t xml:space="preserve">فمنها الإرادة  قال فی الأسفار : «یشبه أن یکون معناها واضحا عند العقل غیر ملتبس بغیرها إلا أنه یعسر التعبیر عنها بما یفید تصورها بالحقیقة و هی تغایر الشهوة کما أن مقابلها و هی الکراهة یغایر النفرة إذ قد یرید الإنسان ما لا یشتهیه کشرب دواء کریه ینفعه و قد یشتهی ما لا یریده کأکل طعام لذیذ یضره» انتهی. (ج 4 ص 113).</w:t>
      </w:r>
    </w:p>
    <w:p>
      <w:pPr>
        <w:pStyle w:val="BookText"/>
      </w:pPr>
      <w:r>
        <w:rPr>
          <w:rFonts w:ascii="IRNazanin" w:hAnsi="IRNazanin" w:eastAsia="IRNazanin" w:cs="IRNazanin"/>
          <w:lang w:bidi="fa-IR"/>
          <w:color w:val="111111"/>
          <w:sz w:val="28"/>
          <w:szCs w:val="28"/>
          <w:rtl/>
        </w:rPr>
        <w:t xml:space="preserve">و بمثل البیان یظهر أن الإرادة غیر الشوق المؤکد الذی عرفها به بعضهم و ملخص القول الذی یظهر به أمر الإرادة التی یتوقف علیها فعل الفاعل المختار هو أن مقتضی الأصول العقلیة أن کل نوع من الأنواع الجوهریة مبدأ فاعلی للأفعال التی ینسب إلیه صدورها و هی کمالات ثانیة للنوع فالنفس الإنسانیة التی هی صورة جوهریة مجردة متعلقة الفعل بالمادة علة فاعلیة للأفعال الصادرة عن الإنسان لکنها مبدأ علمی لا یصدر عنها إلا ما میزته من کمالاتها الثانیة من غیره و لذا تحتاج قبل الفعل إلی تصور الفعل و التصدیق بکونه کمالا لها فإن کان التصدیق ضروریا أو ملکة راسخة قضت بکون الفعل کمالا و لم تأخذ بالتروی کالمتکلم الذی یتلفظ بالحرف بعد الحرف من غیر ترو و لو تروی فی بعضها لتبلد و تلکأ و انقطع عن الکلام و إن لم یکن ضروریا مقضیا به توسلت إلی التروی و الفحص عن المرجحات فإن ظفرت بما یقضی بکون الفعل کمالا قضت به ثم یتبع هذه الصورة العلمیة علی ما</w:t>
      </w:r>
    </w:p>
    <w:p>
      <w:pPr>
        <w:pStyle w:val="BookText"/>
      </w:pPr>
      <w:r>
        <w:rPr>
          <w:rFonts w:ascii="IRNazanin" w:hAnsi="IRNazanin" w:eastAsia="IRNazanin" w:cs="IRNazanin"/>
          <w:lang w:bidi="fa-IR"/>
          <w:color w:val="111111"/>
          <w:sz w:val="28"/>
          <w:szCs w:val="28"/>
          <w:rtl/>
        </w:rPr>
        <w:t xml:space="preserve">[شماره صفحه واقعی : 121]</w:t>
      </w:r>
    </w:p>
    <w:p>
      <w:pPr>
        <w:pStyle w:val="BookText"/>
      </w:pPr>
      <w:r>
        <w:rPr>
          <w:rFonts w:ascii="IRNazanin" w:hAnsi="IRNazanin" w:eastAsia="IRNazanin" w:cs="IRNazanin"/>
          <w:lang w:bidi="fa-IR"/>
          <w:color w:val="111111"/>
          <w:sz w:val="28"/>
          <w:szCs w:val="28"/>
          <w:rtl/>
        </w:rPr>
        <w:t xml:space="preserve">ص: 1342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الشوق إلی الفعل لما أنه کمال ثان معلول لها ثم یتبع الشوق الإرادة و هی و إن کانت لا تعبیر عنها یفید تصور حقیقتها لکن یشهد لوجودها بعد الشوق ما نجده ممن یرید الفعل و هو عاجز عنه و لا یعلم بعجزه فلا یستطیع الفعل و قد أراده ثم یتبع الإرادة القوة العاملة المحرکة للعضلات فتحرک العضلات و هو الفعل.</w:t>
      </w:r>
    </w:p>
    <w:p>
      <w:pPr>
        <w:pStyle w:val="BookText"/>
      </w:pPr>
      <w:r>
        <w:rPr>
          <w:rFonts w:ascii="IRNazanin" w:hAnsi="IRNazanin" w:eastAsia="IRNazanin" w:cs="IRNazanin"/>
          <w:lang w:bidi="fa-IR"/>
          <w:color w:val="111111"/>
          <w:sz w:val="28"/>
          <w:szCs w:val="28"/>
          <w:rtl/>
        </w:rPr>
        <w:t xml:space="preserve">فمبادی الفعل الإرادی فینا هی العلم و الشوق و الإرادة و القوة العاملة المحرکة هذا ما نجده من أنفسنا فی أفعالنا الإرادیة و إمعان النظر فی حال سائر الحیوان یعطی أنها کالإنسان فی أفعالها الإرادیة.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فظهر بذلک أولا أن المبدأ الفاعلی لأفعال الإنسان الإرادیة بما أنها کمالاتها الثانیة هو الإنسان بما أنه فاعل علمی و العلم متمم لفاعلیته یتمیز به الکمال من غیره و یتبعه الشوق من غیر توقف علی شوق آخر أو إرادة و تتبعه الإرادة بالضرورة من غیر توقف علی إرادة أخری و إلا لتسلسلت الإرادات فعد الإرادة علة فاعلیة للفعل فی غیر محله و إنما الإرادة و الشوق الذی قبلها من لوازم العلم المتمم لفاعلیة الفاعل.</w:t>
      </w:r>
    </w:p>
    <w:p>
      <w:pPr>
        <w:pStyle w:val="BookText"/>
      </w:pPr>
      <w:r>
        <w:rPr>
          <w:rFonts w:ascii="IRNazanin" w:hAnsi="IRNazanin" w:eastAsia="IRNazanin" w:cs="IRNazanin"/>
          <w:lang w:bidi="fa-IR"/>
          <w:color w:val="111111"/>
          <w:sz w:val="28"/>
          <w:szCs w:val="28"/>
          <w:rtl/>
        </w:rPr>
        <w:t xml:space="preserve">و ثانیا أن أفعال الإنسان مما للعلم دخل فی صدوره لا تخلو من إرادة الفاعل حتی الفعل الجبری و سیأتی فی البحث عن أقسام الفاعل ما ینفع فی المقام.</w:t>
      </w:r>
    </w:p>
    <w:p>
      <w:pPr>
        <w:pStyle w:val="BookText"/>
      </w:pPr>
      <w:r>
        <w:rPr>
          <w:rFonts w:ascii="IRNazanin" w:hAnsi="IRNazanin" w:eastAsia="IRNazanin" w:cs="IRNazanin"/>
          <w:lang w:bidi="fa-IR"/>
          <w:color w:val="111111"/>
          <w:sz w:val="28"/>
          <w:szCs w:val="28"/>
          <w:rtl/>
        </w:rPr>
        <w:t xml:space="preserve">و ثالثا أن الملاک فی اختیاریة الفعل تساوی نسبة الإنسان إلی الفعل و الترک و إن کان بالنظر إلیه و هو تام الفاعلیة ضروری الفعل.</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 الکیفیات النفسانیة القدرة و هی حالة فی الحیوان بها یصح أن یصدر عنه الفعل إذا شاء و لا یصدر عنه إذا لم یشأ و یقابلها العجز.</w:t>
      </w:r>
    </w:p>
    <w:p>
      <w:pPr>
        <w:pStyle w:val="BookText"/>
      </w:pPr>
      <w:r>
        <w:rPr>
          <w:rFonts w:ascii="IRNazanin" w:hAnsi="IRNazanin" w:eastAsia="IRNazanin" w:cs="IRNazanin"/>
          <w:lang w:bidi="fa-IR"/>
          <w:color w:val="111111"/>
          <w:sz w:val="28"/>
          <w:szCs w:val="28"/>
          <w:rtl/>
        </w:rPr>
        <w:t xml:space="preserve">و أما القدرة المنسوبة إلی الواجب تعالی فإذ کان الواجب الوجود بالذات واجب الوجود من جمیع الجهات فهی مبدئیته الفعلیة بذاته لکل شی‌ء و إذ کانت عین الذات فلا ماهیة لها بل هی صرف الوجود.</w:t>
      </w:r>
    </w:p>
    <w:p>
      <w:pPr>
        <w:pStyle w:val="BookText"/>
      </w:pPr>
      <w:r>
        <w:rPr>
          <w:rFonts w:ascii="IRNazanin" w:hAnsi="IRNazanin" w:eastAsia="IRNazanin" w:cs="IRNazanin"/>
          <w:lang w:bidi="fa-IR"/>
          <w:color w:val="111111"/>
          <w:sz w:val="28"/>
          <w:szCs w:val="28"/>
          <w:rtl/>
        </w:rPr>
        <w:t xml:space="preserve">[شماره صفحه واقعی : 122]</w:t>
      </w:r>
    </w:p>
    <w:p>
      <w:pPr>
        <w:pStyle w:val="BookText"/>
      </w:pPr>
      <w:r>
        <w:rPr>
          <w:rFonts w:ascii="IRNazanin" w:hAnsi="IRNazanin" w:eastAsia="IRNazanin" w:cs="IRNazanin"/>
          <w:lang w:bidi="fa-IR"/>
          <w:color w:val="111111"/>
          <w:sz w:val="28"/>
          <w:szCs w:val="28"/>
          <w:rtl/>
        </w:rPr>
        <w:t xml:space="preserve">ص: 1343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الکیفیات النفسانیة علی ما قیل العلم و المراد به العلم الحصولی الذهنی من حیث قیامه بالنفس قیام العرض بموضوعه لصدق حد الکیف علیه و أما العلم الحضوری فهو حضور المعلوم بوجوده الخارجی عند العالم و الوجود لیس بجوهر و لا عرض.</w:t>
      </w:r>
    </w:p>
    <w:p>
      <w:pPr>
        <w:pStyle w:val="BookText"/>
      </w:pPr>
      <w:r>
        <w:rPr>
          <w:rFonts w:ascii="IRNazanin" w:hAnsi="IRNazanin" w:eastAsia="IRNazanin" w:cs="IRNazanin"/>
          <w:lang w:bidi="fa-IR"/>
          <w:color w:val="111111"/>
          <w:sz w:val="28"/>
          <w:szCs w:val="28"/>
          <w:rtl/>
        </w:rPr>
        <w:t xml:space="preserve">و العلم الذی هو من الکیف مختص بذوات الأنفس و أما المفارقات فقد تقدم أن علومها حضوریة غیر حصولیة غیر أن العلوم الحصولیة التی فی معالیلها حاضرة عندها و إن کانت هی أیضا بما أنها من صنعها حاضرة عندها.</w:t>
      </w:r>
    </w:p>
    <w:p>
      <w:pPr>
        <w:pStyle w:val="BookText"/>
      </w:pPr>
      <w:r>
        <w:rPr>
          <w:rFonts w:ascii="IRNazanin" w:hAnsi="IRNazanin" w:eastAsia="IRNazanin" w:cs="IRNazanin"/>
          <w:lang w:bidi="fa-IR"/>
          <w:color w:val="111111"/>
          <w:sz w:val="28"/>
          <w:szCs w:val="28"/>
          <w:rtl/>
        </w:rPr>
        <w:t xml:space="preserve">و من هذا الباب الخلق و هو الملکة النفسانیة التی تصدر عنها الأفعال بسهولة من غیر رویة و لا یسمی خلقا إلا إذا کان عقلا عملیا هو مبدأ الأفعال الإرادیة و لیس هو القدرة علی الفعل لأن نسبة القدرة إلی الفعل و الترک متساویة و لا نسبة للخلق إلا إلی الفعل و لیس المراد به هو الفعل و إن کان ربما یطلق علیه لأنه الأمر الراسخ الذی یبتنی علیه الفعل.</w:t>
      </w:r>
    </w:p>
    <w:p>
      <w:pPr>
        <w:pStyle w:val="BookText"/>
      </w:pPr>
      <w:r>
        <w:rPr>
          <w:rFonts w:ascii="IRNazanin" w:hAnsi="IRNazanin" w:eastAsia="IRNazanin" w:cs="IRNazanin"/>
          <w:lang w:bidi="fa-IR"/>
          <w:color w:val="111111"/>
          <w:sz w:val="28"/>
          <w:szCs w:val="28"/>
          <w:rtl/>
        </w:rPr>
        <w:t xml:space="preserve">و للخلق انشعابات کثیرة تکاد لا تحصی الشعب الحاصلة منها لکن أصول الأخلاق الإنسانیة نظرا إلی القوی الباعثة للإنسان نحو الفعل ثلاثة و هی قوی الشهوة الباعثة له إلی جذب الخیر و النافع الذی یلائمه و قوی الغضب الباعثة له إلی دفع الشر و الضار و العقل الذی یهدیه إلی الخیر و السعادة و یزجره عن الشر و الشقاء.</w:t>
      </w:r>
    </w:p>
    <w:p>
      <w:pPr>
        <w:pStyle w:val="BookText"/>
      </w:pPr>
      <w:r>
        <w:rPr>
          <w:rFonts w:ascii="IRNazanin" w:hAnsi="IRNazanin" w:eastAsia="IRNazanin" w:cs="IRNazanin"/>
          <w:lang w:bidi="fa-IR"/>
          <w:color w:val="111111"/>
          <w:sz w:val="28"/>
          <w:szCs w:val="28"/>
          <w:rtl/>
        </w:rPr>
        <w:t xml:space="preserve">فالملکة العاملة فی المشتهیات إن لازمت الاعتدال بفعل ما ینبغی کما ینبغی سمیت عفة و إن انحرفت إلی حد الإفراط سمیت شرها و إن نزلت إلی التفریط سمیت خمودا و کذلک الملکة المرتبطة بالغضب لها اعتدال تسمی شجاعة و طرفا إفراط یسمی تهورا و تفریط یسمی جبنا و کذلک الملکة الحاکمة فی الخیر و الشر و النافع و الضار إن لازمت وسط الاعتدال فاشتغلت بما ینبغی کما ینبغی سمیت حکمة و إن خرجت إلی حد الإفراط</w:t>
      </w:r>
    </w:p>
    <w:p>
      <w:pPr>
        <w:pStyle w:val="BookText"/>
      </w:pPr>
      <w:r>
        <w:rPr>
          <w:rFonts w:ascii="IRNazanin" w:hAnsi="IRNazanin" w:eastAsia="IRNazanin" w:cs="IRNazanin"/>
          <w:lang w:bidi="fa-IR"/>
          <w:color w:val="111111"/>
          <w:sz w:val="28"/>
          <w:szCs w:val="28"/>
          <w:rtl/>
        </w:rPr>
        <w:t xml:space="preserve">[شماره صفحه واقعی : 123]</w:t>
      </w:r>
    </w:p>
    <w:p>
      <w:pPr>
        <w:pStyle w:val="BookText"/>
      </w:pPr>
      <w:r>
        <w:rPr>
          <w:rFonts w:ascii="IRNazanin" w:hAnsi="IRNazanin" w:eastAsia="IRNazanin" w:cs="IRNazanin"/>
          <w:lang w:bidi="fa-IR"/>
          <w:color w:val="111111"/>
          <w:sz w:val="28"/>
          <w:szCs w:val="28"/>
          <w:rtl/>
        </w:rPr>
        <w:t xml:space="preserve">ص: 1344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سمیت جربزة أو إلی حد التفریط سمیت غباوة.</w:t>
      </w:r>
    </w:p>
    <w:p>
      <w:pPr>
        <w:pStyle w:val="BookText"/>
      </w:pPr>
      <w:r>
        <w:rPr>
          <w:rFonts w:ascii="IRNazanin" w:hAnsi="IRNazanin" w:eastAsia="IRNazanin" w:cs="IRNazanin"/>
          <w:lang w:bidi="fa-IR"/>
          <w:color w:val="111111"/>
          <w:sz w:val="28"/>
          <w:szCs w:val="28"/>
          <w:rtl/>
        </w:rPr>
        <w:t xml:space="preserve">و الهیئة الحاصلة من اجتماع الملکات الثلاث التی نسبتها إلیها نسبة المزاج إلی الممتزج و أثرها إعطاء کل ذی حق من القوی حقه إذا اعتدلت سمیت عدالة و إن خرجت إلی حد الإفراط سمیت ظلما أو إلی حد التفریط سمیت انظلاما.</w:t>
      </w:r>
    </w:p>
    <w:p>
      <w:pPr>
        <w:pStyle w:val="BookText"/>
      </w:pPr>
      <w:r>
        <w:rPr>
          <w:rFonts w:ascii="IRNazanin" w:hAnsi="IRNazanin" w:eastAsia="IRNazanin" w:cs="IRNazanin"/>
          <w:lang w:bidi="fa-IR"/>
          <w:color w:val="111111"/>
          <w:sz w:val="28"/>
          <w:szCs w:val="28"/>
          <w:rtl/>
        </w:rPr>
        <w:t xml:space="preserve">و وسط الاعتدال من هذه الملکات التی هی الأصول و ما یتفرع علیها من الفروع فضیلة ممدوحة و الطرفان أعنی طرفی الإفراط و التفریط رذیلة مذمومة و البحث عن هذه الفضائل و الرذائل موکول إلی غیر هذه الصناعة.</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ظهر مما تقدم أولا أن الخلق إنما یوجد فی العالم الإنسانی و غیره من ذوات الأنفس التی تستکمل بالأفعال الإرادیة علی ما یناسب کمال وجوده فلا خلق فی المفارقات إذ لا عقل عملیا و لا استکمال إرادیا فیها.</w:t>
      </w:r>
    </w:p>
    <w:p>
      <w:pPr>
        <w:pStyle w:val="BookText"/>
      </w:pPr>
      <w:r>
        <w:rPr>
          <w:rFonts w:ascii="IRNazanin" w:hAnsi="IRNazanin" w:eastAsia="IRNazanin" w:cs="IRNazanin"/>
          <w:lang w:bidi="fa-IR"/>
          <w:color w:val="111111"/>
          <w:sz w:val="28"/>
          <w:szCs w:val="28"/>
          <w:rtl/>
        </w:rPr>
        <w:t xml:space="preserve">و ثانیا أن کلا من هذه الأخلاق التی هی من الکیفیات النفسانیة بما أنها ملکة راسخة تقابلها حال من تلک الکیفیة کالشهوة و الغضب و الخوف و الفزع و الحزن و الهم و الخجل و الفرح و السرور و الغم و غیر ذلک و البحث عن أسبابها الطبیعیة فی الطب و عن إصلاحها و تدبیرها بحیث یلائم السعادة الإنسانیة فی صناعة الأخلاق.</w:t>
      </w:r>
    </w:p>
    <w:p>
      <w:pPr>
        <w:pStyle w:val="BookText"/>
      </w:pPr>
      <w:r>
        <w:rPr>
          <w:rFonts w:ascii="IRNazanin" w:hAnsi="IRNazanin" w:eastAsia="IRNazanin" w:cs="IRNazanin"/>
          <w:lang w:bidi="fa-IR"/>
          <w:color w:val="111111"/>
          <w:sz w:val="28"/>
          <w:szCs w:val="28"/>
          <w:rtl/>
        </w:rPr>
        <w:t xml:space="preserve">و من الکیفیات النفسانیة اللذة و الألم و اللذة علی ما عرفوها إدراک الملائم بما أنه ملائم و الألم إدراک المنافی بما أنه مناف فهما من الکیف بما أنهما من سنخ الإدراک و ینقسمان بانقسام الإدراک فمنهما حسی و خیالی و عقلی فاللذة الحسیة کإدراک النفس الحلاوة من طریق الذوق و الرائحة الطیبة من طریق الشم و اللذة الخیالیة إدراکها الصورة الخیالیة من بعض الملذات الحسیة و اللذة العقلیة إدراکها بعض ما نالته من الکمالات الحقة العقلیة و اللذة العقلیة أشد اللذائذ و أقواها لتجردها و ثباتها و الألم الحسی و الخیالی و العقلی علی خلاف اللذة فی کل من هذه الأبواب.</w:t>
      </w:r>
    </w:p>
    <w:p>
      <w:pPr>
        <w:pStyle w:val="BookText"/>
      </w:pPr>
      <w:r>
        <w:rPr>
          <w:rFonts w:ascii="IRNazanin" w:hAnsi="IRNazanin" w:eastAsia="IRNazanin" w:cs="IRNazanin"/>
          <w:lang w:bidi="fa-IR"/>
          <w:color w:val="111111"/>
          <w:sz w:val="28"/>
          <w:szCs w:val="28"/>
          <w:rtl/>
        </w:rPr>
        <w:t xml:space="preserve">[شماره صفحه واقعی : 124]</w:t>
      </w:r>
    </w:p>
    <w:p>
      <w:pPr>
        <w:pStyle w:val="BookText"/>
      </w:pPr>
      <w:r>
        <w:rPr>
          <w:rFonts w:ascii="IRNazanin" w:hAnsi="IRNazanin" w:eastAsia="IRNazanin" w:cs="IRNazanin"/>
          <w:lang w:bidi="fa-IR"/>
          <w:color w:val="111111"/>
          <w:sz w:val="28"/>
          <w:szCs w:val="28"/>
          <w:rtl/>
        </w:rPr>
        <w:t xml:space="preserve">ص: 1345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539" w:name="pg14419_168061"/>
    <w:bookmarkEnd w:id="539"/>
    <w:p>
      <w:pPr>
        <w:pStyle w:val="BookText"/>
      </w:pPr>
      <w:r>
        <w:rPr>
          <w:rFonts w:ascii="IRNazanin" w:hAnsi="IRNazanin" w:eastAsia="IRNazanin" w:cs="IRNazanin"/>
          <w:lang w:bidi="fa-IR"/>
          <w:color w:val="111111"/>
          <w:sz w:val="28"/>
          <w:szCs w:val="28"/>
          <w:rtl/>
        </w:rPr>
        <w:t xml:space="preserve">و اللذة علی أی حال وجودیة و الألم عدمی یقابلها تقابل العدم و الملکة.</w:t>
      </w:r>
    </w:p>
    <w:p>
      <w:pPr>
        <w:pStyle w:val="BookText"/>
      </w:pPr>
      <w:r>
        <w:rPr>
          <w:rFonts w:ascii="IRNazanin" w:hAnsi="IRNazanin" w:eastAsia="IRNazanin" w:cs="IRNazanin"/>
          <w:lang w:bidi="fa-IR"/>
          <w:color w:val="111111"/>
          <w:sz w:val="28"/>
          <w:szCs w:val="28"/>
          <w:rtl/>
        </w:rPr>
        <w:t xml:space="preserve">لا یقال لا ریب فی أن الألم شر بالذات و إذ کان هو إدراک المنافی بما أنه مناف کان أمرا وجودیا لأن الإدراک أمر وجودی و بهذا ینفسخ قولهم إن الشر عدم لا غیر.</w:t>
      </w:r>
    </w:p>
    <w:p>
      <w:pPr>
        <w:pStyle w:val="BookText"/>
      </w:pPr>
      <w:r>
        <w:rPr>
          <w:rFonts w:ascii="IRNazanin" w:hAnsi="IRNazanin" w:eastAsia="IRNazanin" w:cs="IRNazanin"/>
          <w:lang w:bidi="fa-IR"/>
          <w:color w:val="111111"/>
          <w:sz w:val="28"/>
          <w:szCs w:val="28"/>
          <w:rtl/>
        </w:rPr>
        <w:t xml:space="preserve">لأنه یقال وجود کل شی‌ء هو نفس ذلک الشی‌ء ذهنیا کان أو خارجیا فحضور أی أمر عدمی عند المدرک هو نفس ذلک الأمر العدمی لاتحاد الوجود و الماهیة و العلم و المعلوم فالألم الموجود فی ظرف الإدراک مصداق للألم و هو بعینه الألم العدمی الذی هو شر بالذات.</w:t>
      </w:r>
    </w:p>
    <w:p>
      <w:pPr>
        <w:pStyle w:val="BookText"/>
      </w:pPr>
      <w:r>
        <w:rPr>
          <w:rFonts w:ascii="IRNazanin" w:hAnsi="IRNazanin" w:eastAsia="IRNazanin" w:cs="IRNazanin"/>
          <w:lang w:bidi="fa-IR"/>
          <w:color w:val="111111"/>
          <w:sz w:val="28"/>
          <w:szCs w:val="28"/>
          <w:rtl/>
        </w:rPr>
        <w:t xml:space="preserve">تنبیه ما مر من القول فی الکیف و أحکامه و خواصه هو المأثور من الحکماء المتقدمین و للمتأخرین من علماء الطبیعة خوض عمیق فیما عده المتقدمون من الکیف عثروا فیه علی أحکام و آثار جمة ینبغی للباحث المتدبر أن یراجعها و یراعی جانبها فی البحث.</w:t>
      </w:r>
    </w:p>
    <w:p>
      <w:pPr>
        <w:pStyle w:val="Heading5"/>
      </w:pPr>
      <w:bookmarkStart w:id="1518" w:name="_Toc958"/>
      <w:r>
        <w:t>الفصل السادس عشر فی الإضافة</w:t>
      </w:r>
      <w:bookmarkEnd w:id="1518"/>
    </w:p>
    <w:p>
      <w:pPr>
        <w:pStyle w:val="Heading6"/>
      </w:pPr>
      <w:bookmarkStart w:id="1519" w:name="_Toc959"/>
      <w:r>
        <w:t>اشارة</w:t>
      </w:r>
      <w:bookmarkEnd w:id="15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 أبحاث</w:t>
      </w:r>
    </w:p>
    <w:p>
      <w:pPr>
        <w:pStyle w:val="Heading6"/>
      </w:pPr>
      <w:bookmarkStart w:id="1520" w:name="_Toc960"/>
      <w:r>
        <w:t>البحث الأول</w:t>
      </w:r>
      <w:bookmarkEnd w:id="1520"/>
    </w:p>
    <w:p>
      <w:pPr>
        <w:pStyle w:val="BookText"/>
      </w:pPr>
      <w:r>
        <w:rPr>
          <w:rFonts w:ascii="IRNazanin" w:hAnsi="IRNazanin" w:eastAsia="IRNazanin" w:cs="IRNazanin"/>
          <w:lang w:bidi="fa-IR"/>
          <w:color w:val="111111"/>
          <w:sz w:val="28"/>
          <w:szCs w:val="28"/>
          <w:rtl/>
        </w:rPr>
        <w:t xml:space="preserve">قد عرفت أن سبعا من المقولات أعراض نسبیة و هی الإضافة و الأین و</w:t>
      </w:r>
    </w:p>
    <w:p>
      <w:pPr>
        <w:pStyle w:val="BookText"/>
      </w:pPr>
      <w:r>
        <w:rPr>
          <w:rFonts w:ascii="IRNazanin" w:hAnsi="IRNazanin" w:eastAsia="IRNazanin" w:cs="IRNazanin"/>
          <w:lang w:bidi="fa-IR"/>
          <w:color w:val="111111"/>
          <w:sz w:val="28"/>
          <w:szCs w:val="28"/>
          <w:rtl/>
        </w:rPr>
        <w:t xml:space="preserve">[شماره صفحه واقعی : 125]</w:t>
      </w:r>
    </w:p>
    <w:p>
      <w:pPr>
        <w:pStyle w:val="BookText"/>
      </w:pPr>
      <w:r>
        <w:rPr>
          <w:rFonts w:ascii="IRNazanin" w:hAnsi="IRNazanin" w:eastAsia="IRNazanin" w:cs="IRNazanin"/>
          <w:lang w:bidi="fa-IR"/>
          <w:color w:val="111111"/>
          <w:sz w:val="28"/>
          <w:szCs w:val="28"/>
          <w:rtl/>
        </w:rPr>
        <w:t xml:space="preserve">ص: 1346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540" w:name="pg14419_168062"/>
    <w:bookmarkEnd w:id="540"/>
    <w:p>
      <w:pPr>
        <w:pStyle w:val="BookText"/>
      </w:pPr>
      <w:r>
        <w:rPr>
          <w:rFonts w:ascii="IRNazanin" w:hAnsi="IRNazanin" w:eastAsia="IRNazanin" w:cs="IRNazanin"/>
          <w:lang w:bidi="fa-IR"/>
          <w:color w:val="111111"/>
          <w:sz w:val="28"/>
          <w:szCs w:val="28"/>
          <w:rtl/>
        </w:rPr>
        <w:t xml:space="preserve">المتی و الوضع و الجدة و أن یفعل و أن ینفعل و معنی نسبیتها أنها هیئات قائمة بموضوعاتها من نسب موجودة فیها لا أن هذه المقولات عین تلک النسب الوجودیة و ذلک أنک عرفت فی بحث الوجود الرابط و المستقل أن النسبة رابط موجود فی غیره لا استقلال له أصلا لا یحمل علی شی‌ء و لا یحمل علیه شی‌ء فلا ماهیة له لأن الماهیة ما یقال علی الشی‌ء فی جواب ما هو و المقولات ماهیات جنسیة فلا تکون النسبة مقولة و لا داخلة تحت مقولة.</w:t>
      </w:r>
    </w:p>
    <w:p>
      <w:pPr>
        <w:pStyle w:val="BookText"/>
      </w:pPr>
      <w:r>
        <w:rPr>
          <w:rFonts w:ascii="IRNazanin" w:hAnsi="IRNazanin" w:eastAsia="IRNazanin" w:cs="IRNazanin"/>
          <w:lang w:bidi="fa-IR"/>
          <w:color w:val="111111"/>
          <w:sz w:val="28"/>
          <w:szCs w:val="28"/>
          <w:rtl/>
        </w:rPr>
        <w:t xml:space="preserve">علی أن النسبة فی بعض هذه المقولات متکررة متکثرة و لا معنی لتکرر الماهیة کمقولة الإضافة التی یجب فیها تکرر النسبة و مقولة الوضع التی فیها نسبة بعض أجزاء الشی‌ء إلی بعض و نسبة المجموع إلی الخارج و ربما قامت علی نسب کثیرة جدا.</w:t>
      </w:r>
    </w:p>
    <w:p>
      <w:pPr>
        <w:pStyle w:val="BookText"/>
      </w:pPr>
      <w:r>
        <w:rPr>
          <w:rFonts w:ascii="IRNazanin" w:hAnsi="IRNazanin" w:eastAsia="IRNazanin" w:cs="IRNazanin"/>
          <w:lang w:bidi="fa-IR"/>
          <w:color w:val="111111"/>
          <w:sz w:val="28"/>
          <w:szCs w:val="28"/>
          <w:rtl/>
        </w:rPr>
        <w:t xml:space="preserve">فتبین أن المقولة النسبیة هی هیئة حاصلة للشی‌ء من نسبة کذا و کذا قائمة به.</w:t>
      </w:r>
    </w:p>
    <w:p>
      <w:pPr>
        <w:pStyle w:val="Heading6"/>
      </w:pPr>
      <w:bookmarkStart w:id="1521" w:name="_Toc961"/>
      <w:r>
        <w:t>البحث الثانی</w:t>
      </w:r>
      <w:bookmarkEnd w:id="1521"/>
    </w:p>
    <w:p>
      <w:pPr>
        <w:pStyle w:val="BookText"/>
      </w:pPr>
      <w:r>
        <w:rPr>
          <w:rFonts w:ascii="IRNazanin" w:hAnsi="IRNazanin" w:eastAsia="IRNazanin" w:cs="IRNazanin"/>
          <w:lang w:bidi="fa-IR"/>
          <w:color w:val="111111"/>
          <w:sz w:val="28"/>
          <w:szCs w:val="28"/>
          <w:rtl/>
        </w:rPr>
        <w:t xml:space="preserve">أن الإضافة هیئة حاصلة من نسبة الشی‌ء إلی شی‌ء آخر منسوب إلی الشی‌ء الأول المنسوب إلیه کهیئة الإضافة التی فی الأخ فإن فیها نسبة الأخ بالأخوة إلی أخیه المنسوب إلی هذا الأخ المنسوب إلیه بالأخوة.</w:t>
      </w:r>
    </w:p>
    <w:p>
      <w:pPr>
        <w:pStyle w:val="BookText"/>
      </w:pPr>
      <w:r>
        <w:rPr>
          <w:rFonts w:ascii="IRNazanin" w:hAnsi="IRNazanin" w:eastAsia="IRNazanin" w:cs="IRNazanin"/>
          <w:lang w:bidi="fa-IR"/>
          <w:color w:val="111111"/>
          <w:sz w:val="28"/>
          <w:szCs w:val="28"/>
          <w:rtl/>
        </w:rPr>
        <w:t xml:space="preserve">فالنسبة التی فی مقولة الإضافة متکررة و هو الفرق بین ما فیها من النسبة و بین مطلق النسبة فإن وجود مطلق النسبة واحد قائم بالطرفین مطلقا بخلاف الحال فی مقولة الإضافة فإن النسبة فیها متکررة لکل من المضافین نسبة غیر ما فی الآخر غیر أنهما متلازمان لا تنفکان فی ذهن و لا خارج.</w:t>
      </w:r>
    </w:p>
    <w:p>
      <w:pPr>
        <w:pStyle w:val="BookText"/>
      </w:pPr>
      <w:r>
        <w:rPr>
          <w:rFonts w:ascii="IRNazanin" w:hAnsi="IRNazanin" w:eastAsia="IRNazanin" w:cs="IRNazanin"/>
          <w:lang w:bidi="fa-IR"/>
          <w:color w:val="111111"/>
          <w:sz w:val="28"/>
          <w:szCs w:val="28"/>
          <w:rtl/>
        </w:rPr>
        <w:t xml:space="preserve">و ما أوردناه من تعریف الإضافة لیس بحد منطقی کما تقدمت الإشارة إلیه فی نظائره بل رسم إن کان أعرف من المعرف و لعل المعقول من لفظ</w:t>
      </w:r>
    </w:p>
    <w:p>
      <w:pPr>
        <w:pStyle w:val="BookText"/>
      </w:pPr>
      <w:r>
        <w:rPr>
          <w:rFonts w:ascii="IRNazanin" w:hAnsi="IRNazanin" w:eastAsia="IRNazanin" w:cs="IRNazanin"/>
          <w:lang w:bidi="fa-IR"/>
          <w:color w:val="111111"/>
          <w:sz w:val="28"/>
          <w:szCs w:val="28"/>
          <w:rtl/>
        </w:rPr>
        <w:t xml:space="preserve">[شماره صفحه واقعی : 126]</w:t>
      </w:r>
    </w:p>
    <w:p>
      <w:pPr>
        <w:pStyle w:val="BookText"/>
      </w:pPr>
      <w:r>
        <w:rPr>
          <w:rFonts w:ascii="IRNazanin" w:hAnsi="IRNazanin" w:eastAsia="IRNazanin" w:cs="IRNazanin"/>
          <w:lang w:bidi="fa-IR"/>
          <w:color w:val="111111"/>
          <w:sz w:val="28"/>
          <w:szCs w:val="28"/>
          <w:rtl/>
        </w:rPr>
        <w:t xml:space="preserve">ص: 1347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541" w:name="pg14419_168063"/>
    <w:bookmarkEnd w:id="541"/>
    <w:p>
      <w:pPr>
        <w:pStyle w:val="BookText"/>
      </w:pPr>
      <w:r>
        <w:rPr>
          <w:rFonts w:ascii="IRNazanin" w:hAnsi="IRNazanin" w:eastAsia="IRNazanin" w:cs="IRNazanin"/>
          <w:lang w:bidi="fa-IR"/>
          <w:color w:val="111111"/>
          <w:sz w:val="28"/>
          <w:szCs w:val="28"/>
          <w:rtl/>
        </w:rPr>
        <w:t xml:space="preserve">الإضافة مشفعا ببعض ما له من الأمثلة أعرف عند العقل مما أوردناه من الرسم فلا کثیر جدوی فی إطالة البحث عن قیوده نقضا و إبراما و کذا فی سائر ما أوردوه لها من التعاریف.</w:t>
      </w:r>
    </w:p>
    <w:p>
      <w:pPr>
        <w:pStyle w:val="BookText"/>
      </w:pPr>
      <w:r>
        <w:rPr>
          <w:rFonts w:ascii="IRNazanin" w:hAnsi="IRNazanin" w:eastAsia="IRNazanin" w:cs="IRNazanin"/>
          <w:lang w:bidi="fa-IR"/>
          <w:color w:val="111111"/>
          <w:sz w:val="28"/>
          <w:szCs w:val="28"/>
          <w:rtl/>
        </w:rPr>
        <w:t xml:space="preserve">ثم إنه ربما یطلق المضاف و یراد به نفس المقولة و یسمی عندهم بالمضاف الحقیقی و ربما یطلق و یراد به موضوع المقولة و ربما یطلق و یراد به الموضوع و العرض جمیعا و یسمی المضاف المشهوری فإن العامة تری أن المضاف إلی الابن مثلا هو الإنسان المتلبس بالبنوة و الحال أن التعلق من الجانبین إنما هو للإضافة نفسها بالحقیقة.</w:t>
      </w:r>
    </w:p>
    <w:p>
      <w:pPr>
        <w:pStyle w:val="Heading6"/>
      </w:pPr>
      <w:bookmarkStart w:id="1522" w:name="_Toc962"/>
      <w:r>
        <w:t>البحث الثالث</w:t>
      </w:r>
      <w:bookmarkEnd w:id="15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الإضافة موجودة فی الخارج و الحس یؤید ذلک لوقوعه علی أنواع من الإضافات الخارجیة التی لها آثار عینیة لا یرتاب فیها کإضافة الأب و الابن و العلو و السفل و القرب و البعد و غیر ذلک.</w:t>
      </w:r>
    </w:p>
    <w:p>
      <w:pPr>
        <w:pStyle w:val="BookText"/>
      </w:pPr>
      <w:r>
        <w:rPr>
          <w:rFonts w:ascii="IRNazanin" w:hAnsi="IRNazanin" w:eastAsia="IRNazanin" w:cs="IRNazanin"/>
          <w:lang w:bidi="fa-IR"/>
          <w:color w:val="111111"/>
          <w:sz w:val="28"/>
          <w:szCs w:val="28"/>
          <w:rtl/>
        </w:rPr>
        <w:t xml:space="preserve">و أما نحو وجودها فالعقل ینتزع من الموضوعین الواجدین للنسبة المتکررة المتلازمة وصفا ناعتا لهما انتزاعا من غیر ضم ضمیمة فهی موجودة بوجود موضوعها من دون أن یکون بإزائه وجود منحاز مستقل.</w:t>
      </w:r>
    </w:p>
    <w:p>
      <w:pPr>
        <w:pStyle w:val="BookText"/>
      </w:pPr>
      <w:r>
        <w:rPr>
          <w:rFonts w:ascii="IRNazanin" w:hAnsi="IRNazanin" w:eastAsia="IRNazanin" w:cs="IRNazanin"/>
          <w:lang w:bidi="fa-IR"/>
          <w:color w:val="111111"/>
          <w:sz w:val="28"/>
          <w:szCs w:val="28"/>
          <w:rtl/>
        </w:rPr>
        <w:t xml:space="preserve">قال فی الأسفار بعد کلام له فی هذا المعنی : «و بالجملة إن المضاف بما هو مضاف بسیط لیس له وجود فی الخارج مستقل مفرد بل وجوده أن یکون لاحقا بأشیاء کونها بحیث یکون لها مقایسة إلی غیرها فوجود السماء فی ذاتها وجود الجواهر و وجودها بحیث إذا قیس إلی الأرض عقلت الفوقیة وجود الإضافات» انتهی. (ج 4 ص 204).</w:t>
      </w:r>
    </w:p>
    <w:p>
      <w:pPr>
        <w:pStyle w:val="BookText"/>
      </w:pPr>
      <w:r>
        <w:rPr>
          <w:rFonts w:ascii="IRNazanin" w:hAnsi="IRNazanin" w:eastAsia="IRNazanin" w:cs="IRNazanin"/>
          <w:lang w:bidi="fa-IR"/>
          <w:color w:val="111111"/>
          <w:sz w:val="28"/>
          <w:szCs w:val="28"/>
          <w:rtl/>
        </w:rPr>
        <w:t xml:space="preserve">[شماره صفحه واقعی : 127]</w:t>
      </w:r>
    </w:p>
    <w:p>
      <w:pPr>
        <w:pStyle w:val="BookText"/>
      </w:pPr>
      <w:r>
        <w:rPr>
          <w:rFonts w:ascii="IRNazanin" w:hAnsi="IRNazanin" w:eastAsia="IRNazanin" w:cs="IRNazanin"/>
          <w:lang w:bidi="fa-IR"/>
          <w:color w:val="111111"/>
          <w:sz w:val="28"/>
          <w:szCs w:val="28"/>
          <w:rtl/>
        </w:rPr>
        <w:t xml:space="preserve">ص: 1348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542" w:name="pg14419_168064"/>
    <w:bookmarkEnd w:id="542"/>
    <w:p>
      <w:pPr>
        <w:pStyle w:val="Heading6"/>
      </w:pPr>
      <w:bookmarkStart w:id="1523" w:name="_Toc963"/>
      <w:r>
        <w:t>البحث الرابع</w:t>
      </w:r>
      <w:bookmarkEnd w:id="1523"/>
    </w:p>
    <w:p>
      <w:pPr>
        <w:pStyle w:val="BookText"/>
      </w:pPr>
      <w:r>
        <w:rPr>
          <w:rFonts w:ascii="IRNazanin" w:hAnsi="IRNazanin" w:eastAsia="IRNazanin" w:cs="IRNazanin"/>
          <w:lang w:bidi="fa-IR"/>
          <w:color w:val="111111"/>
          <w:sz w:val="28"/>
          <w:szCs w:val="28"/>
          <w:rtl/>
        </w:rPr>
        <w:t xml:space="preserve">من أحکام الإضافة أن المضافین متکافئان وجودا و عدما و قوة و فعلا فإذا کان أحدهما موجودا کان الآخر موجودا و کذا فی جانب العدم و إذا کان أحدهما بالقوة فالآخر بالقوة و کذا فی جانب الفعل.</w:t>
      </w:r>
    </w:p>
    <w:p>
      <w:pPr>
        <w:pStyle w:val="BookText"/>
      </w:pPr>
      <w:r>
        <w:rPr>
          <w:rFonts w:ascii="IRNazanin" w:hAnsi="IRNazanin" w:eastAsia="IRNazanin" w:cs="IRNazanin"/>
          <w:lang w:bidi="fa-IR"/>
          <w:color w:val="111111"/>
          <w:sz w:val="28"/>
          <w:szCs w:val="28"/>
          <w:rtl/>
        </w:rPr>
        <w:t xml:space="preserve">و اعترض علیه بأنه منقوض بالتقدم و التأخر فی أجزاء الزمان فإن المتقدم و المتأخر منها مضافان مع أن وجود أحدهما یلازم عدم الآخر و منقوض أیضا بعلمنا ببعض الأمور المستقبلة فالعلم موجود فی الحال و المعلوم معدوم لم یوجد بعد مع أن العلم و المعلوم من المضافین.</w:t>
      </w:r>
    </w:p>
    <w:p>
      <w:pPr>
        <w:pStyle w:val="BookText"/>
      </w:pPr>
      <w:r>
        <w:rPr>
          <w:rFonts w:ascii="IRNazanin" w:hAnsi="IRNazanin" w:eastAsia="IRNazanin" w:cs="IRNazanin"/>
          <w:lang w:bidi="fa-IR"/>
          <w:color w:val="111111"/>
          <w:sz w:val="28"/>
          <w:szCs w:val="28"/>
          <w:rtl/>
        </w:rPr>
        <w:t xml:space="preserve">و أجیب أما عن أول النقضین فبأن معیة أجزاء الزمان لیست آنیة بأن یکون الجزءان موجودین فی آن واحد بل معیتهما اتصالهما فی الوجود الوحدانی التدریجی الذی معیتهما فیه عین التقدم و التأخر فیه کما أن وحدة العدد عین کثرته.</w:t>
      </w:r>
    </w:p>
    <w:p>
      <w:pPr>
        <w:pStyle w:val="BookText"/>
      </w:pPr>
      <w:r>
        <w:rPr>
          <w:rFonts w:ascii="IRNazanin" w:hAnsi="IRNazanin" w:eastAsia="IRNazanin" w:cs="IRNazanin"/>
          <w:lang w:bidi="fa-IR"/>
          <w:color w:val="111111"/>
          <w:sz w:val="28"/>
          <w:szCs w:val="28"/>
          <w:rtl/>
        </w:rPr>
        <w:t xml:space="preserve">و أما عن النقض الثانی فبأن الإضافة إنما هی بین العلم و بین الصورة الحاضرة من المعلوم عند العالم و هو المعلوم بالذات دون المعلوم بالعرض الذی هو عین خارجی و الأمور المستقبلة حاضرة بصورتها المعلومة بالذات عند العالم و إن کانت غائبة بعینها الخارجیة المعلومة بالعرض علی أن الحق أن العلم عین المعلوم کما سیأتی فی مرحلة العاقل و المعقول.</w:t>
      </w:r>
    </w:p>
    <w:p>
      <w:pPr>
        <w:pStyle w:val="BookText"/>
      </w:pPr>
      <w:r>
        <w:rPr>
          <w:rFonts w:ascii="IRNazanin" w:hAnsi="IRNazanin" w:eastAsia="IRNazanin" w:cs="IRNazanin"/>
          <w:lang w:bidi="fa-IR"/>
          <w:color w:val="111111"/>
          <w:sz w:val="28"/>
          <w:szCs w:val="28"/>
          <w:rtl/>
        </w:rPr>
        <w:t xml:space="preserve">و کما یتکافی المضافان وجودا و عدما و قوة و فعلا کذلک یتکافئان عموما و خصوصا فالأبوة العامة تضایف البنوة العامة و الأبوة الشخصیة تضایف البنوة الشخصیة.</w:t>
      </w:r>
    </w:p>
    <w:p>
      <w:pPr>
        <w:pStyle w:val="BookText"/>
      </w:pPr>
      <w:r>
        <w:rPr>
          <w:rFonts w:ascii="IRNazanin" w:hAnsi="IRNazanin" w:eastAsia="IRNazanin" w:cs="IRNazanin"/>
          <w:lang w:bidi="fa-IR"/>
          <w:color w:val="111111"/>
          <w:sz w:val="28"/>
          <w:szCs w:val="28"/>
          <w:rtl/>
        </w:rPr>
        <w:t xml:space="preserve">و من خواص الإضافة أنها تعرض جمیع المقولات حتی نفسها ففی الجوهر کالأب و الابن و فی الکم المتصل کالعظیم و الصغیر و فی الکم المنفصل</w:t>
      </w:r>
    </w:p>
    <w:p>
      <w:pPr>
        <w:pStyle w:val="BookText"/>
      </w:pPr>
      <w:r>
        <w:rPr>
          <w:rFonts w:ascii="IRNazanin" w:hAnsi="IRNazanin" w:eastAsia="IRNazanin" w:cs="IRNazanin"/>
          <w:lang w:bidi="fa-IR"/>
          <w:color w:val="111111"/>
          <w:sz w:val="28"/>
          <w:szCs w:val="28"/>
          <w:rtl/>
        </w:rPr>
        <w:t xml:space="preserve">[شماره صفحه واقعی : 128]</w:t>
      </w:r>
    </w:p>
    <w:p>
      <w:pPr>
        <w:pStyle w:val="BookText"/>
      </w:pPr>
      <w:r>
        <w:rPr>
          <w:rFonts w:ascii="IRNazanin" w:hAnsi="IRNazanin" w:eastAsia="IRNazanin" w:cs="IRNazanin"/>
          <w:lang w:bidi="fa-IR"/>
          <w:color w:val="111111"/>
          <w:sz w:val="28"/>
          <w:szCs w:val="28"/>
          <w:rtl/>
        </w:rPr>
        <w:t xml:space="preserve">ص: 1349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543" w:name="pg14419_168065"/>
    <w:bookmarkEnd w:id="543"/>
    <w:p>
      <w:pPr>
        <w:pStyle w:val="BookText"/>
      </w:pPr>
      <w:r>
        <w:rPr>
          <w:rFonts w:ascii="IRNazanin" w:hAnsi="IRNazanin" w:eastAsia="IRNazanin" w:cs="IRNazanin"/>
          <w:lang w:bidi="fa-IR"/>
          <w:color w:val="111111"/>
          <w:sz w:val="28"/>
          <w:szCs w:val="28"/>
          <w:rtl/>
        </w:rPr>
        <w:t xml:space="preserve">کالکثیر و القلیل و فی الکیف کالأحر و الأبرد و فی الإضافة کالأقرب و الأبعد و فی الأین کالعالی و السافل و فی المتی کالأقدم و الأحدث و فی الوضع کالأشد انتصابا و انحناء و فی الجدة کالأکسی و الأعری و فی أن یفعل کالأقطع و الأصرم و فی أن ینفعل کالأشد تسخنا و الأضعف.</w:t>
      </w:r>
    </w:p>
    <w:p>
      <w:pPr>
        <w:pStyle w:val="Heading6"/>
      </w:pPr>
      <w:bookmarkStart w:id="1524" w:name="_Toc964"/>
      <w:r>
        <w:t>البحث الخامس</w:t>
      </w:r>
      <w:bookmarkEnd w:id="1524"/>
    </w:p>
    <w:p>
      <w:pPr>
        <w:pStyle w:val="BookText"/>
      </w:pPr>
      <w:r>
        <w:rPr>
          <w:rFonts w:ascii="IRNazanin" w:hAnsi="IRNazanin" w:eastAsia="IRNazanin" w:cs="IRNazanin"/>
          <w:lang w:bidi="fa-IR"/>
          <w:color w:val="111111"/>
          <w:sz w:val="28"/>
          <w:szCs w:val="28"/>
          <w:rtl/>
        </w:rPr>
        <w:t xml:space="preserve">تنقسم الإضافة إلی متشاکلة الأطراف و هی التی لا اختلاف بین أطرافها کالقریب و القریب و الأخ و الأخ و الجار و الجار و مختلفة الأطراف کالأب و الابن و العالی و السافل.</w:t>
      </w:r>
    </w:p>
    <w:p>
      <w:pPr>
        <w:pStyle w:val="BookText"/>
      </w:pPr>
      <w:r>
        <w:rPr>
          <w:rFonts w:ascii="IRNazanin" w:hAnsi="IRNazanin" w:eastAsia="IRNazanin" w:cs="IRNazanin"/>
          <w:lang w:bidi="fa-IR"/>
          <w:color w:val="111111"/>
          <w:sz w:val="28"/>
          <w:szCs w:val="28"/>
          <w:rtl/>
        </w:rPr>
        <w:t xml:space="preserve">و تنقسم أیضا إلی ما هو خارجی کالأب و الابن و ما هو ذهنی کالکلی و الفرد و الأعم و الأخص.</w:t>
      </w:r>
    </w:p>
    <w:p>
      <w:pPr>
        <w:pStyle w:val="Heading5"/>
      </w:pPr>
      <w:bookmarkStart w:id="1525" w:name="_Toc965"/>
      <w:r>
        <w:t>الفصل السابع عشر فی الأین</w:t>
      </w:r>
      <w:bookmarkEnd w:id="1525"/>
    </w:p>
    <w:p>
      <w:pPr>
        <w:pStyle w:val="Heading6"/>
      </w:pPr>
      <w:bookmarkStart w:id="1526" w:name="_Toc966"/>
      <w:r>
        <w:t>اشارة</w:t>
      </w:r>
      <w:bookmarkEnd w:id="15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 أبحاث</w:t>
      </w:r>
    </w:p>
    <w:p>
      <w:pPr>
        <w:pStyle w:val="Heading6"/>
      </w:pPr>
      <w:bookmarkStart w:id="1527" w:name="_Toc967"/>
      <w:r>
        <w:t>البحث الأول</w:t>
      </w:r>
      <w:bookmarkEnd w:id="1527"/>
    </w:p>
    <w:p>
      <w:pPr>
        <w:pStyle w:val="BookText"/>
      </w:pPr>
      <w:r>
        <w:rPr>
          <w:rFonts w:ascii="IRNazanin" w:hAnsi="IRNazanin" w:eastAsia="IRNazanin" w:cs="IRNazanin"/>
          <w:lang w:bidi="fa-IR"/>
          <w:color w:val="111111"/>
          <w:sz w:val="28"/>
          <w:szCs w:val="28"/>
          <w:rtl/>
        </w:rPr>
        <w:t xml:space="preserve">الأین هیئة حاصلة للجسم من نسبته إلی المکان و المکان بما له من الصفات المعروفة عندنا بدیهی الثبوت فهو الذی یصح أن ینتقل الجسم عنه و إلیه و أن یسکن فیه و أن یکون ذا وضع أی مشارا إلیه بأنه هنا أو هناک و أن یکون مقدرا له نصف و ثلث و ربع و أن یکون بحیث یمتنع حصول جسمین فی واحد منه 129 قال صدر المتألهین قده هذه أربع أمارات تصالح</w:t>
      </w:r>
    </w:p>
    <w:p>
      <w:pPr>
        <w:pStyle w:val="BookText"/>
      </w:pPr>
      <w:r>
        <w:rPr>
          <w:rFonts w:ascii="IRNazanin" w:hAnsi="IRNazanin" w:eastAsia="IRNazanin" w:cs="IRNazanin"/>
          <w:lang w:bidi="fa-IR"/>
          <w:color w:val="111111"/>
          <w:sz w:val="28"/>
          <w:szCs w:val="28"/>
          <w:rtl/>
        </w:rPr>
        <w:t xml:space="preserve">[شماره صفحه واقعی : 129]</w:t>
      </w:r>
    </w:p>
    <w:p>
      <w:pPr>
        <w:pStyle w:val="BookText"/>
      </w:pPr>
      <w:r>
        <w:rPr>
          <w:rFonts w:ascii="IRNazanin" w:hAnsi="IRNazanin" w:eastAsia="IRNazanin" w:cs="IRNazanin"/>
          <w:lang w:bidi="fa-IR"/>
          <w:color w:val="111111"/>
          <w:sz w:val="28"/>
          <w:szCs w:val="28"/>
          <w:rtl/>
        </w:rPr>
        <w:t xml:space="preserve">ص: 1350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المتنازعون لئلا یکون النزاع لفظیا ج 4 ص 39.</w:t>
      </w:r>
    </w:p>
    <w:p>
      <w:pPr>
        <w:pStyle w:val="BookText"/>
      </w:pPr>
      <w:r>
        <w:rPr>
          <w:rFonts w:ascii="IRNazanin" w:hAnsi="IRNazanin" w:eastAsia="IRNazanin" w:cs="IRNazanin"/>
          <w:lang w:bidi="fa-IR"/>
          <w:color w:val="111111"/>
          <w:sz w:val="28"/>
          <w:szCs w:val="28"/>
          <w:rtl/>
        </w:rPr>
        <w:t xml:space="preserve">و قد اختلفوا فی حقیقته علی أقوال خمسة أحدها أنه هیولی الجسم و الثانی أنه الصورة و الثالث أنه سطح من جسم یلاقی المتمکن سواء کان حاویا أو محویا له و الرابع أنه السطح الباطن من الحاوی المماس للسطح الظاهر من المحوی و هو قول المعلم الأول و تبعه الشیخان الفارابی و ابن سینا و الخامس أنه بعد یساوی أقطار الجسم المتمکن فیکون بعدا جوهریا مجردا عن المادة و هو قول أفلاطون و الرواقیین و اختاره المحقق الطوسی ره و صدر المتألهین فهذه أقوال خمسة.</w:t>
      </w:r>
    </w:p>
    <w:p>
      <w:pPr>
        <w:pStyle w:val="BookText"/>
      </w:pPr>
      <w:r>
        <w:rPr>
          <w:rFonts w:ascii="IRNazanin" w:hAnsi="IRNazanin" w:eastAsia="IRNazanin" w:cs="IRNazanin"/>
          <w:lang w:bidi="fa-IR"/>
          <w:color w:val="111111"/>
          <w:sz w:val="28"/>
          <w:szCs w:val="28"/>
          <w:rtl/>
        </w:rPr>
        <w:t xml:space="preserve">دسها قول بعضهم بإنکار المکان و إذ کانت الأمارات الأربع المذکورة آنفا بدیهیة لا یرتاب فیها فعلی المنکرین أن یرجعوه إلی مقولة الوضع فغیرها من الجوهر و سائر الأعراض لا ینطبق علیه البتة لکن یرد علیه أن الجسم ربما ینتقل من مکان إلی مکان مع عدم التغیر فی جوهره و سائر أعراضه غیر الأین و ربما یعرضه التغیر فیه مع عدم الانتقال فالمکان غیر الجمیع حتی الوضع.</w:t>
      </w:r>
    </w:p>
    <w:p>
      <w:pPr>
        <w:pStyle w:val="BookText"/>
      </w:pPr>
      <w:r>
        <w:rPr>
          <w:rFonts w:ascii="IRNazanin" w:hAnsi="IRNazanin" w:eastAsia="IRNazanin" w:cs="IRNazanin"/>
          <w:lang w:bidi="fa-IR"/>
          <w:color w:val="111111"/>
          <w:sz w:val="28"/>
          <w:szCs w:val="28"/>
          <w:rtl/>
        </w:rPr>
        <w:t xml:space="preserve">و القول بأنه الهیولی أو الصورة لا تنطبق علیه الأمارات السابقة فإن المکان یطلب بالحرکة و یترک بالحرکة و الهیولی و کذا الصورة لا تطلبان بالحرکة و لا تترکان بالحرکة و أیضا المرکب ینسب إلی الهیولی فیقال باب خشبی أو من حدید و لا ینسب إلی المکان.</w:t>
      </w:r>
    </w:p>
    <w:p>
      <w:pPr>
        <w:pStyle w:val="BookText"/>
      </w:pPr>
      <w:r>
        <w:rPr>
          <w:rFonts w:ascii="IRNazanin" w:hAnsi="IRNazanin" w:eastAsia="IRNazanin" w:cs="IRNazanin"/>
          <w:lang w:bidi="fa-IR"/>
          <w:color w:val="111111"/>
          <w:sz w:val="28"/>
          <w:szCs w:val="28"/>
          <w:rtl/>
        </w:rPr>
        <w:t xml:space="preserve">فالمعتمد هو القول بالسطح أو البعد الجوهری المجرد عن المادة و للفریقین احتجاجات و مشاجرات طویلة مذکورة فی المطولات.</w:t>
      </w:r>
    </w:p>
    <w:p>
      <w:pPr>
        <w:pStyle w:val="BookText"/>
      </w:pPr>
      <w:r>
        <w:rPr>
          <w:rFonts w:ascii="IRNazanin" w:hAnsi="IRNazanin" w:eastAsia="IRNazanin" w:cs="IRNazanin"/>
          <w:lang w:bidi="fa-IR"/>
          <w:color w:val="111111"/>
          <w:sz w:val="28"/>
          <w:szCs w:val="28"/>
          <w:rtl/>
        </w:rPr>
        <w:t xml:space="preserve">و من أقوی ما یورد علی القول بالسطح أن لازمه کون الشی‌ء ساکنا و متحرکا فی زمان واحد فالطیر الواقف فی الهواء و السمک الواقف فی الماء عند ما یجری الهواء و الماء علیهما یجب أن یکونا متحرکین لتبدل السطح المحیط بهما من الهواء و الماء و هما ساکنان بالضرورة و أیضا المکان متصف بالفراغ و</w:t>
      </w:r>
    </w:p>
    <w:p>
      <w:pPr>
        <w:pStyle w:val="BookText"/>
      </w:pPr>
      <w:r>
        <w:rPr>
          <w:rFonts w:ascii="IRNazanin" w:hAnsi="IRNazanin" w:eastAsia="IRNazanin" w:cs="IRNazanin"/>
          <w:lang w:bidi="fa-IR"/>
          <w:color w:val="111111"/>
          <w:sz w:val="28"/>
          <w:szCs w:val="28"/>
          <w:rtl/>
        </w:rPr>
        <w:t xml:space="preserve">[شماره صفحه واقعی : 130]</w:t>
      </w:r>
    </w:p>
    <w:p>
      <w:pPr>
        <w:pStyle w:val="BookText"/>
      </w:pPr>
      <w:r>
        <w:rPr>
          <w:rFonts w:ascii="IRNazanin" w:hAnsi="IRNazanin" w:eastAsia="IRNazanin" w:cs="IRNazanin"/>
          <w:lang w:bidi="fa-IR"/>
          <w:color w:val="111111"/>
          <w:sz w:val="28"/>
          <w:szCs w:val="28"/>
          <w:rtl/>
        </w:rPr>
        <w:t xml:space="preserve">ص: 1351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544" w:name="pg14419_168067"/>
    <w:bookmarkEnd w:id="544"/>
    <w:p>
      <w:pPr>
        <w:pStyle w:val="BookText"/>
      </w:pPr>
      <w:r>
        <w:rPr>
          <w:rFonts w:ascii="IRNazanin" w:hAnsi="IRNazanin" w:eastAsia="IRNazanin" w:cs="IRNazanin"/>
          <w:lang w:bidi="fa-IR"/>
          <w:color w:val="111111"/>
          <w:sz w:val="28"/>
          <w:szCs w:val="28"/>
          <w:rtl/>
        </w:rPr>
        <w:t xml:space="preserve">الامتلاء و ذلک نعت البعد لا نعت السطح.</w:t>
      </w:r>
    </w:p>
    <w:p>
      <w:pPr>
        <w:pStyle w:val="BookText"/>
      </w:pPr>
      <w:r>
        <w:rPr>
          <w:rFonts w:ascii="IRNazanin" w:hAnsi="IRNazanin" w:eastAsia="IRNazanin" w:cs="IRNazanin"/>
          <w:lang w:bidi="fa-IR"/>
          <w:color w:val="111111"/>
          <w:sz w:val="28"/>
          <w:szCs w:val="28"/>
          <w:rtl/>
        </w:rPr>
        <w:t xml:space="preserve">و من أقوی ما یورد علی القول بالبعد الجوهری المجرد أن لازمه تداخل المقدارین و هو محال فإن فیه حلول الجسم بمقداره الشخصی الذاهب فی الأقطار الثلاثة فی المکان الذی هو مقدار شخصی یساویه و رجوعهما مقدارا شخصیا واحدا و لا ریب فی امتناعه اللهم إلا أن یمنع ذلک بأن من الجائز أن یکون المانع هو الهیولی مع المقدار أو الصورة مع المقدار أو هما معه.</w:t>
      </w:r>
    </w:p>
    <w:p>
      <w:pPr>
        <w:pStyle w:val="Heading6"/>
      </w:pPr>
      <w:bookmarkStart w:id="1528" w:name="_Toc968"/>
      <w:r>
        <w:t>البحث الثانی</w:t>
      </w:r>
      <w:bookmarkEnd w:id="15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عرفت أن الأین هیئة حاصلة للشی‌ء من نسبته إلی المکان و الکلام فی کونه هیئة حاصلة من النسبة لا نفس وجود النسبة نظیر ما تقدم فی الإضافة.</w:t>
      </w:r>
    </w:p>
    <w:p>
      <w:pPr>
        <w:pStyle w:val="Heading6"/>
      </w:pPr>
      <w:bookmarkStart w:id="1529" w:name="_Toc969"/>
      <w:r>
        <w:t>البحث الثالث</w:t>
      </w:r>
      <w:bookmarkEnd w:id="1529"/>
    </w:p>
    <w:p>
      <w:pPr>
        <w:pStyle w:val="BookText"/>
      </w:pPr>
      <w:r>
        <w:rPr>
          <w:rFonts w:ascii="IRNazanin" w:hAnsi="IRNazanin" w:eastAsia="IRNazanin" w:cs="IRNazanin"/>
          <w:lang w:bidi="fa-IR"/>
          <w:color w:val="111111"/>
          <w:sz w:val="28"/>
          <w:szCs w:val="28"/>
          <w:rtl/>
        </w:rPr>
        <w:t xml:space="preserve">قد یقسم الأین إلی أول حقیقی و ثان غیر حقیقی فالأول کون الشی‌ء فی مکانه الخاص به الذی لا یسعه فیه غیره معه ککون الماء فی الکوز و الثانی نظیر قولنا فلان فی البیت فلیس البیت مشغولا به وحده بل یسعه و غیره و أبعد منه کونه فی الدار ثم فی البلد و هکذا و التقسیم غیر حقیقی و المقسم هو الأین بحسب توسع العرف العام.</w:t>
      </w:r>
    </w:p>
    <w:p>
      <w:pPr>
        <w:pStyle w:val="BookText"/>
      </w:pPr>
      <w:r>
        <w:rPr>
          <w:rFonts w:ascii="IRNazanin" w:hAnsi="IRNazanin" w:eastAsia="IRNazanin" w:cs="IRNazanin"/>
          <w:lang w:bidi="fa-IR"/>
          <w:color w:val="111111"/>
          <w:sz w:val="28"/>
          <w:szCs w:val="28"/>
          <w:rtl/>
        </w:rPr>
        <w:t xml:space="preserve">و یقرب منه تقسیمه إلی أین جنسی و هو الکون فی المکان و أین نوعی کالکون فی الهواء و أین شخصی ککون هذا الشخص فی هذا الوقت فی مکانه الحقیقی</w:t>
      </w:r>
    </w:p>
    <w:p>
      <w:pPr>
        <w:pStyle w:val="BookText"/>
      </w:pPr>
      <w:r>
        <w:rPr>
          <w:rFonts w:ascii="IRNazanin" w:hAnsi="IRNazanin" w:eastAsia="IRNazanin" w:cs="IRNazanin"/>
          <w:lang w:bidi="fa-IR"/>
          <w:color w:val="111111"/>
          <w:sz w:val="28"/>
          <w:szCs w:val="28"/>
          <w:rtl/>
        </w:rPr>
        <w:t xml:space="preserve">[شماره صفحه واقعی : 131]</w:t>
      </w:r>
    </w:p>
    <w:p>
      <w:pPr>
        <w:pStyle w:val="BookText"/>
      </w:pPr>
      <w:r>
        <w:rPr>
          <w:rFonts w:ascii="IRNazanin" w:hAnsi="IRNazanin" w:eastAsia="IRNazanin" w:cs="IRNazanin"/>
          <w:lang w:bidi="fa-IR"/>
          <w:color w:val="111111"/>
          <w:sz w:val="28"/>
          <w:szCs w:val="28"/>
          <w:rtl/>
        </w:rPr>
        <w:t xml:space="preserve">ص: 1352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545" w:name="pg14419_168068"/>
    <w:bookmarkEnd w:id="545"/>
    <w:p>
      <w:pPr>
        <w:pStyle w:val="Heading5"/>
      </w:pPr>
      <w:bookmarkStart w:id="1530" w:name="_Toc970"/>
      <w:r>
        <w:t>الفصل الثامن عشر فی المتی</w:t>
      </w:r>
      <w:bookmarkEnd w:id="1530"/>
    </w:p>
    <w:p>
      <w:pPr>
        <w:pStyle w:val="BookText"/>
      </w:pPr>
      <w:r>
        <w:rPr>
          <w:rFonts w:ascii="IRNazanin" w:hAnsi="IRNazanin" w:eastAsia="IRNazanin" w:cs="IRNazanin"/>
          <w:lang w:bidi="fa-IR"/>
          <w:color w:val="111111"/>
          <w:sz w:val="28"/>
          <w:szCs w:val="28"/>
          <w:rtl/>
        </w:rPr>
        <w:t xml:space="preserve">و هو الهیئة الحاصلة للشی‌ء من نسبته إلی الزمان سیأتی إن شاء الله أن لکل حرکة بما لها من الوجود السیال التدریجی مقدارا غیر قار یخصها و یغایر ما لغیرها من الامتداد غیر القار.</w:t>
      </w:r>
    </w:p>
    <w:p>
      <w:pPr>
        <w:pStyle w:val="BookText"/>
      </w:pPr>
      <w:r>
        <w:rPr>
          <w:rFonts w:ascii="IRNazanin" w:hAnsi="IRNazanin" w:eastAsia="IRNazanin" w:cs="IRNazanin"/>
          <w:lang w:bidi="fa-IR"/>
          <w:color w:val="111111"/>
          <w:sz w:val="28"/>
          <w:szCs w:val="28"/>
          <w:rtl/>
        </w:rPr>
        <w:t xml:space="preserve">فلکل حرکة خاصة واحدة بالعدد زمان خاص واحد بالعدد غیر أن بعض هذه الأزمنة یقبل الانطباق علی بعض و الزمان العام المستمر الذی نقدر به الحرکات زمان الحرکة الیومیة المأخوذ مقیاسا نقیس به الأزمنة و الحرکات فیتعین به نسب بعضها إلی بعض بالتقدم و التأخر و الطول و القصر و للحوادث بحسب ما لها من النسبة إلی الزمان هیئة حاصلة لها هی المتی.</w:t>
      </w:r>
    </w:p>
    <w:p>
      <w:pPr>
        <w:pStyle w:val="BookText"/>
      </w:pPr>
      <w:r>
        <w:rPr>
          <w:rFonts w:ascii="IRNazanin" w:hAnsi="IRNazanin" w:eastAsia="IRNazanin" w:cs="IRNazanin"/>
          <w:lang w:bidi="fa-IR"/>
          <w:color w:val="111111"/>
          <w:sz w:val="28"/>
          <w:szCs w:val="28"/>
          <w:rtl/>
        </w:rPr>
        <w:t xml:space="preserve">و یقرب الکلام فی المتی من الکلام فی الأین فهناک متی یخص الحرکة لا یسع معها غیرها و هو المتی الأول الحقیقی و منه ما یعمها و غیرها ککون هذه الحرکة الواقعة فی ساعة کذا أو فی یوم کذا أو فی شهر کذا أو فی سنة کذا أو فی قرن کذا و هکذا و الفرق بین الأین و المتی فی هذا الباب أن الزمان الخاص الواحد یشترک فیه کثیرون بانطباقها علیه بخلاف الأین الخاص الواحد فلا یسع إلا جسما واحدا.</w:t>
      </w:r>
    </w:p>
    <w:p>
      <w:pPr>
        <w:pStyle w:val="BookText"/>
      </w:pPr>
      <w:r>
        <w:rPr>
          <w:rFonts w:ascii="IRNazanin" w:hAnsi="IRNazanin" w:eastAsia="IRNazanin" w:cs="IRNazanin"/>
          <w:lang w:bidi="fa-IR"/>
          <w:color w:val="111111"/>
          <w:sz w:val="28"/>
          <w:szCs w:val="28"/>
          <w:rtl/>
        </w:rPr>
        <w:t xml:space="preserve">و ینقسم المتی نوع انقسام بانقسام الحوادث الزمانیة فمنها ما هی تدریجیة الوجود ینطبق علی الزمان نفسه و منها ما هی آنیة الوجود ینتسب إلی طرف الزمان کالوصولات و المماسات و الانفصالات.</w:t>
      </w:r>
    </w:p>
    <w:p>
      <w:pPr>
        <w:pStyle w:val="BookText"/>
      </w:pPr>
      <w:r>
        <w:rPr>
          <w:rFonts w:ascii="IRNazanin" w:hAnsi="IRNazanin" w:eastAsia="IRNazanin" w:cs="IRNazanin"/>
          <w:lang w:bidi="fa-IR"/>
          <w:color w:val="111111"/>
          <w:sz w:val="28"/>
          <w:szCs w:val="28"/>
          <w:rtl/>
        </w:rPr>
        <w:t xml:space="preserve">و ینقسم أیضا کما قیل إلی ما بالذات و ما بالعرض فما بالذات متی</w:t>
      </w:r>
    </w:p>
    <w:p>
      <w:pPr>
        <w:pStyle w:val="BookText"/>
      </w:pPr>
      <w:r>
        <w:rPr>
          <w:rFonts w:ascii="IRNazanin" w:hAnsi="IRNazanin" w:eastAsia="IRNazanin" w:cs="IRNazanin"/>
          <w:lang w:bidi="fa-IR"/>
          <w:color w:val="111111"/>
          <w:sz w:val="28"/>
          <w:szCs w:val="28"/>
          <w:rtl/>
        </w:rPr>
        <w:t xml:space="preserve">[شماره صفحه واقعی : 132]</w:t>
      </w:r>
    </w:p>
    <w:p>
      <w:pPr>
        <w:pStyle w:val="BookText"/>
      </w:pPr>
      <w:r>
        <w:rPr>
          <w:rFonts w:ascii="IRNazanin" w:hAnsi="IRNazanin" w:eastAsia="IRNazanin" w:cs="IRNazanin"/>
          <w:lang w:bidi="fa-IR"/>
          <w:color w:val="111111"/>
          <w:sz w:val="28"/>
          <w:szCs w:val="28"/>
          <w:rtl/>
        </w:rPr>
        <w:t xml:space="preserve">ص: 1353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546" w:name="pg14419_168069"/>
    <w:bookmarkEnd w:id="546"/>
    <w:p>
      <w:pPr>
        <w:pStyle w:val="BookText"/>
      </w:pPr>
      <w:r>
        <w:rPr>
          <w:rFonts w:ascii="IRNazanin" w:hAnsi="IRNazanin" w:eastAsia="IRNazanin" w:cs="IRNazanin"/>
          <w:lang w:bidi="fa-IR"/>
          <w:color w:val="111111"/>
          <w:sz w:val="28"/>
          <w:szCs w:val="28"/>
          <w:rtl/>
        </w:rPr>
        <w:t xml:space="preserve">الحرکات المنطبقة علی الزمان بذاتها و ما بالعرض متی المتحرکات المنطبقة علیه بواسطة حرکاتها و أما بحسب جوهر ذاتها فلا متی لها و هذا مبنی علی منع الحرکة الجوهریة و أما علی القول بها کما سیأتی إن شاء الله فلا فرق بین الحرکة و المتحرک فی ذلک و ینقسم أیضا بانقسام المقولات الواقعة فیها الحرکات</w:t>
      </w:r>
    </w:p>
    <w:p>
      <w:pPr>
        <w:pStyle w:val="Heading5"/>
      </w:pPr>
      <w:bookmarkStart w:id="1531" w:name="_Toc971"/>
      <w:r>
        <w:t>الفصل التاسع عشر فی الوضع</w:t>
      </w:r>
      <w:bookmarkEnd w:id="1531"/>
    </w:p>
    <w:p>
      <w:pPr>
        <w:pStyle w:val="Heading6"/>
      </w:pPr>
      <w:bookmarkStart w:id="1532" w:name="_Toc972"/>
      <w:r>
        <w:t>اشارة</w:t>
      </w:r>
      <w:bookmarkEnd w:id="15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الوضع هو الهیئة الحاصلة للشی‌ء من نسبة بعض أجزائه إلی بعض و المجموع إلی الخارج کهیئة القیام و القعود و الاستلقاء و الانبطاح.</w:t>
      </w:r>
    </w:p>
    <w:p>
      <w:pPr>
        <w:pStyle w:val="BookText"/>
      </w:pPr>
      <w:r>
        <w:rPr>
          <w:rFonts w:ascii="IRNazanin" w:hAnsi="IRNazanin" w:eastAsia="IRNazanin" w:cs="IRNazanin"/>
          <w:lang w:bidi="fa-IR"/>
          <w:color w:val="111111"/>
          <w:sz w:val="28"/>
          <w:szCs w:val="28"/>
          <w:rtl/>
        </w:rPr>
        <w:t xml:space="preserve">و ینقسم الوضع إلی ما بالطبع و ما لا بالطبع أما الذی بالطبع فکاستقرار الشجرة علی أصلها و ساقها و الذی لا بالطبع ف کحال ساکن البیت من البیت و ینقسم إلی ما بالفعل و ما بالقوة.</w:t>
      </w:r>
    </w:p>
    <w:p>
      <w:pPr>
        <w:pStyle w:val="BookText"/>
      </w:pPr>
      <w:r>
        <w:rPr>
          <w:rFonts w:ascii="IRNazanin" w:hAnsi="IRNazanin" w:eastAsia="IRNazanin" w:cs="IRNazanin"/>
          <w:lang w:bidi="fa-IR"/>
          <w:color w:val="111111"/>
          <w:sz w:val="28"/>
          <w:szCs w:val="28"/>
          <w:rtl/>
        </w:rPr>
        <w:t xml:space="preserve">قیل الوضع مما یقع فیه التضاد و الشدة و الضعف أما التضاد فمثل کون الإنسان رأسه إلی السماء و رجلاه إلی الأرض مضادا لوضعه إذا کان معکوسا و الوضعان معنیان وجودیان متعاقبان علی موضوع واحد من غیر أن یجتمعا فیه و بینهما غایة الخلاف و کذا الحال فی الاستلقاء و الانبطاح و أما الشدة فکالأشد انتصابا أو الأکثر انحناء.</w:t>
      </w:r>
    </w:p>
    <w:p>
      <w:pPr>
        <w:pStyle w:val="BookText"/>
      </w:pPr>
      <w:r>
        <w:rPr>
          <w:rFonts w:ascii="IRNazanin" w:hAnsi="IRNazanin" w:eastAsia="IRNazanin" w:cs="IRNazanin"/>
          <w:lang w:bidi="fa-IR"/>
          <w:color w:val="111111"/>
          <w:sz w:val="28"/>
          <w:szCs w:val="28"/>
          <w:rtl/>
        </w:rPr>
        <w:t xml:space="preserve">و فی تصویر غایة الخلاف فی الوضع خفاء فلیتأمّل.</w:t>
      </w:r>
    </w:p>
    <w:p>
      <w:pPr>
        <w:pStyle w:val="Heading6"/>
      </w:pPr>
      <w:bookmarkStart w:id="1533" w:name="_Toc973"/>
      <w:r>
        <w:t>تنبیه</w:t>
      </w:r>
      <w:bookmarkEnd w:id="1533"/>
    </w:p>
    <w:p>
      <w:pPr>
        <w:pStyle w:val="BookText"/>
      </w:pPr>
      <w:r>
        <w:rPr>
          <w:rFonts w:ascii="IRNazanin" w:hAnsi="IRNazanin" w:eastAsia="IRNazanin" w:cs="IRNazanin"/>
          <w:lang w:bidi="fa-IR"/>
          <w:color w:val="111111"/>
          <w:sz w:val="28"/>
          <w:szCs w:val="28"/>
          <w:rtl/>
        </w:rPr>
        <w:t xml:space="preserve">للوضع معنیان آخران غیر المعنی المقولی أحدهما کون الشی‌ء قابلا</w:t>
      </w:r>
    </w:p>
    <w:p>
      <w:pPr>
        <w:pStyle w:val="BookText"/>
      </w:pPr>
      <w:r>
        <w:rPr>
          <w:rFonts w:ascii="IRNazanin" w:hAnsi="IRNazanin" w:eastAsia="IRNazanin" w:cs="IRNazanin"/>
          <w:lang w:bidi="fa-IR"/>
          <w:color w:val="111111"/>
          <w:sz w:val="28"/>
          <w:szCs w:val="28"/>
          <w:rtl/>
        </w:rPr>
        <w:t xml:space="preserve">[شماره صفحه واقعی : 133]</w:t>
      </w:r>
    </w:p>
    <w:p>
      <w:pPr>
        <w:pStyle w:val="BookText"/>
      </w:pPr>
      <w:r>
        <w:rPr>
          <w:rFonts w:ascii="IRNazanin" w:hAnsi="IRNazanin" w:eastAsia="IRNazanin" w:cs="IRNazanin"/>
          <w:lang w:bidi="fa-IR"/>
          <w:color w:val="111111"/>
          <w:sz w:val="28"/>
          <w:szCs w:val="28"/>
          <w:rtl/>
        </w:rPr>
        <w:t xml:space="preserve">ص: 1354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547" w:name="pg14419_168070"/>
    <w:bookmarkEnd w:id="547"/>
    <w:p>
      <w:pPr>
        <w:pStyle w:val="BookText"/>
      </w:pPr>
      <w:r>
        <w:rPr>
          <w:rFonts w:ascii="IRNazanin" w:hAnsi="IRNazanin" w:eastAsia="IRNazanin" w:cs="IRNazanin"/>
          <w:lang w:bidi="fa-IR"/>
          <w:color w:val="111111"/>
          <w:sz w:val="28"/>
          <w:szCs w:val="28"/>
          <w:rtl/>
        </w:rPr>
        <w:t xml:space="preserve">للإشارة الحسیة و الإشارة کما نقل عن الشفاء تعیین الجهة التی تخص الشی‌ء من جهات هذا العالم و علیه فکل جسم و جسمانی یقبل الوضع بهذا المعنی فالنقطة ذات وضع بخلاف الوحدة.</w:t>
      </w:r>
    </w:p>
    <w:p>
      <w:pPr>
        <w:pStyle w:val="BookText"/>
      </w:pPr>
      <w:r>
        <w:rPr>
          <w:rFonts w:ascii="IRNazanin" w:hAnsi="IRNazanin" w:eastAsia="IRNazanin" w:cs="IRNazanin"/>
          <w:lang w:bidi="fa-IR"/>
          <w:color w:val="111111"/>
          <w:sz w:val="28"/>
          <w:szCs w:val="28"/>
          <w:rtl/>
        </w:rPr>
        <w:t xml:space="preserve">و ثانیهما معنی أخص من الأول و هو کون الکم قابلا للإشارة الحسیة بحیث یقال أین هو من الجهات و أین بعض أجزائه المتصلة به من بعض.</w:t>
      </w:r>
    </w:p>
    <w:p>
      <w:pPr>
        <w:pStyle w:val="BookText"/>
      </w:pPr>
      <w:r>
        <w:rPr>
          <w:rFonts w:ascii="IRNazanin" w:hAnsi="IRNazanin" w:eastAsia="IRNazanin" w:cs="IRNazanin"/>
          <w:lang w:bidi="fa-IR"/>
          <w:color w:val="111111"/>
          <w:sz w:val="28"/>
          <w:szCs w:val="28"/>
          <w:rtl/>
        </w:rPr>
        <w:t xml:space="preserve">لکن نوقش فیه بأن الخط و السطح بل الجسم التعلیمی لا أین لها لو لا تعلقها بالمادة الجسمانیة فلا یکفی مجرد الاتصال الکمی فی إیجاب قبول الإشارة الحسیة حتی یقارن المادة نعم للصورة الخیالیة المجردة من الکم إشارة خیالیة و کذا للصورة العقلیة إشارة تسانخها.</w:t>
      </w:r>
    </w:p>
    <w:p>
      <w:pPr>
        <w:pStyle w:val="Heading5"/>
      </w:pPr>
      <w:bookmarkStart w:id="1534" w:name="_Toc974"/>
      <w:r>
        <w:t>الفصل العشرون فی الجدة</w:t>
      </w:r>
      <w:bookmarkEnd w:id="1534"/>
    </w:p>
    <w:p>
      <w:pPr>
        <w:pStyle w:val="BookText"/>
      </w:pPr>
      <w:r>
        <w:rPr>
          <w:rFonts w:ascii="IRNazanin" w:hAnsi="IRNazanin" w:eastAsia="IRNazanin" w:cs="IRNazanin"/>
          <w:lang w:bidi="fa-IR"/>
          <w:color w:val="111111"/>
          <w:sz w:val="28"/>
          <w:szCs w:val="28"/>
          <w:rtl/>
        </w:rPr>
        <w:t xml:space="preserve">و تسمی أیضا الملک و هی الهیئة الحاصلة من إحاطة شی‌ء بشی‌ء بحیث ینتقل المحیط بانتقال المحاط و الموضوع هو المحاط فالإحاطة التامة کإحاطة إهاب الحیوان به و الإحاطة الناقصة کما فی التقمص و التنعل و التختم و نحو ذلک و تنقسم إلی جدة طبیعیة کما فی المثال الأول و غیر طبیعیة کما فی غیره من الأمثلة.</w:t>
      </w:r>
    </w:p>
    <w:p>
      <w:pPr>
        <w:pStyle w:val="BookText"/>
      </w:pPr>
      <w:r>
        <w:rPr>
          <w:rFonts w:ascii="IRNazanin" w:hAnsi="IRNazanin" w:eastAsia="IRNazanin" w:cs="IRNazanin"/>
          <w:lang w:bidi="fa-IR"/>
          <w:color w:val="111111"/>
          <w:sz w:val="28"/>
          <w:szCs w:val="28"/>
          <w:rtl/>
        </w:rPr>
        <w:t xml:space="preserve">قال فی الأسفار : «و قد یعبر عن الملک بمقولة له فمنه طبیعی ککون القوی للنفس و منه اعتبار خارجی ککون الفرس لزید ففی الحقیقة الملک یخالف هذا الاصطلاح فإن هذا من مقولة المضاف لا غیر» انتهی. (ج 4 ص 223).</w:t>
      </w:r>
    </w:p>
    <w:p>
      <w:pPr>
        <w:pStyle w:val="BookText"/>
      </w:pPr>
      <w:r>
        <w:rPr>
          <w:rFonts w:ascii="IRNazanin" w:hAnsi="IRNazanin" w:eastAsia="IRNazanin" w:cs="IRNazanin"/>
          <w:lang w:bidi="fa-IR"/>
          <w:color w:val="111111"/>
          <w:sz w:val="28"/>
          <w:szCs w:val="28"/>
          <w:rtl/>
        </w:rPr>
        <w:t xml:space="preserve">و الحق أن الملک الحقیقی الذی فی مثل کون القوی للنفس حیثیة وجودیة</w:t>
      </w:r>
    </w:p>
    <w:p>
      <w:pPr>
        <w:pStyle w:val="BookText"/>
      </w:pPr>
      <w:r>
        <w:rPr>
          <w:rFonts w:ascii="IRNazanin" w:hAnsi="IRNazanin" w:eastAsia="IRNazanin" w:cs="IRNazanin"/>
          <w:lang w:bidi="fa-IR"/>
          <w:color w:val="111111"/>
          <w:sz w:val="28"/>
          <w:szCs w:val="28"/>
          <w:rtl/>
        </w:rPr>
        <w:t xml:space="preserve">[شماره صفحه واقعی : 134]</w:t>
      </w:r>
    </w:p>
    <w:p>
      <w:pPr>
        <w:pStyle w:val="BookText"/>
      </w:pPr>
      <w:r>
        <w:rPr>
          <w:rFonts w:ascii="IRNazanin" w:hAnsi="IRNazanin" w:eastAsia="IRNazanin" w:cs="IRNazanin"/>
          <w:lang w:bidi="fa-IR"/>
          <w:color w:val="111111"/>
          <w:sz w:val="28"/>
          <w:szCs w:val="28"/>
          <w:rtl/>
        </w:rPr>
        <w:t xml:space="preserve">ص: 1355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548" w:name="pg14419_168071"/>
    <w:bookmarkEnd w:id="548"/>
    <w:p>
      <w:pPr>
        <w:pStyle w:val="BookText"/>
      </w:pPr>
      <w:r>
        <w:rPr>
          <w:rFonts w:ascii="IRNazanin" w:hAnsi="IRNazanin" w:eastAsia="IRNazanin" w:cs="IRNazanin"/>
          <w:lang w:bidi="fa-IR"/>
          <w:color w:val="111111"/>
          <w:sz w:val="28"/>
          <w:szCs w:val="28"/>
          <w:rtl/>
        </w:rPr>
        <w:t xml:space="preserve">هی قیام وجود شی‌ء بشی‌ء بحیث یختص به فیتصرف فیه کیف شاء فلیس معنی مقولیا و الملک الاعتباری الذی فی مثل کون الفرس لزید اعتبار للملک الحقیقی دون مقولة الإضافة و سنشیر إن شاء الله إلی هذا البحث فی مرحلة العاقل و المعقول</w:t>
      </w:r>
    </w:p>
    <w:p>
      <w:pPr>
        <w:pStyle w:val="Heading5"/>
      </w:pPr>
      <w:bookmarkStart w:id="1535" w:name="_Toc975"/>
      <w:r>
        <w:t>الفصل الحادی و العشرون فی مقولتی أن یفعل و أن ینفعل</w:t>
      </w:r>
      <w:bookmarkEnd w:id="15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أما الأول فهو هیئة غیر قارة حاصلة فی الشی‌ء المؤثر من تأثیره ما دام یؤثر کتسخین المسخن ما دام یسخن و تبرید المبرد ما دام یبرد.</w:t>
      </w:r>
    </w:p>
    <w:p>
      <w:pPr>
        <w:pStyle w:val="BookText"/>
      </w:pPr>
      <w:r>
        <w:rPr>
          <w:rFonts w:ascii="IRNazanin" w:hAnsi="IRNazanin" w:eastAsia="IRNazanin" w:cs="IRNazanin"/>
          <w:lang w:bidi="fa-IR"/>
          <w:color w:val="111111"/>
          <w:sz w:val="28"/>
          <w:szCs w:val="28"/>
          <w:rtl/>
        </w:rPr>
        <w:t xml:space="preserve">و أما الثانی فهو هیئة غیر قارة حاصلة فی المتأثر ما دام یتأثر کتسخن المتسخن ما دام یتسخن و تبرد المتبرد ما دام یتبرد.</w:t>
      </w:r>
    </w:p>
    <w:p>
      <w:pPr>
        <w:pStyle w:val="BookText"/>
      </w:pPr>
      <w:r>
        <w:rPr>
          <w:rFonts w:ascii="IRNazanin" w:hAnsi="IRNazanin" w:eastAsia="IRNazanin" w:cs="IRNazanin"/>
          <w:lang w:bidi="fa-IR"/>
          <w:color w:val="111111"/>
          <w:sz w:val="28"/>
          <w:szCs w:val="28"/>
          <w:rtl/>
        </w:rPr>
        <w:t xml:space="preserve">و من خاصة هاتین المقولتین أولا کما یظهر من الأمثلة أنهما تعرضان غیرهما من المقولات کالکیف و الکم و الوضع و غیرها و ثانیا أن معروضهما من حیث هو معروض لا یخلو عن حرکة و لذا عبر عنهما بلفظ أن یفعل و أن ینفعل الظاهرین فی الحرکة و التدرج دون الفعل و الانفعال الذین ربما یستعملان فی التأثیر و التأثر الدفعی غیر التدریجی و بالجملة المقولتان هیئتان عارضتان لمعروضهما من جملة ما له من الحرکة.</w:t>
      </w:r>
    </w:p>
    <w:p>
      <w:pPr>
        <w:pStyle w:val="BookText"/>
      </w:pPr>
      <w:r>
        <w:rPr>
          <w:rFonts w:ascii="IRNazanin" w:hAnsi="IRNazanin" w:eastAsia="IRNazanin" w:cs="IRNazanin"/>
          <w:lang w:bidi="fa-IR"/>
          <w:color w:val="111111"/>
          <w:sz w:val="28"/>
          <w:szCs w:val="28"/>
          <w:rtl/>
        </w:rPr>
        <w:t xml:space="preserve">قال فی الأسفار : «و اعلم أن وجود کل منهما فی الخارج لیس عبارة عن نفس السلوک إلی مرتبة فإنه بعینه معنی الحرکة و لا أیضا وجود کل منهما وجود المقولات التی یقع بها التحریک و التحرک کالکیف مثل السواد و الکم مثل مقدار الجسم النامی أو الوضع کالجلوس و الانتصاب و لا غیر ذلک.</w:t>
      </w:r>
    </w:p>
    <w:p>
      <w:pPr>
        <w:pStyle w:val="BookText"/>
      </w:pPr>
      <w:r>
        <w:rPr>
          <w:rFonts w:ascii="IRNazanin" w:hAnsi="IRNazanin" w:eastAsia="IRNazanin" w:cs="IRNazanin"/>
          <w:lang w:bidi="fa-IR"/>
          <w:color w:val="111111"/>
          <w:sz w:val="28"/>
          <w:szCs w:val="28"/>
          <w:rtl/>
        </w:rPr>
        <w:t xml:space="preserve">بل وجودهما عبارة عن وجود شی‌ء من هذه المقولات ما دام یؤثر أو یتأثر</w:t>
      </w:r>
    </w:p>
    <w:p>
      <w:pPr>
        <w:pStyle w:val="BookText"/>
      </w:pPr>
      <w:r>
        <w:rPr>
          <w:rFonts w:ascii="IRNazanin" w:hAnsi="IRNazanin" w:eastAsia="IRNazanin" w:cs="IRNazanin"/>
          <w:lang w:bidi="fa-IR"/>
          <w:color w:val="111111"/>
          <w:sz w:val="28"/>
          <w:szCs w:val="28"/>
          <w:rtl/>
        </w:rPr>
        <w:t xml:space="preserve">[شماره صفحه واقعی : 135]</w:t>
      </w:r>
    </w:p>
    <w:p>
      <w:pPr>
        <w:pStyle w:val="BookText"/>
      </w:pPr>
      <w:r>
        <w:rPr>
          <w:rFonts w:ascii="IRNazanin" w:hAnsi="IRNazanin" w:eastAsia="IRNazanin" w:cs="IRNazanin"/>
          <w:lang w:bidi="fa-IR"/>
          <w:color w:val="111111"/>
          <w:sz w:val="28"/>
          <w:szCs w:val="28"/>
          <w:rtl/>
        </w:rPr>
        <w:t xml:space="preserve">ص: 1356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فوجود السواد أو السخونة مثلا من حیث إنه سواد من باب مقولة الکیف و وجود کل منهما من حیث کونه تدریجیا یحصل منه تدریجی آخر أو یحصل من تدریجی آخر هو من مقولة أن یفعل أو أن ینفعل.</w:t>
      </w:r>
    </w:p>
    <w:p>
      <w:pPr>
        <w:pStyle w:val="BookText"/>
      </w:pPr>
      <w:r>
        <w:rPr>
          <w:rFonts w:ascii="IRNazanin" w:hAnsi="IRNazanin" w:eastAsia="IRNazanin" w:cs="IRNazanin"/>
          <w:lang w:bidi="fa-IR"/>
          <w:color w:val="111111"/>
          <w:sz w:val="28"/>
          <w:szCs w:val="28"/>
          <w:rtl/>
        </w:rPr>
        <w:t xml:space="preserve">و أما نفس سلوکه التدریجی أی خروجه من القوة إلی الفعل سواء کان فی جانب الفاعل أو فی جانب المنفعل فهو عین الحرکة لا غیر فقد ثبت نحو ثبوتهما فی الخارج و عرضیتهما» انتهی. (ج 4 ص 225).</w:t>
      </w:r>
    </w:p>
    <w:p>
      <w:pPr>
        <w:pStyle w:val="BookText"/>
      </w:pPr>
      <w:r>
        <w:rPr>
          <w:rFonts w:ascii="IRNazanin" w:hAnsi="IRNazanin" w:eastAsia="IRNazanin" w:cs="IRNazanin"/>
          <w:lang w:bidi="fa-IR"/>
          <w:color w:val="111111"/>
          <w:sz w:val="28"/>
          <w:szCs w:val="28"/>
          <w:rtl/>
        </w:rPr>
        <w:t xml:space="preserve">و أما الإشکال فی وجود المقولتین بأن تأثیر المؤثر یمتنع أن یکون وصفا ثبوتیا زائدا علی ذات المؤثر و إلا افتقر إلی تأثیر آخر فی ذلک التأثیر و ننقل الکلام إلیه فیتسلسل ذاهبا إلی غیر النهایة و هو محصور بین حاصرین المؤثر و المتأثر.</w:t>
      </w:r>
    </w:p>
    <w:p>
      <w:pPr>
        <w:pStyle w:val="BookText"/>
      </w:pPr>
      <w:r>
        <w:rPr>
          <w:rFonts w:ascii="IRNazanin" w:hAnsi="IRNazanin" w:eastAsia="IRNazanin" w:cs="IRNazanin"/>
          <w:lang w:bidi="fa-IR"/>
          <w:color w:val="111111"/>
          <w:sz w:val="28"/>
          <w:szCs w:val="28"/>
          <w:rtl/>
        </w:rPr>
        <w:t xml:space="preserve">و یجری نظیر الإشکال فی زیادة تأثر المتأثر علی ذات المتأثر فلو کان قبول الأثر زائدا علی ذات القابل احتاج إلی قبول آخر و ننقل الکلام إلیه فیتسلسل و هو محصور بین حاصرین فالتأثیر و التأثر سواء کانا دفعیین أو تدریجیین وصفان عدمیان غیر موجودین فی الخارج.</w:t>
      </w:r>
    </w:p>
    <w:p>
      <w:pPr>
        <w:pStyle w:val="BookText"/>
      </w:pPr>
      <w:r>
        <w:rPr>
          <w:rFonts w:ascii="IRNazanin" w:hAnsi="IRNazanin" w:eastAsia="IRNazanin" w:cs="IRNazanin"/>
          <w:lang w:bidi="fa-IR"/>
          <w:color w:val="111111"/>
          <w:sz w:val="28"/>
          <w:szCs w:val="28"/>
          <w:rtl/>
        </w:rPr>
        <w:t xml:space="preserve">فیدفعه أنه إنما یتم فیما کان الأثر الثبوتی المفروض موجودا بوجود منحاز یحتاج إلی تأثیر منحاز جدید یخصه و أما لو کان ثابتا بثبوت أمر آخر فهو مجعول بعین الجعل المتعلق بمتبوعه و التأثیر و التأثر التدریجیان موجودان بعین إیجاد الکیف کالسواد فی المسود و المتسود و لا دلیل علی وجود الشی‌ء أقوی من صدق مفهومه علی عین خارجی فی قضیة خارجیة</w:t>
      </w:r>
    </w:p>
    <w:p>
      <w:pPr>
        <w:pStyle w:val="BookText"/>
      </w:pPr>
      <w:r>
        <w:rPr>
          <w:rFonts w:ascii="IRNazanin" w:hAnsi="IRNazanin" w:eastAsia="IRNazanin" w:cs="IRNazanin"/>
          <w:lang w:bidi="fa-IR"/>
          <w:color w:val="111111"/>
          <w:sz w:val="28"/>
          <w:szCs w:val="28"/>
          <w:rtl/>
        </w:rPr>
        <w:t xml:space="preserve">[شماره صفحه واقعی : 136]</w:t>
      </w:r>
    </w:p>
    <w:p>
      <w:pPr>
        <w:pStyle w:val="BookText"/>
      </w:pPr>
      <w:r>
        <w:rPr>
          <w:rFonts w:ascii="IRNazanin" w:hAnsi="IRNazanin" w:eastAsia="IRNazanin" w:cs="IRNazanin"/>
          <w:lang w:bidi="fa-IR"/>
          <w:color w:val="111111"/>
          <w:sz w:val="28"/>
          <w:szCs w:val="28"/>
          <w:rtl/>
        </w:rPr>
        <w:t xml:space="preserve">ص: 1357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549" w:name="pg14419_168073"/>
    <w:bookmarkEnd w:id="549"/>
    <w:p>
      <w:pPr>
        <w:pStyle w:val="Heading4"/>
      </w:pPr>
      <w:bookmarkStart w:id="1536" w:name="_Toc976"/>
      <w:r>
        <w:t>المرحلة السابعة فی الواحد و الکثیر</w:t>
      </w:r>
      <w:bookmarkEnd w:id="1536"/>
    </w:p>
    <w:p>
      <w:pPr>
        <w:pStyle w:val="Heading5"/>
      </w:pPr>
      <w:bookmarkStart w:id="1537" w:name="_Toc977"/>
      <w:r>
        <w:t>اشارة</w:t>
      </w:r>
      <w:bookmarkEnd w:id="153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فیها تسعة فصول</w:t>
      </w:r>
    </w:p>
    <w:p>
      <w:pPr>
        <w:pStyle w:val="BookText"/>
      </w:pPr>
      <w:r>
        <w:rPr>
          <w:rFonts w:ascii="IRNazanin" w:hAnsi="IRNazanin" w:eastAsia="IRNazanin" w:cs="IRNazanin"/>
          <w:lang w:bidi="fa-IR"/>
          <w:color w:val="111111"/>
          <w:sz w:val="28"/>
          <w:szCs w:val="28"/>
          <w:rtl/>
        </w:rPr>
        <w:t xml:space="preserve">[شماره صفحه واقعی : 137]</w:t>
      </w:r>
    </w:p>
    <w:p>
      <w:pPr>
        <w:pStyle w:val="BookText"/>
      </w:pPr>
      <w:r>
        <w:rPr>
          <w:rFonts w:ascii="IRNazanin" w:hAnsi="IRNazanin" w:eastAsia="IRNazanin" w:cs="IRNazanin"/>
          <w:lang w:bidi="fa-IR"/>
          <w:color w:val="111111"/>
          <w:sz w:val="28"/>
          <w:szCs w:val="28"/>
          <w:rtl/>
        </w:rPr>
        <w:t xml:space="preserve">ص: 1358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550" w:name="pg14419_168074"/>
    <w:bookmarkEnd w:id="550"/>
    <w:p>
      <w:pPr>
        <w:pStyle w:val="Heading5"/>
      </w:pPr>
      <w:bookmarkStart w:id="1538" w:name="_Toc978"/>
      <w:r>
        <w:t>الفصل الأول فی أن مفهوم الوحدة و الکثرة بدیهی غنی عن التعریف</w:t>
      </w:r>
      <w:bookmarkEnd w:id="1538"/>
    </w:p>
    <w:p>
      <w:pPr>
        <w:pStyle w:val="Heading6"/>
      </w:pPr>
      <w:bookmarkStart w:id="1539" w:name="_Toc979"/>
      <w:r>
        <w:t>اشارة</w:t>
      </w:r>
      <w:bookmarkEnd w:id="1539"/>
    </w:p>
    <w:p>
      <w:pPr>
        <w:pStyle w:val="BookText"/>
      </w:pPr>
      <w:r>
        <w:rPr>
          <w:rFonts w:ascii="IRNazanin" w:hAnsi="IRNazanin" w:eastAsia="IRNazanin" w:cs="IRNazanin"/>
          <w:lang w:bidi="fa-IR"/>
          <w:color w:val="111111"/>
          <w:sz w:val="28"/>
          <w:szCs w:val="28"/>
          <w:rtl/>
        </w:rPr>
        <w:t xml:space="preserve">ینقسم الموجود إلی الواحد و الکثیر فکل موجود إما واحد و إما کثیر و الحق أن الوحدة و الکثرة من المفاهیم العامة الضروریة التصور المستغنیة عن التعریف کالوجوب و الإمکان و لذا کان ما عرفوهما به من التعریف لا یخلو من دور و تعریف الشی‌ء بنفسه کتعریف الواحد بأنه الذی لا ینقسم من الجهة التی یقال إنه واحد ففیه أخذ الانقسام الذی هو الکثرة فی تعریف الواحد مضافا إلی کونه تعریفا للواحد بالواحد ثم تعریف الکثیر بأنه المجتمع من الوحدات و فیه أخذ الوحدة فی تعریف الکثیر و قد کانت الکثرة مأخوذة فی حد الواحد و هو الدور مضافا إلی کونه تعریفا للکثیر بالمجتمع و هو الکثیر بعینه فالحق أن تعریفهما بما عرفا به تعریف لفظی یراد به التنبیه علی معناهما و تمییزه من بین المعانی المخزونة عند النفس فالواحد هو الذی لا ینقسم من حیث إنه لا ینقسم و التقیید بالحیثیة لیندرج فیه الواحد غیر الحقیقی الذی ینقسم من بعض الوجوه و الکثیر هو الذی ینقسم من حیث إنه ینقسم بعین ما فی البوحده.</w:t>
      </w:r>
    </w:p>
    <w:p>
      <w:pPr>
        <w:pStyle w:val="BookText"/>
      </w:pPr>
      <w:r>
        <w:rPr>
          <w:rFonts w:ascii="IRNazanin" w:hAnsi="IRNazanin" w:eastAsia="IRNazanin" w:cs="IRNazanin"/>
          <w:lang w:bidi="fa-IR"/>
          <w:color w:val="111111"/>
          <w:sz w:val="28"/>
          <w:szCs w:val="28"/>
          <w:rtl/>
        </w:rPr>
        <w:t xml:space="preserve">فقد تحصل أن الموجود ینقسم إلی الواحد و الکثیر و هما معنیان متباینان تباین أحد القسمین للآخر.</w:t>
      </w:r>
    </w:p>
    <w:p>
      <w:pPr>
        <w:pStyle w:val="BookText"/>
      </w:pPr>
      <w:r>
        <w:rPr>
          <w:rFonts w:ascii="IRNazanin" w:hAnsi="IRNazanin" w:eastAsia="IRNazanin" w:cs="IRNazanin"/>
          <w:lang w:bidi="fa-IR"/>
          <w:color w:val="111111"/>
          <w:sz w:val="28"/>
          <w:szCs w:val="28"/>
          <w:rtl/>
        </w:rPr>
        <w:t xml:space="preserve">[شماره صفحه واقعی : 138]</w:t>
      </w:r>
    </w:p>
    <w:p>
      <w:pPr>
        <w:pStyle w:val="BookText"/>
      </w:pPr>
      <w:r>
        <w:rPr>
          <w:rFonts w:ascii="IRNazanin" w:hAnsi="IRNazanin" w:eastAsia="IRNazanin" w:cs="IRNazanin"/>
          <w:lang w:bidi="fa-IR"/>
          <w:color w:val="111111"/>
          <w:sz w:val="28"/>
          <w:szCs w:val="28"/>
          <w:rtl/>
        </w:rPr>
        <w:t xml:space="preserve">ص: 1359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551" w:name="pg14419_168075"/>
    <w:bookmarkEnd w:id="551"/>
    <w:p>
      <w:pPr>
        <w:pStyle w:val="Heading6"/>
      </w:pPr>
      <w:bookmarkStart w:id="1540" w:name="_Toc980"/>
      <w:r>
        <w:t>تنبیه</w:t>
      </w:r>
      <w:bookmarkEnd w:id="1540"/>
    </w:p>
    <w:p>
      <w:pPr>
        <w:pStyle w:val="BookText"/>
      </w:pPr>
      <w:r>
        <w:rPr>
          <w:rFonts w:ascii="IRNazanin" w:hAnsi="IRNazanin" w:eastAsia="IRNazanin" w:cs="IRNazanin"/>
          <w:lang w:bidi="fa-IR"/>
          <w:color w:val="111111"/>
          <w:sz w:val="28"/>
          <w:szCs w:val="28"/>
          <w:rtl/>
        </w:rPr>
        <w:t xml:space="preserve">قالوا إن الوحدة تساوق الوجود فکل موجود فهو واحد من جهة أنه موجود حتی أن الکثرة الموجودة من حیث هی موجودة کثرة واحدة کما یشهد بذلک عروض العدد لها و العدد مؤلف من آحاد یقال کثرة واحدة و کثرتان و کثرات ثلاث و عشرة واحدة و عشرتان و عشرات ثلاث و هکذا.</w:t>
      </w:r>
    </w:p>
    <w:p>
      <w:pPr>
        <w:pStyle w:val="BookText"/>
      </w:pPr>
      <w:r>
        <w:rPr>
          <w:rFonts w:ascii="IRNazanin" w:hAnsi="IRNazanin" w:eastAsia="IRNazanin" w:cs="IRNazanin"/>
          <w:lang w:bidi="fa-IR"/>
          <w:color w:val="111111"/>
          <w:sz w:val="28"/>
          <w:szCs w:val="28"/>
          <w:rtl/>
        </w:rPr>
        <w:t xml:space="preserve">و ربما یتوهم أن انقسام الموجود إلی الواحد و الکثیر ینافی کون الواحد مساوقا للموجود و ذلک أن الکثیر من حیث هو کثیر موجود لمکان الانقسام المذکور و الکثیر من حیث هو کثیر لیس بواحد ینتج أن بعض الموجود لیس بواحد و هو یناقض قولهم کل موجود فهو واحد.</w:t>
      </w:r>
    </w:p>
    <w:p>
      <w:pPr>
        <w:pStyle w:val="BookText"/>
      </w:pPr>
      <w:r>
        <w:rPr>
          <w:rFonts w:ascii="IRNazanin" w:hAnsi="IRNazanin" w:eastAsia="IRNazanin" w:cs="IRNazanin"/>
          <w:lang w:bidi="fa-IR"/>
          <w:color w:val="111111"/>
          <w:sz w:val="28"/>
          <w:szCs w:val="28"/>
          <w:rtl/>
        </w:rPr>
        <w:t xml:space="preserve">و یدفعه أن للواحد اعتبارین اعتباره فی نفسه من غیر قیاس بعض مصادیقه إلی بعض فیساوق الموجود و یعم مصادیقه من واحد و کثیر و اعتباره بقیاس بعض مصادیقه إلی بعض فهناک مصادیق لا یوجد فیها من معنی عدم الانقسام ما یوجد فی مصادیق أخر کالعشرة التی لا یوجد فیها من معنی عدم الانقسام ما یوجد فی الواحد و إن کان فیها ذلک إذا قیس إلی العشرات فالکثیر الذی لیس بالواحد هو المقیس من حیث هو مقیس و الذی یقابله هو الواحد بالاعتبار الثانی و أما الواحد بالاعتبار الأول فهو یعم الواحد و الکثیر القسیمین جمیعا.</w:t>
      </w:r>
    </w:p>
    <w:p>
      <w:pPr>
        <w:pStyle w:val="BookText"/>
      </w:pPr>
      <w:r>
        <w:rPr>
          <w:rFonts w:ascii="IRNazanin" w:hAnsi="IRNazanin" w:eastAsia="IRNazanin" w:cs="IRNazanin"/>
          <w:lang w:bidi="fa-IR"/>
          <w:color w:val="111111"/>
          <w:sz w:val="28"/>
          <w:szCs w:val="28"/>
          <w:rtl/>
        </w:rPr>
        <w:t xml:space="preserve">و نظیر ذلک انقسام مطلق الموجود إلی ما بالقوة و ما بالفعل مع مساوقة ما بالفعل لمطلق الموجود و انقسام الوجود إلی ذهنی و خارجی یترتب علیه الآثار مع مساوقة الخارجی المترتب علیه الآثار لمطلق الوجود فکل ذلک من الاختلافات التشکیکیة التی لحقیقة الوجود المشککة.</w:t>
      </w:r>
    </w:p>
    <w:p>
      <w:pPr>
        <w:pStyle w:val="BookText"/>
      </w:pPr>
      <w:r>
        <w:rPr>
          <w:rFonts w:ascii="IRNazanin" w:hAnsi="IRNazanin" w:eastAsia="IRNazanin" w:cs="IRNazanin"/>
          <w:lang w:bidi="fa-IR"/>
          <w:color w:val="111111"/>
          <w:sz w:val="28"/>
          <w:szCs w:val="28"/>
          <w:rtl/>
        </w:rPr>
        <w:t xml:space="preserve">و نظیر هذا التوهم ما ربما یتوهم أن الوحدة من المعانی الانتزاعیة العقلیة</w:t>
      </w:r>
    </w:p>
    <w:p>
      <w:pPr>
        <w:pStyle w:val="BookText"/>
      </w:pPr>
      <w:r>
        <w:rPr>
          <w:rFonts w:ascii="IRNazanin" w:hAnsi="IRNazanin" w:eastAsia="IRNazanin" w:cs="IRNazanin"/>
          <w:lang w:bidi="fa-IR"/>
          <w:color w:val="111111"/>
          <w:sz w:val="28"/>
          <w:szCs w:val="28"/>
          <w:rtl/>
        </w:rPr>
        <w:t xml:space="preserve">[شماره صفحه واقعی : 139]</w:t>
      </w:r>
    </w:p>
    <w:p>
      <w:pPr>
        <w:pStyle w:val="BookText"/>
      </w:pPr>
      <w:r>
        <w:rPr>
          <w:rFonts w:ascii="IRNazanin" w:hAnsi="IRNazanin" w:eastAsia="IRNazanin" w:cs="IRNazanin"/>
          <w:lang w:bidi="fa-IR"/>
          <w:color w:val="111111"/>
          <w:sz w:val="28"/>
          <w:szCs w:val="28"/>
          <w:rtl/>
        </w:rPr>
        <w:t xml:space="preserve">ص: 1360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552" w:name="pg14419_168076"/>
    <w:bookmarkEnd w:id="552"/>
    <w:p>
      <w:pPr>
        <w:pStyle w:val="BookText"/>
      </w:pPr>
      <w:r>
        <w:rPr>
          <w:rFonts w:ascii="IRNazanin" w:hAnsi="IRNazanin" w:eastAsia="IRNazanin" w:cs="IRNazanin"/>
          <w:lang w:bidi="fa-IR"/>
          <w:color w:val="111111"/>
          <w:sz w:val="28"/>
          <w:szCs w:val="28"/>
          <w:rtl/>
        </w:rPr>
        <w:t xml:space="preserve">و لو کانت حقیقة خارجیة لکانت لها وحدة و لوحدتها وحدة و هلم جرا فیتسلسل.</w:t>
      </w:r>
    </w:p>
    <w:p>
      <w:pPr>
        <w:pStyle w:val="BookText"/>
      </w:pPr>
      <w:r>
        <w:rPr>
          <w:rFonts w:ascii="IRNazanin" w:hAnsi="IRNazanin" w:eastAsia="IRNazanin" w:cs="IRNazanin"/>
          <w:lang w:bidi="fa-IR"/>
          <w:color w:val="111111"/>
          <w:sz w:val="28"/>
          <w:szCs w:val="28"/>
          <w:rtl/>
        </w:rPr>
        <w:t xml:space="preserve">و یدفعه أن وحدتها عین ذاتها فهی واحدة بذاتها نظیر ما تقدم فی الوجود أنه موجود بذاته من غیر حاجة إلی وجود زائد علی ذاته</w:t>
      </w:r>
    </w:p>
    <w:p>
      <w:pPr>
        <w:pStyle w:val="Heading5"/>
      </w:pPr>
      <w:bookmarkStart w:id="1541" w:name="_Toc981"/>
      <w:r>
        <w:t>الفصل الثانی فی أقسام الواحد</w:t>
      </w:r>
      <w:bookmarkEnd w:id="154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الواحد إما حقیقی و إما غیر حقیقی و الحقیقی ما اتصف بالوحدة لذاته من غیر واسطة فی العروض کالإنسان الواحد و غیر الحقیقی بخلافه کالإنسان و الفرس المتحدین فی الحیوان و ینتهی لا محالة إلی واحد حقیقی.</w:t>
      </w:r>
    </w:p>
    <w:p>
      <w:pPr>
        <w:pStyle w:val="BookText"/>
      </w:pPr>
      <w:r>
        <w:rPr>
          <w:rFonts w:ascii="IRNazanin" w:hAnsi="IRNazanin" w:eastAsia="IRNazanin" w:cs="IRNazanin"/>
          <w:lang w:bidi="fa-IR"/>
          <w:color w:val="111111"/>
          <w:sz w:val="28"/>
          <w:szCs w:val="28"/>
          <w:rtl/>
        </w:rPr>
        <w:t xml:space="preserve">و الواحد الحقیقی إما ذات هی عین الوحدة و إما ذات متصفة بالوحدة و الأول هو صرف الشی‌ء الذی لا یتثنی و لا یتکرر و تسمی وحدته وحدة حقة و الواحد و الوحدة هناک شی‌ء واحد و الثانی کالإنسان الواحد.</w:t>
      </w:r>
    </w:p>
    <w:p>
      <w:pPr>
        <w:pStyle w:val="BookText"/>
      </w:pPr>
      <w:r>
        <w:rPr>
          <w:rFonts w:ascii="IRNazanin" w:hAnsi="IRNazanin" w:eastAsia="IRNazanin" w:cs="IRNazanin"/>
          <w:lang w:bidi="fa-IR"/>
          <w:color w:val="111111"/>
          <w:sz w:val="28"/>
          <w:szCs w:val="28"/>
          <w:rtl/>
        </w:rPr>
        <w:t xml:space="preserve">و الواحد بالوحدة غیر الحقة إما واحد بالخصوص و إما واحد بالعموم و الأول هو الواحد بالعدد الذی یفعل بتکرره العدد و الثانی کالنوع الواحد و الجنس الواحد.</w:t>
      </w:r>
    </w:p>
    <w:p>
      <w:pPr>
        <w:pStyle w:val="BookText"/>
      </w:pPr>
      <w:r>
        <w:rPr>
          <w:rFonts w:ascii="IRNazanin" w:hAnsi="IRNazanin" w:eastAsia="IRNazanin" w:cs="IRNazanin"/>
          <w:lang w:bidi="fa-IR"/>
          <w:color w:val="111111"/>
          <w:sz w:val="28"/>
          <w:szCs w:val="28"/>
          <w:rtl/>
        </w:rPr>
        <w:t xml:space="preserve">و الواحد بالخصوص إما أن لا ینقسم من حیث طبیعته المعروضة للوحدة أیضا کما لا ینقسم من حیث صفة وحدته أو ینقسم و الأول إما نفس مفهوم الوحدة و عدم الانقسام و إما غیره و غیره إما وضعی کالنقطة الواحدة و إما غیر وضعی کالمفارق و هو إما متعلق بالمادة بوجه کالنفس المتعلقة بالمادة فی فعلها و إما غیر متعلق بها أصلا کالعقل و الثانی و هو الذی یقبل الانقسام بحسب طبیعته المعروضة للوحدة إما أن یقبله بالذات کالمقدار الواحد و إما</w:t>
      </w:r>
    </w:p>
    <w:p>
      <w:pPr>
        <w:pStyle w:val="BookText"/>
      </w:pPr>
      <w:r>
        <w:rPr>
          <w:rFonts w:ascii="IRNazanin" w:hAnsi="IRNazanin" w:eastAsia="IRNazanin" w:cs="IRNazanin"/>
          <w:lang w:bidi="fa-IR"/>
          <w:color w:val="111111"/>
          <w:sz w:val="28"/>
          <w:szCs w:val="28"/>
          <w:rtl/>
        </w:rPr>
        <w:t xml:space="preserve">[شماره صفحه واقعی : 140]</w:t>
      </w:r>
    </w:p>
    <w:p>
      <w:pPr>
        <w:pStyle w:val="BookText"/>
      </w:pPr>
      <w:r>
        <w:rPr>
          <w:rFonts w:ascii="IRNazanin" w:hAnsi="IRNazanin" w:eastAsia="IRNazanin" w:cs="IRNazanin"/>
          <w:lang w:bidi="fa-IR"/>
          <w:color w:val="111111"/>
          <w:sz w:val="28"/>
          <w:szCs w:val="28"/>
          <w:rtl/>
        </w:rPr>
        <w:t xml:space="preserve">ص: 1361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553" w:name="pg14419_168077"/>
    <w:bookmarkEnd w:id="553"/>
    <w:p>
      <w:pPr>
        <w:pStyle w:val="BookText"/>
      </w:pPr>
      <w:r>
        <w:rPr>
          <w:rFonts w:ascii="IRNazanin" w:hAnsi="IRNazanin" w:eastAsia="IRNazanin" w:cs="IRNazanin"/>
          <w:lang w:bidi="fa-IR"/>
          <w:color w:val="111111"/>
          <w:sz w:val="28"/>
          <w:szCs w:val="28"/>
          <w:rtl/>
        </w:rPr>
        <w:t xml:space="preserve">أن یقبله بالعرض کالجسم الطبیعی الواحد من جهة مقداره.</w:t>
      </w:r>
    </w:p>
    <w:p>
      <w:pPr>
        <w:pStyle w:val="BookText"/>
      </w:pPr>
      <w:r>
        <w:rPr>
          <w:rFonts w:ascii="IRNazanin" w:hAnsi="IRNazanin" w:eastAsia="IRNazanin" w:cs="IRNazanin"/>
          <w:lang w:bidi="fa-IR"/>
          <w:color w:val="111111"/>
          <w:sz w:val="28"/>
          <w:szCs w:val="28"/>
          <w:rtl/>
        </w:rPr>
        <w:t xml:space="preserve">و الواحد بالعموم إما واحد بالعموم المفهومی و إما واحد بالعموم بمعنی السعة الوجودیة و الأول إما واحد نوعی کالإنسان و إما واحد جنسی کالحیوان و إما واحد عرضی کالماشی و الضاحک و الواحد بالعموم بمعنی السعة الوجودیة کالوجود المنبسط.</w:t>
      </w:r>
    </w:p>
    <w:p>
      <w:pPr>
        <w:pStyle w:val="BookText"/>
      </w:pPr>
      <w:r>
        <w:rPr>
          <w:rFonts w:ascii="IRNazanin" w:hAnsi="IRNazanin" w:eastAsia="IRNazanin" w:cs="IRNazanin"/>
          <w:lang w:bidi="fa-IR"/>
          <w:color w:val="111111"/>
          <w:sz w:val="28"/>
          <w:szCs w:val="28"/>
          <w:rtl/>
        </w:rPr>
        <w:t xml:space="preserve">و الواحد غیر الحقیقی و هو ما اتصف بالوحدة بعرض غیره لاتحاده به نوعا من الاتحاد کزید و عمرو المتحدین فی الإنسان و الإنسان و الفرس المتحدین فی الحیوان و یختلف أسماء الواحد غیر الحقیقی باختلاف جهة الوحدة فالاتحاد فی معنی النوع یسمی تماثلا و فی معنی الجنس تجانسا و فی الکیف تشابها و فی الکم تساویا و فی الوضع توازیا و تطابقا.</w:t>
      </w:r>
    </w:p>
    <w:p>
      <w:pPr>
        <w:pStyle w:val="BookText"/>
      </w:pPr>
      <w:r>
        <w:rPr>
          <w:rFonts w:ascii="IRNazanin" w:hAnsi="IRNazanin" w:eastAsia="IRNazanin" w:cs="IRNazanin"/>
          <w:lang w:bidi="fa-IR"/>
          <w:color w:val="111111"/>
          <w:sz w:val="28"/>
          <w:szCs w:val="28"/>
          <w:rtl/>
        </w:rPr>
        <w:t xml:space="preserve">و وجود کل من الأقسام المذکورة ظاهر و کذا کون الوحدة واقعة علی أقسامها وقوع المشکک علی مصادیقه بالاختلاف کذا قرروا.</w:t>
      </w:r>
    </w:p>
    <w:p>
      <w:pPr>
        <w:pStyle w:val="Heading5"/>
      </w:pPr>
      <w:bookmarkStart w:id="1542" w:name="_Toc982"/>
      <w:r>
        <w:t>الفصل الثالث فی أن من لوازم الوحدة الهوهویة و من لوازم الکثرة الغیریة</w:t>
      </w:r>
      <w:bookmarkEnd w:id="15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من عوارض الوحدة الهوهویة کما أن من عوارض الکثرة الغیریة و المراد بالهوهویة الاتحاد من جهة ما مع الاختلاف من جهة ما و لازم ذلک صحة الحمل بین کل مختلفین بینهما اتحاد ما و إن اختص الحمل بحسب التعارف ببعض أقسام الاتحاد.</w:t>
      </w:r>
    </w:p>
    <w:p>
      <w:pPr>
        <w:pStyle w:val="BookText"/>
      </w:pPr>
      <w:r>
        <w:rPr>
          <w:rFonts w:ascii="IRNazanin" w:hAnsi="IRNazanin" w:eastAsia="IRNazanin" w:cs="IRNazanin"/>
          <w:lang w:bidi="fa-IR"/>
          <w:color w:val="111111"/>
          <w:sz w:val="28"/>
          <w:szCs w:val="28"/>
          <w:rtl/>
        </w:rPr>
        <w:t xml:space="preserve">و اعترض علیه بأن لازم عموم صحة الحمل فی کل اتحاد ما من مختلفین هو</w:t>
      </w:r>
    </w:p>
    <w:p>
      <w:pPr>
        <w:pStyle w:val="BookText"/>
      </w:pPr>
      <w:r>
        <w:rPr>
          <w:rFonts w:ascii="IRNazanin" w:hAnsi="IRNazanin" w:eastAsia="IRNazanin" w:cs="IRNazanin"/>
          <w:lang w:bidi="fa-IR"/>
          <w:color w:val="111111"/>
          <w:sz w:val="28"/>
          <w:szCs w:val="28"/>
          <w:rtl/>
        </w:rPr>
        <w:t xml:space="preserve">[شماره صفحه واقعی : 141]</w:t>
      </w:r>
    </w:p>
    <w:p>
      <w:pPr>
        <w:pStyle w:val="BookText"/>
      </w:pPr>
      <w:r>
        <w:rPr>
          <w:rFonts w:ascii="IRNazanin" w:hAnsi="IRNazanin" w:eastAsia="IRNazanin" w:cs="IRNazanin"/>
          <w:lang w:bidi="fa-IR"/>
          <w:color w:val="111111"/>
          <w:sz w:val="28"/>
          <w:szCs w:val="28"/>
          <w:rtl/>
        </w:rPr>
        <w:t xml:space="preserve">ص: 1362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الحمل فی الواحد المتصل المقداری الذی له أجزاء کثیرة بالقوة موجودة بوجود واحد بالفعل بأن یحمل بعض أجزائه علی بعض و بعض أجزائه علی الکل و بالعکس فیقال هذا النصف من الذراع هو النصف الآخر و هذا النصف هو الکل أو کله هو نصفه و بطلانه ضروری.</w:t>
      </w:r>
    </w:p>
    <w:p>
      <w:pPr>
        <w:pStyle w:val="BookText"/>
      </w:pPr>
      <w:r>
        <w:rPr>
          <w:rFonts w:ascii="IRNazanin" w:hAnsi="IRNazanin" w:eastAsia="IRNazanin" w:cs="IRNazanin"/>
          <w:lang w:bidi="fa-IR"/>
          <w:color w:val="111111"/>
          <w:sz w:val="28"/>
          <w:szCs w:val="28"/>
          <w:rtl/>
        </w:rPr>
        <w:t xml:space="preserve">و الجواب کما أفاده صدر المتألهین قده أن المتصل الوحدانی ما لم ینقسم بواحد من أنحاء القسمة خارجا أو ذهنا لم یتحقق فیه کثرة أصلا فلم یتحقق شرط الحمل الذی هو وحدة ما مع کثرة ما فلم یتحقق حمل و إذا انقسم بأحد أنحاء القسمة بطلت هویته الواحدة و انعدم الاتصال الذی هو جهة وحدته فلم یتحقق شرط الحمل الذی هو کثرة ما مع وحدة ما فلم یتحقق حمل.</w:t>
      </w:r>
    </w:p>
    <w:p>
      <w:pPr>
        <w:pStyle w:val="BookText"/>
      </w:pPr>
      <w:r>
        <w:rPr>
          <w:rFonts w:ascii="IRNazanin" w:hAnsi="IRNazanin" w:eastAsia="IRNazanin" w:cs="IRNazanin"/>
          <w:lang w:bidi="fa-IR"/>
          <w:color w:val="111111"/>
          <w:sz w:val="28"/>
          <w:szCs w:val="28"/>
          <w:rtl/>
        </w:rPr>
        <w:t xml:space="preserve">فقد تبین أن بین کل مختلفین من وجه متحدین من وجه حملا إذا جامع الاتحاد الاختلاف لکن التعارف العامی کما أشرنا إلیه خص الحمل علی موردین من الاتحاد مع الاختلاف.</w:t>
      </w:r>
    </w:p>
    <w:p>
      <w:pPr>
        <w:pStyle w:val="BookText"/>
      </w:pPr>
      <w:r>
        <w:rPr>
          <w:rFonts w:ascii="IRNazanin" w:hAnsi="IRNazanin" w:eastAsia="IRNazanin" w:cs="IRNazanin"/>
          <w:lang w:bidi="fa-IR"/>
          <w:color w:val="111111"/>
          <w:sz w:val="28"/>
          <w:szCs w:val="28"/>
          <w:rtl/>
        </w:rPr>
        <w:t xml:space="preserve">أحدهما أن یتحد الموضوع و المحمول مفهوما مع اختلافهما بنوع من الاعتبار کالاختلاف بالإجمال و التفصیل فی قولنا الإنسان حیوان ناطق فإن الحد عین المحدود مفهوما و إنما یختلفان بالإجمال و التفصیل و الاختلاف بالإبهام و غیره فی قولنا الإنسان حیوان فإن الجنس هو النوع مبهما و الاختلاف بالتحصیل و غیره فی قولنا الإنسان ناطق فإن الفصل هو النوع محصلا کما مر فی مباحث الماهیة و کالاختلاف بفرض الشی‌ء مسلوبا عن نفسه فیغایر نفسه نفسه ثم یحمل علی نفسه لدفع توهم المغایرة فیقال مثلا الإنسان إنسان و لما کان هذا الحمل ربما یعتبر فی الوجود العینی کان الأصوب أن یعرف باتحاد الموضوع و المحمول ذاتا و یسمی هذا الحمل حملا أولیا ذاتیا.</w:t>
      </w:r>
    </w:p>
    <w:p>
      <w:pPr>
        <w:pStyle w:val="BookText"/>
      </w:pPr>
      <w:r>
        <w:rPr>
          <w:rFonts w:ascii="IRNazanin" w:hAnsi="IRNazanin" w:eastAsia="IRNazanin" w:cs="IRNazanin"/>
          <w:lang w:bidi="fa-IR"/>
          <w:color w:val="111111"/>
          <w:sz w:val="28"/>
          <w:szCs w:val="28"/>
          <w:rtl/>
        </w:rPr>
        <w:t xml:space="preserve">و ثانیهما أن یختلفا مفهوما و یتحدا وجودا کما فی قولنا زید إنسان</w:t>
      </w:r>
    </w:p>
    <w:p>
      <w:pPr>
        <w:pStyle w:val="BookText"/>
      </w:pPr>
      <w:r>
        <w:rPr>
          <w:rFonts w:ascii="IRNazanin" w:hAnsi="IRNazanin" w:eastAsia="IRNazanin" w:cs="IRNazanin"/>
          <w:lang w:bidi="fa-IR"/>
          <w:color w:val="111111"/>
          <w:sz w:val="28"/>
          <w:szCs w:val="28"/>
          <w:rtl/>
        </w:rPr>
        <w:t xml:space="preserve">[شماره صفحه واقعی : 142]</w:t>
      </w:r>
    </w:p>
    <w:p>
      <w:pPr>
        <w:pStyle w:val="BookText"/>
      </w:pPr>
      <w:r>
        <w:rPr>
          <w:rFonts w:ascii="IRNazanin" w:hAnsi="IRNazanin" w:eastAsia="IRNazanin" w:cs="IRNazanin"/>
          <w:lang w:bidi="fa-IR"/>
          <w:color w:val="111111"/>
          <w:sz w:val="28"/>
          <w:szCs w:val="28"/>
          <w:rtl/>
        </w:rPr>
        <w:t xml:space="preserve">ص: 1363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554" w:name="pg14419_168079"/>
    <w:bookmarkEnd w:id="554"/>
    <w:p>
      <w:pPr>
        <w:pStyle w:val="BookText"/>
      </w:pPr>
      <w:r>
        <w:rPr>
          <w:rFonts w:ascii="IRNazanin" w:hAnsi="IRNazanin" w:eastAsia="IRNazanin" w:cs="IRNazanin"/>
          <w:lang w:bidi="fa-IR"/>
          <w:color w:val="111111"/>
          <w:sz w:val="28"/>
          <w:szCs w:val="28"/>
          <w:rtl/>
        </w:rPr>
        <w:t xml:space="preserve">و قولنا القطن أبیض و قولنا الضاحک متعجب و یسمی هذا الحمل حملا شائعا صناعیا.</w:t>
      </w:r>
    </w:p>
    <w:p>
      <w:pPr>
        <w:pStyle w:val="BookText"/>
      </w:pPr>
      <w:r>
        <w:rPr>
          <w:rFonts w:ascii="IRNazanin" w:hAnsi="IRNazanin" w:eastAsia="IRNazanin" w:cs="IRNazanin"/>
          <w:lang w:bidi="fa-IR"/>
          <w:color w:val="111111"/>
          <w:sz w:val="28"/>
          <w:szCs w:val="28"/>
          <w:rtl/>
        </w:rPr>
        <w:t xml:space="preserve">و هاهنا نکتة یجب التنبیه علیها و هی أنه قد تقدم فی المباحث السابقة أن الوجود ینقسم إلی ما فی نفسه و ما فی غیره و ینقسم أیضا إلی ما لنفسه و ما لغیره و هو الوجود النعتی و تقدم أیضا امتناع أن توجد ماهیتان بوجود واحد نفسی بأن یطرد وجود واحد العدم عن نفس ماهیتین متباینتین و هو وحدة الکثیر المستحیلة عقلا.</w:t>
      </w:r>
    </w:p>
    <w:p>
      <w:pPr>
        <w:pStyle w:val="BookText"/>
      </w:pPr>
      <w:r>
        <w:rPr>
          <w:rFonts w:ascii="IRNazanin" w:hAnsi="IRNazanin" w:eastAsia="IRNazanin" w:cs="IRNazanin"/>
          <w:lang w:bidi="fa-IR"/>
          <w:color w:val="111111"/>
          <w:sz w:val="28"/>
          <w:szCs w:val="28"/>
          <w:rtl/>
        </w:rPr>
        <w:t xml:space="preserve">و من هنا یتبین أن الحمل الذی هو اتحاد المختلفین بوجه لا یتحقق فی وجود المختلفین النفسی و إنما یتحقق فی الوجود النعتی بأن یکون أحد المختلفین ناعتا بوجوده للآخر و الآخر منعوتا به و بعبارة أخری أحد المختلفین هو الذات بوجوده النفسی و الآخر هو الوصف بوجوده النفسی و اتحادهما فی الوجود النعتی الذی یعطیه الوصف للذات و هذا معنی قول المنطقیین إن القضیة تنحل إلی عقدین عقد الوضع و لا یعتبر فیه إلا الذات و ما فیه من الوصف عنوان مشیر إلی الذات فحسب و عقد الحمل و المعتبر فیه الوصف فقط</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هاهنا نوع ثالث من الحمل یستعمله الحکیم مسمی بحمل الحقیقة و الرقیقة مبنی علی اتحاد الموضوع و المحمول فی أصل الوجود و اختلافهما بالکمال و النقص یفید وجود الناقص فی الکامل بنحو أعلی و أشرف و اشتمال المرتبة العالیة من الوجود علی کمال ما دونها من المراتب.</w:t>
      </w:r>
    </w:p>
    <w:p>
      <w:pPr>
        <w:pStyle w:val="Heading5"/>
      </w:pPr>
      <w:bookmarkStart w:id="1543" w:name="_Toc983"/>
      <w:r>
        <w:t>الفصل الرابع فی انقسام الحمل إلی هو هو و ذی هو</w:t>
      </w:r>
      <w:bookmarkEnd w:id="1543"/>
    </w:p>
    <w:p>
      <w:pPr>
        <w:pStyle w:val="BookText"/>
      </w:pPr>
      <w:r>
        <w:rPr>
          <w:rFonts w:ascii="IRNazanin" w:hAnsi="IRNazanin" w:eastAsia="IRNazanin" w:cs="IRNazanin"/>
          <w:lang w:bidi="fa-IR"/>
          <w:color w:val="111111"/>
          <w:sz w:val="28"/>
          <w:szCs w:val="28"/>
          <w:rtl/>
        </w:rPr>
        <w:t xml:space="preserve">ینقسم الحمل إلی حمل هو هو و حمل ذی هو و الأول ما یثبت فیه المحمول</w:t>
      </w:r>
    </w:p>
    <w:p>
      <w:pPr>
        <w:pStyle w:val="BookText"/>
      </w:pPr>
      <w:r>
        <w:rPr>
          <w:rFonts w:ascii="IRNazanin" w:hAnsi="IRNazanin" w:eastAsia="IRNazanin" w:cs="IRNazanin"/>
          <w:lang w:bidi="fa-IR"/>
          <w:color w:val="111111"/>
          <w:sz w:val="28"/>
          <w:szCs w:val="28"/>
          <w:rtl/>
        </w:rPr>
        <w:t xml:space="preserve">[شماره صفحه واقعی : 143]</w:t>
      </w:r>
    </w:p>
    <w:p>
      <w:pPr>
        <w:pStyle w:val="BookText"/>
      </w:pPr>
      <w:r>
        <w:rPr>
          <w:rFonts w:ascii="IRNazanin" w:hAnsi="IRNazanin" w:eastAsia="IRNazanin" w:cs="IRNazanin"/>
          <w:lang w:bidi="fa-IR"/>
          <w:color w:val="111111"/>
          <w:sz w:val="28"/>
          <w:szCs w:val="28"/>
          <w:rtl/>
        </w:rPr>
        <w:t xml:space="preserve">ص: 1364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للموضوع بلا توقف علی اعتبار أمر زائد کقولنا الإنسان ضاحک و یسمی أیضا حمل المواطاة و الثانی أن یتوقف ثبوت المحمول للموضوع علی اعتبار أمر زائد کتقدیر ذی أو الاشتقاق کقولنا زید عدل أی ذو عدل أو عادل.</w:t>
      </w:r>
    </w:p>
    <w:p>
      <w:pPr>
        <w:pStyle w:val="BookText"/>
      </w:pPr>
      <w:r>
        <w:rPr>
          <w:rFonts w:ascii="IRNazanin" w:hAnsi="IRNazanin" w:eastAsia="IRNazanin" w:cs="IRNazanin"/>
          <w:lang w:bidi="fa-IR"/>
          <w:color w:val="111111"/>
          <w:sz w:val="28"/>
          <w:szCs w:val="28"/>
          <w:rtl/>
        </w:rPr>
        <w:t xml:space="preserve">و ینقسم أیضا إلی بتی و غیر بتی و الأول ما کان لموضوعه أفراد محققة یصدق علیها بعنوانه کقولنا الإنسان کاتب و الکاتب متحرک الأصابع و الثانی ما کان لموضوعه أفراد مقدرة غیر محققة کقولنا المعدوم المطلق لا یخبر عنه و قولنا اجتماع النقیضین محال.</w:t>
      </w:r>
    </w:p>
    <w:p>
      <w:pPr>
        <w:pStyle w:val="BookText"/>
      </w:pPr>
      <w:r>
        <w:rPr>
          <w:rFonts w:ascii="IRNazanin" w:hAnsi="IRNazanin" w:eastAsia="IRNazanin" w:cs="IRNazanin"/>
          <w:lang w:bidi="fa-IR"/>
          <w:color w:val="111111"/>
          <w:sz w:val="28"/>
          <w:szCs w:val="28"/>
          <w:rtl/>
        </w:rPr>
        <w:t xml:space="preserve">و ینقسم أیضا إلی بسیط و مرکب و یسمیان الهلیة البسیطة و الهلیة المرکبة و الهلیة البسیطة ما کان المحمول فیها وجود الموضوع کقولنا الإنسان موجود و الهلیة المرکبة ما کان المحمول فیها أثرا من آثاره و عرضیا من عرضیاته کقولنا الإنسان ضاحک فهی تدل علی ثبوت شی‌ء لشی‌ء بخلاف الهلیة البسیطة حیث تدل علی ثبوت الشی‌ء.</w:t>
      </w:r>
    </w:p>
    <w:p>
      <w:pPr>
        <w:pStyle w:val="BookText"/>
      </w:pPr>
      <w:r>
        <w:rPr>
          <w:rFonts w:ascii="IRNazanin" w:hAnsi="IRNazanin" w:eastAsia="IRNazanin" w:cs="IRNazanin"/>
          <w:lang w:bidi="fa-IR"/>
          <w:color w:val="111111"/>
          <w:sz w:val="28"/>
          <w:szCs w:val="28"/>
          <w:rtl/>
        </w:rPr>
        <w:t xml:space="preserve">و بذلک یندفع ما أورده بعضهم علی کلیة قاعدة الفرعیة القائلة إن ثبوت شی‌ء لشی‌ء فرع ثبوت المثبت له بانتقاضه بمثل قولنا الماهیة موجودة حیث إن ثبوت الوجود للماهیة بناء علی ما یقتضیه قاعدة الفرعیة فرع ثبوت الماهیة و ننقل الکلام إلی ثبوتها فهو فرع ثبوتها قبل و هلم جرا فیتسلسل و الجواب علی ما تحصل أن القضیة هلیة بسیطة و الهلیة البسیطة إنما تدل علی ثبوت الشی‌ء لا علی ثبوت شی‌ء لشی‌ء حتی یقتضی وجودا للماهیة قبل وجودها هذا.</w:t>
      </w:r>
    </w:p>
    <w:p>
      <w:pPr>
        <w:pStyle w:val="BookText"/>
      </w:pPr>
      <w:r>
        <w:rPr>
          <w:rFonts w:ascii="IRNazanin" w:hAnsi="IRNazanin" w:eastAsia="IRNazanin" w:cs="IRNazanin"/>
          <w:lang w:bidi="fa-IR"/>
          <w:color w:val="111111"/>
          <w:sz w:val="28"/>
          <w:szCs w:val="28"/>
          <w:rtl/>
        </w:rPr>
        <w:t xml:space="preserve">و أما ما أجاب به بعضهم عن الإشکال بتبدیل الفرعیة من الاستلزام و أن الحق أن ثبوت شی‌ء لشی‌ء مستلزم لثبوت المثبت له و لو بنفس هذا الثبوت و ثبوت الوجود للماهیة مستلزم لثبوت الماهیة بنفس هذا الثبوت فهو تسلیم للإشکال و أسوء حالا منه قول بعضهم إن القاعدة مخصصة بثبوت الوجود للماهیة هذا.</w:t>
      </w:r>
    </w:p>
    <w:p>
      <w:pPr>
        <w:pStyle w:val="BookText"/>
      </w:pPr>
      <w:r>
        <w:rPr>
          <w:rFonts w:ascii="IRNazanin" w:hAnsi="IRNazanin" w:eastAsia="IRNazanin" w:cs="IRNazanin"/>
          <w:lang w:bidi="fa-IR"/>
          <w:color w:val="111111"/>
          <w:sz w:val="28"/>
          <w:szCs w:val="28"/>
          <w:rtl/>
        </w:rPr>
        <w:t xml:space="preserve">[شماره صفحه واقعی : 144]</w:t>
      </w:r>
    </w:p>
    <w:p>
      <w:pPr>
        <w:pStyle w:val="BookText"/>
      </w:pPr>
      <w:r>
        <w:rPr>
          <w:rFonts w:ascii="IRNazanin" w:hAnsi="IRNazanin" w:eastAsia="IRNazanin" w:cs="IRNazanin"/>
          <w:lang w:bidi="fa-IR"/>
          <w:color w:val="111111"/>
          <w:sz w:val="28"/>
          <w:szCs w:val="28"/>
          <w:rtl/>
        </w:rPr>
        <w:t xml:space="preserve">ص: 1365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555" w:name="pg14419_168081"/>
    <w:bookmarkEnd w:id="555"/>
    <w:p>
      <w:pPr>
        <w:pStyle w:val="Heading5"/>
      </w:pPr>
      <w:bookmarkStart w:id="1544" w:name="_Toc984"/>
      <w:r>
        <w:t>الفصل الخامس فی الغیریة و أقسامها</w:t>
      </w:r>
      <w:bookmarkEnd w:id="15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تقدم أن من عوارض الکثرة الغیریة و تنقسم الغیریة إلی ذاتیة و غیر ذاتیة فالغیریة الذاتیة هی أن یدفع أحد شیئین الآخر بذاته فلا یجتمعان لذاتیهما کالمغایرة بین الوجود و العدم و تسمی تقابلا و قد عرفوا التقابل بأنه امتناع اجتماع شیئین فی محل واحد من جهة واحدة فی زمان واحد و نسبة امتناع الاجتماع إلی شیئین للدلالة علی کونه لذاتیهما و المراد بالمحل الواحد مطلق الموضوع و لو بحسب فرض العقل حتی یشمل تقابل الإیجاب و السلب حیث إن متن القضیة کالموضوع لهما و تقیید التعریف بجهة واحدة لإخراج ما اجتمع منهما فی شی‌ء واحد من جهتین ککون زید أبا لعمرو و ابنا لبکر و التقیید بوحدة الزمان لیشمل ما کان من التقابل زمانیا فلیس عروض الضدین لموضوع واحد فی زمانین مختلفین ناقضا للتعریف.</w:t>
      </w:r>
    </w:p>
    <w:p>
      <w:pPr>
        <w:pStyle w:val="BookText"/>
      </w:pPr>
      <w:r>
        <w:rPr>
          <w:rFonts w:ascii="IRNazanin" w:hAnsi="IRNazanin" w:eastAsia="IRNazanin" w:cs="IRNazanin"/>
          <w:lang w:bidi="fa-IR"/>
          <w:color w:val="111111"/>
          <w:sz w:val="28"/>
          <w:szCs w:val="28"/>
          <w:rtl/>
        </w:rPr>
        <w:t xml:space="preserve">و لا ینتقض التعریف بالمثلین الممتنع اجتماعهما عقلا لأن أحد المثلین لا یدفع الآخر بذاته التی هی الماهیة النوعیة المشترکة بینهما و إنما یمتنع اجتماعهما لاستحالة تکرر الوجود الواحد کما تقدم فی مباحث الوجود و لا ینتقض أیضا بنقیض اللازم و عین الملزوم فإن نقیض اللازم إنما یعاند عین الملزوم لمعاندته اللازم الذی هو نقیضه فامتناع اجتماعه مع الملزوم بعرض نقیضه لا لذاته.</w:t>
      </w:r>
    </w:p>
    <w:p>
      <w:pPr>
        <w:pStyle w:val="BookText"/>
      </w:pPr>
      <w:r>
        <w:rPr>
          <w:rFonts w:ascii="IRNazanin" w:hAnsi="IRNazanin" w:eastAsia="IRNazanin" w:cs="IRNazanin"/>
          <w:lang w:bidi="fa-IR"/>
          <w:color w:val="111111"/>
          <w:sz w:val="28"/>
          <w:szCs w:val="28"/>
          <w:rtl/>
        </w:rPr>
        <w:t xml:space="preserve">و الغیریة غیر الذاتیة أن یکون الشیئان لا یجتمعان لأسباب أخر غیر ذاتیهما کافتراق الحلاوة و السواد فی السکر و الفحم و تسمی خلافا و یسمی أیضا الغیر بحسب التشخص و العدد.</w:t>
      </w:r>
    </w:p>
    <w:p>
      <w:pPr>
        <w:pStyle w:val="BookText"/>
      </w:pPr>
      <w:r>
        <w:rPr>
          <w:rFonts w:ascii="IRNazanin" w:hAnsi="IRNazanin" w:eastAsia="IRNazanin" w:cs="IRNazanin"/>
          <w:lang w:bidi="fa-IR"/>
          <w:color w:val="111111"/>
          <w:sz w:val="28"/>
          <w:szCs w:val="28"/>
          <w:rtl/>
        </w:rPr>
        <w:t xml:space="preserve">[شماره صفحه واقعی : 145]</w:t>
      </w:r>
    </w:p>
    <w:p>
      <w:pPr>
        <w:pStyle w:val="BookText"/>
      </w:pPr>
      <w:r>
        <w:rPr>
          <w:rFonts w:ascii="IRNazanin" w:hAnsi="IRNazanin" w:eastAsia="IRNazanin" w:cs="IRNazanin"/>
          <w:lang w:bidi="fa-IR"/>
          <w:color w:val="111111"/>
          <w:sz w:val="28"/>
          <w:szCs w:val="28"/>
          <w:rtl/>
        </w:rPr>
        <w:t xml:space="preserve">ص: 1366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556" w:name="pg14419_168082"/>
    <w:bookmarkEnd w:id="556"/>
    <w:p>
      <w:pPr>
        <w:pStyle w:val="BookText"/>
      </w:pPr>
      <w:r>
        <w:rPr>
          <w:rFonts w:ascii="IRNazanin" w:hAnsi="IRNazanin" w:eastAsia="IRNazanin" w:cs="IRNazanin"/>
          <w:lang w:bidi="fa-IR"/>
          <w:color w:val="111111"/>
          <w:sz w:val="28"/>
          <w:szCs w:val="28"/>
          <w:rtl/>
        </w:rPr>
        <w:t xml:space="preserve">و التقابل ینقسم إلی أربعة أقسام و هی تقابل التناقض و تقابل العدم و الملکة و تقابل التضایف و تقابل التضاد و الأصوب فی ضبط الأقسام أن یقال إن المتقابلین إما أن یکون أحدهما عدما للآخر أو لا و علی الأول إما أن یکون هناک موضوع قابل کالبصر و العمی فهو تقابل العدم و الملکة أو لا یکون کالإیجاب و السلب و هو تقابل التناقض و علی الثانی و هو کونهما وجودیین فإما أن لا یعقل أحدهما إلا مع الآخر و بالقیاس إلیه کالعلو و السفل و هو تقابل التضایف أو لا و هو تقابل التضاد.</w:t>
      </w:r>
    </w:p>
    <w:p>
      <w:pPr>
        <w:pStyle w:val="Heading5"/>
      </w:pPr>
      <w:bookmarkStart w:id="1545" w:name="_Toc985"/>
      <w:r>
        <w:t>الفصل السادس فی تقابل التناقض</w:t>
      </w:r>
      <w:bookmarkEnd w:id="15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هو تقابل الإیجاب و السلب کقولنا زید أبیض و لیس زید بأبیض أو ما هو فی معنی الإیجاب و السلب من المفردات کالإنسان و اللاإنسان و العمی و اللاعمی و المعدوم و اللامعدوم.</w:t>
      </w:r>
    </w:p>
    <w:p>
      <w:pPr>
        <w:pStyle w:val="BookText"/>
      </w:pPr>
      <w:r>
        <w:rPr>
          <w:rFonts w:ascii="IRNazanin" w:hAnsi="IRNazanin" w:eastAsia="IRNazanin" w:cs="IRNazanin"/>
          <w:lang w:bidi="fa-IR"/>
          <w:color w:val="111111"/>
          <w:sz w:val="28"/>
          <w:szCs w:val="28"/>
          <w:rtl/>
        </w:rPr>
        <w:t xml:space="preserve">و النقیضان لا یصدقان معا و لا یکذبان معا و إن شئت فقل لا یجتمعان و لا یرتفعان فمآل تقابل التناقض إلی قضیة منفصلة حقیقیة هی قولنا إما أن یصدق الإیجاب و إما أن یصدق السلب.</w:t>
      </w:r>
    </w:p>
    <w:p>
      <w:pPr>
        <w:pStyle w:val="BookText"/>
      </w:pPr>
      <w:r>
        <w:rPr>
          <w:rFonts w:ascii="IRNazanin" w:hAnsi="IRNazanin" w:eastAsia="IRNazanin" w:cs="IRNazanin"/>
          <w:lang w:bidi="fa-IR"/>
          <w:color w:val="111111"/>
          <w:sz w:val="28"/>
          <w:szCs w:val="28"/>
          <w:rtl/>
        </w:rPr>
        <w:t xml:space="preserve">فالتناقض فی الحقیقة بین الإیجاب و السلب و لا ینافی ذلک تحقق التناقض بین المفردات فکل مفهوم أخذناه فی نفسه ثم أضفنا إلیه معنی النفی کالإنسان و اللاإنسان و الفرس و اللافرس تحقق التناقض بین المفهومین و ذلک أنا إذا أخذنا مفهومین متناقضین کالإنسان و اللاإنسان لم نرتب أن التقابل قائم بالمفهومین علی حد سواء فالإنسان یطرد بذاته اللاإنسان کما أن اللاإنسان یطرد بذاته الإنسان و ضروری أنه لو لم یعتبر الثبوت و الوجود فی</w:t>
      </w:r>
    </w:p>
    <w:p>
      <w:pPr>
        <w:pStyle w:val="BookText"/>
      </w:pPr>
      <w:r>
        <w:rPr>
          <w:rFonts w:ascii="IRNazanin" w:hAnsi="IRNazanin" w:eastAsia="IRNazanin" w:cs="IRNazanin"/>
          <w:lang w:bidi="fa-IR"/>
          <w:color w:val="111111"/>
          <w:sz w:val="28"/>
          <w:szCs w:val="28"/>
          <w:rtl/>
        </w:rPr>
        <w:t xml:space="preserve">[شماره صفحه واقعی : 146]</w:t>
      </w:r>
    </w:p>
    <w:p>
      <w:pPr>
        <w:pStyle w:val="BookText"/>
      </w:pPr>
      <w:r>
        <w:rPr>
          <w:rFonts w:ascii="IRNazanin" w:hAnsi="IRNazanin" w:eastAsia="IRNazanin" w:cs="IRNazanin"/>
          <w:lang w:bidi="fa-IR"/>
          <w:color w:val="111111"/>
          <w:sz w:val="28"/>
          <w:szCs w:val="28"/>
          <w:rtl/>
        </w:rPr>
        <w:t xml:space="preserve">ص: 1367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الإنسان لم یطارد اللاإنسان و لم یناقضه فالإنسان و اللاإنسان إنما یتناقضان لأنهما فی معنی وجود الإنسان و عدم الإنسان و لا یتم ذلک إلا باعتبار قیام الوجود بالإنسان و کذا العدم فالإنسان و اللاإنسان إنما یتناقضان لانحلالهما إلی الهلیتین البسیطتین و هما قضیتا الإنسان موجود و لیس الإنسان بموجود.</w:t>
      </w:r>
    </w:p>
    <w:p>
      <w:pPr>
        <w:pStyle w:val="BookText"/>
      </w:pPr>
      <w:r>
        <w:rPr>
          <w:rFonts w:ascii="IRNazanin" w:hAnsi="IRNazanin" w:eastAsia="IRNazanin" w:cs="IRNazanin"/>
          <w:lang w:bidi="fa-IR"/>
          <w:color w:val="111111"/>
          <w:sz w:val="28"/>
          <w:szCs w:val="28"/>
          <w:rtl/>
        </w:rPr>
        <w:t xml:space="preserve">و نظیر الکلام یجری فی المتناقضین قیام زید و لا قیام زید فهما فی معنی وجود القیام لزید و عدم القیام لزید و هما ینحلان إلی هلیتین مرکبتین هما قولنا زید قائم و قولنا لیس زید بقائم فتقابل التناقض بالحقیقة بین الإیجاب و السلب و إن شئت فقل بین الوجود و العدم غیر أنه سیأتی فی مباحث العاقل و المعقول إن شاء الله تعالی أن العقل إنما ینال مفهوم الوجود أولا معنی حرفیا فی القضایا ثم یسبک منه المعنی الإسمی بتبدیله منه و أخذه مستقلا بعد ما کان رابطا و یصور للعدم نظیر ما جری علیه فی الوجود فتقابل التناقض بین الإیجاب و السلب أولا و بالذات و بین غیرهما بعرضهما.</w:t>
      </w:r>
    </w:p>
    <w:p>
      <w:pPr>
        <w:pStyle w:val="BookText"/>
      </w:pPr>
      <w:r>
        <w:rPr>
          <w:rFonts w:ascii="IRNazanin" w:hAnsi="IRNazanin" w:eastAsia="IRNazanin" w:cs="IRNazanin"/>
          <w:lang w:bidi="fa-IR"/>
          <w:color w:val="111111"/>
          <w:sz w:val="28"/>
          <w:szCs w:val="28"/>
          <w:rtl/>
        </w:rPr>
        <w:t xml:space="preserve">فما فی بعض العبارات من نسبة التناقض إلی القضایا کما فی عبارة التجرید : «إن تقابل السلب و الإیجاب راجع إلی القول و العقد» انتهی، أرید به السلب و الإیجاب من حیث الإضافة إلی مضمون القضیة بعینه</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قد ظهر أیضا أن قولهم نقیض کل شی‌ء رفعه أرید فیه بالرفع الطرد الذاتی فالإیجاب و السلب یطرد کل منهما بالذات ما یقابله.</w:t>
      </w:r>
    </w:p>
    <w:p>
      <w:pPr>
        <w:pStyle w:val="BookText"/>
      </w:pPr>
      <w:r>
        <w:rPr>
          <w:rFonts w:ascii="IRNazanin" w:hAnsi="IRNazanin" w:eastAsia="IRNazanin" w:cs="IRNazanin"/>
          <w:lang w:bidi="fa-IR"/>
          <w:color w:val="111111"/>
          <w:sz w:val="28"/>
          <w:szCs w:val="28"/>
          <w:rtl/>
        </w:rPr>
        <w:t xml:space="preserve">و أما تفسیر من فسر الرفع بالنفی و السلب فصرح بأن نقیض الإنسان هو اللاإنسان و نقیض اللاإنسان اللالاإنسان و أما الإنسان فهو لازم النقیض و لیس بنقیض فلازم تفسیره کون تقابل التناقض من جانب واحد دائما و هو ضروری البطلان.</w:t>
      </w:r>
    </w:p>
    <w:p>
      <w:pPr>
        <w:pStyle w:val="BookText"/>
      </w:pPr>
      <w:r>
        <w:rPr>
          <w:rFonts w:ascii="IRNazanin" w:hAnsi="IRNazanin" w:eastAsia="IRNazanin" w:cs="IRNazanin"/>
          <w:lang w:bidi="fa-IR"/>
          <w:color w:val="111111"/>
          <w:sz w:val="28"/>
          <w:szCs w:val="28"/>
          <w:rtl/>
        </w:rPr>
        <w:t xml:space="preserve">و من أحکام تقابل التناقض أن تقابل النقیضین إنما یتحقق فی الذهن أو فی اللفظ بنوع من المجاز لأن التقابل نسبة قائمة بطرفین و أحد الطرفین فی</w:t>
      </w:r>
    </w:p>
    <w:p>
      <w:pPr>
        <w:pStyle w:val="BookText"/>
      </w:pPr>
      <w:r>
        <w:rPr>
          <w:rFonts w:ascii="IRNazanin" w:hAnsi="IRNazanin" w:eastAsia="IRNazanin" w:cs="IRNazanin"/>
          <w:lang w:bidi="fa-IR"/>
          <w:color w:val="111111"/>
          <w:sz w:val="28"/>
          <w:szCs w:val="28"/>
          <w:rtl/>
        </w:rPr>
        <w:t xml:space="preserve">[شماره صفحه واقعی : 147]</w:t>
      </w:r>
    </w:p>
    <w:p>
      <w:pPr>
        <w:pStyle w:val="BookText"/>
      </w:pPr>
      <w:r>
        <w:rPr>
          <w:rFonts w:ascii="IRNazanin" w:hAnsi="IRNazanin" w:eastAsia="IRNazanin" w:cs="IRNazanin"/>
          <w:lang w:bidi="fa-IR"/>
          <w:color w:val="111111"/>
          <w:sz w:val="28"/>
          <w:szCs w:val="28"/>
          <w:rtl/>
        </w:rPr>
        <w:t xml:space="preserve">ص: 1368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المتناقضین هو العدم و العدم اعتبار عقلی لا مصداق له فی الخارج و هذا بخلاف تقابل العدم و الملکة فإن العدم فیه کما سیأتی إن شاء الله عدم مضاف إلی أمر موجود فله حظ من الوجود فالتقابل فیه قائم فی الحقیقة بطرفین موجودین.</w:t>
      </w:r>
    </w:p>
    <w:p>
      <w:pPr>
        <w:pStyle w:val="BookText"/>
      </w:pPr>
      <w:r>
        <w:rPr>
          <w:rFonts w:ascii="IRNazanin" w:hAnsi="IRNazanin" w:eastAsia="IRNazanin" w:cs="IRNazanin"/>
          <w:lang w:bidi="fa-IR"/>
          <w:color w:val="111111"/>
          <w:sz w:val="28"/>
          <w:szCs w:val="28"/>
          <w:rtl/>
        </w:rPr>
        <w:t xml:space="preserve">و من أحکام هذا التقابل امتناع الواسطة بین المتقابلین به فلا یخلو شی‌ء من الأشیاء عن صدق أحد النقیضین فکل أمر مفروض إما هو زید مثلا أو لیس بزید و إما هو أبیض أو لیس بأبیض و هکذا فکل نقیضین مفروضین یعمان جمیع الأشیاء.</w:t>
      </w:r>
    </w:p>
    <w:p>
      <w:pPr>
        <w:pStyle w:val="BookText"/>
      </w:pPr>
      <w:r>
        <w:rPr>
          <w:rFonts w:ascii="IRNazanin" w:hAnsi="IRNazanin" w:eastAsia="IRNazanin" w:cs="IRNazanin"/>
          <w:lang w:bidi="fa-IR"/>
          <w:color w:val="111111"/>
          <w:sz w:val="28"/>
          <w:szCs w:val="28"/>
          <w:rtl/>
        </w:rPr>
        <w:t xml:space="preserve">و من أحکام هذا التقابل أن النقیضین لا یصدقان معا و لا یکذبان معا علی سبیل القضیة المنفصلة الحقیقیة کما تقدمت الإشارة إلیه و هی قولنا إما أن یصدق الإیجاب أو یصدق السلب و هی قضیة بدیهیة أولیة یتوقف علیها صدق کل قضیة مفروضة ضروریة کانت أو نظریة فلیس یصدق قولنا الأربعة زوج مثلا إلا إذا کذب قولنا لیست الأربعة بزوج و لیس یصدق قولنا العالم حادث إلا إذا کذب قولنا لیس العالم بحادث و لذا سمیت قضیة امتناع اجتماع النقیضین و ارتفاعهما بأولی الأوائل.</w:t>
      </w:r>
    </w:p>
    <w:p>
      <w:pPr>
        <w:pStyle w:val="BookText"/>
      </w:pPr>
      <w:r>
        <w:rPr>
          <w:rFonts w:ascii="IRNazanin" w:hAnsi="IRNazanin" w:eastAsia="IRNazanin" w:cs="IRNazanin"/>
          <w:lang w:bidi="fa-IR"/>
          <w:color w:val="111111"/>
          <w:sz w:val="28"/>
          <w:szCs w:val="28"/>
          <w:rtl/>
        </w:rPr>
        <w:t xml:space="preserve">و لذا کان الشک فی صدق هذه المنفصلة الحقیقیة مزیلا للعلم بکل قضیة مفروضة إذ لا یتحقق العلم بصدق قضیة إلا إذا علم بکذب نقیضها و الشک فی هذه المنفصلة الحقیقیة یوجب الشک فی کذب النقیض و لازمه الشک فی صدق النقیض الآخر ففی الشک فیها هلاک العلم کله و فساده من أصله و هو أمر تدفعه الفطرة الإنسانیة و ما یدعیه السوفسطی من الشک دعوی لا تتعدی طور اللفظ البتة و سیأتی تفصیل القول فیه.</w:t>
      </w:r>
    </w:p>
    <w:p>
      <w:pPr>
        <w:pStyle w:val="BookText"/>
      </w:pPr>
      <w:r>
        <w:rPr>
          <w:rFonts w:ascii="IRNazanin" w:hAnsi="IRNazanin" w:eastAsia="IRNazanin" w:cs="IRNazanin"/>
          <w:lang w:bidi="fa-IR"/>
          <w:color w:val="111111"/>
          <w:sz w:val="28"/>
          <w:szCs w:val="28"/>
          <w:rtl/>
        </w:rPr>
        <w:t xml:space="preserve">[شماره صفحه واقعی : 148]</w:t>
      </w:r>
    </w:p>
    <w:p>
      <w:pPr>
        <w:pStyle w:val="BookText"/>
      </w:pPr>
      <w:r>
        <w:rPr>
          <w:rFonts w:ascii="IRNazanin" w:hAnsi="IRNazanin" w:eastAsia="IRNazanin" w:cs="IRNazanin"/>
          <w:lang w:bidi="fa-IR"/>
          <w:color w:val="111111"/>
          <w:sz w:val="28"/>
          <w:szCs w:val="28"/>
          <w:rtl/>
        </w:rPr>
        <w:t xml:space="preserve">ص: 1369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557" w:name="pg14419_168085"/>
    <w:bookmarkEnd w:id="557"/>
    <w:p>
      <w:pPr>
        <w:pStyle w:val="Heading5"/>
      </w:pPr>
      <w:bookmarkStart w:id="1546" w:name="_Toc986"/>
      <w:r>
        <w:t>الفصل السابع فی تقابل العدم و الملکة</w:t>
      </w:r>
      <w:bookmarkEnd w:id="15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یسمی أیضا تقابل العدم و القنیة و هما أمر وجودی عارض لموضوع من شأنه أن یتصف به و عدم ذلک الأمر الوجودی فی ذلک الموضوع کالبصر و العمی الذی هو فقد البصر من موضوع من شأنه أن یکون بصیرا.</w:t>
      </w:r>
    </w:p>
    <w:p>
      <w:pPr>
        <w:pStyle w:val="BookText"/>
      </w:pPr>
      <w:r>
        <w:rPr>
          <w:rFonts w:ascii="IRNazanin" w:hAnsi="IRNazanin" w:eastAsia="IRNazanin" w:cs="IRNazanin"/>
          <w:lang w:bidi="fa-IR"/>
          <w:color w:val="111111"/>
          <w:sz w:val="28"/>
          <w:szCs w:val="28"/>
          <w:rtl/>
        </w:rPr>
        <w:t xml:space="preserve">و لا یختلف الحال فی تحقق هذا التقابل بین أن یؤخذ موضوع الملکة هو الطبیعة الشخصیة أو الطبیعة النوعیة أو الجنسیة فإن الطبیعة الجنسیة و کذا النوعیة موضوعان لوصف الفرد کما أن الفرد موضوع له فعدم البصر فی العقرب کما قیل عمی و عدم ملکة لکون جنسه و هو الحیوان من شأنه أن یکون بصیرا و إن لم یتصف به طبیعة العقرب النوعیة و کذا المرودة و عدم التحاء الإنسان قبل أوان البلوغ عدم ملکة لکون الطبیعة النوعیة التی للإنسان من شأنها ذلک و إن کان صنف غیر البالغ لا یتصف به و یسمی تقابل العدم و الملکة بهذا الإطلاق حقیقیا.</w:t>
      </w:r>
    </w:p>
    <w:p>
      <w:pPr>
        <w:pStyle w:val="BookText"/>
      </w:pPr>
      <w:r>
        <w:rPr>
          <w:rFonts w:ascii="IRNazanin" w:hAnsi="IRNazanin" w:eastAsia="IRNazanin" w:cs="IRNazanin"/>
          <w:lang w:bidi="fa-IR"/>
          <w:color w:val="111111"/>
          <w:sz w:val="28"/>
          <w:szCs w:val="28"/>
          <w:rtl/>
        </w:rPr>
        <w:t xml:space="preserve">و ربما قید بالوقت باشتراط أن یکون العدم فی وقت الملکة و یسمی التقابل حینئذ بالمشهوری و علیه فمرودة الإنسان قبل أوان البلوغ لیست من عدم الملکة فی شی‌ء و کذا فقد العقرب للبصر لیس بعمی.</w:t>
      </w:r>
    </w:p>
    <w:p>
      <w:pPr>
        <w:pStyle w:val="BookText"/>
      </w:pPr>
      <w:r>
        <w:rPr>
          <w:rFonts w:ascii="IRNazanin" w:hAnsi="IRNazanin" w:eastAsia="IRNazanin" w:cs="IRNazanin"/>
          <w:lang w:bidi="fa-IR"/>
          <w:color w:val="111111"/>
          <w:sz w:val="28"/>
          <w:szCs w:val="28"/>
          <w:rtl/>
        </w:rPr>
        <w:t xml:space="preserve">و هو أشبه بالاصطلاح فلا یضر خروج الموارد التی یکون الموضوع فیها هو الجنس أو النوع من تقابل العدم و الملکة مع عدم دخولها فی التقابلات الثلاثة الباقیة و أقسام التقابل منحصرة فی الأربعة.</w:t>
      </w:r>
    </w:p>
    <w:p>
      <w:pPr>
        <w:pStyle w:val="BookText"/>
      </w:pPr>
      <w:r>
        <w:rPr>
          <w:rFonts w:ascii="IRNazanin" w:hAnsi="IRNazanin" w:eastAsia="IRNazanin" w:cs="IRNazanin"/>
          <w:lang w:bidi="fa-IR"/>
          <w:color w:val="111111"/>
          <w:sz w:val="28"/>
          <w:szCs w:val="28"/>
          <w:rtl/>
        </w:rPr>
        <w:t xml:space="preserve">[شماره صفحه واقعی : 149]</w:t>
      </w:r>
    </w:p>
    <w:p>
      <w:pPr>
        <w:pStyle w:val="BookText"/>
      </w:pPr>
      <w:r>
        <w:rPr>
          <w:rFonts w:ascii="IRNazanin" w:hAnsi="IRNazanin" w:eastAsia="IRNazanin" w:cs="IRNazanin"/>
          <w:lang w:bidi="fa-IR"/>
          <w:color w:val="111111"/>
          <w:sz w:val="28"/>
          <w:szCs w:val="28"/>
          <w:rtl/>
        </w:rPr>
        <w:t xml:space="preserve">ص: 1370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558" w:name="pg14419_168086"/>
    <w:bookmarkEnd w:id="558"/>
    <w:p>
      <w:pPr>
        <w:pStyle w:val="Heading5"/>
      </w:pPr>
      <w:bookmarkStart w:id="1547" w:name="_Toc987"/>
      <w:r>
        <w:t>الفصل الثامن فی تقابل التضایف</w:t>
      </w:r>
      <w:bookmarkEnd w:id="1547"/>
    </w:p>
    <w:p>
      <w:pPr>
        <w:pStyle w:val="BookText"/>
      </w:pPr>
      <w:r>
        <w:rPr>
          <w:rFonts w:ascii="IRNazanin" w:hAnsi="IRNazanin" w:eastAsia="IRNazanin" w:cs="IRNazanin"/>
          <w:lang w:bidi="fa-IR"/>
          <w:color w:val="111111"/>
          <w:sz w:val="28"/>
          <w:szCs w:val="28"/>
          <w:rtl/>
        </w:rPr>
        <w:t xml:space="preserve">المتضایفان کما تحصل من التقسیم أمران وجودیان لا یعقل أحدهما إلا مع تعقل الآخر فهما علی نسبة متکررة لا یعقل أحدهما إلا مع تعقل الآخر المعقول به و لذلک یمتنع اجتماعهما فی شی‌ء من جهة واحدة لاستحالة دوران النسبة بین الشی‌ء و نفسه.</w:t>
      </w:r>
    </w:p>
    <w:p>
      <w:pPr>
        <w:pStyle w:val="BookText"/>
      </w:pPr>
      <w:r>
        <w:rPr>
          <w:rFonts w:ascii="IRNazanin" w:hAnsi="IRNazanin" w:eastAsia="IRNazanin" w:cs="IRNazanin"/>
          <w:lang w:bidi="fa-IR"/>
          <w:color w:val="111111"/>
          <w:sz w:val="28"/>
          <w:szCs w:val="28"/>
          <w:rtl/>
        </w:rPr>
        <w:t xml:space="preserve">و قد أورد علی کون التضایف أحد أقسام التقابل الأربعة بأن مطلق التقابل من أقسام التضایف إذ المتقابلان بما هما متقابلان متضایفان فیکون عد التضایف من أقسام التقابل من قبیل جعل الشی‌ء قسیما لقسمه.</w:t>
      </w:r>
    </w:p>
    <w:p>
      <w:pPr>
        <w:pStyle w:val="BookText"/>
      </w:pPr>
      <w:r>
        <w:rPr>
          <w:rFonts w:ascii="IRNazanin" w:hAnsi="IRNazanin" w:eastAsia="IRNazanin" w:cs="IRNazanin"/>
          <w:lang w:bidi="fa-IR"/>
          <w:color w:val="111111"/>
          <w:sz w:val="28"/>
          <w:szCs w:val="28"/>
          <w:rtl/>
        </w:rPr>
        <w:t xml:space="preserve">و أجیب عنه بأن مفهوم التقابل من مصادیق التضایف و مصداق التضایف من أقسام التقابل و مصادیقه فالقسم من التضایف هو مفهوم التقابل و القسیم له هو مصداقه و کثیرا ما یکون المفهوم الذهنی فردا لمقابله کمفهوم الجزئی الذی هو فرد للکلی و مقابل له باعتبارین فلا إشکال.</w:t>
      </w:r>
    </w:p>
    <w:p>
      <w:pPr>
        <w:pStyle w:val="BookText"/>
      </w:pPr>
      <w:r>
        <w:rPr>
          <w:rFonts w:ascii="IRNazanin" w:hAnsi="IRNazanin" w:eastAsia="IRNazanin" w:cs="IRNazanin"/>
          <w:lang w:bidi="fa-IR"/>
          <w:color w:val="111111"/>
          <w:sz w:val="28"/>
          <w:szCs w:val="28"/>
          <w:rtl/>
        </w:rPr>
        <w:t xml:space="preserve">و من أحکام التضایف أن المتضایفین متکافئان وجودا و عدما و قوة و فعلا فإذا کان أحدهما موجودا فالآخر موجود بالضرورة و إذا کان أحدهما معدوما فالآخر معدوم بالضرورة و إذا کان أحدهما بالقوة أو بالفعل فالآخر کذلک بالضرورة.</w:t>
      </w:r>
    </w:p>
    <w:p>
      <w:pPr>
        <w:pStyle w:val="BookText"/>
      </w:pPr>
      <w:r>
        <w:rPr>
          <w:rFonts w:ascii="IRNazanin" w:hAnsi="IRNazanin" w:eastAsia="IRNazanin" w:cs="IRNazanin"/>
          <w:lang w:bidi="fa-IR"/>
          <w:color w:val="111111"/>
          <w:sz w:val="28"/>
          <w:szCs w:val="28"/>
          <w:rtl/>
        </w:rPr>
        <w:t xml:space="preserve">و لازم ذلک أنهما معان لا یتقدم أحدهما علی الآخر لا ذهنا و لا خارجا.</w:t>
      </w:r>
    </w:p>
    <w:p>
      <w:pPr>
        <w:pStyle w:val="BookText"/>
      </w:pPr>
      <w:r>
        <w:rPr>
          <w:rFonts w:ascii="IRNazanin" w:hAnsi="IRNazanin" w:eastAsia="IRNazanin" w:cs="IRNazanin"/>
          <w:lang w:bidi="fa-IR"/>
          <w:color w:val="111111"/>
          <w:sz w:val="28"/>
          <w:szCs w:val="28"/>
          <w:rtl/>
        </w:rPr>
        <w:t xml:space="preserve">[شماره صفحه واقعی : 150]</w:t>
      </w:r>
    </w:p>
    <w:p>
      <w:pPr>
        <w:pStyle w:val="BookText"/>
      </w:pPr>
      <w:r>
        <w:rPr>
          <w:rFonts w:ascii="IRNazanin" w:hAnsi="IRNazanin" w:eastAsia="IRNazanin" w:cs="IRNazanin"/>
          <w:lang w:bidi="fa-IR"/>
          <w:color w:val="111111"/>
          <w:sz w:val="28"/>
          <w:szCs w:val="28"/>
          <w:rtl/>
        </w:rPr>
        <w:t xml:space="preserve">ص: 1371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559" w:name="pg14419_168087"/>
    <w:bookmarkEnd w:id="559"/>
    <w:p>
      <w:pPr>
        <w:pStyle w:val="Heading5"/>
      </w:pPr>
      <w:bookmarkStart w:id="1548" w:name="_Toc988"/>
      <w:r>
        <w:t>الفصل التاسع فی تقابل التضاد</w:t>
      </w:r>
      <w:bookmarkEnd w:id="1548"/>
    </w:p>
    <w:p>
      <w:pPr>
        <w:pStyle w:val="Heading6"/>
      </w:pPr>
      <w:bookmarkStart w:id="1549" w:name="_Toc989"/>
      <w:r>
        <w:t>اشارة</w:t>
      </w:r>
      <w:bookmarkEnd w:id="15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قد عرفت أن المتحصل من التقسیم السابق أن المتضادین أمران وجودیان غیر متضایفین لا یجتمعان فی محل واحد فی زمان واحد من جهة واحدة و المنقول عن القدماء أنهم اکتفوا فی تعریف التضاد علی هذا المقدار و لذلک جوزوا وقوع التضاد بین الجواهر و أن یزید أطراف التضاد علی اثنین.</w:t>
      </w:r>
    </w:p>
    <w:p>
      <w:pPr>
        <w:pStyle w:val="BookText"/>
      </w:pPr>
      <w:r>
        <w:rPr>
          <w:rFonts w:ascii="IRNazanin" w:hAnsi="IRNazanin" w:eastAsia="IRNazanin" w:cs="IRNazanin"/>
          <w:lang w:bidi="fa-IR"/>
          <w:color w:val="111111"/>
          <w:sz w:val="28"/>
          <w:szCs w:val="28"/>
          <w:rtl/>
        </w:rPr>
        <w:t xml:space="preserve">لکن المشائین أضافوا إلی ما یتحصل من التقسیم قیودا أخر فرسموا المتضادین بأنهما أمران وجودیان غیر متضایفین متعاقبان علی موضوع واحد داخلان تحت جنس قریب بینهما غایة الخلاف و لذلک ینحصر التضاد عندهم فی نوعین أخیرین من الأعراض داخلین تحت جنس قریب بینهما غایة الخلاف و یمتنع وقوع التضاد بین أزید من طرفین.</w:t>
      </w:r>
    </w:p>
    <w:p>
      <w:pPr>
        <w:pStyle w:val="BookText"/>
      </w:pPr>
      <w:r>
        <w:rPr>
          <w:rFonts w:ascii="IRNazanin" w:hAnsi="IRNazanin" w:eastAsia="IRNazanin" w:cs="IRNazanin"/>
          <w:lang w:bidi="fa-IR"/>
          <w:color w:val="111111"/>
          <w:sz w:val="28"/>
          <w:szCs w:val="28"/>
          <w:rtl/>
        </w:rPr>
        <w:t xml:space="preserve">بیان ذلک أن کل ماهیة من الماهیات بل کل مفهوم من المفاهیم منعزل بذاته عن غیره من أی مفهوم مفروض و لیس ذلک من التضاد فی شی‌ء و إن کان یصدق علیه سلب غیره و کذا کل نوع تام بوجوده الخارجی و آثاره الخارجیة مباین لغیره من الأنواع التامة بما له و لآثاره من الوجود الخارجی لا یتصادقان بمعنی أن یطرد الوجود الخاص به الطارد لعدمه عدم نوع آخر بعینه فلیس ذلک من التقابل و التضاد فی شی‌ء.</w:t>
      </w:r>
    </w:p>
    <w:p>
      <w:pPr>
        <w:pStyle w:val="BookText"/>
      </w:pPr>
      <w:r>
        <w:rPr>
          <w:rFonts w:ascii="IRNazanin" w:hAnsi="IRNazanin" w:eastAsia="IRNazanin" w:cs="IRNazanin"/>
          <w:lang w:bidi="fa-IR"/>
          <w:color w:val="111111"/>
          <w:sz w:val="28"/>
          <w:szCs w:val="28"/>
          <w:rtl/>
        </w:rPr>
        <w:t xml:space="preserve">و إنما التضاد و هو التقابل بین أمرین وجودیین أن یکون کل من الأمرین طاردا بماهیته الأمر الآخر ناظرا إلیه آبیا للاجتماع معه وجودا.</w:t>
      </w:r>
    </w:p>
    <w:p>
      <w:pPr>
        <w:pStyle w:val="BookText"/>
      </w:pPr>
      <w:r>
        <w:rPr>
          <w:rFonts w:ascii="IRNazanin" w:hAnsi="IRNazanin" w:eastAsia="IRNazanin" w:cs="IRNazanin"/>
          <w:lang w:bidi="fa-IR"/>
          <w:color w:val="111111"/>
          <w:sz w:val="28"/>
          <w:szCs w:val="28"/>
          <w:rtl/>
        </w:rPr>
        <w:t xml:space="preserve">و لازم ذلک أولا أن یکون هناک أمر ثالث یوجدان له و یتحدان به و الأمر الذی یوجد له الأمر الوجودی و یتحد به هو مطلق الموضوع الأعم من محل</w:t>
      </w:r>
    </w:p>
    <w:p>
      <w:pPr>
        <w:pStyle w:val="BookText"/>
      </w:pPr>
      <w:r>
        <w:rPr>
          <w:rFonts w:ascii="IRNazanin" w:hAnsi="IRNazanin" w:eastAsia="IRNazanin" w:cs="IRNazanin"/>
          <w:lang w:bidi="fa-IR"/>
          <w:color w:val="111111"/>
          <w:sz w:val="28"/>
          <w:szCs w:val="28"/>
          <w:rtl/>
        </w:rPr>
        <w:t xml:space="preserve">[شماره صفحه واقعی : 151]</w:t>
      </w:r>
    </w:p>
    <w:p>
      <w:pPr>
        <w:pStyle w:val="BookText"/>
      </w:pPr>
      <w:r>
        <w:rPr>
          <w:rFonts w:ascii="IRNazanin" w:hAnsi="IRNazanin" w:eastAsia="IRNazanin" w:cs="IRNazanin"/>
          <w:lang w:bidi="fa-IR"/>
          <w:color w:val="111111"/>
          <w:sz w:val="28"/>
          <w:szCs w:val="28"/>
          <w:rtl/>
        </w:rPr>
        <w:t xml:space="preserve">ص: 1372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 و موضوع العرض لکن الجواهر لا یقع فیها تضاد کما سیجی‌ء فالمتعین أن یکونا عرضین ذوی موضوع واحد.</w:t>
      </w:r>
    </w:p>
    <w:p>
      <w:pPr>
        <w:pStyle w:val="BookText"/>
      </w:pPr>
      <w:r>
        <w:rPr>
          <w:rFonts w:ascii="IRNazanin" w:hAnsi="IRNazanin" w:eastAsia="IRNazanin" w:cs="IRNazanin"/>
          <w:lang w:bidi="fa-IR"/>
          <w:color w:val="111111"/>
          <w:sz w:val="28"/>
          <w:szCs w:val="28"/>
          <w:rtl/>
        </w:rPr>
        <w:t xml:space="preserve">و ثانیا أن یکون النوعان بما أن لکل منهما نظرا إلی الآخر متطاردین کل منهما یطرد الآخر بفصله الذی هو تمام نوعیته و الفصل لا یطرد الفصل إلا إذا کانا جمیعا مقسمین لجنس واحد أی أن یکون النوعان داخلین تحت جنس واحد قریب فافهم ذلک.</w:t>
      </w:r>
    </w:p>
    <w:p>
      <w:pPr>
        <w:pStyle w:val="BookText"/>
      </w:pPr>
      <w:r>
        <w:rPr>
          <w:rFonts w:ascii="IRNazanin" w:hAnsi="IRNazanin" w:eastAsia="IRNazanin" w:cs="IRNazanin"/>
          <w:lang w:bidi="fa-IR"/>
          <w:color w:val="111111"/>
          <w:sz w:val="28"/>
          <w:szCs w:val="28"/>
          <w:rtl/>
        </w:rPr>
        <w:t xml:space="preserve">و لا یرد علیه أن الفصل لکونه جزء الماهیة غیر مستقل فی الحکم و الحکم للنوع لأن الفصل عین النوع محصلا فحکمه حکم النوع بعینه.</w:t>
      </w:r>
    </w:p>
    <w:p>
      <w:pPr>
        <w:pStyle w:val="BookText"/>
      </w:pPr>
      <w:r>
        <w:rPr>
          <w:rFonts w:ascii="IRNazanin" w:hAnsi="IRNazanin" w:eastAsia="IRNazanin" w:cs="IRNazanin"/>
          <w:lang w:bidi="fa-IR"/>
          <w:color w:val="111111"/>
          <w:sz w:val="28"/>
          <w:szCs w:val="28"/>
          <w:rtl/>
        </w:rPr>
        <w:t xml:space="preserve">علی أن الأجناس العالیة من المقولات العشر لا یقع بینها تضاد لأن الأکثر من واحد منها یجتمع فی محل واحد کالکم و الکیف و سائر الأعراض تجتمع فی جوهر واحد جسمانی و کذا بعض الأجناس المتوسطة الواقعة تحت بعضها مع بعض واقع تحت آخر و کذا الأنواع الأخیرة المندرجة تحت بعضها مع بعض الأنواع الأخیرة المندرجة تحت بعض آخر فالتضاد إنما یقع بالاستقراء فی نوعین واقعین تحت جنس قریب من المقولات العرضیة کالسواد و البیاض المعدودین من الکیفیات المبصرة عندهم و کالتهور و الجبن من الکیفیات النفسانیة.</w:t>
      </w:r>
    </w:p>
    <w:p>
      <w:pPr>
        <w:pStyle w:val="BookText"/>
      </w:pPr>
      <w:r>
        <w:rPr>
          <w:rFonts w:ascii="IRNazanin" w:hAnsi="IRNazanin" w:eastAsia="IRNazanin" w:cs="IRNazanin"/>
          <w:lang w:bidi="fa-IR"/>
          <w:color w:val="111111"/>
          <w:sz w:val="28"/>
          <w:szCs w:val="28"/>
          <w:rtl/>
        </w:rPr>
        <w:t xml:space="preserve">و أما اعتبار غایة الخلاف بین المتضادین فإنهم حکموا بالتضاد بین أمور ثم عثروا بأمور متوسطة بین المتضادین نسبیة کالسواد و البیاض المتضادین و بینهما من الألوان الصفرة و الحمرة و الخضرة و هی بالنسبة إلی السواد من البیاض و بالنسبة إلی البیاض من السواد و کالتهور و الجبن المتوسط بینهما الشجاعة فاعتبروا أن یکون الضد فی غایة الخلاف و نهایة البعد من ضده.</w:t>
      </w:r>
    </w:p>
    <w:p>
      <w:pPr>
        <w:pStyle w:val="BookText"/>
      </w:pPr>
      <w:r>
        <w:rPr>
          <w:rFonts w:ascii="IRNazanin" w:hAnsi="IRNazanin" w:eastAsia="IRNazanin" w:cs="IRNazanin"/>
          <w:lang w:bidi="fa-IR"/>
          <w:color w:val="111111"/>
          <w:sz w:val="28"/>
          <w:szCs w:val="28"/>
          <w:rtl/>
        </w:rPr>
        <w:t xml:space="preserve">و هذا هو الموجب لنفیهم التضاد بین الجواهر فإن الأنواع الجوهریة لا یوجد فیها ما هو نسبی مقیس إلی طرفین و لا نوعان متطرفان بینهما غایة الخلاف.</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و من أحکام التضاد أنه لا یقع بین أزید من طرفین لأنه تقابل و التقابل</w:t>
      </w:r>
    </w:p>
    <w:p>
      <w:pPr>
        <w:pStyle w:val="BookText"/>
      </w:pPr>
      <w:r>
        <w:rPr>
          <w:rFonts w:ascii="IRNazanin" w:hAnsi="IRNazanin" w:eastAsia="IRNazanin" w:cs="IRNazanin"/>
          <w:lang w:bidi="fa-IR"/>
          <w:color w:val="111111"/>
          <w:sz w:val="28"/>
          <w:szCs w:val="28"/>
          <w:rtl/>
        </w:rPr>
        <w:t xml:space="preserve">[شماره صفحه واقعی : 152]</w:t>
      </w:r>
    </w:p>
    <w:p>
      <w:pPr>
        <w:pStyle w:val="BookText"/>
      </w:pPr>
      <w:r>
        <w:rPr>
          <w:rFonts w:ascii="IRNazanin" w:hAnsi="IRNazanin" w:eastAsia="IRNazanin" w:cs="IRNazanin"/>
          <w:lang w:bidi="fa-IR"/>
          <w:color w:val="111111"/>
          <w:sz w:val="28"/>
          <w:szCs w:val="28"/>
          <w:rtl/>
        </w:rPr>
        <w:t xml:space="preserve">ص: 1373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560" w:name="pg14419_168089"/>
    <w:bookmarkEnd w:id="560"/>
    <w:p>
      <w:pPr>
        <w:pStyle w:val="BookText"/>
      </w:pPr>
      <w:r>
        <w:rPr>
          <w:rFonts w:ascii="IRNazanin" w:hAnsi="IRNazanin" w:eastAsia="IRNazanin" w:cs="IRNazanin"/>
          <w:lang w:bidi="fa-IR"/>
          <w:color w:val="111111"/>
          <w:sz w:val="28"/>
          <w:szCs w:val="28"/>
          <w:rtl/>
        </w:rPr>
        <w:t xml:space="preserve">نسبة و لا تتحقق نسبة واحدة بین أزید من طرفین و هذا حکم عام لجمیع أقسام التقابل.</w:t>
      </w:r>
    </w:p>
    <w:p>
      <w:pPr>
        <w:pStyle w:val="BookText"/>
      </w:pPr>
      <w:r>
        <w:rPr>
          <w:rFonts w:ascii="IRNazanin" w:hAnsi="IRNazanin" w:eastAsia="IRNazanin" w:cs="IRNazanin"/>
          <w:lang w:bidi="fa-IR"/>
          <w:color w:val="111111"/>
          <w:sz w:val="28"/>
          <w:szCs w:val="28"/>
          <w:rtl/>
        </w:rPr>
        <w:t xml:space="preserve">قال فی الأسفار : «و من أحکام التضاد علی ما ذکرناه من اعتبار غایة التباعد أن ضد الواحد واحد لأن الضد علی هذا الاعتبار هو الذی یلزم من وجوده عدم الضد الآخر فإذا کان الشی‌ء وحدانیا و له أضداد فإما أن یکون مخالفتها مع ذلک الشی‌ء من جهة واحدة أو من جهات کثیرة فإن کانت مخالفتها له من جهة واحدة فالمضاد لذلک الشی‌ء بالحقیقة شی‌ء واحد و ضد واحد و قد فرض أضدادا و إن کانت المخالفة بینها و بینه من جهات عدیدة فلیس الشی‌ء ذا حقیقة بسیطة بل هو کالإنسان الذی یضاد الحار من حیث هو بارد و یضاد البارد من حیث هو حار و یضاد کثیرا من الأشیاء لاشتماله علی أضدادها فالتضاد الحقیقی إنما هو بین الحرارة و البرودة و السواد و البیاض و لکل واحد من الطرفین ضد واحد و أما الحار و البارد فالتضاد بینهما بالعرض» انتهی. (ج 2 ص 114).</w:t>
      </w:r>
    </w:p>
    <w:p>
      <w:pPr>
        <w:pStyle w:val="BookText"/>
      </w:pPr>
      <w:r>
        <w:rPr>
          <w:rFonts w:ascii="IRNazanin" w:hAnsi="IRNazanin" w:eastAsia="IRNazanin" w:cs="IRNazanin"/>
          <w:lang w:bidi="fa-IR"/>
          <w:color w:val="111111"/>
          <w:sz w:val="28"/>
          <w:szCs w:val="28"/>
          <w:rtl/>
        </w:rPr>
        <w:t xml:space="preserve">و من أحکامه أن المتضادین متعاقبان علی الموضوع لاعتبار غایة الخلاف بینهما سواء کان بینهما واسطة أو وسائط هی بالقیاس إلی کل من الجانبین من الجانب الآخر و أثره أن لا یخلو الموضوع منهما معا سواء تعاورا علیه واحدا بعد واحد أو کان أحد الضدین لازما لوجوده کالبیاض للثلج و السواد للقار.</w:t>
      </w:r>
    </w:p>
    <w:p>
      <w:pPr>
        <w:pStyle w:val="BookText"/>
      </w:pPr>
      <w:r>
        <w:rPr>
          <w:rFonts w:ascii="IRNazanin" w:hAnsi="IRNazanin" w:eastAsia="IRNazanin" w:cs="IRNazanin"/>
          <w:lang w:bidi="fa-IR"/>
          <w:color w:val="111111"/>
          <w:sz w:val="28"/>
          <w:szCs w:val="28"/>
          <w:rtl/>
        </w:rPr>
        <w:t xml:space="preserve">و من أحکامه أن الموضوع الذی یتعاقبان علیه یجب أن یکون واحدا بالخصوص لا واحدا بالعموم إذ لا یمتنع وجود ضدین فی موضوعین و إن کانا متحدین بالنوع أو الجنس.</w:t>
      </w:r>
    </w:p>
    <w:p>
      <w:pPr>
        <w:pStyle w:val="Heading6"/>
      </w:pPr>
      <w:bookmarkStart w:id="1550" w:name="_Toc990"/>
      <w:r>
        <w:t>خاتمة</w:t>
      </w:r>
      <w:bookmarkEnd w:id="1550"/>
    </w:p>
    <w:p>
      <w:pPr>
        <w:pStyle w:val="BookText"/>
      </w:pPr>
      <w:r>
        <w:rPr>
          <w:rFonts w:ascii="IRNazanin" w:hAnsi="IRNazanin" w:eastAsia="IRNazanin" w:cs="IRNazanin"/>
          <w:lang w:bidi="fa-IR"/>
          <w:color w:val="111111"/>
          <w:sz w:val="28"/>
          <w:szCs w:val="28"/>
          <w:rtl/>
        </w:rPr>
        <w:t xml:space="preserve">اختلفوا فی التمانع الذی بین الواحد و الکثیر حیث لا یجتمعان فی شی‌ء</w:t>
      </w:r>
    </w:p>
    <w:p>
      <w:pPr>
        <w:pStyle w:val="BookText"/>
      </w:pPr>
      <w:r>
        <w:rPr>
          <w:rFonts w:ascii="IRNazanin" w:hAnsi="IRNazanin" w:eastAsia="IRNazanin" w:cs="IRNazanin"/>
          <w:lang w:bidi="fa-IR"/>
          <w:color w:val="111111"/>
          <w:sz w:val="28"/>
          <w:szCs w:val="28"/>
          <w:rtl/>
        </w:rPr>
        <w:t xml:space="preserve">[شماره صفحه واقعی : 153]</w:t>
      </w:r>
    </w:p>
    <w:p>
      <w:pPr>
        <w:pStyle w:val="BookText"/>
      </w:pPr>
      <w:r>
        <w:rPr>
          <w:rFonts w:ascii="IRNazanin" w:hAnsi="IRNazanin" w:eastAsia="IRNazanin" w:cs="IRNazanin"/>
          <w:lang w:bidi="fa-IR"/>
          <w:color w:val="111111"/>
          <w:sz w:val="28"/>
          <w:szCs w:val="28"/>
          <w:rtl/>
        </w:rPr>
        <w:t xml:space="preserve">ص: 1374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 جهة واحدة أ هو من التقابل بالذات أم لا و علی الأول أ هو أحد أقسام التقابل الأربعة أم قسم خامس غیر الأقسام الأربعة المذکورة و علی الأول أ هو من تقابل التضایف أم من تقابل التضاد و لکل من الاحتمالات المذکورة قائل علی ما فصل فی المطولات.</w:t>
      </w:r>
    </w:p>
    <w:p>
      <w:pPr>
        <w:pStyle w:val="BookText"/>
      </w:pPr>
      <w:r>
        <w:rPr>
          <w:rFonts w:ascii="IRNazanin" w:hAnsi="IRNazanin" w:eastAsia="IRNazanin" w:cs="IRNazanin"/>
          <w:lang w:bidi="fa-IR"/>
          <w:color w:val="111111"/>
          <w:sz w:val="28"/>
          <w:szCs w:val="28"/>
          <w:rtl/>
        </w:rPr>
        <w:t xml:space="preserve">و الحق أنه لیس من التقابل المصطلح فی شی‌ء لأن قوام التقابل المصطلح بالغیریة الذاتیة التی هی تطارد الشیئین المتقابلین و تدافعهما بذاتیهما و من المستحیل أن یرجع الاختلاف و التمانع الذاتی إلی الاتحاد و التآلف و الواحد و الکثیر لیسا کذلک إذ الواحد و الکثیر قسمان ینقسم إلیهما الموجود من حیث هو موجود و قد تقدم أن الوحدة مساوقة للوجود فکل موجود من حیث هو موجود واحد کما أن کل واحد من حیث هو واحد موجود فالواحد و الکثیر کل منهما مصداق الواحد أی أن ما به الاختلاف بین الواحد و الکثیر راجع إلی ما به الاتحاد و هذا شأن التشکیک دون التقابل.</w:t>
      </w:r>
    </w:p>
    <w:p>
      <w:pPr>
        <w:pStyle w:val="BookText"/>
      </w:pPr>
      <w:r>
        <w:rPr>
          <w:rFonts w:ascii="IRNazanin" w:hAnsi="IRNazanin" w:eastAsia="IRNazanin" w:cs="IRNazanin"/>
          <w:lang w:bidi="fa-IR"/>
          <w:color w:val="111111"/>
          <w:sz w:val="28"/>
          <w:szCs w:val="28"/>
          <w:rtl/>
        </w:rPr>
        <w:t xml:space="preserve">فالوحدة و الکثرة من شئون تشکیک الوجود ینقسم الوجود بذلک إلی الواحد و الکثیر مع مساوقة الواحد للموجود المطلق کما ینقسم إلی الوجود الخارجی و الذهنی مع مساوقة الخارجی لمطلق الوجود و ینقسم إلی ما بالفعل و ما بالقوة مع مساوقة ما بالفعل لمطلق الوجود.</w:t>
      </w:r>
    </w:p>
    <w:p>
      <w:pPr>
        <w:pStyle w:val="BookText"/>
      </w:pPr>
      <w:r>
        <w:rPr>
          <w:rFonts w:ascii="IRNazanin" w:hAnsi="IRNazanin" w:eastAsia="IRNazanin" w:cs="IRNazanin"/>
          <w:lang w:bidi="fa-IR"/>
          <w:color w:val="111111"/>
          <w:sz w:val="28"/>
          <w:szCs w:val="28"/>
          <w:rtl/>
        </w:rPr>
        <w:t xml:space="preserve">علی أن واحدا من أقسام التقابل الأربعة بما لها من الخواص لا یقبل الانطباق علی الواحد و الکثیر فإن النقیضین و العدم و الملکة أحد المتقابلین فیهما عدم للآخر و الواحد و الکثیر وجودیان و المتضایفان متکافئان وجودا و عدما و قوة و فعلا و لیس الواحد و الکثیر علی هذه الصفة و المتضادان بینهما غایة الخلاف و لا کذلک الواحد و الکثیر فإن کل کثیر عددی قوبل به الواحد العددی فإن هناک ما هو أکثر منه و أبعد من الواحد لعدم تناهی العدد فلیس بین الواحد و الکثیر شی‌ء من التقابلات الأربعة و القسمة حاصرة فلا تقابل بینهما أصلا.</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[*زنجیرزن]</w:t>
      </w:r>
    </w:p>
    <w:p>
      <w:pPr>
        <w:pStyle w:val="BookText"/>
      </w:pPr>
      <w:r>
        <w:rPr>
          <w:rFonts w:ascii="IRNazanin" w:hAnsi="IRNazanin" w:eastAsia="IRNazanin" w:cs="IRNazanin"/>
          <w:lang w:bidi="fa-IR"/>
          <w:color w:val="111111"/>
          <w:sz w:val="28"/>
          <w:szCs w:val="28"/>
          <w:rtl/>
        </w:rPr>
        <w:t xml:space="preserve">[شماره صفحه واقعی : 154]</w:t>
      </w:r>
    </w:p>
    <w:p>
      <w:pPr>
        <w:pStyle w:val="BookText"/>
      </w:pPr>
      <w:r>
        <w:rPr>
          <w:rFonts w:ascii="IRNazanin" w:hAnsi="IRNazanin" w:eastAsia="IRNazanin" w:cs="IRNazanin"/>
          <w:lang w:bidi="fa-IR"/>
          <w:color w:val="111111"/>
          <w:sz w:val="28"/>
          <w:szCs w:val="28"/>
          <w:rtl/>
        </w:rPr>
        <w:t xml:space="preserve">ص: 1375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یمکن » من حقائق الأُصول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1 : 28 : مع امتناعه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القمّی فی القوانین 1 : 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صاحب الفصول فی فصوله : 11 - 12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الشیخ الأعظم الأنصاریّ فی فرائد الأُصول 1 : 238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أفاده فی الفصول : 110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التوضیح لبیان إمکان القسم الثالث من الوضع فی المعالم : 123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الرشتی فی بدائع الأفکار : 40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ومنته الدرایة : تمیّزه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توهّمه صاحب المعالم فی معالمه : 124 ، والسیّد الشریف فی حواشیه علی المطوّل : 374 ، والمحقّق القمّی فی قوانینه 1 : 10 و 289 ، وصاحب الفصول فی فصوله : 16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والمتوهّم هو المحقّق التفتازانی ( شرح کفایة الأُصول للشیخ عبدالحسین الرشتی 1 : 11 ) ، وذکره فی الفصول : 16 من دون تصریح بقائله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أنّ المستعمل فیها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محمّد تقی فی هدایة المسترشدین 1 : 175، وصاحب الفصول فی فصوله: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الرضی علی الکافیة 1 : 30 ، وشرح شذور الذهب : 14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الأنسب أن یقول : لأنّه یتعذّر الاستعمال فیه حینئذ ، وإلّا لزم تعدّد اللحاظ ، أحدهما : المأخوذ فی المستعمل فیه ، والآخر : مصحّح الاستعمال . ( حقائق الأُصول 1 : 25 )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 « الجزئی الذهنی » ؛ لأنّ المعنی الحرفی فی نفسه لیس کلّیاً طبیعیاً ... لأنّ الکلّی العقلی هو الطبیعی المقیّد بوصف الکلّیة ، وتقییده باللحاظ غیر وصف الکلیة ، فلاحظ . ( حقائق الأُصول 1 : 26 ) وراجع کفایة الأُصول مع حاشیة المشکینی 1 : 87 ، ومنته الدرایة 1 : 42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الکلمة کما هی فی الأصل وطبعاته ، وفی « ق » : « لحاظه فی غیره » . لکنّه استظهر فی الهامش ما أثبتناه فی المتن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الحکایة جزءً للمعنی ، بل اللفظ یستعمل فی معناه بقصد الحکایة ، فالعبارة لا تخلو عن مسامحة . وکذا الکلام فی الانشاء . راجع منته الدرایة 1 : 47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بها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ق » و « ش » وفی غیرهما: من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هی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الی القول الأول المحقق القمی فی قوانینه 1 : 64 وحکی عن الجمهور أیضاً . ( شرح کفایة الأُصول ، للشیخ عبد الحسین الرشتی 1 : 14 ) . واختار الثانی صاحب الفصول فی فصوله : 25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 واستظهر فی هامش « ق » أن تکون الکلمة «أنها»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 بخیر ّالبرهان علی صحته شهادة الوجدان بحسه فالاولی أن یقال ولامعنی لحسنه الاصحته (منته الدرایة 1 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الرابع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کونه من المستعمل فی نوعه تأمل ؛ إذ المحکیّ به اللفظ الدالّ علی الحدث ، ولا ینطبق علی الحاکی ، کما سیظهر من آخر عبارة المتن . ولو قال بدله : « ضرب کلمة » لکان أجود . وکذا الحال فی المثال الثانی ، ولو قال بدله : « ( زید ) فی ضرب زید مرفوع » لکان مما استعمل فی صنفه . ( حقائق الأُصول 1 : 31 ) وانظر منته الدرایة 1 : 55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قوله : « کضرب » سهوٌ من القلم أو من الناسخ ، والصحیح أن یقال : « کزید فی المثال ... » إلی آخره ؛ إذ الظاهر أنّ ما استعمل فی الصنف والمثل شیء واحد ، وهو لفظ «زید» والتفاوت بقصد شخص القول علی الثانی ، وعدمه علی الأوّل . ( کفایة الأُصول مع حواشی المشکینی 1 : 105 )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السابق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22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الترکیب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المعنی الحرفی من الأمر الثانی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موضوع القضیة ، وهو «زید» فی المثال المذکور . هذا تتمة المحذور الثانی الذی تعرّض له بقوله : مضافاً إلی ضرورة صحة الحمل والإسناد ... فکان المناسب تقدیمه علی المحذور الثالث ، وذکره فی ذیل المحذور الثانی ، فلاحظ . (منته الدرایة 1: 67)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حکی ذلک عن أکثر المحقّقین من علماء المعقول والمنقول . ( حقائق الأُصول 1 : 38 )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الثامن من المقالة الأُولی من الفن الأوّل من منطق الشفاء: 42 ، وشرح الإشارات 1: 32 . والجوهر النضید فی شرح التجرید : 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صاحب الفصول فی فصوله : 17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أبدله بقوله : « ولو کان من الجدار » ، لکان أولی . ( حقائق الأُصول 1 : 39 ) . وانظر منته الدرایة 1 : 71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کون کلمة « من » بیانیّة ، وحینئذ تفید حصر الهیئات فی أصناف الإعراب من الرفع والنصب والجرّ ، ولیس کذلک ، کما یدلّ علیه قوله : ومنها خصوص هیئات المرکّبات ... والعبارة حقّها هکذا : « نوعیّاً من الإعراب وهیئات المرکبّات » . ( کفایة الأُصول مع حواشی المشکینی 1 : 120 )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إضافة کلمة « أیضاً » بعد « نوعیاً » ، یعنی : کما أنّ وضع الهیئات الناشئة عن إعراب الموادّ نوعی ، کذلک وضع هیئات المرکّبات . ( منته الدرایة 1 : 75 )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القمّی فی القوانین 1 : 14 وصاحب الفصول فی فصوله : 33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مثل التبادر ، ولا یخفی عدم الحاجة إلیه فی العبارة . ( کفایة الأُصول مع حواشی المشکینی 1 : 129 )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ما إذا کان المحمول والمحمول علیه کلّیّاً وفرداً ، لا فی ما إذا کانا کلّیّین متساویین أو غیرهما ، کما لا یخفی . ( منه قدس سره )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ش » ومنته الدرایة : منهما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الفصل الثالث فی الاستعارة : 156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11 ، القوانین 1: 22 ، الفصول: 38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صاحب الفصول فی فصوله: 38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عن حزازة ؛ إذ المراد : الدوران بین کل واحد منها وعدمه ، غایة الأمر أنّ البناء علی العدم فی بعضها یقتضی الحمل علی المعنی الحقیقی . ( حقائق الأُصول 1 : 47 )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40 ، وهدایة المسترشدین 1 : 289 - 319 ، وقوانین الأُصول 1: 32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الرابع ؛ حیث ذکر أنّ صحة إطلاق اللفظ وإرادة النوع أو الصنف إنّما هی بالطبع لا بالوضع . لاحظ الصفحة : 30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1 : 88 : فأیّ علاقة بین الصلاة والدعاء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27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31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الأنصاری علی ما فی تقریرات بحثه . راجع مطارح الأنظار 1 : 32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تقدیم « أُخری » علی « معیّنة » ، کما لا یخفی . ( منته الدرایة 1 : 105 )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 إلیه : أنّ الألفاظ باقیة علی معانیها اللغویة ، والخصوصیات الزائدة علیها معتبرة فی موضوع الأمر لا المستعمل فیه . ( حقائق الأُصول 1 : 54 )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یبدو أنّ هذا تعریض بما ورد عن الشیخ الأعظم الأنصاری من إنکاره جریان النزاع علی ما نسب إلی الباقلّانی . راجع مطارح الأنظار 1 : 34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التوضیح لمعنی الصحّة فی مطارح الأنظار 1 : 55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تفصیله فی مطارح الأنظار 1 : 46 - 49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من کون الصحّة والفساد أمرین إضافییّن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مطارح الأنظار 1 : 51 عن المحقّق القمّی وأورد علیه بالوجوه المذکورة هنا . راجع أیضاً القوانین 1 : 60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1 : 54 : « نسبه البعض إلی جماعة من القائلین بالأعم ، بل قیل وهو المعروف بینهم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مطارح الأنظار 1 : 55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الشیخ الأعظم هذا الإشکال فی مطارح الأنظار 1 : 55 - 56 لکنّه ناقش فیه ، وأورد إشکالاً آخر علی الوجه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156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یرجع إلی « التام » المفهوم من العبارة ، فمرجعه حکمی ، وإلّا فالصواب : تأنیث الضمیر ؛ لرجوعه إلی « مرکّبات » . ( منته الدرایة 1 : 124 )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والإشکال علیه مذکوران فی مطارح الأنظار 1 : 56 - 57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أفاده المحقّق الرشتی بعنوان الوجه الرابع وقال عنه : وهو أحسن الوجوه ، بدائع الأفکار : 139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التعبیر عنه ب « أنّه یختلف أجزاءً » ولیس مما یشترک فی أجزاء معیّنة حتّی یلحظ الزائد والناقص بالقیاس إلیهما . ( حقائق الأُصول 1 : 65 )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ق » ، « ش » ، « ر » ومنته الدرایة ، وفی غیرها : یلاحظ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منته الدرایة ، وفی غیره : علیه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والصواب : أُولی النُهیٰ - کما استُظهر فی هامش « ش » - والنُهیٰ بمعنی العقول . وأما النهایة فهی : غایة الشیء ، ولم ترد بمعنی العقل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 ر » و « ش » ، وفی الأصل وسائر الطبعات : القول الصحیحی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رفع الشک ، ولعلّ أصل العبارة ذلک . ( حقائق الأُصول 1 : 67 )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 ر » ، « ق » و « ش » ، وفی الأصل وسائر الطبعات : القول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الشیخ الأعظم الأنصاری إلی هذه الثمرة فی بحث الأقلّ والأکثر الارتباطیین من فرائد الأُصول 2 : 347 ، وفی مطارح الأنظار 1 : 61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القوانین 1 : 43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القمّی فی قوانینه 1 : 43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برئ فلان من دَینه : سقط عنه طلبُه . وفی بعض الطبعات : فی البِرّ - بالتشدید - وهو بمعنی التصدیق . برّ اللّٰه قسمه : أی صدّقه . راجع مجمع البحرین 1 : 50 ( برأ ) و 3 : 218 ( برر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لفظ « ثمرة » ؛ فإنّ ثمرة المسألة الأُصولیة نفس الحکم المستنبط ، لا وقوع المسألة فی طریق استنباطه . ( حقائق الأُصول 1 : 69 )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هذا الوجه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تصویر الجامع ، حیث قال فی الصفحة 42: وإمکان الإشارة إلیه بخواصّها وآثارها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 : 322 ، ودعائم الإسلام 1: 133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6 : 343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4 : 151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الصادق علیه السلام : من حجّ حجّة فقد حلّ عقدة من النار من عنقه . ( التهذیب 2 : 196 )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 : 185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علیه السلام : « لا صلاة إلّابطهور» . ( التهذیب 1 : 50 )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بل » من « ق » و « ش »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3 : 365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أنّ الأخبار المثبتة للآثار وإن کانت ظاهرة فی ذلک ، لمکان أصالة الحقیقة ، ولازم ذلک کون الموضوع له للأسماء هو الصحیح ؛ ضرورة اختصاص تلک الآثار به ، إلّاأنّه لا یثبت بأصالتها کما لا یخفی ؛ لإجرائها العقلاء فی إثبات المراد ، لا فی أنّه علی نحو الحقیقة لا المجاز ، فتأمّل جیّداً . ( منه قدس سره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 إلّاأنّها لا تقتضی ظ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الدلیل الثانی من أدلّة الصحیحی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 286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حدیث بهذه الألفاظ ، ولکن وردت بمضمونه أحادیث کثیرة . راجع بحار الأنوار 27 : 166 . ( باب أنّه لا تقبل الأعمال إلّابالولایة )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88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هذا الجواب مذکور فی هدایة المسترشدین 1 : 466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وفی الروایة الثانیة الإرشاد . وفی سائر الطبعات مثل ما أثبتناه . وفی منته الدرایة 1 : 148 : « حق العبارة أن تکون هکذا : مع أنّ المراد فی الروایة الثانیة أیضاً هو خصوص الصحیح ؛ لأنّ النهی للإرشاد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أجاب المحقّق التقی فی هدایة المسترشدین 1 : 469 - 470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لا شبهة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 ولو مع النذر ، ولکن صحّته کذلک مشکل ؛ لعدم کون الصّلاة معه صحیحة مطلوبة ، فتأمّل جیّداً . ( منه قدس سره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ش » : أهل العرف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بقوله : وربما یحصل له بسببه مزیّة أو نقیصة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 والظاهر : زیادة « فی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 الوحید البهبهانی قدس سره ذهابه إلی دخل جزء الماهیّة فی التسمیة ، دون شرط الماهیّة ؛ لخروجه عن المسمّی . ( منته الدرایة 1 : 169 )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أدلّة القول بالصحیح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کالأبهری والبلخیّ وتغلب من القدماء - علی ما فی مفاتیح الأُصول : 23 - ، والمحقّق النهاوندی من المتأخّرین فی تشریح الأُصول : 47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العبارة یقتضی أن تکون هکذا : لکنّه فاسد ؛ لمنع الإخلال . ( منته الدرایة 1 : 171 )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الجوابان مذکوران فی الفصول : 31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الفصول : 31 : ثمّ من القائلین بوقوعه فی اللغة من منع وقوعه فی القرآن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توضیح هذا الجواب فی الفصول : 31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توهّمه الفیّومیّ فی فصل الجمع من خاتمة المصباح المنیر: 956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جملة الأقوال فی الإمکان الوقوعی ، فالأولی تقدیمه علی البحث فی إمکان استعمال المشترک فی القرآن . راجع کفایة الأُصول مع حاشیة المشکینی 1 : 205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الأجوبة الأربعة مذکورة فی الفصول : 31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1 : 150 : علامةٌ علی إرادة المعنی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الظرف متعلّق بقوله : « إرادة » ، وهذا تقریب الاستحالة ولیس وجهاً آخر ، وحاصله : إنّه کیف یمکن إرادة معنی آخر فی استعمال واحد مع استلزام إرادته لحاظ اللفظ ثانیاً غیر لحاظه أولاً ... . ( منته الدرایة 1 : 181 )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ضمیر « استلزامه » ؛ لرجوعه إلی « إرادة معنی آخر » . ( منته الدرایة 1 : 181 )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المعالم : 39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القوانین 1 : 63 و 70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والمطبوع ، وکُتب فوقها فی « ش » : بکونهما ظ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وکتب أعلاها فی « ش » : بکونه ظ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هذا التفصیل صاحب المعالم فی معالمه : 39 - 40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إذ لازم التنزّل تسلیم کون الوحدة قیداً للموضوع له ، ومعه لا وجه للاعتراض بأنّ اللفظ موضوع لنفس المعنی ، نعم ، الاعتراضات الأُخر واردة علیه بعد التسلیم المذکور ( کفایة الأُصول مع حاشیة المشکینی 1 : 211 ) . وراجع حقائق الأُصول 1 : 93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بینهما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 107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خبر بهذا المضمون رغم وفرة الإشارة إلیه فی کتب التفسیر والأُصول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والمطبوع ، وفی هامش « ش » : کانت ظ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وفی هامش « ش » : فلعلّها کانت ظ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 « فی ما یعمّه ومن قضی » کما وأثبتتها « ش » کذلک فی الهامش عن نسخة من الکتاب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أو الایجاد . وقال فی حقائق الأُصول 1 : 96 فی الفرق بین الصدور والایجاد : « المراد به ( الصدور ) ظاهراً : ما کان المبدأ فیه قائماً بغیر الفاعل وإن کان صادراً منه ، مثل الکسر والقتل . والمراد بالایجاد : ما کان المبدأ فیه قائماً بالفاعل ، مثل الجلوس والأکل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یظهر وجهٌ لتغییر الأُسلوب ، والإتیان بکلمة « بل » بعد کون شمول البحث لصیَغ المبالغة وما بعدها - ممّا ذکره فی المتن - لأجل إطلاق « المشتق » فی عناوین کثیر منهم کالحاجبی وغیره .. إلّاأن یقال : إنّ غرضه : التغییر بالنسبة إلی خصوص صیغ المبالغة ؛ لاحتمال اختصاص نزاع المشتق بما یتکفّل مجرّد التلبّس بالعرض ، دون کثرة التلبّس به . ( منته الدرایة 1 : 198 )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التقی : إنّ المشتقات التی وقع النزاع فیها تعمّ أسماء الفاعلین والمفعولین والصفات المشبهة وأسماء التفضیل والأوصاف المشتقة . ( هدایة المسترشدین 1: 369 )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 راجع الفصول: 60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 ثمّ اعلم أنهم أرادوا بالمشتّق الذی تشاجروا علی دلالته فی المقام : اسم الفاعل وما بمعناه من الصفات المشبّهة وما یلحق بها ( الفصول : 79 ) ثمّ أخذ فی بیان معانی سائر المشتقّات ، من دون نقل خلاف فی ذلک ، فکأنّ تلک المعانی بنظره مما اتّفق علیه الکل . ( منته الدرایة 1 : 200 )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نشیر إلیه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تعریض آخر بالفصول : 61 . یراجع حقائق الأُصول 1 : 97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وإن أبیت إلّاعن إرادة المشتق المصطلح - کما هو قضیّة الجمود علیٰ ظاهر لفظه - لکن هذا القسم من الجوامد أیضاً داخل فی محلّ النزاع . ( منته الدرایة 1 : 205 )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والمطبوع من الکتاب ، وفی المصدر وفوائد المصنف : 304 : بإحدی الکبیرتین . وقال فی حقائق الأُصول 1 : 98 : بل یکفی الدخول فی إحداهما فی حرمة الصغیرة ، ولعلّ فی النسخة غلطاً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 52 . مع اختلاف فی بعض الألفاظ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الأفهام 7: 268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المتقدّم ؛ إذ قال : ثمّ إنه لا یبعد أن یراد بالمشتق فی محلّ النزاع مطلق ما کان مفهومه ومعناه جاریاً علی الذات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ینصرم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بین المزید فیها وغیرها فی کونها مشتقة ... وتخصیص الأول بالذکر ؛ لأنّ التوهّم فیها أقرب ؛ لکون صدق المشتق علیها أظهر . ( حقائق الأُصول 1 : 233 )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305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المقدّمة ، فی بیان وضع الحروف ، حیث قال : أنّ حال المستعمل فیه والموضوع له فیها حالهما فی الأسماء . راجع الصفحة : 25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ما » فی بعض الطبعات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الآلیّ الکلّی کلّی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 أنّ الکلّی الطبیعی نفس معروض الکلّیة کالحیوان والإنسان ، والکلّی العقلی هو الحیوان بوصف الکلّیة ، وحیث إنّ الکلّیة من الاعتبارات العقلیّة ، فلا محالة لا موطن للموصوف بها بما هو کذلک إلّافی العقل ؛ ولذا وصف بالکلّی العقلی ، لا أنّ کلّیته العقلیّة بلحاظ تقیّده باللحاظ الاستقلالی أو الآلی - کما فی المتن - کیف ؟ واللحاظ - الذی هو وجوده الذهنی - مصحّح جزئیّته فی الذهن ، مع أنّ صیرورته جزئیاً ذهنیاً بملاحظة تقیّده بالوجود الذهنی مسامحة واضحة ؛ إذ الجزئیة والکلّیة من اعتبارات المعانی والمفاهیم ؛ لأنّ الإباء عن الصدق وعدمه إنّما یعقل فی المفهوم لا فی الوجود ، فالموجود مطلقاً خارج عن المقسم . ( نهایة الدرایة 1 : 182 - 183 ) . یلاحظ أیضاً : کفایة الأُصول مع حاشیة المشکینی 1 : 234 - 235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لفظة « کان » هذه مستغنی عنها . وقوله قدس سره : « جزئیاً » خبر قوله : « کان » فی : « وإن کان بملاحظة » کما هو فی غایة الوضوح ، نعم ، بناءً علی کون کلمة « إن » شرطیة لا تکون « کان » زائدة ، بل جواباً للشرط ، لکن هذا الاحتمال فی غایة البُعد . ( منته الدرایة 1 : 247 )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الحروف . ( منته الدرایة 1 : 248 )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کُتبت هنا فی هامش « ن » وبعض الطبعات الأُخری هذه العبارة : ثمّ إنّه قد انقدح بما ذکرنا : أنّ المعنی - بما هو معنی اسمی وملحوظ استقلالی ، أو بما هو معنی حرفی وملحوظ آلی - کلّی عقلی فی غیر الأعلام الشخصیة ، وفیها جزئی کذلک ، وبما هو هو ، أی : بلا أحد اللحاظین کلّی طبیعی أو جزئی خارجی ( نسخة بدل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و « ش » : کلّیّته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المقدّمة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نسبه المحقّق القمّی ( القوانین 1 : 78 - 79 ) إلی بعض المتأخرین ، وهو الظاهر من الفصول : 61 أیضاً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مبحث المشتق ، بقوله : واختلاف أنحاء التلبّسات حسب تفاوت مبادئ المشتّقات ... لا یوجب تفاوتاً فی ما هو المهم ... . انظر الصفحة : 61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 « هو حال النسبة » ، وإلّا یلزم کون المشتق حقیقة فی ما لم یتلبّس بعدُ أیضاً ؛ لأنّ الذات متلبّسة بالمبدأ فی حال التلبّس ، فضلاً عمّا انقضی عنه المبدأ . والظاهر أنّه سهوٌ من القلم أو من الناسخ ( کفایة الأُصول مع حاشیة المشکینی 1 : 239 ) . وراجع حقائق الأُصول 1 : 107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فی آخر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وطبعاته : « عنه » ، وأُدرجت الکلمة فی هامش « ش » کما أثبتنا أعلاه عن نسخة من الکتاب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صاحب الفصول فی فصوله: 60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أوّل مَن بحث حال الأصل فی المسألة هو المحقّق الرشتی فی بدائع الأفکار : 180 ، وأنّ المصنّف قد أخذ جانباً من البحث منه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الأمر الرابع من مقدّمات بحث المشتق ، إذ قال : « رابعها : أنّ اختلاف المشتقات فی المبادئ ... لا یوجب اختلافاً فی دلالتها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من لا یکون متلبساً فعلاً بالمبادئ » ؛ إذ غرضه قدس سره صحّة السلب عمّن لا یکون متصفاً فعلاً بالمبادئ ، وإن کان متلبساً بها قبله وانقضی عنه . ( منته الدرایة 1 : 269 )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 هذا الدلیل : العضدی ، وارتضاه المحقّق القمّی ، کما فی بدائع الأفکار : 181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الرشتیّ فی بدائع الأفکار: 181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الإشکال والجواب عنه فی بدائع الأفکار : 180 ، وراجع الفصول : 61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بتفصیل الفصول : 60 بین المشتق من المصادر المتعدّیة ، فیکون حقیقة فی الأعم ، والمصادر اللازمة ، فیکون مجازاً فی المنقضی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الخامس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التفصیل حکاه المحقّق التقی عن الشهید الثانی وغیره ، راجع هدایة المسترشدین 1 : 370 وتمهید القواعد : 85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المقدّمة الرابعة من مبحث المشتق ، حیث قال : إنّ اختلاف المشتقّات فی المبادئ ... لا یوجب اختلافاً فی دلالتها ... انظر الصفحة : 66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العبارة لا تخلو عن حزازة ؛ إذ لو کان الحال فاعلاً لقوله : یتفاوت - کما هو کذلک - لخلا قوله : اختلاف عن العامل ، ولابدّ حینئذ من إدخال الباء الجارّة علیه ، لتکون العبارة هکذا : لا یتفاوت الحال فی ما هو المهم باختلاف ما یراد من المبدء . ( منته الدرایة 1 : 292 )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أثناء الاستدلال علی ما هو المختار ، حیث قال : ویدلّ علیه ... صحّة السلب مطلقاً عمّا انقضی عنه . الصفحة : 69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175 ، عیون أخبار الرضا علیه السلام 2 : 196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الحدیث الذی رواه الشیخ الطوسی مسنداً عن عبد اللّٰه بن مسعود عن رسول اللّٰه صلی الله علیه و آله أنّه قال : أنا دعوة أبی إبراهیم ... راجع تفصیله فی أمالیه : 379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أشار إلیه بقوله : « علی النحو الأخیر » ، وهو ثالث الأقسام التی ذکرها فی المقدّمة . ( منته الدرایة 1 : 299 )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«السّٰارِقُ وَ السّٰارِقَةُ فَاقْطَعُوا أَیْدِیَهُمٰا » . المائدة : 38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«الزّٰانِیَةُ وَ الزّٰانِی فَاجْلِدُوا کُلَّ وٰاحِدٍ مِنْهُمٰا مِائَةَ جَلْدَةٍ » . النور : 2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11 ( الهامش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 174 ، وراجع الفصول : 61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25، الفصل الخامس فی معرفة الفصل، شرح المنظومة: (قسم الفلسفة) 100.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المطالع : 128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موافق لما جاء فی الفصول وحقائق الأُصول ومحتمل فی الأصل أیضاً . ووردت العبارة فی بقیة طبعات الکتاب هکذا : لکن یصدق زید الکاتب بالقوة أو بالفعل کاتب بالضرورة . وقال المحقّق الاصفهانیّ: « النسخة المصحّحة - بل المحکیّ عن النسخة الأصلیّة - هکذا: لکن یصدق زید زید الکاتب بالفعل أو بالقوّة بالضرورة . وأما ما فی النسخ الغیر ( کذا ) المصحّحة فی بیان المثال الثانی : ولکن یصدق زید الکاتب کاتب بالفعل أو بالقوة بالضرورة ، فهو غلط بالضرورة ؛ لأنّ لازم ترکّب المشتق تکرّر الموضوع لا تکرّر المحمول » . ( نهایة الدرایة 1 : 212 )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کون الموضوع مقیداً بالمحمول ، فمرجع الضمیر حکمی ؛ إذ المذکور فی العبارة هو الذات ، فالصناعة تقتضی تأنیث ضمیر « کونه » . ( منته الدرایة 1 : 314 )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التعبیر جارٍ علی تعبیر الفصول ، وإلّا فالثبوت الواقعی وعدمه إنّما یکونان معیارین للصدق والکذب ، لا لکون القضیة ضروریة سلبیّة أو ایجابیّة ، بل المعیار فی ذلک شرط الثبوت وشرط عدمه ، فالأولی : تبدیل قوله : « لا بملاحظة ثبوتها » بقوله : « لا بملاحظة شرط الثبوت أو شرط عدمه » . ( حقائق الأُصول 1 : 126 ) . وراجع منته الدرایة 1 : 316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الأصل : « واقعاً وفی نفسه » ، وفی طبعاته کما أثبتناه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الفصول : 61 : « ولا یذهب علیک : أنّه یمکن التمسّک بالبیان المذکور علی إبطال الوجه الأول أیضاً ؛ لأنّ لحوق مفهوم الذات أو الشیء لمصادیقهما أیضاً ضروری ، ولا وجه لتخصیصه بالوجه الثانی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إذ قال : وذلک لوضوح أنّ المناط فی الجهات وموادّ القضایا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حقائق الأُصول ومنته الدرایة : بل کان الأولی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المفضّل علیه فی قوله: «بل کان الأولی» - بحسب سیاق الکلام - هو : «الانقلاب» ... لکن لا یلائمه التعلیل بقوله : « لفساده مطلقاً » ؛ لعدم ارتباطه بالانقلاب أصلاً ... فلابدّ من أن یکون المفضّل علیه فی قوله : « أولی » هو التالی فی الشرطیة الأولی وهو دخول العرض العام فی الفصل ، وهذا وإن کان خلاف السیاق ، لکن لا محیص عنه بعد ما عرفت من عدم المناسبة بین المفضّل - وهو أخذ النوع فی الفصل - وبین المفضّل علیه - وهو الانقلاب - فتدبّر . ( منته الدرایة 1 : 320 - 321 )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الدلیل المحقّق الدوانی فی حاشیته القدیمة علی شرح التجرید للقوشجی : 85 ، کما واستدلّ به المحقّق السبزواری أیضاً لإثبات البساطة فی تعلیقته علی الأسفار 2 : 42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ش » : الشجر والحجر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ش » ومنته الدرایة . وفی الأصل وسائر الطبعات : الفارقین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1 : 16 - 18 ، وشرح المنظومة ( قسم المنطق ) 29 - 30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هذا الأمر ، حیث قال : إنّه بمفهومه لا یأبی عن الحمل علی ما تلبّس بالمبدأ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7 : 16 . ( الفصل الرابع فی الفرق بین الجنس والمادة و ...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زیاردة کلمة « لحاظ » ؛ إذ المناط فی صحّة الحمل هو نفس الاتحاد بأحد أنحائه ... ولیس الحمل تابعاً للحاظ الاتحاد ، فحقّ العبارة أن تکون : « إنّ ملاک الحمل نحو من الاتحاد ... » . ( منته الدرایة 1 : 334 )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 لحاظ نحو من الاتّحاد » . وفی « ق » ، « ش » ، حقائق الأُصول ومنته الدرایة : « لحاظ بنحو الاتّحاد » . وقال المحقّق المشکینی : فیها ( العبارة ) ... اغتشاش ، وحقّها هکذا : « نحوٍ من الاتحاد » . ( کفایة الأُصول مع حاشیة المشکینی 1 : 289 ) . أیضاً یراجع عنایة الأُصول 1 : 166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کلمات الأشاعرة : ابتناء اعتبار المغایرة خارجاً بین المبدء والذات ، علی اعتبار قیام المبدء فی صدق المشتق ، فانّهم استنتجوا أُموراً ، منها : زیادة الصفات علی الذات ، فکان الأنسب جعل هذا التنبیه من متعلّقات التنبیه الآتی . ( حقائق الأُصول 1 : 136 )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صفات الجلال هی الصفات السلبیّة ، وهی لیست عین الذات ، فالظاهر أنّه تفسیر للکمال ، ولیس المراد منه ما هو المصطلح . ( کفایة الأُصول مع حاشیة المشکینی 1 : 292 )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لفظ « فساد » ساقط من القلم ، قبل کلمة « ما » . ( کفایة الأُصول مع حاشیة المشکینی 1 : 292 ) ، أیضاً انظر منته الدرایة 1 : 340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 ولم یلتزم صاحب الفصول إلّابوقوع النقل فیها دون التجوّز . ( راجع عنایة الأُصول 1 : 151 )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هذا الأمر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وطبعاته ، والظاهر زیادة : « من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السابق ، حیث قال : فإنّ المبدأ فیها وإن کان عین ذاته - تعالی - خارجاً ، إلّاأنّه غیر ذاته - تعالی - مفهوماً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منه : العارض الاعتباری ، ومن المحمول بالضمیمة : العارض المتأصّل ، سمّی الأوّل به لکونه خارجاً عن الشیء محمولاً علیه ، والثانی لکونه منضماً إلی ما حمل علیه ، هکذا قال فی الدرس إلّاأنّه .. خلاف الاصطلاح ( کفایة الأُصول مع حاشیة المشکینی 1 : 296 ) ؛ فإنّ المعروف بین أهل المعقول : أنّ المحمول بالضمیمة هو العرضی الذی یکون محتاجاً فی حمله علی الشیء إلی الضمیمة ، والخارج المحمول هو العرضی الذی لا یحتاج حمله إلی الضمیمة . انظر نهایة الحکمة : 98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من المعانی » ؛ لیوافق ضمیر « علیها » . ( منته الدرایة 1 : 348 )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 حیث قال : وإنّما قلنا : من دون واسطة فی المقام ، احترازاً عن القائم بواسطة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الجملة کما هی فی حقائق الأُصول . وفی « ق » و « ش » : ولهذا صار محلّ الکلام . وفی غیرها : وهذا هاهنا محلّ الکلام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97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66 و 82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لأمر کذا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الأنسب عطف « الفعل » علیهما ؛ لوحدة الجمیع . ( حقائق الأُصول 1 : 141 )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الفصول : 63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الفصول : 62 وقال : وهذا الاصطلاح موافق لمصطلح أهل المعانی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بجناحه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63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 : 17 ، الباب 3 من أبواب السواک ، الحدیث 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بریرة کانت أمة لعائشة وزوّجتها بعبد ثمّ أعتقتها ، فلمّا علمت بریرة بخیارها فی نکاحها بعد العتق أرادت مفارقة زوجها ، فاشتکی الزوج إلی النبی صلی الله علیه و آله فقال لبریرة : « إرجعی إلی زوجک فإنّه أبو وُلدک وله علیک منّة » ، فقالت یا رسول اللّٰه : « أتأمرنی بذلک ؟ » فقال صلی الله علیه و آله : « لا ، إنّما أنا شافع » قالت : « فلا حاجة لی فیه » . ( منته الدرایة 1 : 421 - 422 ) . ویراجع مستدرک الوسائل 15 : 32 ، الباب 36 من أبواب نکاح العبید والإماء ، الحدیث 3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مبادئ الوصول : 93 ، والمعالم : 50 ( حجة القائلین بأنّه للقدر المشترک )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مباحث مادّة الأمر ، حیث قال فی الصفحة السابقة : وما ذکر فی الترجیح عند تعارض هذه الأحوال لو سلّم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الثامن من المقدّمة ، إذ قال : وأمّا إذا دار الأمر بینها ، فالأُصولیون وإن ذکروا لترجیح بعضها علی بعض وجوهاً ... . انظر الصفحة : 38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64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قوله : « بالحمل الشائع الصناعی » ، بقوله : « طلباً مطلقاً لا إنشائیاً » ؛ وذلک لأنّ الموضوع فی الحمل الشائع هو المصداق لا المفهوم ، کما فی : زید إنسان ونحوه ، وباب الوضع القائم بالمفاهیم أجنبی عن الوجود المتقوّم به الحمل ، ولا ینبغی خلط أحدهما بالآخر . ( منته الدرایة 1 : 379 ) . وراجع حقائق الأُصول 1 : 145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العبارة یقتضی أن یقال : إذ المنصرف ، أو : حیث إن المنصرف . ( منته الدرایة 1 : 381 )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التقی فی هدایة المسترشدین 1 : 589 ، والمحقّق الخوانساری فی رسالته فی مقدّمة الواجب ، نقله عنه فی بدائع الأفکار : 256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المواقف 8 : 94 ، شرح التجرید (للقوشجیّ): 246 ونقد المحصّل: 170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الأُصول : 109 ، هدایة المسترشدین 1 : 582 ، والفصول : 68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الرازی فی المحصول 2 : 19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 287 - 290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 والإعادة لیست بلا فائدة وإفادة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 یکون » وکذا الضمیر المنفصل بعده . ( منته الدرایة 1 : 385 )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أنّه من سهو الناسخ ؛ للاستغناء عنه بقوله: « غیر الإرادة » . ( منته الدرایة 1 : 385 )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ذکر تصور الفائدة والتصدیق بها قبل المیل وهیجان الرغبة . ( منته الدرایة 1 : 386 )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 تکون هی الطلب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حقائق الأُصول ومنته الدرایة . وفی غیرهما : فلا محیص إلّا.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الأخطل الشاعر علی ما فی المحصول ( للرازی ) 2 : 24 وغیره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إذ قال : ضرورة أنّ المغایرة بینهما أظهر من الشمس وأبین من الأمس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والحقیقیّة من الإرادة » . ( منته الدرایة 1 : 392 )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توهمه عبارة القوشجی فی شرح التجرید : 246 ، کما ذکره المصنّف فی فوائده : 288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 289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قصد » مشطوب علیها فی الأصل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وحقائق الأُصول : لأجل قیام الطلب والاستفهام وغیرهما بالنفس وضعاً أو إطلاقاً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أُسلوب الکلام یقتضی أن تکون العبارة هکذا : « وإمّا أن تتخلّف الإرادة عن المراد إن کان هناک إرادة توجب کون التکلیف جدّیاً » . راجع منته الدرایة 1 : 400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مسبوقةً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 « بمقدماتها الموجبة لکونها اختیاریة » ؛ إذ مقدّمات الفعل لیست اختیاریة ، بل نفس الفعل اختیاری . ( حقائق الأُصول 1 : 154 )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محتمل الأصل ومنته الدرایة ، وفی سائر الطبعات : سبقهما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«ر» ، «ق» و «ش» . وفی غیرها : بتبعة . وفی حقائق الأُصول : یستتبعه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بالمضمون للحدیث المروی عن النبی صلی الله علیه و آله . انظر التوحید : 356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177 عن أبی عبد اللّٰه علیه السلام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الجهة الرابعة من البحث عن مادة الأمر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الأُولی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کون المستعمل فیه هو الإنشاء ، ولا یخفی أ نه من مقوّمات الاستعمال عنده ، کما نفی البُعد عنه فی أول الکتاب . والظاهر أنّها مسامحة ، ومراده کون المستعمل فیه هو الطلب الإنشائی . ومنه تظهر المسامحة فی عبارته الآتیة أیضاً . ( کفایة الأُصول مع حاشیة المشکینی 1 : 343 ) . وراجع منته الدرایة 1 : 434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بما أفاده الشیخ الأعظم الأنصاری فی مقام الاستدلال علی حجیة خبر الواحد بآیة النفر ، حیث قال : « إنّ لفظة ( لعلّ ) بعد انسلاخها عن معنی الترجّی ظاهرة فی کون مدخولها محبوباً للمتکلم » . ( فرائد الأُصول 1 : 277 ) . راجع أیضاً حاشیة المصنّف علی فرائد الأُصول : 67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تأکید لقوله: « فلا وجه للالتزام ... » . ( حقائق الأُصول 1 : 158 )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دلالة الصیغة ، فالأولی : تأنیث الضمیر . ( منته الدرایة 1 : 441 )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تعریض بصاحب المعالم ، القائل بکون الصیغة حقیقة فی الوجوب لغةً وعرفاً ، مع توقّفه فی ظهور الأوامر الواردة فی الکتاب والسنة فی الوجوب ؛ لکثرة استعمال الصیغة فیهما فی الندب ، لکنّه لم یدّع نقل الصیغة إلی الندب أو حملها علیه. راجع المعالم : 48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تأخیر هذا المبحث عن المبحث الرابع . ( کفایة الأُصول مع حاشیة القوچانی : 59 )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المبحث الأول من هذا الفصل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ادّعی المحقّق الإصفهانی فی هدایة المسترشدین 1 : 594 و 605 إنصراف الصیغة إلی الوجوب من جهة أکملیّته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عدم اختصاص هذا البحث بالصیغة ، بل یجری فی غیرها ممّا قُصد به الأمر ، کما لا یخفی وجهه . ( منته الدرایة 1 : 456 )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وحقائق الأُصول ومنته الدرایة، وفی سائر الطبعات: تصوّر الأمر بها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أُدرجت العبارة هکذا : إلّاوجوداً واحداً واجباً ( نسخة بدل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ما یأتی منه فی تقسیم المقدّمة إلی الداخلیّة والخارجیة ؛ حیث قال : فانقدح بذلک فساد توهّم اتّصاف کل جزء من أجزاء الواجب بالوجوب النفسی والغیری باعتبارین ... انظر الصفحة : 131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عن قصد الامتثال . وفی سائر الطبعات کما أثبتناه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أفاده الشیخ الأعظم الأنصاری کما فی مطارح الأنظار 1 : 303 . وراجع بدائع الأفکار : 335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 وفی « ن » وأکثر الطبعات : بلا مَنَعَة ، وفی هامش « ق » و « ش » : بلا تبعة ( نسخة بدل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ر » و « ق » زیادة : أو له تعالی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 نسب إلی الشیخ الأنصاری من أنّه جعل قصد الجهة والمصلحة فی عرض قصد امتثال الأمر ، خلافاً لصاحب الجواهر ، حیث اقتصر کون الشیء قربیّاً وعبادة علی قصد الأمر ، وجعل بقیة الدواعی القربیّة فی طول هذا الداعی لا فی عرضه . ( شرح کفایة الأُصول للشیخ عبد الحسین الرشتی 1 : 104 )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هی نفس النتیجة ، لا من المقدّمات التی یتوقّف علیها إبطال التمسک بإطلاق الصیغة لإثبات التوصلیة . ( عنایة الأُصول 1 : 224 )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بالشیخ الأعظم الأنصاریّ ، حیث قال - علی ما فی تقریرات بحثه - : « فالحقّ الحقیق بالتصدیق هو أنّ ظاهر الأمر یقتضی التوصّلیّة ؛ إذ لیس المستفاد من الأمر إلّاتعلّق الطلب الذی هو مدلول الهیئة للفعل علی ما هو مدلول المادة . ( مطارح الأنظار 1 : 304 ) . لکنه ذکر هذا الاستظهار بعد بیان امتناع الإطلاق ... والظاهر : أنّ مراده وجوب الحکم بعدم تقیید موضوع المصلحة بمجرّد عدم بیان تقییده ؛ لأصالة عدمه ، کما صرّح به ، فلاحظ . راجع حقائق الأُصول 1 : 175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سقوط «و» قبل «لو» یعنی : لا إشکال فی صحة المؤاخذة علی المخالفة وعدم الخروج عن العهدة بمجرّد العلم بالتکلیف ، ولو کان عدم الخروج لأجل الإخلال بقصد القربة فقط مع الإتیان بذات متعلّق الأمر . ( منته الدرایة 1 : 490 ) ، وراجع حقائق الأُصول 1 : 178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فی » من « ق » ، « ر » وحقائق الأُصول . وفی غیرها : کل ما شُکّ دخله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حقائق الأُصول ، منته الدرایة ومصحّحة « ق » . وفی الأصل و « ن » : إنّ کلّ ما ربما یحتمل دخله فی الامتثال أمراً کان ... وفی « ش » : إنّ کلّ ما ربما یحتمل دخله فی امتثال أمرٍ وکان ... وفی « ر » : إنّ کلّ ما ربما یحتمل بدواً دخله فی الامتثال إن کان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حقائق الأُصول ومنته الدرایة ، وفی غیرهما : التمیّز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تثنیة الضمیر ، باعتبار الوجه والتمییز ، وإن کان إفراده صحیحاً أیضاً ، باعتبار رجوعه إلی « القصد » . ( منته الدرایة 1 : 492 )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اعتبار قصدهما فی مفتاح الکرامة 2 : 314 إلی جماعة من الفقهاء ، منهم : الراوندی وابن البرّاج وأبی الصلاح والمحقّق فی الشرائع والشهیدین والمحقّق الثانی و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تأسیس الأصل ، حیث قال فی الصفحة السابقة : فاعلم أنّه لا مجال هاهنا إلّالأصالة الاشتغال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الجملة کما وردت فی « ر » وحقائق الأُصول ، وفی الأصل وبعض الطبعات : « تقیید الوجوب وتضیّق دائرته » ، وفی « ن » و « ش » : « تقیّد الوجوب وتضیّق دائرته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الشیخ الطوسی ( عدة الأُصول 1 : 183 ) إلی أکثر الفقهاء ومن صنّف فی أُصول الفقه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الفخر الرازی فی المحصول 2 : 96 - 98 ، وابن حزم فی الإحکام 3 : 321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ش » ومنته الدرایة ، وفی الأصل وسائر الطبعات : تبعیّته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العضدی فی شرح مختصر الأُصول : 205 ، والغزالی فی المستصفی : 211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السیّد المرتضی ( الذریعة 1 : 73 ) والشیخ الطوسی ( العدة 1 : 183 ) - بل حکی فی مفاتیح الأُصول : 116 نسبته إلی أکثر المحققین - بأنّ حکم الأمر الواقع بعد الحظر هو حکم الأمر المبتدأ ، فإن کان مبتدأه علی الوجوب أو الندب أو الوقف بین الحالین ، فهو کذلک بعد الحظر ، وکقول بعض بأنّه یفید الندب ، وقول إمام الحرمین بالتوقف . راجع مفاتیح الأُصول : 116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إبطال استدلال بعضهم - علی مدّعاه - ببعض موارد الاستعمال ، کقوله تعالی: «وَ إِذٰا حَلَلْتُمْ فَاصْطٰادُوا » المائدة : 2 ، وغیره من الآیات . راجع حقائق الأُصول 1: 181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 ق » و « ش » أن تکون العبارة هکذا : بعد کونها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وبعض الطبعات : صیغة الأمر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93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71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الجملة کما فی « ش » ، حقائق الأُصول ومنته الدرایة ، وفی الأصل وبعض الطبعات : عن کون المصدر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هی فی حقائق الأُصول ومنته الدرایة . وفی غیرهما : لیست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ثانی تنبیهات المشتق ؛ حیث أفاد : أنّ المشتق یکون « لا بشرط » والمبدأ یکون « بشرط لا » . راجع الصفحة : 83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الدرایة 1 : 358 : وکیف یکون بمعناه مادة لها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ذهب الکوفیّون إلی أنّ الأصل فی الکلام هو الفعل . انظر شرح ابن عقیل 1 : 559 ، ویراجع للتفصیل : تعلیقة القزوینی علی معالم الأُصول 2 : 391 - 394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بالنسبة إلی المادة ، والثانی بالنسبة إلی الهیئة ... ولا یخفی أنّ المناسب : العطف بالواو ، لا بأو ( کفایة الأُصول مع حاشیة المشکینی 1 : 392 )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الفصول : 71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المحقّق القمّی فی القوانین 1 : 92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توهّمه فی الفصول : 71 ، وما بین الأقواس هو نصّ کلامه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الفصول : 71 بعنوان : تذنیب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لأنّ الامتثال علّة تامّة دائماً ، والوجه : التعبیر ب : الإتیان . ( کفایة الأُصول مع حاشیة المشکینی 1 : 399 )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مبحث الإجزاء ، قوله : نعم ، لا یبعد أن یقال : بأنّه یکون للعبد تبدیل الامتثال والتعبد به ثانیاً ... راجع الصفحة : 121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الإحکام ( لابن حزم ) 3 : 294 وما بعدها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133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148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111 ، الباب 27 من أبواب مقدّمة العبادات . ( باب استحباب تعجیل فعل الخیر وکراهة تأخیره )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تعریض بما قد یظهر من عبارة التقریرات ( مطارح الأنظار 1 : 112 ) . ( حقائق الأُصول 1 : 191 )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المقدّمة الثانیة من مبحث التعبّدی والتوصلی ، حیث قال : إنّ التقرّب ... کان مما یعتبر فی الطاعة عقلاً ، لا ممّا أُخذ فی نفس العبادة شرعاً . راجع الصفحة : 105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مطارح الأنظار 1 : 113 : وقد یتوهّم أنّ المراد به هو « وجه الأمر » الموجود فی ألسنة المتکلّمین من نیّة الوجوب أو الندب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فی مفتاح الکرامة 2 : 314 - 315 إلی جمعٍ کثیر من الفقهاء ، کابن البرّاج والشهید والمحقّق والعلّامة وغیرهم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الجملة کما هی فی « ش » ومنته الدرایة ، وفی الأصل وبعض الطبعات : لا وجه لاختصاصه به بالذکر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نقل الآمدی ( الإحکام 2 : 175 ) عن القاضی عبد الجبار قوله بأنّ الإتیان بالمأمور به غیر موجب لسقوط القضاء . راجع أیضاً مفاتیح الأُصول : 126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الجعلی ، بدل : یکفی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 ش » أن تکون الکلمة : اصطلاحٌ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عطف علی قوله : بنفسها ، فیکون المراد : ما ینعقد للصیغة ظهور من القرائن العامة المکتنفة بها ؛ إذ من المعلوم عدم کون الظهور الناشئ من القرائن الشخصیة محلاًّ للکلام . أو عطف علی قوله : دلالة الصیغة ، فیکون المراد : ما ینعقد به لها ظهور من القرائن العامة المنفصلة ، وأمّا القرائن الشخصیة المنفصلة فلیست محلّ الکلام ، ولکن مرّ سابقاً [ کفایة الأُصول مع حاشیة المشکینی 1 : 400 ، مبحث الفور والتراخی ] : أنّ الظاهر فی هذه المباحث کون النزاع فی الظهورات الوضعیة ، والأولی : ترک قوله : أو بدلالة أُخری ( کفایة الأُصول مع حاشیة المشکینی 1 : 412 )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فی « ق » ، « ش » وحقائق الأُصول . وفی الأصل وبعض الطبعات : بل أو بالأمر الاضطراری ، وفی « ر » : بالأمر الواقعی أو بالأمر الاضطراری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لاقتضاء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مسامحة ، وقد مرّت فی مبحث دلالة الأمر علی المرّة . راجع کفایة الأُصول مع حاشیة المشکینی 1 : 415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مسألة المرّة والتکرار ، إذ قال : وأمّا إذا لم یکن الامتثال علةً تامةً لحصول الغرض ... فلا یبعد صحّة تبدیل الامتثال بإتیان فردٍ آخر أحسن منه . راجع الصفحة : 115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 أنّ الامتثال علّة تامة دائماً ، والأولی : التعبیر ب : « إتیان المأمور به » ، کما فعله فی الشقّ الثانی بقوله : « نعم ، فی ما کان الإتیان » . ( کفایة الأُصول مع حاشیة المشکینی 1 : 415 )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8: 401 - 403 ، الباب 54 من أبواب صلاة الجماعة . ( باب إعادة المنفرد صلاته إذا وجدها جماعة .. )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هل یجزئ عن القضاء والإتیان . وفی «ن» وأکثر الطبعات مثل ما أثبتناه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إلی هذه اللفظة ( کذلک ) ؛ لرجوع ضمیر « به » إلی تمام المصلحة . ( منته الدرایة 2 : 30 )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بل لابدّ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 وإلّا فاستحبابه » لکنّه ذکر فی الهامش : ( 1 : 199 ) الظاهر : أنّ أصل العبارة : وإلّا فیجزئ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وفقاً للتصحیح الوارد فی « ن » وکذلک وردت فی « ر » . وفی‌الأصل و « ق » و « ش » : وفی الصورة الثانیة یتعین البدار ویستحب إعادته بعد القضاء ، وفی منته الدرایة وحقائق الأُصول : یتعیّن علیه استحباب البدار وإعادته بعد طروء الاختیار ، وهذه الأخیرة هی الواردة فی « ن » قبل التصحیح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43 ، والمائدة : 6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 386 ، الباب 23 من أبواب التیمم ، الحدیث 5 ، وفیه : إنّ التیمم ...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الحدیث 4 ، وفیه : یکفیک الصعید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التعبیر ب « عدم فعل الواقع » ؛ لاختصاص صدق « الفوت » بفوت المصلحة ، والمفروض خلاف ذلک . ( حقائق الأُصول 1 : 202 )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الطبعات ومحتمل الأصل : وإن أتی بالفرض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المحتمل فی الأصل : « منها » بدل « منه » لکنّه مشطوبٌ علیها . وفی طبعات الکتاب کما أثبتناه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قوله : « وهذا بخلاف ما کان منها » بقوله : « ما کان منه » ، لیکون عدلاً لقوله : « ما کان منه » المذکور فی کلامه ( منته الدرایة 2 : 74 )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لو کان الفاقد له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إذا شکّ فیها ، وفی طبعاته مثل ما أثبتناه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فعلیاً لا یجدی ، وفی طبعاته کما أثبتناه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قال آنفاً فی الصفحة 124 : وإلّا فالأصل ، وهو یقتضی البراءة من إیجاب الإعادة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وعدم ثبوت الفوت المعلّق علیه وجوبه بأصالة عدم الإتیان » . ( منته الدرایة 2 : 84 )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 ن » وسائر الطبعات ، وفی الأصل : منه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لما یفهم من ظاهر الرسالة ( فرائد الأُصول 1 : 119 ) تبعاً لما نقله عن تمهید القواعد ( 1 : 322 - 323 ) من أن الإجزاء لازم مساوٍ للتصویب الباطل ، وعدمُه لازم مساوٍ للتخطئة ( کفایة الأُصول مع حاشیة المشکینی 1 : 443 )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اللفظة هنا وفی السطر الأخیر من البحث وفقاً لما هو المحتمل قویاً من نسخة الأصل ، وکما جاءت فی نهایة الدرایة وحقائق الأُصول ومنته الدرایة . وفی « ن » وسائر الطبعات : « بمرتبته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مناسبٌ تقریباً لعدم التنافی بین تضادّ الأحکام الواقعیة والظاهریة وبین التخطئة ... وأما ما یناسب المقام من عدم منافاة الإجزاء للتخطئة ، فهو ما أفاده بقوله فی آخر بیانه : « وسقوط التکلیف ... » . ( حقائق الأُصول 1 : 213 )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یشبه أن یکون ردّاً علی التصویب ، لا عدم المنافاة بین الإجزاء والتخطئة . ( حقائق الأُصول 1 : 215 )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تعلیقة السیّد القزوینی علی القوانین : 99 : « اختلف القوم فی وجوب ما لا یتمّ الواجب إلّابه ، وهو المعبّر عنه بمقدّمة الواجب ... »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الجملة عن « ر » ، وفی بعض الطبعات : « تکون عن المسائل » ، وفی بعضها الأُخری : « تکون من المسائل »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62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هذا الوجه مذکور فی مطارح الأنظار 1 : 199 - 200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هدایة المسترشدین 2 : 164 إلی بعض الأفاضل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ذا المقدّمة . انظر منته الدرایة 2 : 104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من » من « ر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 واو العاطفة بالباء لیکون بیاناً للفرق المزبور ، لا مغایراً له ، کما هو ظاهر العطف علیه . ( المصدر السابق : 107 )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أن یقول : لا فی مقام الفرق بین الأجزاء الخارجیة وبین المرکّب . ( منته الدرایة 2 : 107 )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سلطان العلماء کما فی هدایة المسترشدین 2 : 164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التوهّم ما نبّه علیه فی مطارح الأنظار 1 : 211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وجهه : أنّه لایکون فیه أیضاً ملاک الوجوب الغیریّ ؛ حیث إنّه لا وجود له غیر وجوده فی ضمن الکلّ ، یتوقّف علی وجوده ، وبدونه لا وجه لکونه مقدّمة کی یجب بوجوبه أصلاً ، کما لا یخفی . وبالجملة: لا یکاد یُجدی تعدّد الاعتبار ، الموجب‌للمغایرة بین الأجزاء والکلّ فی هذا الباب ، وحصول ملاک الوجوب الغیریّ المترشّح من وجوب ذی المقدّمة علیها ، لو قیل بوجوبها ، فافهم . ( منه قدس سره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ذلک من عبارة مطارح الأنظار 1 : 214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بالرجوع وتعلیله مذکوران فی مطارح الأنظار 1 : 214 - 215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عن محلّ النزاع ؛ بدیهة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والأولی التأنیث : المتقدمة والمقارنة و ...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مقارنتهما ، وفی « ن » وسائر الطبعات کما أثبتناه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حصول الرغبة ، فالأولی : تأنیث الضمیر . ( منته الدرایة 2 : 136 )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قضیّة العبارة هو جعله ثالثاً ، إلّاأنّه لمّا قاس الوضع علی التکلیف من غیر إفراده بعنوان مستقل جعل شرط المأمور به أمراً ثانیاً . ( کفایة الأُصول مع حاشیة المشکینی 1 : 472 ) . وراجع حقائق الأُصول 1 : 226 ، ومنته الدرایة 2 : 145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لیس إلّا( أنّ - نسخة بدل )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العبارة بصیاغات مختلفة فی أصل الکتاب وطبعاته وشروحه : - فالذی أثبتناه هو الوارد فی الأصل وحقائق الأُصول ومنته الدرایة ، ولکن کتبت فی الأصل فوق « وجهاً وعنواناً » : « وجهٌ وعنوانٌ » . - وفی « ن » وبعض الطبعات : وجه وعنوان . - وفی « ر » : لیس إلّاأنّ ما یحصل ... وجهٌ مّا وعنوانٌ مّا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 301 - 303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الجمیع لیس جمیع الأقسام التسعة المتقدمة ، کما قد توهمه العبارة ، بل المراد : أقسام خصوص شرط المأمور به ، وأمّا شروط التکلیف فلا یعقل اتصافها بالوجوب ... وشروط الوضع خارجة - أیضاً - ؛ لعدم وجوبه حتّی تتصف مقدّماته به علی الملازمة ، نعم ربما یتعلق به الأمر ، فیدخل فی محلّ النزاع ( کفایة الأُصول مع حاشیة المشکینی 1 : 477 )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1 : 223 - 229 ، وبدائع الأفکار : 304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بذلک فی مطارح الأنظار 1 : 226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ق » ، وفی حقائق الأُصول : « وإن کان ... کانا بالعکس » ، وفی « ش » : « وإن کان ... بالعکس » وفی غیرها : « وإن کانا ... کانا بالعکس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ق » ، « ش » ومنته الدرایة : إنّ نفس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ر » : لامتناع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حقیقةً ، وإلّا فلیس المراد منه مقام الثبوت ؛ إذ هذا مفروض فی مقام الاثبات ( کفایة الأُصول مع حاشیة المشکینی 1 : 489 )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1 : 267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الاُمور المذکورة فی المقدّمة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ومنته الدرایة هنا وفی المورد الذی یلیه : وتقصد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ش » وحقائق الأُصول : والطلب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أُدرج فی الأصل ، « ر » ، حقائق الأُصول ومنته الدرایة ، وفی غیرها : من المنشأ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یقال : « فکما » بالفاء ؛ لأنّه جواب الشرط ، وهو قوله : « إذا توجّه » ، فإنّه من موارد لزوم اقتران جواب الشرط بالفاء . ( منته الدرایة 2 : 169 )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 ولو معلّقاً بذلک . انظر لتوضیح الفرق بین العبارتین شرح کفایة الأُصول للشیخ عبد الحسین الرشتی 1 : 135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أثبته فی منته الدرایة نقلاً عن بعض النسخ ، وفی غیره : المأمور بها والمنهی عنها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1 : 58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52: 325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المشهور المنصور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ق » ، « ش » ، حقائق الأُصول ومنته الدرایة . وفی الأصل ، « ن » و « ر » : لکونه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79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استدراک هذه اللفظة ( علی الحقیقة ) ومنافاتها للإیجاز الذی بنی علیه المصنف ؛ للاستغناء عنها بقوله : « فکذلک » . ( منته الدرایة 2 : 183 )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زبدة الأُصول : 46 ، ومطارح الأنظار 1 : 229 - 230 و 235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79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1 : 263 - 264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منته الدرایة : لکثر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النهاوندیّ فی تشریح الأُصول: 191 . وأصرّ علیه جماعة من الأعیان . ( حقائق الأُصول 1 : 245 )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الإرادة . ( منته الدرایة 2 : 195 )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لیس بجامع بین فردی الحرکة ، بل یتّحد مع الثانی لا غیره ، والجامع هو الحرکة المقصودة نفسیاً أو غیریاً . ( حقائق الأُصول 1 : 246 ) ، وراجع نهایة الدرایة 2 : 82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علی فعله من المثوبة » فی مقابل : « وعلی ترکه من العقوبة » ... ( منته الدرایة 2 : 197 )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الإشکال والجواب عنه فی الفصول : 79 - 80 بقوله : لا یقال : إذا توقف فعل الواجب علی شیء غیر مقدور له ... لأنّا نقول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فی العبارة تهافتاً ؛ لأنّ مقتضی قوله : « إنّ الشرط إنّما هو القدرة علی الواجب » أن تکون القدرة شرطاً للواجب ، ومقتضی قوله : « یکون من باب الشرط المتأخّر » أن تکون القدرة شرطاً للوجوب . راجع منته الدرایة 2 : 198 - 199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البحث عن الشرط المتأخّر . إذ قال : والتحقیق فی رفع هذا الإشکال ... فکون أحدهما شرطاً للتکلیف أو الوضع لیس إلّاأنّ للحاظه دخلاً فی تکلیف الآمر کالشرط المقارن بعینه . راجع الصفحة : 134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فی الفصول بعدم الفرق بین غیر المقدور والمقدور ، ومثّل للثانی بما لو توقّف الحج المنذور علی رکوب الدابّة المغصوبة . (حقائق الأُصول 1: 248) ویراجع الفصول: 79 - 80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ن » وأکثر الطبعات . وفی حقائق الأُصول ومنته الدرایة : « علی نحوٍ لا یکون مورداً للتکلیف ویرشح علیه الوجوب من الواجب ؛ لعدم ... » . وقال المشکینی : فی النسخ التی رأیناها قد سقطت کلمة «لا» [ بین «نحو» و «یکون» ] وعطف علیه قوله : « أو لا » . ولکن قال الأُستاذ [ الشیخ علی القوچانی ] : أن النسخة مغلوطة ، والصحیح : ثبوت کلمة « لا » وعدم کلمة « أو لا » . ( کفایة الأُصول مع حاشیة المشکینی 1 : 517 ) وفی حقائق الأُصول 1 : 248 : قد ضرب فی بعض النسخ علی قوله : « أو لا » مع زیادة « لا » بین « نحو » و « یکون » فتکون العبارة علی هذا التصحیح هکذا : علی نحوٍ لا یکون مورداً للتکلیف ویرشح علیه الوجوب من الواجب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فی زمان الواجب المعلّق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یظهر وجه لهذا الشرط ، بعد فرض کون الوجوب مطلقاً ؛ إذ لو کانت مقدّمة وجود الواجب مقدّمة لوجوبه أیضاً ؛ لخرج ذو المقدّمة عن کونه واجباً مطلقاً . ( منته الدرایة 2 : 204 )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حقائق الأُصول 1 : 250 : کان الأولی أن یقول بدله : ولا مأخوذة فی الواجب ؛ لأنّ الشرط فی وجوب التحصیل علی المکلّف انتفاء الجمیع لا انتفاء أحدهما کما هو مفاد کلمة « أو » . وقال فی منته الدرایة 2 : 205 : هذا القید ( أو مأخوذة فی الواجب علی نحو ... ) مستدرک ؛ لاندراجه فی مقدّمة الوجوب وکونه من مصادیقها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التنجّز من آثار قیام الحجّة علی التکلیف من علم أو علمی أو أصل ، والقدرة من شرائط حسن ا لخطاب بملاک قبح مطالبة العاجز ، فالأولی : إسقاط قوله : « وتنجّزه بالقدرة علیه » . ( منته الدرایة 2 : 207 )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الفصول : 79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عن الشیخ الأعظم الأنصاری فی مطارح الأنظار 1 : 263 - 264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غیرها : الصوم . ویراجع منته الدرایة 2 : 210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الطبعات : نفسیّاً ولو تهیّؤاً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حقائق الأُصول ومنته الدرایة ، وفی الأصل و « ن » : واستعدّ ، وفی سائر الطبعات : ولیستعدّ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مختار المحقّق التقی فی هدایة المسترشدین 2 : 170 - 171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وجوابه مذکوران فی مطارح الأنظار 1 : 272 - 273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تأنیث الضمیر ؛ لرجوعه إلی « القیود » . ( منته الدرایة 2 : 214 )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حال القید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الشیخ الأعظم الأنصاریّ علی ما فی مطارح الأنظار 1 : 251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 ش » : مقدّماته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الأصل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فی حقائق الأُصول ومنته الدرایة ، وفی غیرهما : کان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یمکن » من حقائق الأُصول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مذکور فی مطارح الأنظار 1 : 329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فلا یکاد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بهذا الإیجاب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ق » و « ر » وفی غیرهما : بذمّ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 80 ، وهدایة المسترشدین 2 : 89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الاعتراض » أثبتناها من « ش » ، حقائق الأُصول ومنته الدرایة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الاعتراض الذی أورده الشیخ الأعظم علی التفسیر المذکور . راجع مطارح الأنظار 1 : 330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الأعظم الأنصاریّ علی ما فی مطارح الأنظار 1 : 333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الثانی من مقدّمة الکتاب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فرد » ؛ لأنّ الطلب الحقیقی بنفسه فردٌ لمفهوم الطلب ، ولا معنی لکون شیءٍ فرداً لهذا الفرد ، بعد کون أفراد کل طبیعة متباینة ، ولعلّ فی العبارة سقطاً وکانت هکذا : ولا یکاد یکون فرده وهو الطلب الحقیقی ، أو ... . ( منته الدرایة 2 : 241 )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الواجب المطلق والمشروط ، عند الکلام عن دوران القید بین رجوعه إلی الهیئة أو المادّة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الجهة الرابعة من الجهات المتعلّقة بمادّة الأمر ، حیث أفاد : أنّ ... معنی الأمر لیس هو الطلب الحقیقی ... بل الطلب الإنشائی . راجع الصفحة : 93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بسلاسة العبارة أن یقول : وإن لم یکن التکلیف به فعلیاً ، فلا یجب الإتیان به . ( منته الدرایة 2 : 249 )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 أتی به ظ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علی قوله : باستحقاق ، یعنی : لا بأس بزیادة المثوبة . لکنّ الأولی إسقاط الحرف الجارّ ؛ لیکون معطوفاً علی « العقوبة » لیصیر المعنی هکذا : « ولا بأس باستحقاق زیادة المثوبة » ؛ إذ الکلام فی الاستحقاق بالنسبة إلی کلّ من العقوبة والمثوبة . ( منته الدرایة 2 : 254 )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روی فی ثواب المشی لزیارة أمیر المؤمنین والحسین علیهما السلام ، أو للحج . راجع وسائل الشیعة 14 : 380 ، باب استحباب زیارة أمیر المؤمنین ماشیاً ، ذهاباً وعوداً ، و 439 ، باب استحباب المشی إلی زیارة الحسین علیه السلام ، و 11 : 113 ، باب استحباب اختیار المشی فی الحج علی الرکوب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إبدالها ب « التوابع » أو « الآثار » أو نحوهما ؛ لأن « التَبِعة » - کما فی المجمع - هی المظلمة وکلّ ما فیه إثم ... . منته الدرایة 2 : 259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الفاء ( منته الدرایة 2 : 264 )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للإشکال المذکور فی مطارح الأنظار 1 : 348 من أنّ لازم ذلک هو قصد الأمر النفسی فی الإتیان بالطهارات ، والمعلوم من طریقة الفقهاء هو الاکتفاء بایجادها بداعی الأمر المقدّمی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مذکورین فی مطارح الأنظار 1 : 350 - 352، وکتاب الطهارة ( للشیخ الأنصاری ) 2 : 55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تکون » ؛ لأنّ اسمها الضمیر المؤنث المستتر الراجع إلی « الحرکات » . ( منته الدرایة 2 : 268 )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تکون » ؛ لرجوع الضمیر المستتر فیه إلی الطهارات . راجع منته الدرایة 2 : 269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کلمة « أنّه » من « ر » ، ولا توجد فی غیرها ، وفی حقائق الأُصول 1 : 267 : الظاهر أنّ أصل العبارة : أنّه غیر وافٍ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المحقّق الرشتی فی بدائع الأفکار : 335 هذا الوجه ، توضیحاً للوجه الثانی الذی ذکره الشیخ فی کتاب الطهارة فی دفع إشکال الدور عن اعتبار قصد القربة فی المقدّمة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والمطبوع ، والأنسب : فلا یکاد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 « ق » ، « ش » و « ر » : « یجزئ » ، وفی محتمل الأصل ، حقائق الأُصول ومنته الدرایة مثل ما أثبتناه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مبحث الواجب التعبّدی والتوصّلی ، من امتناع دخل قصد القربة فی متعلّق الأمر العبادیّ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مطارح الأنظار 1 : 354 - 355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المقدّمة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بدایات البحث عن الأمر الثالث فی الصفحة : 141 . حیث قال : ثمّ الظاهر دخول المقدّمات الوجودیة للواجب ... غایة الأمر تکون فی الإطلاق والاشتراط تابعة لذی المقدّمة.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حیث » من « ر »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ما سیأتی من الاحتجاج بأنّه لو لم تجب لجاز ترکها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71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1 : 354 ، وکتاب الطهارة 2 : 55 ، والذی یظهر من کلماته اختصاص النزاع بالمقدمات العبادیّة ، وأنّ قصد التوصّل شرط فی عبادیّة الواجب الغیری . ( حقائق الأُصول 1 : 270 )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81 و 86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1 : 354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التذنیب الثانی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ذکر کلمة « له » بعد قوله : « علیه » لیکون متعلقاً ب « عروض » . ( منته الدرایة 2 : 290 )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 » ومصحّح « ن » وحقائق الأُصول ومنته الدرایة ما أثبتناه ، وفی غیرها : إذا کانت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لملاک ثبوت الوجوب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إلّالأجل ، وفی سائر الطبعات مثل ما أثبتناه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حقائق الأُصول : بخلاف هاهنا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مهمّة توضیح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إشکالاته علی صاحب الفصول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1 : 368 - 376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الإشکال الأوّل الذی أورده فی مطارح الأنظار 1 : 368 علی القول بالمقدّمة الموصلة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فکیف یکون ترتّب ذی المقدّمة علی المقدّمة غرضاً . راجع منته الدرایة 2 : 303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علی عامّتها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وأکثر الطبعات : بمقدّمة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أیضاً ذکره فی مطارح الأنظار 1 : 376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ق » و « ش » ، وفی غیرهما : فی تلک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 ممّا » بدل : « فی ما » ؛ لیکون بیاناً للموصول فی قوله : « بما لیس » . ( منته الدرایة 2 : 308 )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 86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 فی الصفحة 161 : أمّا عدم اعتبار قصد التوصل ...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قوله آنفاً : ولیس الغرض من المقدمة إلّاحصول ما لولاه ... فی الصفحة 163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المحتمل قویاً من الأصل هو ما أثبتناه . ولا یوجد : « بل » فی « ن » ، وفی « ق » و « ش » : بل من حیث .. وفی « ر » : بل حیث ، وفی حقائق الأُصول ومنته الدرایة : وحیث إنّ الملحوظ . وقال فی منته الدرایة : سوق البیان یقتضی وجود کلمة « بل » قبل قوله : « وحیث » ... کما هی موجودة فی بعض النسخ . ( منته الدرایة 2 : 318 )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الواجب الأصلی والتبعی قوله : فإنّه یکون لا محالة مراداً تبعاً لإرادة ذی المقدمة علی الملازمة . انظر الصفحة 172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وبعض الطبعات : لعدم التفات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ردّ کلام الشیخ القائل باعتبار قصد التوصّل فی الصفحة 161 وفی بدایة مناقشته فی أدلة الفصول الصفحة 166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المثبَت فی حقائق الأُصول ومنته الدرایة ، وفی الأصل وبعض الطبعات : کلا الصورتین . وفی « ر » : وفی الصورتین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قوله فی ردّ کلام الشیخ : « وبالجملة یکون التوصّل بها ... » فی الصفحة 162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وبعض الطبعات : « علیه » وفی « ر » ، « ق » ، « ش » ومنته الدرایة ما أثبتناه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یقول : « وهی سائر مقدّماته فی الفعل التولیدی ، أو هی مع مبادئ اختیاره فی المباشری » ؛ إذ الفعل التولیدی لا یحتاج إلی الاختیار عنده ... ( کفایة الأُصول مع حاشیة المشکینی 1 : 582 )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اشیر إلی هذا التوجیه فی مطارح الأنظار 1 : 370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منته الدرایة : ترتّب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منسوب إلی السیّد الفقیه الیزدی صاحب العروة . ( منته الدرایة 2 : 392 )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عن المقدّمات ، فالأولی : تأنیث الضمیر . ( منته الدرایة 2 : 330 )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نظرٌ ، وفی سائر الطبعات مثل ما أثبتناه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الأولی أن یقول : « وببیان آخر » ؛ لمخالفته لما قبله ، فلا یکون إجمالاً له . ( حقائق الأُصول 1 : 284 ) ، وراجع کفایة الأُصول مع حاشیة المشکینی 1 : 586 ومنته الدرایة 2 : 331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حیث کان الإیجاب فعلاً متوقّفاً علی جواز المقدّمة شرعاً ، وجوازها کذلک کان متوقّفاً علی إیصالها المتوقّف علی الإتیان بذی المقدّمة بداهة ، فلا محیص إلّاعن کون إیجابه علی تقدیر الإتیان به ، وهو من طلب الحاصل الباطل . ( منه رحمه الله )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97 - 100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مطارح الأنظار 1 : 378 - 379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ن » : « بأنّ » ، وفی غیرهما کما أثبتناه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من أفراد » ؛ وذلک لأنّ الفعل من لوازم نفس النقیض ... لا من لوازم أفراد النقیض .... ( منته الدرایة 2 : 343 )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ذکره فی الأمر الثالث الذی عقده لتقسیمات الواجب ، لا فی ذیل الأمر الرابع الذی عقده لبیان دائرة وجوب المقدّمة ... وکأنّه سهوٌ من القلم ( کفایة الأُصول مع حاشیة المشکینی 1 : 592 ) ، وراجع شرح کفایة الأُصول للشیخ عبد الحسین الرشتی 1 : 163 ، وحقائق الأُصول 1 : 288 ، ومنته الدرایة 2 : 352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مطارح الأنظار 1 : 381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هو ظاهر الفصول : 82 ، والقوانین 1 : 100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 أیضاً » من « ر »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هکذا : « حیث یکون تارةً متعلقاً للإرادة » لیکون عِدلاً لقوله : « وأُخری لا یکون ... » . انظر منته الدرایة 2 : 356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 تذکیر الضمیر لیرجع إلی « النفسی » ، لا تأنیثه لیرجع إلی « مصلحة » ؛ لأنّ مقتضاه تعلّق الطلب بالملاکات ، وهو کما تری . ( منته الدرایة 2 : 358 )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وفی طبعاته : یتعلّق الطلب بها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صدر البحث عن الأصلی والتبعی ، حیث قال : والظاهر أن یکون هذا التقسیم ...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کما وردت فی حقائق الأُصول ومنته الدرایة ، وفی غیرهما : بواحد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فی مطارح الأنظار 1 : 383 ؛ فإنّه ذکر أنّ أصالة عدم تعلّق الإرادة المستقلّة بالواجب لا تثبت أنّه تبعی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ن » و « ر » : « آثار شرعی » ، وفی « ق » ، « ش » ، حقائق الأُصول ومنته الدرایة کما أثبتناه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کلمة « تذنیب » فی الأصل ، وأثبتناها من « ن » وسائر الطبعات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الکتاب فی الصفحة 23 حیث قال : وإن کان الأولی تعریفه بأنّه صناعة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مثل هذا التعبیر فی مبحث الصحیح والأعم فی الصفحة : 47 . یلاحظ التعلیق علیه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 ر » ، وفی الأصل و « ن » وبعض الطبعات : « کفائیة » ، وفی حقائق الأُصول : « کفائیاً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الثمرة أبداها الوحید البهبهانی فی رسائله الأُصولیة ، رسالة اجتماع الأمر والنهی : 241 ، وانظر مطارح الأنظار 1 : 396 ، وبدائع الأفکار : 346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الأصل و « ن » إشکالاً آخر علی هذه الثمرة بهذه العبارة : « لا یکاد یلزم الإجتماع أصلاً ؛ لاختصاص الوجوب بغیر المحرّم فی غیر صورة الانحصار به . وفیها إمّا لا وجوب للمقدّمة ؛ لعدم وجوب ذی المقدّمة لأجل المزاحمة ، وإمّا لا حرمة لها لذلک ، کما لا یخفی » . ثمّ شُطب علیه فیهما ، وهو مدرج فی بعض الطبعات ومحذوف فی بعضها الآخر . قال المحقّق الشیخ عبد الحسین الرشتی : ولقد کان أصل النسخة هکذا : وثانیاً : لا یکاد یلزم الاجتماع ... وثالثاً : إن الاجتماع وعدمه ... إلّاأنّه قد شطب علیها فی الدورة الأخیرة من القراءة والبحث ، وهو کذلک ؛ ضرورة أنّ اختصاص الوجوب بغیر المحرّم فی غیر صورة الانحصار به ممنوع علی تقدیر جواز الاجتماع ( شرح کفایة الأُصول للشیخ عبد الحسین الرشتی 1 : 169 ) ، وراجع کفایة الأُصول مع حاشیة الشیخ علی القوچانی : 109 ، ومنته الدرایة 2 : 380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العبارة أن تکون : « کما لا یمکن التوصّل بها إن کانت تعبّدیة ... » . ( منته الدرایة 2 : 381 )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إسقاط کلمة « آخر » وأن تکون العبارة هکذا : ولا مما یترتّب علیه أثر مجعول . راجع منته الدرایة 2 : 386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الواقعین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 » : « لصحّ التمسک بذلک فی إثبات بطلانها » . وأدرج ما أثبتنا أعلاه فی الهامش . قال المحقّق الشیخ علی القوچانی : الثابت بحسب الدورة الأخیرة قوله : « لما صحّ » وعرفت وجه عدم جریان الأصل فی الحاشیة السابقة ، ولکن بحسب مباحثتی مع المصنّف ( طاب ثراه ) تسلّم أنّه یصحّ ثبت قوله : « لصحّ » أی : لصحّ التمسک بالأصل فی إثبات بطلان الملازمة ... ( کفایة الأُصول مع حاشیة الشیخ علی القوچانی : 110 ) ، وراجع أیضاً نهایة الدرایة 2 : 168 - 169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التأیید ذکره المیرزا الشیرازی ، انظر تقریرات المیرزا الشیرازی للعلّامة الروزدری 1 : 359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وطبعاته : « أبو الحسن » ، والصحیح ما أثبتناه . راجع المعتمد لأبی الحسین البصری 1 : 94 ومطارح الأنظار 1 : 407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العبارة کما وردت فی « ر » ، وفی غیرها : عن وجوبه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هذا عن المحقق السبزواری . راجع ضوابط الأُصول: 84، ومطارح الأنظار 1: 408.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استفاده صاحب المعالم فی معالمه : 62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فمجرّد . وفی حقائق الأُصول : فمجرّد الجواز ... لا یکاد یتوهّم معه صدق القضیة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مذکور فی مطارح الأنظار 1: 408 فی مقام الردّ علی المحقّق السبزواری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أن تکون صورة الإیراد هکذا: إنّا نختار أن لا یبقی الواجب علی وجوبه ، ولا دلیل علی بطلان خروج الواجب عن کونه واجباً ؛ فإنّ ترک المقدّمة یوجب ترک ذیها ، فیکون معصیة ویسقط بها التکلیف ... فیکون محصّل الإیراد : المنع من بطلان أحد اللازمین مع الالتزام بصدق الشرطیّتین معاً ، لا بطلان إحدی الشرطیّتین ، کما قد یظهر من العبارة . ( حقائق الأُصول 1 : 298 )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 ولا یلزم منه أحد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یلزم أحدهما إلّاأنّه لیس بمحذور ، کما عرفت . ( حقائق الأُصول 1 : 298 )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من مسامحة ، والمراد : یکون کل منهما محذوراً . (حقائق الأُصول 1: 299)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 « واجبة » ، وکذا تأنیث الضمائر التی قبله ؛ لرجوعها إلی « المقدمة » وإن کان الأمر فی التذکیر والتأنیث سهلاً . ( منته الدرایة 2 : 406 )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التفصیل منسوب إلی السیّد المرتضی ، راجع الذریعة 1 : 83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 ش » کتبت : « مع » بدل « من » نقلاً عن نسخة من الکتاب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منسوب إلی الحاجبی . انظر هدایة المسترشدین 2: 104، ومطارح الأنظار 1: 447.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تقسیم المقدّمة إلی العقلیّة والشرعیّة والعادیّة ، فی الصفحة 132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الکلمة من منته الدرایة ، وفی غیره : کان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حقائق الأُصول ومنته الدرایة : فکما أنّ قضیّة المنافاة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وسابقه - إضافة إلی إشکالات أُخری علی توهّم المقدمیّة - مذکورة فی هدایة المسترشدین 2 : 223 - 224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الخونساری فی رسالة مقدّمة الواجب المطبوعة ضمن « الرسائل »: 150 - 151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حقائق الأُصول ومنته الدرایة : یکون مستنداً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الشیء » غیر موجودة فی الأصل و « ر » ، وأثبتناها من « ن » ، « ق » وسائر الطبعات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تنکیره ؛ لئلّا یتوهّم کونه نفسَ الشیء ، فی قوله : الشیء الصالح . ( منته الدرایة 2 : 439 )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أنّ حدیث عدم اقتضاء صدق الشرطیّة لصدق طرفیها وإن کان صحیحاً ، إلّاأنّ الشرطیّة هاهنا غیر صحیحة ؛ فإنّ وجود المقتضی للضدّ لا یستلزم بوجهٍ استناد عدمه إلی ضدّه ، ولایکون الاستناد مترتّباً علی وجوده ؛ ضرورة أنّ المقتضی لا یکاد یقتضی وجود ما یمنع عمّا یقتضیه أصلاً ، کما لا یخفی . فلیکن المقتضی لاستناد عدم الضدّ إلی وجود ضدّه فعلاً عند ثبوت مقتضی وجوده ، هو الخصوصیّة الّتی فیه ، الموجبة للمنع عن اقتضاء مقتضیه ، کما هو الحال فی کلّ مانع ، ولیست فی الضدّ تلک الخصوصیّة . کیف؟ وقد عرفت أنّه لا یکاد یکون مانعاً إلّاعلی وجهٍ دائر . نعم ، انّما المانع عن الضدّ هو العلّة التامّة لضدّه ؛ لاقتضائها ما یعانده وینافیه ، فیکون عدمه کوجود ضدّه مستنداً إلیها ، فافهم . ( منه قدس سره )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آنفاً : « إنّ توهّم توقّف الشیء علی ترک ضدّه لیس إلّامن جهة المضادّة والمعاندة بین الوجودین ... » . انظر الصفحة : 182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زیادة کلمة « ولو » ؛ إذ التقدّم علی فرضه لیس فی العلّة الناقصة إلّاطبعیّاً . ( منته الدرایة 3 : 446 )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ورد فی هامش الأصل ، وفی الأصل و « ن » ، « ق » ، « ر » و « ش » : والمانع الذی یکون موقوفاً علیه الوجود . وفی حقائق الأُصول ومنته الدرایة : والمانع الذی یکون موقوفاً علی عدم الوجود . یراجع منته الدرایة 2 : 447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والمناسب : مانعة عن الآخر ومزاحمة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آنفاً : « کیف ولو اقتضی التضاد توقّف ... »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الخوانساری قدس سره ، کما تقدّم . وقال فی بدائع الأفکار : 377 : « وهذا التفصیل خیر الأقوال التی عثرتُها فی مقدّمیة ترک الضد ، حتی رکن إلیه شیخنا العلّامة قدس سره » لکن هذا الکلام ینافی الإشکالات التی أوردها الشیخ علی التفصیل المزبور . انظر مطارح الأنظار 1 : 512 - 514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 بقاء الحکم الواقعی لولا الإبتلاء بالضد الواجب ، فمع الابتلاء به یرتفع الحکم الواقعی ، فیعود محذور خلوّ الواقعة عن الحکم . وهذا الظاهر خلاف مراده قدس سره ؛ لأنّ الغرض ارتفاع الفعلیّة بسبب الابتلاء بالضدّ الواجب ، لا ارتفاع نفسه ، وإلّا عاد محذور خلوّ الواقعة عن الحکم . فلا تخلو العبارة عن القصور ، فینبغی أن تکون هکذا : « بل علی ما هو علیه من فعلیّة الحکم الواقعی لولا الابتلاء بالضدّ الواجب ، ومعه ینقلب إلی الإنشائیّة » . ( منته الدرایة 2 : 458 )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المعالم فی معالمه : 64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ادّعاها فی الفصول : 92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لا ینسب إلی الترک أصلاً ، بل المنسوب إلیه المنع والزجر ، فالعبارة لا تخلو من مسامحة ، وکأنّ المراد : أنّ الطلب المتعلق بالفعل بما أنه متعلق بالفعل منسوب إلی الترک ، فیکون زاجراً عنه ؛ لما عرفت من أنّ الزجر عن الترک ینتزع من مقام إظهار الإرادة ، کما ینتزع الوجوب للفعل . ( حقائق الأُصول 1 : 314 ) . وراجع نهایة الدرایة 2 : 208 ، ومنته الدرایة 2 : 462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فی هدایة المسترشدین 2 : 275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المراد : 438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المواقف 8: 192، وشرح المقاصد 4: 284، وشرح التجرید (للقوشجی): 337.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وأوّل من تصدّی لهذا التصحیح هو المحقّق الثانی ( جامع المقاصد 5 : 12 - 14 ) ثمّ تبعه بعض من تأخّر عنه ، کالشیخ کاشف الغطاء ( کشف الغطاء 1 : 171 ) والمحقّق القمّی ( القوانین 1 : 116 ) والشیخ محمد تقی الإصفهانی ( هدایة المسترشدین 2 : 269 وما بعدها ) وصاحب الفصول ( الفصول : 95 - 97 ) والسیّد المجدّد الشیرازی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 ن » . وفی سائر الطبعات : أو البناء علی المعصیة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ومحتمل الأصل . وفی « ن » وبعض الطبعات : بمجال ، وفی « ق » و « ش » : بمحال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آیة اللّٰه المجدّد الحاج میرزا محمد حسن الشیرازی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 لا یعمّها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الأصل زیادة : مزاحمة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إلیهم فی المعالم: 82، والقوانین 1: 126. یراجع شرح المختصر للعضدی: 106 - 107 . ولکن عن جماعة منهم : الاتفاق علی عدم الجواز . انظر منته الدرایة 2: 515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محتمل الأصل : ببعض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ق » و « ش » وفی غیرهما : إنشاءً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المبحث الأول من الفصل الثانی من فصول صیغة الأمر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الأسفار 1 : 270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 74 و 126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التمسّک بالاستصحاب موقوف علی جریانه فی القسم الثانی من القسم الثالث . ومنه یظهر المسامحة فی تفسیره للقسم الثالث ( کفایة الأُصول مع حاشیة المشکینی 2 : 66 ) . یراجع أیضاً منته الدرایة 2 : 537 ، وحقائق الأُصول 1 : 330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الثالث من تنبیهات الاستصحاب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 أنّ الاستصحاب فی هذه الصورة شخصیّ ، فلا یکون الاستثناء فی محلّه ، فتأمل ( کفایة الأُصول مع حاشیة المشکینی 2 : 67 )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ق » و « ش » شُطب علی « لو کان »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اضافة « منها » إلی قوله : « منهما » ؛ لیرجع إلی الأشیاء . ( منته الدرایة 2 : 540 )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وإن کان ممّا یصحّ أن یتعلّق به بعض الصفات الحقیقیّة ذات الإضافة - کالعلم - ، فضلاً عن الصفات الاعتباریّة المحضة - کالوجوب والحرمة وغیرهما ، ممّا کان من الخارج المحمول1) الذی لیس بحذائه فی الخارج شیء غیر ما هو منشأ انتزاعه - ،1) أثبتناها من « ر » وفی غیرها : خارج المحمول . إلّاأنّه لا یکاد یصحّ البعث حقیقةً إلیه والتحریک نحوه ، کما لا یکاد یتحقّق الداعی لإرادته والعزم علیه ، ما لم یکن نائلاً إلی إرادة الجامع والتحرّک نحوه ، فتأمّل جیّداً . ( منه قدس سره )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 ر » : لا بعینه مفهوماً . وفی « ن » و « ق » وسائر الطبعات کما أثبتناه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ما فی الأصل و « ر » . وفی غیرهما : ما ذکرنا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 ر » . وفی « ن » وحقائق الأُصول : تعیّناً . وفی « ق » : تعییناً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أثبتناه من « ن » ، « ق » ، « ر » وغیرها من الطبعات . ولا یوجد فی الأصل و « ش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قوله فی بدایة الفصل : والتحقیق أن یقال : إن کان الأمر بأحد الشیئین بملاک أنّه هناک غرضٌ واحد ... راجع الصفحة : 197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 تبدیله بقوله : « شرعاً » ؛ لأنّ « أصلاً » ظاهرٌ فی عدم الدخل ولو بنحو الظرفیة ، وهو کما تری . ( منته الدرایة 5 : 568 )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التوهّم محکیٌّ عن العلّامة وجماعة . ( حقائق الأُصول 1 : 339 )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 الاستثناء من نفس دلیل التوقیت ، یعنی : أنّه لا یدلّ علی تعدّد المطلوب المستلزم لوجوب القضاء بعد الوقت إلّافی ما عرفت . مع أنّه قدس سره لم یذکر قبل ذلک دلالة التوقیت علی وجوب القضاء ، حتّی یشیر إلیه بقوله : « إلّافی ما عرفت » ؛ لأنّ دلیل التوقیت إما مطلق ینفی وجوب القضاء ، وإمّا مهمل لا یدلّ علی شیء من الوجوب وعدمه ؛ فقوله : « إلّافی ما عرفت » مستدرک . ( منته الدرایة 2 : 575 ) وقال فی حقائق الأُصول 1 : 341 : کان الأنسب التعبیر بقوله : ولا یکفی الدلیل علی الواجب الموقّت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والمطبوع ، والأنسب : « عدم وجوبه » ؛ لرجوع الضمیر إلی الموقّت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ن » وبعض الطبعات : إلّابتبلیغ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المنیر:69،ذیل مادّة«بیع».</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المحقّق الثانی فی جامع المقاصد 4:90،و السیّد العاملی فی مفتاح الکرامة 4:220.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الثانی فی جامع المقاصد 4:90،و راجع التذکرة 1:465.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4:90،و السیّد العاملی فی مفتاح الکرامة 4:220،و صاحب الجواهر فی الجواهر 22:347.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الروایة فی المجلّد الأوّل من طبعتنا:5-13،و انظر تحف العقول:333.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فی«ف»زیادة:«و حیث جری ذکر بعض هذه الروایة الشریفة،فلا بأس بذکرها بتمامها لاشتمالها علی فوائد جلیلة،خصوصاً فی تمیّز ما یجوز الاکتساب به و ما لا یجوز،فنقول:روی فی الوسائل عن کتاب تحف العقول للحسن بن علی ابن شعبة عن الصادق علیه السلام:«أنّ معایش العباد کلّها..»فذکر أکثر الروایة باختلاف کثیر عمّا ورد فی أوّل الکتاب. هذا،و قد وردت هذه الزیادة فی«ن»و«خ»من قوله:فنقول:«روی فی الوسائل...إلخ»لکن کتب علیها فیهما:زائد.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فی«م»،«ع»و«ص»:السماک.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فی«ف»:«یکون»،و فی سائر النسخ:بکون.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تثنیة الضمیر.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غیر«ش»:لمنافعه.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 تأنیث الضمیر،و کذا فی قوله:تقسیمه.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فی«ف»:علیها.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الشیخ فی الخلاف 2:67-70،کتاب الزکاة،المسألة 80،و العلّامة فی المنتهی 2:934،و التذکرة 1:427،و راجع الجواهر 21:157.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11:84-85،الباب 41 من أبواب جهاد العدوّ،الحدیث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12:274-275،الباب 21 من أبواب عقد البیع، الأحادیث 4،5 و 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غیر«خ»و«ش»:بالعمارة.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3:525،کتاب إحیاء الموات،المسألة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12:391،و فیه:عندنا موضع وفاق.</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و صاحب الجواهر عن المصادر المذکورة و عن ظاهر المبسوط و التذکرة و التنقیح و الکفایة،انظر مفتاح الکرامة 7:4،و الجواهر 38:11.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6:364،الباب الأوّل من أبواب الأنفال،و المستدرک 7: 295،نفس الباب.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38:11،و فیه:یمکن دعوی تواترها.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فی«ف»،«خ»و«ش»،و فی غیرها:النبویّین.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رسوله.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هذا النصّ بعینه فی المجامیع الحدیثیة،بل الموجود:«موتان الأرض للّٰه و لرسوله،فمن أحیا منها شیئاً فهو له»،انظر عوالی اللآلی 3:480، الحدیث الأوّل،و عنه فی المستدرک 17:111،الباب الأوّل من أبواب إحیاء الموات،الحدیث الأوّل.نعم نقل الروایة کما فی المتن العلّامة فی التذکرة 2: 400.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3:481،الحدیث 5،و عنه فی المستدرک 17:112،الباب الأوّل من أبواب إحیاء الموات،الحدیث 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فی«ف»:قال لی.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المصدر،و فی غیرها:قال أنا.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النسخ:من الأرض.</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17:329،الباب 3 من أبواب إحیاء الموات،الحدیث 2،و الآیة من سورة الأعراف:128.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فی«ن»و«ص»و المصدر،و فی«ف»و«خ»:«یؤتی به»،و فی«م» و«ع»:«یؤتیه به»،و فی«ش»:یؤدّیه به.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زیادة:«الخبر»،و لا وجه لها ظاهراً،لأنّ الحدیث مذکور بتمامه، انظر الوسائل 6:383،الباب 4 من أبواب الأنفال،الحدیث 13.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فی«م»،«ع»،«ص»و«ن»:«طلب»،و صحّح فی«ن»کما أثبتناه.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6:384،الباب 4 من أبواب الأنفال،الحدیث 17.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فی«ش»زیادة:«ما کان فی أیدیهم و یترک الأرض فی أیدیهم،و أمّا»،و هذه الزیادة قد وردت فی الکافی و لم ترد فی التهذیب و الوسائل،انظر الکافی 1: 408،الحدیث 3،و التهذیب 4:144،الحدیث 403.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6:382،الباب 4 من أبواب الأنفال،الحدیث 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2:402.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النسخ:الإمام.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17:326،الباب الأوّل من أبواب إحیاء الموات.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3:272،و القواعد 1:220،و فی مفتاح الکرامة(7:9)فی ذیل العبارة هکذا:کما طفحت بذلک عباراتهم بلا خلاف من أحد.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العلّامة فی التذکرة،السیّد العاملی فی مفتاح الکرامة 7:9، و صاحب الجواهر فی الجواهر 38:19،و انظر التذکرة 2:402.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مفتاح الکرامة 7:9،و الجواهر 38:19.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1:254،فی تفسیر الآیة الاُولی من سورة الأنفال،و عنه الوسائل 6:371،الباب الأوّل من أبواب الأنفال،الحدیث 20.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2:48،الحدیث 11،و عنه الوسائل 6:372،الباب الأوّل من أبواب الأنفال،الحدیث 28.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6:365،الباب الأوّل من أبواب الأنفال،الحدیث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3:480،الحدیث 4،و المستدرک 17:112،الباب الأوّل من أبواب إحیاء الموات،الحدیث 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4:285.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4:98.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2:400.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2:29.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12:396-397،فنسب الأوّل إلی المحقّق و الشیخ و جماعة، و الثانی إلی العلّامة فی بعض فتاویه،و مال إلیه فی التذکرة و قوّاه هو نفسه، و انظر الجواهر 38:21.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17:326-328،الباب 1 و 3 من أبواب إحیاء الموات.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کلمة«فیه»من«ش»و مصحّحة«ن».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المناسب:کانت.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غیر«ف»و«ش»:الکفّار،و لکن صحّح فی«ن»بما أثبتناه.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غیر«ف»:فهی.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تأنیث الضمیر باعتبار«الأرض».</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مصحّحة«ن»:ما لا ینتقل،و فی«ص»کتب علیه:لا ینقل ظ.</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2:67-70،کتاب الزکاة،المسألة 80.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1:427.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کالغنیة:204-205،و المنتهی 2:934،و الجواهر 21:157.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الاستبصار،و فی«ص»و«ش»و مصحّحة«ن»:«أن یشتری»،و فی التهذیب و الوسائل:اشتری.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11:118،الباب 71 من أبواب جهاد العدوّ،الحدیث الأوّل.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کلمة«علیه»من«ش»،و العبارة فی المصادر:و لا ما غلبوا علیه.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الوسائل:ما احتوی علیه.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هامش«ن»زیادة:فإذا أخرج منها ما أخرج،بدأ فأخرج منه العشر من الجمیع ممّا سقت السماء أو سقی سیحاً،و نصف العشر ممّا سقی بالدوالی و النواضح.</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الوسائل بدل«فیؤخذ ما بقی بعد»:و یؤخذ بعد.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11:84-85،الباب 41 من أبواب جهاد العدوّ،الحدیث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غیر«ص»:دخل.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12:274،الباب 21 من أبواب عقد البیع،الحدیث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الواو»من«ص»و المصدر.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12:275،الباب 21 من أبواب عقد البیع،الحدیث 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غیر«ش»زیادة:«أخذها»،و لم ترد فی المصادر الحدیثیة.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12:275،الباب 21 من أبواب عقد البیع،الحدیث 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مصحّحة«ن»:ممّن.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12:274،الباب 21 من أبواب عقد البیع،الحدیث 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12:273،الباب 21 من أبواب عقد البیع،و 17:330، الباب 4 من أبواب إحیاء الموات.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المناسب:«ظاهرها»؛لأنّ الضمیر یرجع إلی جمیع الأخبار المتقدّمة کما هو ظاهر.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عبارة«قال:لا یجوز التصرّف فیها»لم ترد فی«ش».</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ترد«لا»فی«ع»و«ش».</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فی«ف»،«م»،«ع»و«ص»:بحجرنا.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 المحقّق الثانی فی رسالة قاطعة اللجاج(رسائل المحقّق الکرکی)1: 253،و انظر الدروس 2:41.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 السیّد العاملی فی مفتاح الکرامة 4:241،و انظر جامع المقاصد 7: 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الحلّی فی السرائر 1:478،و العلّامة فی التذکرة 1:465،و راجع تفصیل الأقوال فی مفتاح الکرامة 4:240،و الجواهر 22:349.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 زیادة:لو.</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الصواب:«دخلت فی البیع»،کما فی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3:56.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مصحّحة«ن»:«عدم صحّتهما»،و الصواب:«عدم صحّته»؛لرجوع الضمیر إلی«التملّک».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مصحّحة«ن»:علیهما،و الصواب:«علیه»؛للسبب المتقدّم.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4:145-146،ذیل الحدیث 405.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4:146،الحدیث 406،و الوسائل 11:118،الباب 71 من أبواب جهاد العدوّ،الحدیث الأوّل،و تقدّمت فی الصفحة 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عن المبسوط فی الصفحة 22.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خصوصاً ما فی الوسائل 6:382،الباب 4 من أبواب الأنفال، الحدیث 12 و غیره.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فی«ن»و«خ»و نسخة بدل«ع»:کما.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12:157،الباب 51 من أبواب ما یکتسب به،الحدیث 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الکرکی عن کثیر ممّن عاصره،فی قاطعة اللجاج(رسائل المحقّق الکرکی)1:285،و الشهید الثانی فی المسالک 3:55 56 عن الأصحاب، و انظر المناهل:312،التنبیه السادس عشر،و راجع تفصیل ذلک فی المکاسب 2:214 و ما بعدها.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فی«ف»و«خ»و نسخة بدل«ش»،و فی سائر النسخ:علی.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الریاض(الطبعة الحجریة)1:496،و مفتاح الکرامة 4:245، و المناهل:313،و الجواهر 22:194-195.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17:326،الباب الأوّل من أبواب إحیاء الموات.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17:326،الباب الأوّل من أبواب إحیاء الموات،الحدیث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2:17.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الدروس و جامع المقاصد السیّد العاملی فی مفتاح الکرامة 5:82،لکن لم نعثر علیه فیهما.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الدروس و جامع المقاصد السیّد العاملی فی مفتاح الکرامة 5:82،لکن لم نعثر علیه فیهما.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الأردبیلی فی مجمع الفائدة 9:145.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ترد«بما»فی غیر«ش»،و لکنّها استدرکت فی أکثر النسخ.</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المصدر،و فی سائر النسخ:لم یسبق.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3:480،الحدیث 4،و عنه المستدرک 17:112،الباب الأوّل من أبواب إحیاء الموات،الحدیث 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فی«ف»:المنقولة.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فی«ف»:نقل.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2:17،القواعد 1:126،و فیه:و یشترط فی الملک التمامیة.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الشهیدان فی اللمعة و شرحها(الروضة البهیّة)3:253،و المحقّق السبزواری فی الکفایة:89،و المحدّث البحرانی فی الحدائق 18:438.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غیر«ف»:«لمرجعه»،و فی مصحّحة«ص»:«و مرجعه»،و صُحّحت فی «ن»بما أثبتناه.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کلمة«ممّا»من«ف».</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فی«ف»:العموم.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الحقّ المتعلّق بالعبد الجانی،و قد أُضیف الحقّ إلی من علیه الحقّ.</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التستری فی مقابس الأنوار:139-212.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النسخ:فیه،و الأولی الجمع بینهما کما فی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کلمة«عدم»من«ش»،و لم ترد فی سائر النسخ،و لم یثبتها المامقانی فی شرحه غایة الآمال،انظر غایة الآمال:430.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الظاهر:«بیعه»،کما فی مصحّحة«خ».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 فی«ن»،و فی أکثر النسخ:و لو.</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عبارة«فی امّه»من«ش».</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فی«ف»:فیما.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النسخ:«إیّاه»،و هو تصحیف.</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الانتصار:226،و السرائر 3:153،و المسالک 5:399،و المستند 2:371.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13:295،الباب 2 من أبواب أحکام الوقوف،الحدیث 2،بتفاوت یسیر.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الموجود فی الکافی و الوسائل:«اشتریت أرضاً إلی جنب ضیعتی بألفی درهم،فلمّا وفّیت المال خبّرت أنّ الأرض...».</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 و الوسائل و«ف»و«ص»و نسخة بدل«ن»،و فی سائر النسخ:ما.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13:303،الباب 6 من أحکام الوقوف و الصدقات،الحدیث الأوّل، و انظر الکافی 7:37.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التهذیب و الوسائل:«و أسکن هذه الصدقة خالاته ما عشن و عاش عقبهن»،و کلمة«فلاناً»إنّما وردت فی الاستبصار،و لفظه ما یلی:و أنّه قد أسکن صدقته هذه فلاناً و عقبه،فإذا انقرضوا...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زیادة:«و شهد اللّٰه...»،و لعلّ کلمة:«الخبر»بالنظر إلی تتمّة فی الحدیث علی بعض النسخ.</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13:304،الباب 6 من أبواب الوقوف و الصدقات،الحدیث 4، و انظر الکافی 7:39،الحدیث 40،و الفقیه 4:248،الحدیث 5588، و التهذیب 9:131،الحدیث 558،و الاستبصار 4:98،الحدیث 380.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التستری فی مقابس الأنوار:144.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النسخ،و فی«ف»و«خ»:«البطن السابق»،و الصواب:البطن البائع.</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22:358.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القواعد(مخطوط):الورقة 85.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13:292،الباب الأوّل من أبواب أحکام الوقوف.</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فی«خ»،«ع»و«ص»و مصحّحة«م»:و کذا.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تقدیم و تأخیر فی نسخة«ف»بین«إذا عرفت..»هنا،و قوله:«إذا عرفت»الآتی فی الصفحة 53.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33-34.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و«ش»و مصحّحة«ن»،و فی سائر النسخ:قبضه.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و«ش»و مصحّحة«ن»،و فی«ص»و نسخة بدل أکثر النسخ:«أعود»،و فی سائر النسخ:أردّ.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3:153.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3:153.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6:287.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و عن الإسکافی بهذه العبارة المحقّق التستری فی مقابس الأنوار:140.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فی«ش»:«لموقوف»،و فی سائر النسخ:الوقوف.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مصحّحة«ن»:علی ما.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غیر«ش»زیادة:«علیه»،و شطب علیها فی«خ»و«ص»،و استظهر مصحّح«ن»أن تکون تصحیفاً عن:«عینه».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غیر«ش»:«ینصرف»،لکن صحّحت فی«ن»و«ص»بما أثبتناه.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6:316.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2:407.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سرّه:«ظاهر هذا الکلام هو أنّه یذکر عبارته فیما یأتی،و لکن لم یذکرها،و الظاهر أنّه بدا له حیث وصل إلی محلّ ذکرها»(غایة الآمال: 438)،و قال الشهیدی قدّس سرّه أیضاً:«و لم یذکرها المصنّف فیما بعد»(هدایة الطالب:348).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الأولی تقدیم«فی الجملة»علی«فی المنقطع»کما فی مصحّحة«خ».</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مصحّحة«ص»،و فی النسخ:إلی.</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غیر«ص»،و«ش»بدل«تعالی»:«ولیّ»،و صحّحت فی«ن»بما أثبتناه.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2:92.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عنهم فی مقابس الأنوار:142،و انظر المختلف 6: 287،و غایة المراد:82،و التنقیح الرائع 2:329،و المهذّب البارع 3:65.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المحقّق التستری فی مقابس الأنوار:142،و انظر الکافی فی الفقه: 324-325.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الفاضل فی التنقیح 2:329،و ابن فهد الحلّی فی المهذّب البارع 3:65،و غیرهما.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فی الصفحة 93 و 94.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فی«ف»بدل«و من بعد»:ثمّ.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4:241-242،ذیل الحدیث 5575.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فی«ف»:یقولون.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فی«ف»:منهم.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بهما الرجوع إلی الواقف و جواز بیع الموقوف علیه(هدایة الطالب:348).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التستری فی مقابس الأنوار:142،و لم نعثر علیه فی المهذّب و الجواهر.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 الوقف»فی«ش».</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 فی الصفحة السابقة.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العبارة فی سائر النسخ هکذا:«حیث إنّ المحکی عنه بقاء»مع زیادة:إنّه یقول خ 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غیر«ف»و«ش»زیادة:«و جواز بیع الوقف حینئذٍ مع عدم مزاحمة حقّ الموقوف علیه ممّا لا إشکال فیه»،و لکن شطب علیها فی«ن»و«خ»، و کتب علیها فی«م»و«ع»:نسخة.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المقنعة:652،و الانتصار:226،و النهایة:595،و المبسوط 3:300، و المراسم:197،و الوسیلة:370،و غیرهم و راجع تفصیله فی مفتاح الکرامة 4: 258،و مقابس الأنوار:142 و 154.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النهایة:599.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المراسم:197،و مقابس الأنوار:142،أیضاً.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فی«ص»و نسخة بدل أکثر النسخ: «أعود»،و فی سائر النسخ:أرد.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فی«ف»زیادة:لهم.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المصدر:بهم.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المقنعة:652-653.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فی«ن»و«ش»:تجویز.</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مصحّحة«ن»:تغییر.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المراد:82.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1:284.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زیادة:«انتهی»،و الظاهر أنّ موضعها بعد قوله:«مع فقد الضرورة»المتقدّم آنفاً.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کلمة«الوقف»من«ش»و المصدر و مصحّحة«ن».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 المصدر:«فیه»،و فی النسخ:«عنه».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فی«ف»بدل«منفعة فیه»:«منفعته».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الانتصار:226 و 227.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ترد«أنّه»فی المصدر،و الظاهر أنّها زائدة.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3:287.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 المبسوط علی الاحتجاج بالأخبار،و الظاهر أنّه سهو من قلمه الشریف،و منشأ السهو قول صاحب الجواهر بعد نقل العبارة المتقدّمة من المبسوط،و نقل عبارة الخلاف-:«و احتجّ علی ذلک بالأخبار»،أی احتجّ الشیخ فی الخلاف علی ذلک بالأخبار.اُنظر الجواهر 22:362،و الخلاف 3: 551،المسألة 22 من کتاب الوقف.</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المراسم:197.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فی«ف»:علیهم.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الوسیلة:370.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2:293.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کلمة«انتهی»من«ف».</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للشرائع:372.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الناظر:74.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مصحّحة«ص»،و فی سائر النسخ:الموقوف علیه.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 و 220.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1:126 و 269.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1:290،و انظر السرائر 3:153.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1:165،و فیه:مع بقائه علی خلافٍ.</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فی«ف»مختصرة هکذا:و عن الإرشاد:لا یصحّ بیع الوقف إلّا أن یقع بین الموقوف علیهم خلف یخشی به الخراب.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1:361.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النسخ:الموقوف علیه.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غیر«ف»و«ص»:و یخشی.</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1:455،و فیه:لا یجوز بیع الوقف..</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2:444.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هامش«ع»:لتبعّض.</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العبارة فی غایة المراد،و لعلّ المؤلف قدّس سرّه أخذها من الجواهر 22:364،راجع غایة المراد:82-84 و 146.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الخلاف 2:221.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2:330.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العاملی فی مفتاح الکرامة 4:256،و راجع الحاشیة علی الإرشاد(مخطوط):220.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النافع(مخطوط)،و لا یوجد لدینا،نعم حکاه عنه السیّد العاملی فی مفتاح الکرامة 4:256.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مصحّحة«ن»:الکلام.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العاملی فی مفتاح الکرامة 4:256.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غیر«ش»:کحصیر.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غیر«ش»:جذعه إذا انکسر.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13:305،الباب 6 من أبواب أحکام الوقوف،الحدیث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المصدر:إذا لحق الموقوف علیهم.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الکافی:«حیان»،انظر الکافی 7:35،الحدیث 29.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4:97-98،و الروایة وردت فی الوسائل 13:306،الباب 6 من أبواب أحکام الوقوف،الحدیث 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13:305،الباب 6 من أبواب أحکام الوقوف،الحدیث 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مصحّحة«ن»،و فی النسخ:و ظاهر.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3:255.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الکفایة:142.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1:17 و 220،و القواعد 1:126 و 269،و تقدّمت العبارة عنهما فی الصفحة 48.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2:279،و اللمعة الدمشقیة:112،و تقدّمت فی الصفحة 50.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النافع(مخطوط)،و لا یوجد لدینا،و لم نعثر علی الحاکی أیضاً.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قوله:«و قوّاه بعض»الآتی فی الصفحة 60 ورد فی«ف»بعد قوله:دین المرتهن»المتقدّم فی الصفحة 37.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1:269،و الشهید فی الدروس 2:277،و الفاضل المقداد فی التنقیح 2:311،و المحقّق الثانی فی جامع المقاصد 9:62،و الشهید الثانی فی المسالک 5:377،و السیّد الطباطبائی فی الریاض(الحجریّة)2:28.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فی«ف»:الملکیة.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اعترف به السید العاملی فی مفتاح الکرامة 9:100،و السیّد المجاهد فی المناهل:508،و صاحب الجواهر فی الجواهر 28:107.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عبارة«مطلقاً لا»من«ش»،و استدرکت«لا»فی مصحّحة«ن».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القواعد(مخطوط):الورقة 84-85.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غیر«ف»:کونه.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ترد«ملکاً»فی«ف».</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أمّا.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التهذیب:«مروان عن عبد الملک»،انظر الکافی 3:148، الحدیث 5،و التهذیب 1:434،الحدیث 1391.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2:752،الباب 22 من أبواب التکفین،الحدیث الأوّل.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المصدر:«بقیته»،و فی«خ»:بعضه.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الکلینی قدّس سرّه علی ما فی الوسائل 9:359،الباب 26 من أبواب مقدّمات الطواف،ذیل الحدیث الأوّل،و لم نقف علیه فی الکافی المطبوع.</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غیر«ش»:حصیر.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المناسب:فیکونان.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المناسب:لیست.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غیر«ف»:فیه.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لکن.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الظاهر:«الحُصُر»بصیغة الجمع.</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غیر«ف»:فیه.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1:272.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2:407.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2:280،و الروضة البهیّة 3:254،و المسالک 3:170.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4:97 و 9:116،و حکی ذلک عنهم المحقّق التستری فی مقابس الأنوار:156.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الآتیة.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غیر«ف»و«ش»:أنّه.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فی«ف»و«ص»:یلتزم.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54-55.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 تأنیث الضمیر،و هکذا حال الضمائر الآتیة الراجعة إلی کلمة«أجزاؤه».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غیر«ف»هکذا:فمع المصلحة فی صرف عینه یجب صرف عینه فیه.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إجرائها.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غیر«ش»:بناءً.</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غیر«ش»:«فتعیّن»،لکن صحّح فی«ن»بما أثبتناه،و فی«ص» ب«یتعیّن».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3:254.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2:280،و حکاه عنه و عن الروضة المحقّق التستری فی مقابس الأنوار:156.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الأنوار:156.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ألحقها المحقّق التستری فی مقابس الأنوار:156.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نحو ذلک.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التستری فی مقابس الأنوار:156،و فیه:و هذا هو الأصحّ.</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13:303،الباب 6 من أبواب الوقوف،الحدیث الأوّل.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13:295،الباب 2 من أبواب الوقوف،الحدیث 1 و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کون عدم جواز البیع من أحکام الوقف،و تقدّم فی الصفحة 29 و 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مصحّحة«خ»:«ضعف»،و فی سائر النسخ:یضعف.</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فی«ف»:تعطّله.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نسخة بدل«ن»:لتعلّق حقّ.</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مصحّحة«ن»:لا وجه.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کلام العلّامة فی الصفحة 48.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کلامهما فی الصفحة 49،50 و 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2:330.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المقتصر:212.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8:169،و راجع مفتاح الکرامة 4:259 و 9:88-89، و مقابس الأنوار:158.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المراد:143،و یأتی فی الصفحة 66.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عبارة المفید و السیّد المتقدّمتین فی الصفحة 43-45.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2:219.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النسخ:أنّ النقل.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فی«ف»:البطن البائع.</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مصحّحة«ن»:ثبوت.</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النسخ:«المعاوضیّة»،لکن صحّحت فی أکثرها بما أثبتناه.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کلمة«لا»ساقطة من«ش».</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النسخ:«یقضی»،و المناسب ما أثبتناه کما فی مصحّحة«ص».</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المراد:143.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غیر«ص»:هذا.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فی«ف»زیادة:و لیس حکمه حکمه.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2:444.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1:455.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4:97،و 9:71.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2:330.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المقتصر:212.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8:169.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6:289.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2:407.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المراد:143.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4:97 و 9:71،و الشهید الثانی فی المسالک 3:170،و الروضة البهیّة 3:255.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فی«ف»،«ن»و«خ»،و فی سائر النسخ:بستاناً.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فی«ف»،«ن»و«خ»،و فی سائر النسخ:ملکاً.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غیر«ش»:«إذ»،إلّا أنّها صحّحت فی«ن»و«ص»بما أثبتناه.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فی«ف»،«ن»و«خ»،و فی سائر النسخ:فیه.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فی«ف»بدل«حیث»:من.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فی«ن»،«خ»و«م»و المصدر:الواقف.</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المصدر،و فی النسخ:تعذّر.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زیادة:ملکاً.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2:444،مع تفاوت و اختلاف فی الألفاظ.</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غیر«ن»و«ش»:بمبدلها.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غیرهما:یؤخذ.</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فی«ش»:منفعته.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المناسب:قسمتها.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ترد«منفعة»فی«ف».</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غیر«ن»و«ش»:ساوی.</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48،ثمّ إنّ المؤلّف لم یبیّن الوجه الثانی الّذی هو عِدل لقوله:«من عدم الدلیل»و لعلّه لوضوحه،و یشیر إلیه قوله:«اللّهم إلّا أن یحمل...».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غیر«ف»:تسلب.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الانتصار:226-227.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13:303،الباب 6 من أبواب أحکام الوقوف و الصدقات،الحدیث الأوّل.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فی«ف»:البیع.</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2:221،و العلّامة فی القواعد 1:269،و التحریر 1:290،و الشهید فی الدروس 2:279،و المحقّق الثانی فی جامع المقاصد 9: 72،و راجع تفصیل ذلک فی مفتاح الکرامة 9:92.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6:316،و الخلاف 3:551،کتاب الوقف،المسألة 23، و السرائر 3:167.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فی«ف»:الموقوفة.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الجواهر،و تقدّم کلامه فی الصفحة 36.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فی«ف»:«بعنوان»،و هی مصحّفة«بفقدان»کما فی الجواهر.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أی:صاحب الجواهر.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کلمة«فیه»لم ترد فی غیر«ش»،لکنّها استدرکت فی بعض النسخ.</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 ما أفاده صاحب الجواهر قدّس سرّه،انظر الجواهر 22:358-359.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مصحّحة«ن»زیادة:«ذلک»،و لا حاجة إلیها کما لا یخفی.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یعنی:یرد علی ما تقدّم فی الصفحة السابقة من قوله:ثمّ ذکر أنّه قد یقال...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کلمة«فی»من«ف»فقط.</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74 بقوله:و ربما یؤیّد ذلک فی الجملة.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3:551-552،کتاب الوقف،المسألة 23.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3:167.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2:221،و القواعد 1:269،و التحریر 1:290.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2:279،و المسالک 5:400.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9:72.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و عن قبلهم جمیعاً المحقّق التستری فی المقابس:155.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2:393.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قیل یمکن.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الأنوار:155،ذیل الصورة الخامسة.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الصورة الرابعة الآتیة.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 الشهید فی الدروس 2:279،و المحقّق الثانی فی جامع المقاصد 9: 68،و انظر المقنعة:652،و راجع الصفحة 43-44.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13:303،الباب 6 من أبواب أحکام الوقوف و الصدقات،الحدیث الأوّل.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فی«ف»و«ص»و الکافی:جعفر بن حیّان.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و(6)فی«ص»:قرابة.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عبارة«من تلک الغلّة»لم ترد فی غیر«ص»و«ش».</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ترد«تلک»فی«ص».</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فی«ص»:وقفها.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المصادر الحدیثیة و مصحّحة«ن»،و فی النسخ:ثلاثمائة.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13:306،الباب 6 من أبواب أحکام الوقوف و الصدقات،الحدیث 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المصدر:إذا کان الوقف.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مصحّحة«ن»،و فی سائر النسخ:عن.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2:312-313،و الوسائل 13:306-307،الباب 6 من أبواب أحکام الوقوف و الصدقات،الحدیث 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فی«ش»:الجعفری،و الصواب ما أثبتناه،و المراد به جعفر بن حنان الراوی للخبر السابق.</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غیر«ف»زیادة:«بما»،و شطب علیها فی«ن».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93-94.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فی«ف»:«أنّها»،و فی«ص»:بأنّها.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عبارة النزهة فی الصفحة 47.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غیر«ف»:هو خصوص.</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6:289.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فی التنقیح الرائع 2:329،و ابن فهد فی المهذّب البارع 3:67،و الصیمری فی غایة المرام(مخطوط)1:487،و المحقّق التستری فی مقابس الأنوار:145.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تأنیث الضمیر،لرجوعه إلی«روایة جعفر»،و هکذا الکلام فی الضمیرین الآتیین.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به»من«ف».</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43-44.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عباراتهم فی الصفحة 43-52.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الانتصار:226-227،و الغنیة:298،و تقدّمت عبارتهما فی الصفحة 45 47.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روایة جعفر بن حنان،المتقدّمة فی الصفحة 78.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تثنیة الضمیر،کما استظهره مصحّح«ص».</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الإسکافی فی الصفحة 39،و عن القاضی فی الصفحة 40،و عن الحلبی و الصدوق فی الصفحة 41.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تثنیة الضمیر،کما استظهره مصحّح«ص».</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 فی الصفحة 39.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1:455.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1:269-270.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78.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2:393.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غیر«ش»:المنع،و العبارة«للتأبید إلی البیع»لم ترد فی جامع المقاصد.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المصدر،و فی سائر النسخ:و إلّا.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النسخ:حبسها.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العبارة فی جامع المقاصد هکذا:«و اشتراط الشراء بثمنه ما یکون وقفاً یقتضیه فلا یکون وقفاً و لا حبساً»،انظر جامع المقاصد 9:73.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غیر«ف»و«ش»:و یمکن.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المهور،الحدیث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المصدر:فیقضی.</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الکافی و هو علی وزن«نفیس»لفظاً و معنًی و فی«ن» و«خ»و الوسائل:«شروی»و فی مجمع البحرین:و شروی الشیء:مثله (انظر مجمع البحرین 1:245،مادّة:«شرا»)و فی«ص»:شراء.</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ترد«و»فی«ص»و المصدر.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للحدیث تتمّة بمقدار أربعة أسطر لم ترد فی النسخ.</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المصدر هکذا:و إن حدث بحسن أو حسین حدث.</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ترد«هذا»فی«ص»و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الوسائل،و فی«ف»:«أمره اللّٰه به»،و فی الکافی:«أمرته به»،و فی سائر النسخ:«أمره».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7:49،الحدیث 7،و الوسائل 13:312،الباب 10 من أبواب أحکام الوقوف و الصدقات،الحدیث 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74-76.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43-52.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مصحّحة«ن»بدل«أو»:و.</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غیر«ش»:«منهم»،و صحّحت فی«ن»بما أثبتناه.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مصحّحة«ص»،و فی سائر النسخ:«الأوّل»،قال المحقّق المامقانی قدّس سرّه بعد أن أثبت ما أثبتناه-:هکذا فی بعض النسخ،و فی بعضها: «کان الأوّل أولی»و هو سهو من قلم الناسخ.(غایة الآمال:453).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الناهیة عن بیع الوقف،المتقدّمة فی الصفحة 33 و ما بعدها.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فی«م»و«ش»بدل«أو»:و.</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بدل«ص»:تعطل.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النسخ:لشخص الواقف.</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المحقّق التستری فی المقابس:155،و انظر التنقیح الرائع 2:330.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أورده المحقّق التستری فی مقابس الأنوار:152.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6:288.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2:444.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3:66.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غایة المرام،و حکاه عنهم المحقّق التستری فی مقابس الأنوار:153.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النسخ:«تعطّلت»،و فی المقابس:«عطلت»،و ما أثبتناه من مصحّحتی «ن»و«خ»،و الصحیح:«عطب»کما فی المختلف.</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بدل«ن»و المختلف و التذکرة،و فی سائر النسخ:ترک مراعاته لتخلّص المعتذر.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فی«ف»:لأنّه.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جعل ذلک مؤیّداً»لم ترد فی«ف».</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النسخ:السابقة.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13:303،الباب 6 من أبواب أحکام الوقوف و الصدقات،الحدیث الأوّل.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مصحّحة«ن»بدل«عن»:بین.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13:295،الباب 2 من أبواب أحکام الوقوف و الصدقات،الحدیث 1 و 2،و فی«ف»زیادة«تعالی»فی آخر الحدیث.</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13:304،الباب 6 من أبواب أحکام الوقوف و الصدقات،الحدیث 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النسخ:یسألک.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النسخ:تقویمه.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الکافی زیادة:به.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المصدر:و إنّ.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النسخ:أرفق.</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مصحّحة«ص»،و فی النسخ:فکتب.</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ترد«أنّه»فی غیر«ص»و«ش».</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ترد«أمرته»فی أکثر النسخ.</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ترد«فلیبع»فی غیر«ص»،«ش»و«م».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غیر«ص»زیادة:«الخبر»،و الظاهر أنّه لا وجه لها؛فإنّ الحدیث مذکور بتمامه،انظر الوسائل 13:305،الباب 6 من أبواب أحکام الوقوف و الصدقات،الحدیث 6،و انظر الکافی 7:36،الحدیث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النسخ:السابقة.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ترد«الآخر»فی«ف».</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غیرهما:المخوف.</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غیر«ش»:«الثانیة»،لکن صحّحت فی بعضها بما أثبتناه.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غیر«ش»:«التی جوّزنا فیها»،و صحّحت فی هامش«ن»بما أثبتناه.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47.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2:392.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18:442-443.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2:31.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غیر«ش»:«منهم»،و صحّحت فی«ن»بما أثبتناه.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الأخیار 14:400،باب الوقوف و الصدقات،ذیل الحدیث 4،و مرآة العقول 23:61 کتاب الوصایا،ذیل الحدیث 30.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فی«ص»:بمنع.</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89.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فی«ش»بدل«منع»:وجه.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78.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2:409،و فی غیر«ف»زیادة:«علی ما حکی عنهم»، و شطب علیها فی«ن».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النافع:159،و الشرائع 2:225.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5:427-429.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2:282.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السبزواری فی الکفایة:143،و المحدّث الکاشانی فی المفاتیح 3: 220،و السیّد الطباطبائی فی الریاض 2:34،و انظر مقابس الأنوار:157.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7:38،الحدیث 38،و الفقیه 4:251،الحدیث 5595،و التهذیب 9:141،الحدیث 593،و عنها الوسائل 13:267،الباب 24 من أبواب أحکام الإجارة،الحدیث 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1:273،و المختلف 6:336.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2:409.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9:125.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2:329-330،و حکاه عنه المحقّق التستری فی مقابس الأنوار:157.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التنقیح الرائع 2:336-337.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قوله:«فعلی الأوّل»المتقدّم فی الصفحة 102.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التستری فی مقابس الأنوار:157.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2:92.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9:70.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فی«ف»و«ن»و مصحّحة«خ»،و فی سائر النسخ:الصورة.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8:169.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ترد«لمن»فی غیر«ش»و«ن».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14:309،الباب 19 من أبواب ما یحرم بالرضاع،الحدیث الأوّل.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غیر«ف»زیادة:«ما»،و شطب علیها فی«ن»،«خ»و«ع».</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غیر«ف»و«ش»:«أُمّ ولد»،و صحّحت فی«ن»بما أثبتناه.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غیر«ف»:یصحّ.</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1:159،و المختلف 5:426،و الإیضاح 2:12،و الدروس 3:393،و جامع المقاصد 5:52،و الجواهر 25:139.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البهیّة 3:466،و المسالک 3:206.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الواو»من«ش»و مصحّحة«ن».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کلماتهم فی المستثنیات فی الصفحة 118 و ما بعدها.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المناهل:320(التنبیه السادس).</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فی«م»و«ش»:قال.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6:185،و السرائر 3:21.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3:631.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2:237.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الشهیدان فی غایة المراد:249،و الروضة البهیّة 6:369،و صاحب الجواهر فی الجواهر 22:374.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الأنوار:160.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الصفحات التالیة.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107.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119-120.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مصحّحة«ن»و«ص»،و فی النسخ:للحرمة.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3:636.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المرام 2:318.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2:128.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2:223،و حکی عنهم جمیعاً المحقّق التستری فی مقابس الأنوار: 160 161.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4:264.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مصححة«ن»و غایة الآمال:456:ولدها مجازاً.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لو حملاً»من«ش».</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فی«ش»و مصحّحة«ن»:«یتزوّج الجاریة تلد منه»،و فی سائر النسخ:یزوّج الجاریة یلد منه.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 المصدر.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16:105،الباب 4 من کتاب الاستیلاد.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الفقیه،و فی الکافی و التهذیب و الوسائل:عن أبی عبد اللّٰه علیه السلام:إنّ أمیر المؤمنین علیه السلام قال.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المصادر الحدیثیة:قیمتها.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16:97،الباب 14 من کتاب المکاتبة،الحدیث 2،و انظر الکافی 6:188،الحدیث 16،و الفقیه 3:154،الحدیث 3563،و التهذیب 8: 269،الحدیث 981.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2:237.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التستری فی مقابس الأنوار:159.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غیر«ص»زیادة:عنها.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15:421،الباب 11 من أبواب العدد.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7:528.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3:138،و صاحب المدارک فی نهایة المرام 2:315، و السیّد العاملی فی مفتاح الکرامة 4:262،و غیرهم.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3:631.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النسخ:«لخلق»،و الصواب ما أثبتناه من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6:186.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3:342.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ترد«أمّا»فی«ف»و«خ»،و شطب علیها فی«ن».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التستری فی مقابس الأنوار:160،و راجع النهایة:546.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5:240.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الفاضل فی کشف اللثام 2:138،و المحقّق التستری فی مقابس الأنوار: 160.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التحریر 2:71.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فی«ف»علی عبارة«نعم الی ذلک»:نسخة.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النسخ:التخطیط.</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الی الجامع،الفاضل الأصفهانی فی کشف اللثام 2:138،و راجع الجامع للشرائع:471.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3:288،و حکاه عنه المحقّق التستری فی مقابس الأنوار:160.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فی«ع»،«ص»و«ش»بدل«إلی»:إلّا.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3:138،و الروضة البهیّة 6:370،و نهایة المرام 2:315، و الحدائق 18:448،و مفتاح الکرامة 4:262،و غیرها.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الطباطبائی فی الریاض 2:237،و قد حکاه عن جملة من الأصحاب.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کلمة«غیره»من«ش»و مصححة«ن».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6:186.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الوسیلة:343،و حکاه عنهما المحقّق التستری فی مقابس الأنوار:159.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111.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111.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119-120.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الظاهر:«لها»،کما فی مصحّحة«ن».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النسخ:باستیلاد.</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لذا کلّ من جوّز البیع الیٰ الخاص»وردت فی غیر«ش»قبل قوله:«و من الإجماع...»المتقدّم آنفاً،و أشار مصحّح«ن»إلی هذا فی هامش النسخة.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کلمة«ثبوت»مشطوب علیها فی«ن».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3:21،و راجع الانتصار:175،المسألة التاسعة من کتاب التدبیر.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13:52،الباب 24 من أبواب بیع الحیوان،الحدیث 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فی«ش»بدل«إن»:قد.</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عبارة«أو تعلّق حقّ سابق علی الاستیلاد»من«ش»و هامش«ن».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3:257.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العاملی فی نهایة المرام 2:315،و المحقّق السبزواری فی الکفایة: 225،و السیّد الطباطبائی فی الریاض 2:237،و حکاه عنهم السیّد العاملی فی مفتاح الکرامة 4:262.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117.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22:376،و نقله فی المناهل:319،عن الإیضاح،انظر إیضاح الفوائد 1:428.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مصحّحة«ن»و«خ»و الکافی،و فی«ص»:«فتباع»،وفاقاً للفقیه و الوسائل.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6:193،الحدیث 5،و الفقیه 3:139،الحدیث 3512،و التهذیب 8:238،الحدیث 862،و الوسائل 13:51،الباب 24 من أبواب بیع الحیوان،الحدیث الأوّل.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هامش«ن».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13:51،الباب 24 من أبواب بیع الحیوان،الحدیث 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المجاهد فی المناهل:319.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2:17،و القواعد 1:126،و التحریر 1:165.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المرام 1:294،و کفایة الأحکام:173،و حکاه عنهما السیّد العاملی فی مفتاح الکرامة 4:262.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المناسب:بیعها.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111.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116.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غیر«ص»:نادر.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مقابس الأنوار:162.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مصحّحة«ن»:بوجوب.</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غیر«م»و«ش»:متقیّدة.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النسخ:به الدین.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الثانی فی المسالک 3:170،و الروضة البهیّة 3:257،و المحدّث البحرانی فی الحدائق 18:448،و السیّد المجاهد فی المناهل:319،و صاحب الجواهر فی الجواهر 22:375.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المراد:89،و حکاه عنه المحقّق التستری فی مقابس الأنوار:165.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فی«ش»و«ح»هکذا:«فیجوز فی الثانی دون الأوّل»،و قال المحقّق المامقانی قدّس سرّه بعد أن أثبت ما أثبتناه فی المتن-:الظاهر أن یقال:«فیجوز فی الثانی دون الأوّل»؛لأنّ جواز بیعها یناسب الثانی دون الأوّل،إلّا أن یتکلّف بإرجاع ضمیر«یجوز»إلی ترک البیع،و هو مع کونه تکلّفاً فی العبارة غیر وافٍ بالمقصود؛لأنّ المقصود جواز البیع بعد أن لم یکن جائزاً،لا أنّه کان واجباً فیجوز ترکه.(انظر غایة الآمال:458).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مصحّحة«ن»:رضی.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الصواب:انعتقت.</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المحقّق التستری فی مقابس الأنوار:165.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المحقّق التستری فی مقابس الأنوار:166.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119 120.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16:106،الباب 5 من أبواب الاستیلاد،الحدیث 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3:14،و حکاه عنه المحقّق التستری فی مقابس الأنوار:166.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3:258.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2:129.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المرام(مخطوط)1:280،ذیل قول المحقّق:و لا بیع أُمّ الولد..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مصحّحة«ن»و المصدر:فیها.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غیر«ن»و«ش»:لزمه.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8:47،و حکاه عنه المحقّق التستری فی مقابس الأنوار:166.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انتصر له المحقّق التستری فی مقابس الأنوار:167.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علیها ما فی الوسائل 16:105 108،الباب 5 و 6 من أبواب الاستیلاد.</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المحقّق التستری فی مقابس الأنوار:167 رابع الوجوه.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المحقّق التستری فی مقابس الأنوار:167 ثالث الوجوه.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و المصدر:یلزمه.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أصل»من«ش»و مصحّحة«ن».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ترد«ما»فی«ش»،و شطب علیها فی«ن».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غیر«ن»و«ص»:یقوّم.</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أوّل المسألة فی الصفحة 107 و ما بعدها.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فی«ف»:لحق.</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13:406 407،الباب 28 و 29 من أبواب أحکام الوصایا.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فی«م»و«ش»:فیکون.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روایتی عمر بن یزید المتقدّمتین فی الصفحة 119 120.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کلمة«دین»من«ش»و مصحّحة«ن».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فی«ن»و«ص»:بتعلّق.</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25:320.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 و تخریجه فی الصفحة السابقة.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الصواب:«أنّها تنعتق»،کما فی مصححة«ص».</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من إغلاق،قال الشهیدی قدّس سرّه:قوله:«یملکه..إلخ» الأولی أن یقول:«بحیث یملکه»،ثمّ إنّ«ذلک»فی العبارة إشارة إلی الموصول. (انظر هدایة الطالب:262).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فی«ف»:فیبقی.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فی«ص»:حصّتها.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عبارة«فهو باطل»من«ش»و مصحّحة«ن».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مصحّحتی«ع»و«ص»:«فلمخالفته»،و فی مصحّحة«خ»:فمخالف.</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الأنوار:167.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روایتی عمر بن یزید المتقدمتین فی الصفحة 119 120 و غیرهما ممّا یدل علی أنّها لا تباع فی غیر ثمنها.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الثانی من موارد القسم الأوّل من أقسام المواضع المستثناة من قاعدة المنع عن بیع أُمّ الولد،و تقدّم أوّلها فی الصفحة 118.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126 و ما بعدها.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الشیخ و غیره فی الصفحة 126.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ترد«بناءً»فی غیر«ف»،نعم استدرکت فی«ن».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مقابس الأنوار:168.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119 120.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13:405 406،الباب 27 و 28 من أبواب أحکام الوصایا.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قاله الشهید الثانی فی المسالک،راجع الصفحة 126 127.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فی«ن»و«ص»،و فی غیرهما:یستسعی.</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الثالث من القسم الأوّل،و قد تقدّم أوّلها فی الصفحة 118.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 فی الجواهر 22:379.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6) کذا فی«ن»،و فی غیرها:رقبتها.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119 120.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19:73،الباب 41 من أبواب القصاص فی النفس.</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وردت العبارة فی النسخ،و لا یخفی ما فیها من الاختلال إن کان المراد بها بیان محصّل البحث،قال المحقّق الإیروانی قدّس سرّه:کلمة«و الحاصل»هنا لا محلّ لها،فإنّ المذکور بعدها جواب عن التمسّک بصحیحة عمر بن یزید علی المنع عن بیع المشتری،و لم یتقدّم لهذا الجواب ذکرٌ لیکون هذا حاصله.(حاشیة المکاسب: 188).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التستری فی مقابس الأنوار:168،و راجع المبسوط 7: 160.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3:139.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و عن السرائر المحقّق التستری فی مقابس الأنوار:168،و انظر الخلاف 6:419،کتاب الجنایات،المسألة 5،و 271،کتاب الدیات،المسألة 88.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6:187.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7:160.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المحقّق التستری فی مقابس الأنوار:168.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فی«ع»و«ص»و نسخة بدل«ش»:جنایتها.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ترد«لا»فی«ف».</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فی«ف»:حمل.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19:76،الباب 43 من أبواب القصاص فی النفس.</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فی«ف»،«ن»و«خ»و الفقیه،و فی سائر النسخ و الوسائل:فهو.</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3:124،الحدیث 3468،و انظر الوسائل 16:78،الباب 8 من أبواب کتاب التدبیر،الحدیث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فی الوسائل 19:73،الباب 41 من أبواب القصاص فی النفس.</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الأنوار:168.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7:160.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2:488.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المختلف(الطبعة الحجریة):822،و فیه:«و قوله فی المبسوط:لیس بعیداً من الصواب».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المتقدّمتین آنفاً.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الرابع من موارد القسم الأوّل التی تقدّم أوّلها فی الصفحة 118.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عدّ فی کنز العرفان(2:129)من صور الجواز:أن تجنی جنایة تستغرق قیمتها،و الظاهر أنّ المؤلف قدّس سرّه أخذ ذلک من مقابس الأنوار:169.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119 120.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الأنوار:169.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10:200،الحدیث 791،و الوسائل 19:159،الباب 11 من أبواب دیات النفس،الحدیث 2 مع تقدیم و تأخیر فی بعض الألفاظ.</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10:200،الحدیث 792،و الفقیه 4:162،الحدیث 5367، و الوسائل 19:159،الباب 11 من أبواب دیات النفس،الحدیث 3 مع اختلاف و تقدیم و تأخیر فی بعض الألفاظ.</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10:200،الحدیث 793،و الوسائل 19:159،الباب 11 من أبواب دیات النفس،الحدیث الأوّل،و فیهما بدل«مولاها»:«سیّدها خطأً».</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10:200،ذیل الحدیث 793،و الاستبصار 4:276،الحدیث 1047.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الخامس من موارد القسم الأوّل المتقدّم أوّلها فی الصفحة 118.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فی«م»،«ع»و«ش»بدل«لا»:إلّا.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مصحّحة«ن»:أخذ المعوّض بعد إعطاء العوض.</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السادس من موارد القسم الأوّل،المتقدّم أوّلها فی الصفحة 118.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النسخ،إلّا أنّ فی«ف»بدل«فکأنه»:«و کأنّه»،و العبارة کما تری، و لذا صحّحت فی«ص»بما یلی:«فکانت فیما أسرها غیر مولاها»،و قال الشهیدی قدّس سرّه بعد أن أثبت ما أثبتناه-:الأولی تبدیل«فکأنه»إلی قوله «هذا»،و تبدیل«الفاء»ب«الواو»فی قوله:«فلم یثبت»،هدایة الطالب: 363 364.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مصحّحة«ن»و«ص»:«لا تنقض»،و هذا هو المناسب للسیاق،لکن عبارة المقابس التی هی الأصل لکلام المؤلف قدّس سرّه هکذا:«و یردّ الإمام قیمة ذلک للمقاتلة لئلّا ینقص القسمة..»(انظر مقابس الأنوار:174).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الأنوار:174.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السابع من القسم الأوّل و قد تقدّم أوّله فی الصفحة 118.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المورد الثامن من القسم الأوّل و قد تقدّم أوّله فی الصفحة 118.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أقسام المواضع المستثناة من قاعدة المنع عن بیع أُمّ الولد،راجع المقسم فی الصفحة 118.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الآیة الشریفة:«لَنْ یَجْعَلَ اللّٰهُ لِلکافِرینَ عَلی المُؤْمِنینَ سَبیلاً». النساء:141.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17:376،الباب الأوّل من أبواب موانع الإرث،الحدیث 11.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التعلیل بیان لجریان الاستصحاب،لا لعدم الوجه فی جریانه.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ترد«و»فی«ف».</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الثانی من القسم الثانی.</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بدل«ن»،و فی سائر النسخ:فی کسبها.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غیر«ص»و«ش»:فباع.</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الأنوار:176.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2:129.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2:59.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النسخ:کسبه.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 مالها»،لکن شطب علیها،و لم یثبتها المامقانی فی شرحه غایة الآمال:460.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غیر«ف»زیادة:تحمیلها خ 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الثالث من القسم الثانی.</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المحقّق التستری فی مقابس الأنوار:178،و انظر اللمعة:112، و کنز العرفان 2:129،و المهذّب البارع 4:106،و غایة المرام(مخطوط)1: 280،و جامع المقاصد 4:99.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التستری فی مقابس الأنوار:179،و راجع الروضة البهیّة 3:260.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الرابع من القسم الثانی.</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غیر«ف»:للعتق.</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فی اللمعة الدمشقیّة:112،و السیوری فی کنز العرفان 2: 129،و المحقّق الثانی فی جامع المقاصد 4:98.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الناظر:82.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ابن سعید فی نزهة الناظر:82.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فی«ش»زیادة:موارد.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أقسام المواضع المستثناة من قاعدة المنع عن بیع أُمّ الولد،راجع المقسم فی الصفحة 118.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ما»،لکن شطب علی(الواو)فی:«ن»و«خ».</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3:230،کتاب الرهن،المسألة 19،و المبسوط 2:206 و 217 و 6:185.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2:418.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الغنیة:244.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5:440.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2:28.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3:170،و 4:50،و 10:527.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2:129.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الخلاف 2:96،المسألة 18،و فیه:و إن کان معسراً بیعت به.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ترد«السابق»فی«ش».</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1:207.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الشهید الثانی فی المسالک 4:50،عن بعض حواشیه.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1:393،القواعد 1:160.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الثانی من موارد القسم الثالث.</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1:173.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4:106.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2:129.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المرام(مخطوط)1:280،و حکاه عنهم المحقّق التستری فی مقابس الأنوار:172.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الثالث من موارد القسم الثالث.</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هذه.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فی«ف»:سابقة.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غیر«ف»و«ن»:تلزم.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غیر«ف»:بالفداء.</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الرابع من القسم الثالث.</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2:247 248،و حکاه عنه المحقّق التستری فی مقابس الأنوار:172.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3:465،و المسالک 3:206.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غیر«ن»و«ش»:منزلة.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أی:منع الانتقال،حُذف المضاف بقرینة المقام.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الخامس من موارد القسم الثالث.</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المحقّق التستری فی مقابس الأنوار:173.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3:361.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السادس من موارد القسم الثالث.</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5:31.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أعلاه عن المدارک.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الظاهر:«تامّ»،کما فی مصحّحة«ص».</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السابع من موارد القسم الثالث.</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قسم آخر من أقسام المواضع المستثناة من قاعدة المنع عن بیع أُمّ الولد،راجع المقسم فی الصفحة 118.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حقّ العبارة بملاحظة المقسم أن یقال:«و هو ما یکون الجواز لعدم تحقّق السبب المانع عن النقل مثل ما کان إبقاؤها..»و قد استظهر ذلک مصحّح «ش»أیضاً.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3:253،کتاب الرهن،ذیل المسألة 59،و حکاه عنه المحقّق التستری فی مقابس الأنوار:188.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3:139،و حکاه عنه المحقّق التستری فی المقابس:188.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5:421،و رواه فی مستدرک الوسائل 13:426 عن درر اللآلی.</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التستری فی المقابس:188:و هو الذی یقتضیه کلام الشیخ فی الخلاف و ابن إدریس کما ذکر،و کذا کلام ابن زهرة،إلی أن قال:و کذا أبو الصلاح..و کذا الدیلمی..و کذا المفید.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النهایة:433.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الإجازة فی الوسیلة.نعم،فیه:«فإن أذن المرتهن له فی التصرّف صحّ»،راجع الوسیلة:266.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2:82،و الحلّی فی الجامع للشرائع:288،و العلّامة فی القواعد 1:16 و التحریر 1:207 و غیرهما من کتبه،و الشهیدان فی اللمعة: 140 و المسالک 4:47،و راجع مقابس الأنوار:189 و مفتاح الکرامة 5:116.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الحلّی فی السرائر 2:417.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النبوی المرسل المتقدم عن المختلف آنفاً.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مواضع کلامهم آنفاً.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14:523،الباب 24 من أبواب نکاح العبید و الإماء،الحدیث 1 و 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غیر«ش»:فیرتفع.</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ترد«أصالة»فی«ف».</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فی«ف»:یلحقه.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1:465،و فیه:و من أبطل بیع الفضولی لزم الإبطال هنا.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عوالی اللآلی 2:247،الحدیث 16،و المستدرک 13:230،الباب الأوّل من أبواب عقد البیع،الحدیث 3 و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النافع(مخطوط)،و لا یوجد لدینا،و انظر الصفحة 190.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التستری فی مقابس الأنوار.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مصحّحة«ن»وفاقاً للمصدر،و فی سائر النسخ:إذ العبرة بالنهی عن العقد.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النسخ:استوائهما.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المفید فی المقنعة:622،و الدیلمی فی المراسم:192،و العلّامة فی الإرشاد 1:393،و غیرهم،و راجع الوسائل 13:123 و 124،الباب 4 و 7 من أبواب الرهن و غیرهما من الأبواب.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المصدر:الروایات.</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هامش«ن»زیادة:فی الأمر.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 و نسخة بدل«ص»:و انحصار.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فی«ص»و المصدر هکذا:إذ الظاهر بمقتضی التأمّل الصادق:أنّ المراد بالملک المسوّغ للبیع هو ملک الأصل مع التصرّف فیه،و لذلک..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المصدر:من تتبّع الأدلّة.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ذلک»من«ص»و المصدر و مصحّحة«ن».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14:523،الباب 24 من أبواب نکاح العبید و الإماء الحدیث 1 و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فی«ص»هنا زیادة استدرکها المصحّح من المصدر،و هی:«و قد تقدّم الکلام فیه.و بالجملة،فالقول بتأثیر الإجازة علی نحو ما بنی علیه جماعة من المتأخّرین،إبطال القواعد المعلومة من الشرع و الأحکام المقرّرة فیه ضرورة».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الأنوار:190.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فی«ع»و«خ»زیادة:استقلالاً.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فی«ن»زیادة:فتأمّل.</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فی«ف»زیادة:علی.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المکاسب 3:441.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النسخ:بملک.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162 164.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صحیحة محمد بن قیس المرویة فی الوسائل 14:591،الباب 88 من أبواب نکاح العبید و الإماء،الحدیث الأوّل،و 17:527،الباب 11 من أبواب میراث الأزواج،الحدیث الأوّل،و غیرهما من الأخبار المشار إلیها فی مبحث الإجازة،راجع مبحث بیع الفضولی فی الجزء 3:399.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النهایة:433،و الشرائع 2:82،و الجامع للشرائع:88،و انظر مفتاح الکرامة 5:116.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5:146.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1:165.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1:465،و 2:50.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2:19.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لدینا،و حکی عنه السیّد العاملی فی مفتاح الکرامة 5:118.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5:75،و لم نعثر فی کلام الشهید الثانی علیٰ ما یدلّ علیه،نعم قال بلزوم العتق من طرف الراهن بفکّ الرهن فی الروضة البهیّة (4:84).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1:160،و فیه:فلو افتکّ الرهن ففی لزوم العقود نظر.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غیر«ف»:مطلق.</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ترد«له»فی«ف».</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الثالثة من بحث الفضولی المتقدّم فی الجزء 3:376.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14:525،الباب 26 من أبواب نکاح العبید و الإماء،الحدیث 1 و 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1:222،الحدیث 99،و 3:208،الحدیث 49.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الطباطبائی فی الریاض 1:513،و المحقّق القمی فی جامع الشتات 2:279،و غنائم الأیام:542.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فی«ف»:عموم.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ترد«کان»فی«ش».</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1:165،و تقدّم فی الصفحة 161.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3:229.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4:74 75.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المکاسب 3:411 420.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کلمة«الأصیل»من«ش»و مصحّحة«ن».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ترد«إنّما»فی«ف».</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1:465،و القواعد 1:126.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3:200،و اللمعة الدمشقیة:112.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الشهید الثانی فی المسالک 3:171،و صاحب الجواهر فی الجواهر 22: 383 384.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فی«ف»:عن غیر الشیخ.</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169 170.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ترد«عیب»فی«خ»،«م»و«ع».</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کتب فوقه فی«خ»:«کبیع خ»،و هذا هو الأنسب.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فی«ف»و«خ»:من.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 یقال»فی غیر«ف»و«ش»،لکن استدرکت فی«ن»و«ص».</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فی«ف»:سلطنة متعلّقة به.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غیر«ف»و«ش»:«لا یجوز»،و شطب فی«ن»،«خ»و«ص»علی کلمة«لا».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ترد«فیه»فی«ف»و«ش».</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محتمل«ف»،و فی«ش»:«ملکه»،و فی سائر النسخ: «ملکها»،لکن صحّحت فی«ن»و«خ»بما أثبتناه.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غیر«ش»:«الراهن»،و صحّحت فی«ن»بما أثبتناه.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مصحّحة«ص»:مانع.</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فی«ش»و مصحّحة«ن»:«جان»،و فی«ص»:«فجنی علیه»،و فی سائر النسخ:«مجنی علیه».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3:117 118،کتاب البیوع،المسألة 198.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أی:عن الشیخ.</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7:443،و راجع الخلاف 4:546،کتاب الظهار،المسألة 33.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نسخة بدل«ن»و«ش»،و فی سائر النسخ:الرهن.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5:422.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ترد«إنّه»فی«ش»و المصدر.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فی«ف»،«ن»و«ش»،و فی سائر النسخ:المولی.</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4:209.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ظهور.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19:73،الباب 41 من أبواب قصاص النفس.</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19:73،الباب 41 من أبواب قصاص النفس.</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فی«م»،«ع»،«ص»و«ش»:لم یفد به.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3:358،و حکی ذلک عنه المحقّق التستری فی مقابس الأنوار: 183.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الأنوار:183،و قال:إنّه مفهوم من کلامه فی الرهن،و راجع الخلاف 3:235،کتاب الرهن المسألة 28.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النسخ:أفداه.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فی«ش»:إلّا أنّه.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فی«ص»زیادة:حقّ الغیر.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3:358.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فی یده»فی«ف».</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فی«ف»:«الخلاف»،و راجع الصفحة 166.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1:465 466.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المقابس:186 عن التحریر،و راجع التحریر 1: 165.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12:330،الباب 40 من أبواب آداب التجارة،الحدیث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الوسیلة:245 246،و السرائر 2:323 324،و الجامع للشرائع: 255،و التذکرة 1:485،و غیرها.</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الصحاح 2:768،مادّة«غرر»،و مجمع البحرین 3:423،مادّة «غرر»أیضاً.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الأُصول و الفروع،نعم نقله صاحب الجواهر فی الجواهر 22:387،بلفظ:و روی ابن أبی المکارم الفقهی عن أمیر المؤمنین علیه السلام: «أنّ الغرر عمل ما لا یؤمن معه الضرر».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فی«ف»:أغرّه بالشیء،أی:خدعه به.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2:768 769،مادّة«غرر»،و فیه:و اغترّه:أی أتاه.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کلمة«کأمیر»من«ش»و المصدر.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المصدر:بالباطل.</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2:100 101،مادّة«غرّه».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النهایة(لابن الأثیر)3:355 356،مادّة«غرر».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البلاغة:322،مادّة«غرر».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المنیر:445،مادّة«الغرّة».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المغرب:338.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اللغة(لابن فارس):532،مادة«غرّ».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فیه علی التصریح به،نعم فیه ما یفید ذلک،انظر مجمع البحرین 3: 423،مادّة«غرر»،و حکاه عنه و عمّا تقدّم صاحب الجواهر،انظر الجواهر 22:386.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1:466،و فیه:و فسّر بأنّه بیع السمک فی الماء و الطیر فی الهواء.</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فی«ش»:أو کیفاً.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22:388.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لا یشتری إلی المشتری»من«ش»و المصدر.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نسخة بدل«ص»،و فی سائر النسخ و المصدر:لانضمام.</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له»من«خ»،و استدرکت فی«ن»،«م»و«ع»أیضاً.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من المصدر،و استدرکت فی«ن»و«ص»أیضاً.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عمران:185،و الحدید:20.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أمّا المجهول المعلوم الحصول»لم ترد فی«ش»،و الموجود فی المصدر بعد قوله:«و شرعاً هو جهل الحصول»،هکذا:«و أمّا المجهول،فمعلوم الحصول مجهول الصفة،و بینهما عموم و خصوص من وجه».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المصدر:أو بالوصف.</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ترد«الوجود»فی«ف».</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مصحّحة«ن»زیادة:مردّداً.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فی«ش»:«لغیر ضمیمة»،و فی«ص»:«قبل الضمیمة»، و فی سائر النسخ:مع الضمیمة.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2:137 138،القاعدة 199.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فی«ش»زیادة:الشخصی.</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النسخ:«تعیّنها»،و ما أثبتناه من المصدر و مصحّحة«ن».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و«ف»و نسخة بدل«ن»،و فی سائر النسخ:احتمال.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النسخ:و ما ذکره.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المراد:93.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الأخبار:278.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فی«ش»:فسّر به.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فی«ف»:یکون خطراً.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مصححة«ن»:لزوم.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5:267،317 و 339،و یدلّ علیه ما فی الوسائل 12:266، الباب 12 من أبواب عقد البیع و شروطه،الحدیث 12.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کلمة«لا»من«ف»و«ش»،و استدرکت فی أکثر النسخ.</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اقتضاها السیاق.</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فی«ش»:الممتنع.</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فی«ف»:المعوّض.</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175.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صاحب الجواهر فی الجواهر 22:385.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ترد«مع»فی غیر«ف»،إلّا أنّها استدرکت فی«ن»و«خ».</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198.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فی«ف»بدل«و فیما لم»:أو لم.</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النسخ:ما لم.</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فی«ف»و«خ»و مصحّحة«ن»،و فی سائر النسخ و نسخة بدل«خ»: النقل.</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بدل«ف»:فلا یعتبر.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فی«ف»:أمر.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فی«ف»بدل«من»:علی.</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العاملی فی مفتاح الکرامة 4:224.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کاشف الغطاء فی شرحه علی القواعد(مخطوط):75.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التحریر 1:165،و المختلف 5:216.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5:216.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بحر العلوم الطباطبائی فی المصابیح(مخطوط):97،و لکن لم نعثر علی المحکی عنه،انظر کشف الرموز 1:453،و المسالک 3:172، و الروضة البهیّة 3:250.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الدمشقیة:111،و الدروس 3:200.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4:100 و 102.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ظاهره السیّد الطباطبائی فی الریاض 1:519،و راجع الانتصار:209.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النسخ:و استدلالاتهم.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فی«ف»بدل«أنّه»:الجواز.</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ترد«صحّ»فی«ف».</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2:17،و القواعد 1:125،و التذکرة 1:466.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الدمشقیة:111،و الدروس 3:199 200،و الروضة البهیة 3: 249،و المسالک 3:173.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الأردبیلی فی مجمع الفائدة 8:174،و السبزواری فی الکفایة:90، و الکاشانی فی مفاتیح الشرائع 3:58 و غیرهم.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2:481.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فی«ف»،«م»و«ش»:لم یقدر.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صدر المسألة،الصفحة 175.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3:174.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الصیمری فی غایة المرام(مخطوط)1:280،و السیّد بحر العلوم فی المصابیح(مخطوط):105،و السیّد العاملی فی مفتاح الکرامة 4:271.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النسخ:لأجل حاجة.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192،هذا و لم یذکر الوجه الثانی.</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فی«ن»زیادة:منه،استدراکاً.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صاحب الجواهر قدّس سرّه.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فی غیرهما:الوکیل،إلّا أنّها صحّحت فی«خ» و«ن»بما أثبتناه.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بدل«ص»:الموکل.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انتهی کلام صاحب الجواهر فی الجواهر 22:392 393.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3:168،کتاب البیوع،المسألة 274.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الغنیة:211 212.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1:453.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فی«ف»زیادة:بیع.</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المختلف 5:216.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200.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201 202.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فی«ش»بدل«و»:أو.</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النسخ:اشتراطه.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بالجواز من الشهید الثانی کما سیأتی فی الصفحة الآتیة،و اختاره السیّد العاملی فی مفتاح الکرامة 5:83.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ممّا.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فی«م»:«فیها»،و فی سائر النسخ:فیهما.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فی«ش»:لجهالة.</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2:119،و جامع المقاصد 8:221،و مفتاح الکرامة 7:562.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7:86 و 103 فی الإجارة،و الریاض 1:611 فی المزارعة،و مفتاح الکرامة 7:349،و الجواهر 27:64 فی المساقاة،و الجواهر 35:194 فی الجعالة،و غیرها من الکتب الفقهیّة.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التذکرة 2:291،و الحدائق 20:22،و الجواهر 26:142.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فی شرحه علی القواعد(مخطوط):75.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4:24.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فی الدروس 3:200،و المسالک 3:172،و الروضة البهیّة 3: 251،و فیه بعد الحکم بالصحّة:«و یحتمل قویّاً بطلان البیع»،و المحدّث الکاشانی فی المفاتیح 3:57،و السیّد الطباطبائی فی الریاض 3:519،و المحقّق النراقی فی المستند 2:375،و غیرهم،و راجع تفصیله فی مفتاح الکرامة 4:269 270.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مصحّحة«ص»:و بمَنع.</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فی«ف»و«خ»:لن.</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فی«خ»:نفی.</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فی«ف»:یفرض.</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فی«ص»:تسلیم.</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فی الصفحة 189.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ترد«العرف»فی غیر«ف»،و استدرکت فی«ن».</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فی«ف»:للبیع.</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غیر«ف»:«العلم»،لکنّها صحّحت فی أکثر النسخ بما أثبتناه.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5:216.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العاملی فی مفتاح الکرامة 4:224.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1:453.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2:35.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علیه فی الخلاف بإجماع الفرقة،راجع الخلاف 3:168،کتاب البیوع،المسألة 274.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12:262،الباب 11 من أبواب عقد البیع و شروطه،الحدیث الأوّل.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غیر«ف»زیادة:درهماً.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12:263،الباب 11 من أبواب عقد البیع و شروطه،الحدیث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فی«ص»:مثمناً.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بذل إلی جزء مبیع»لم ترد فی«ف»،و کتب علیها فی ما عدا «ص»و«ش»:«کذا فی نسخة».قال الشهیدی قدّس سرّه بعد أن قال:إنّ العبارة غلط،و فی بعض النسخ المصحّحة من القاری:إنّ المصنّف شطب علیها بقلمه الشریف-:وجه الغلطیّة:أنّ مقتضی ما ذکره من الملازمة بین جواز جعل الشیء جزء المبیع و بین جواز جعله تمام المبیع:جواز بیع الآبق منفرداً عن الضمیمة مع رجاء الوجدان،مع أنّه باطل إجماعاً و نصّاً.انظر هدایة الطالب:375.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فی«ف»:التخصیص،و عبارة«للنهی عن الغرر السلیم عن المخصِّص» مشطوب علیها فی«ن».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المناسب:فلا تظهر.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فی«ش»علی عبارة«و أمّا صحّة بیعها إلی من الروایة»: نسخة.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ترد«فلو أضاف إلی کفی»فی«ش»،و شُطب علیها فی«ن»،و علی فرض وجودها فی الأصل فالصواب:..ما تعذّر تسلیمه کفی.</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فی«خ»و مصحّحة«ن»:فلا.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مصحّحة«ن»:للثمن.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فی«ف»:فیکون.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النسخ:لحصول.</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صاحب الجواهر فی الجواهر 22:398،و لم نعثر علیه فی کشف الرموز،بل وجدناه فی التنقیح الرائع(2:36)،کما حکاه عنه السیّد العاملی فی مفتاح الکرامة 4:268.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عبارة:«کما یوهمه إلی ما ذکرنا»لم ترد فی«ف».</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العبارة فی«ف»هکذا:«الموجب للرجوع إلی مقابل التالف لا مقابله»،و فی سائر النسخ:«الموجب للرجوع بما یقابله التالف ممّا لا یقابله»،نعم شطب فی«ص»علی کلمة«لا».</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غیرهما:فیما إذا.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201 202.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المحدّث البحرانی فی الحدائق 18:438.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5:243 244،و التذکرة 1:472.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السیّد العاملی فی مفتاح الکرامة 4:278،و راجع الروضة البهیّة 3:264،و أمّا حاشیة سلطان العلماء علی الفقیه فلا توجد لدینا،نعم نقل المحدّث البحرانی فی الحدائق(18:461)العبارة بعینها عن الحاشیة.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12:399،الباب 22 من أبواب أحکام العقود،الحدیث 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 المصدر.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الوسائل و«ش»و مصحّحة«ن»،و فی الکافی:«هذه الألف»،و فی «م»،«خ»و«ع»:«هذا الألف دراهم»،و فی«ص»:هذه الألف الدراهم، و العبارة فی«ف»هکذا:ثم بعثت إلیه بألف فقلت له هذا حکمی..</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الوسائل و هامش«ن»زیادة:أن تقبلها.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الکافی و الوسائل و مصحّحة«ن»،و فی سائر النسخ:أن یقبضها.</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الکافی و الوسائل و مصحّحة«ن»،و فی سائر النسخ:بعثتها.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فی«م»،«ع»،«ص»و«ش»زیادة:له.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فی الکافی و الوسائل:لک.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5:209،الحدیث 4،الوسائل 12:271،الباب 18 من أبواب عقد البیع و شروطه،الحدیث الأوّل.</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ترد«لمنافاة ظاهرها إلی بالفساد»فی«ف»،و کتب علیها فی«ن»، «خ»،«م»و«ع»:نسخة.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فی«ف»:القیمة العادلة.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تعیّن.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الحاکی،و راجع الحدائق 18:461 463.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5:244.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3:162،کتاب البیوع،المسألة 258.</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2:321.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الوسائل.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12:254،الباب 4 من أبواب عقد البیع و شروطه،الحدیث 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الفقیه:«فلا یصلح مجازفة»انظر الفقیه 3:226،الحدیث 3838.</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الأردبیلی فی مجمع الفائدة 8:177.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عبارة«أن یقال»من«ش»و مصحّحة«ن».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فی«ش»زیادة:فی.</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هامش«ن»:ممّا یبعد.</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الکافی:ممّا یکال أو.</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زیادة:هل یصلح شراؤه.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فی«ش»و«ص»،و فی باقی النسخ:«و».</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12:257،الباب 5 من أبواب عقد البیع و شروطه،الحدیث 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12:256،الباب 5 من أبواب عقد البیع و شروطه،الحدیث 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کلمة«مفهوم»من«ف»و«ش».</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12:257،الباب 5 من أبواب عقد البیع و شروطه،الحدیث 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فی«ش»:«سألت»،و فی الوسائل:عن رجل من أصحابنا قال:سألت.</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12:256،الباب 5 من أبواب عقد البیع و شروطه،الحدیث 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12:259،الباب 7 من أبواب عقد البیع و شروطه،الحدیث الأوّل.</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210،و راجع مفتاح الکرامة 4:224.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النسخ:المتساوی.</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فی«ن»و«ش»،و فی غیرهما:و إلّا أنّه.</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عبارة«لأنّه مساو للآخر فی المقدار»لم ترد فی«ف»،و کتب علیها فی «ش»:نسخة.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فی«ف»و«ن»و«خ»:دفع.</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فی«م»و«ش»:وزن.</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4:271.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لدینا،و حکاه عنه السیّد العاملی فی مفتاح الکرامة 4:517.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 ما یلی:«بل یمکن إجراء ذلک وقت البیع فی دخول و عدم اعتبار الوزن فی بیعه»،و لکن شطب علیها فی«ن»،و کتب علیها فی«م»،«خ»و«ع»:نسخة.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العبارة فی سائر النسخ:بخلاف الدرهم و الدینار الخالصین.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وردت الضمائر العائدة إلی«الدرهم»و«الدینار»فی هذه الفقرة فی أکثر النسخ بصیغة المفرد المؤنّث،و لعلّ ذلک نظراً إلی قوله تعالی «الَّذِینَ یَکْنِزُونَ الذَّهَبَ وَ الْفِضَّةَ وَ لاٰ یُنْفِقُونَهٰا ..»و قد بدّلت أغلبها فی«ش»و جمیعها فی«ن»إلی صیغة التثنیة،و قد أثبتنا ما فی أکثر النسخ لظننا أنّ ذلک جری علی قلم المؤلف قدّس سرّه.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کلمة«جواز»من«ف»و«ش»،و استدرکت فی«ن».</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مصحّحة«ص»،و فی«ش»و مصحّحة«ن»:«أغلبهم»،و فی سائر النسخ:أغلب.</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الوسائل:عبد الرحمن بن الحجّاج.</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کلمة«نحو»من المصادر الحدیثیة و مصحّحة«ن».</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و الوسائل أیضاً،لکن فی الفقیه:«الوضاحیّة».قال الطریحی:«الوضح من الدرهم:الصحیح..و الوضاحیة:نسبة إلی ذلک»،انظر مجمع البحرین 2:424.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7:110،الحدیث:476،و الفقیه 3:223،الحدیث:3830، و الوسائل 12:473،الباب 10 من أبواب الصرف،الحدیث 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224.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بدل«م»و«ص»،و فی سائر النسخ:المتضمّنة لتجویز.</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8:178.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224.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فی«ش»زیادة«فی السلم و صحّته»،و فی هامش«ن»زیادة:فی السلم صح.</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1:484.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214.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فی«ف»بدل«و عدمه»:أم لا.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 فی سائر النسخ:«الکیل».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الحلّی فی السرائر 2:260 و 321،و راجع تفصیل ذلک فی مفتاح الکرامة 4:228.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فی«ن»،«خ»،«م»و«ع»:بالسلف.</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13:63،الباب 7 من أبواب السلف،الحدیث الأوّل.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باب إسلاف السمن بالزیت،انظر الاستبصار 3:79.</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الظاهر:«بما»کما فی مصحّحة«ن».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غیر«ف»و«ش»:«فأعرض»،و صحّحت فی«ن»و«ص»بما أثبتناه.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الکافی،و فی النسخ:فأتزنهما.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5:194،الحدیث 7،و الوسائل 12:255،الباب 5 من أبواب عقد البیع و شروطه،الحدیث الأوّل.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مصحّحة«م»و هامش«ن»:«الغلبة»،و استظهرها مصحّح«ش»أیضاً.</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224.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فی«ف»:إذا کان.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فی«ع»و«ش»:المقدر.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210 211.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هی الصورة الثانیة،و تقدّمت أُولاها فی الصفحة السابقة.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فی«ص»و«ش»:الکیل.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12:254،الباب 4 من أبواب عقد البیع و شروطه.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فی«ف»زیادة:أوّلاً.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فی«ش»:منضبط.</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فی«ف»هکذا:فهو بعینه من التعذّر کقصعة حاضرة أو ملی الید قدره تخمیناً،فإنّ..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الوسائل و مصحّحة«ن»،و العبارة فی سائر النسخ هکذا:«لا یستطیع یکال بمکیال..»مع اختلافات اخری لم نتعرّض لذکرها.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12:259،الباب 7 من أبواب عقد البیع و شروطه.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3:266،و فیه:کان حسناً.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العبارة بعینها،نعم فی الغنیة:227،و السرائر 2:318، و الشرائع 1:63 ما یدلّ علیه،و راجع مفتاح الکرامة 4:453 أیضاً.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غیر«ش»:«الوزن»،و صحّحت فی«ن»بما أثبتناه.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غیر«ش»بدل«العوضین»:«المتعاقدین»،و فی هامش«ن»:العوضین ظ.</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2:17،و القواعد 1:126،و مفتاح الکرامة 4:224.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علیه،نعم حکموا بالجواز مع التعذّر أو التعسّر،راجع النهایة:400، و السرائر 2:321،و المسالک 3:176،و مفتاح الکرامة 4:226.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4:228.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کلام السیّد العاملی قدّس سرّه.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8:177،و الحدائق 18:471،و حکی ذلک عنهما السیّد العاملی فی مفتاح الکرامة 4:228.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22:427 428.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مصحّحة«ن»وفاقا لما فی المصدر،و فی سائر النسخ:أهل الحجاز.</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مصحّحة«ن»وفاقاً لما فی المصدر،و فی«ف»و«ش»:«لا تعرف عادة»،و فی سائر النسخ:لا نعرف عادة.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1:483.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السیّد الطباطبائی فی الریاض 1:542،و یظهر من المحقّق فی الشرائع و الشهید فی الدروس،کما سیأتی عنهما.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2:45.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إن وزن أو کیل»من المصدر،اقتضاها السیاق.</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3:297.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3:323.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4:271.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لدینا حاشیة الشهید علی القواعد،و نقل العبارة عنها السیّد العاملی فی مفتاح الکرامة 4:517.هذا،و لم ترد«و الشهید»فی غیر«ف»و«ش»، نعم استدرکت فی هامش«ن».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الزبرة:القطعة من الحدید،و الجمع:زبر(الصحاح 2:666).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214.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نحوه.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الفاضل المقداد فی التنقیح 2:91.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صحیحة الحلبی،المتقدّمة فی الصفحة 210.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غیر«ش»:لم یعلم کون ما تعارف،و صحّحت فی«ن»و«ص»بما فی المتن.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فی«ص»:بحکم.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فی«ف»:الاستناد.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4:228 229،و الجواهر 22:426 427 و 23: 363 364.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فی«ش»و المصدر:«للتغیّر»،و فی سائر النسخ:للغیر.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2:98،الحدیث 270.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عبارة«الواقع فیه شیءٌ منها»من«ش»و المصدر.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4:270.</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فی«ف»:بقوله علیه السلام.</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بلفظه،نعم یدلّ علیه ما فی الوسائل 12:254،الباب 4 من أبواب عقد البیع و شروطه.</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بلفظه أیضاً،نعم یدلّ علیه ما فی الوسائل 12:438،الباب 8 من أبواب الربا.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ترد«لو سلّم»فی غیر«ش»و المصدر.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8:177.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18:471 472.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 قوله:«ثمّ لو فرض..»إلی هنا لم ترد فی«ف»،و کتب علیها فی غیر«ش»و«ص»:وجد فی نسخةٍ کذا.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صحیحة الحلبی المتقدّمة فی الصفحة 210.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فی الصفحة 238.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غیر«ف»و«ص»:علیهما،و صحّحت فی«ن»بما أثبتناه.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عبارة جامع المقاصد فی الصفحة 232.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النهایة:378،و سلّار فی المراسم:179،و قوّاه فخر المحقّقین فی الإیضاح 1:476.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لو»من«ف».</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غیر«ش»:«فیما»،و صحّحت فی«ن»بما أثبتناه.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غیر«ف»زیادة:مالیة.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ترد«فی»فی«ف»،«ن»،«خ»و«ص»،و شطب علیها فی«ع».</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223.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 المکیل.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اللّغة:خضروات.</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فی«ن»،«م»و«ص»،و فی سائر النسخ:حرصاً.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الملاقیح:ما فی البطون و هی الأجنّة،و المضامین:ما فی أصلاب الفحول کما ورد فی الخبر،راجع الوسائل 12:262،الباب 10 من أبواب عقد البیع و شروطه،الحدیث 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معنی هذه الثلاث و حکمها فی الحدیث،راجع الوسائل 12:266، الباب 12 من أبواب عقد البیع و شروطه،الحدیث 13.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سرّه:یعنی به جعل المبیع الوارد علیه البیع الشیء المقیّد بتعلّق أحد هذه الأُمور الثلاثة به بعد الإنشاء،بأن یقول:«ما أُلامسه بعد ذلک أو أنبذه أو أطرحه إلیک أو القی الحصاة علیه»فإنّ المبیع علی هذا مجهول عند البیع.و أمّا التفسیر الآخر فهو إنشاء البیع بنفس اللمس و النبذ و إلقاء الحصاة کإنشائه بالمعاطاة،و لا جهالة فیه علی هذا التفسیر.(هدایة الطالب:383) و راجع المکاسب 3:29.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13:2،الباب الأوّل من أبواب بیع الثمار.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عبارة«ما عن»من«ش»و مصحّحة«ن».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عبارة«عن أبیه»من«ش»فقط.</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مصحّحة«ص»،و فی سائر النسخ:«فی رجاله»، قال المامقانی قدّس سرّه:الظاهر أنّ هذه العبارة قد وقع فیها التشویش من النسّاخ و أنّه:«ما عن علی بن إبراهیم عن أبیه عن رجاله»(انظر غایة الآمال: 466).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غیر«ص»:الخاصّة.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غیر«ش»زیادة:الحدیث،و لیس للحدیث تتمّة،انظر الوسائل 12: 435،الباب 5 من أبواب الربا،الحدیث 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غیر«ف»زیادة:«فیه»،لکن شطب علیها فی«ن».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کاشف الغطاء قدّس سرّه.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فی«ش»:ذو الاعتبار.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فی«ع»بدل«أو»:و.</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المصدر:الأقرب.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القواعد(مخطوط):76.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1:470،و تقدّم فی الصفحة 211.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212 213.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غیر«ف»:فی.</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210.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فی«ف»:«عدم الاعتبار»،و فی هامش«م»زیادة:عدم.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النسخ،و فی«ش»:«الحکم فیه بالصحّة»،و فی هامش«ن» عن بعض النسخ:الحکم فیه الصحّة.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ما نقله عن جامع المقاصد من الاحتمال و ردّه إنّما هو فی مورد تبیّن الخلاف بالزیادة لا بالنقیصة،فراجع جامع المقاصد 4:427.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کلمة«معیّنة»من«ش».</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4:198.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فی«ف»:العقد.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فی«ف»زیادة:حیث.</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فی«ف»زیادة:من.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فی«ف»:فأُوقع.</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فی«ف»:الکرباس.</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فی«خ»:الذرع.</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بدل«خ»،«م»و«ع»:یردد.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الکلمة لا تقرأ فی«ف»،و فی«ع»و«م»:مقدار.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بدل«خ»،«م»و«ع»:فیردّد.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فی«ف»:للفرق.</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صاحب الجواهر فی الجواهر 22:420،و راجع مجمع الفائدة 8: 181 182،و فیه:و مثل المتن أکثر عباراتهم.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جامع المقاصد 4:150،و سیجیء فی کلام الحلّی و الشیخ.</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التذکرة.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کلام الشیخ الآتی فی الصفحة التالیة.</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استدلّ به المحقّق النراقی فی المستند 2:375.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2:350،و راجع الروایة فی الوسائل 13:44،الباب 16 من أبواب خیار الحیوان.</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الصواب:«و لم نقس»،بصیغة المتکلّم کما فی المصدر.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غیر«ف»:«غیرهما علیهما»،راجع الخلاف 3:217،کتاب السلم، المسألة 38.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3:38،المسألة:54 من کتاب البیوع.</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 فی الصفحة التالیة.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غیر«ف»:أحد.</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صرّح بذلک العلّامة فی القواعد 1:295،و التذکرة 2:480،و الشهید فی الدروس 2:301 و 308.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المحدّث البحرانی فی الحدائق 18:480،و لم نعثر علی غیره.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8:182.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فی«ف»،«ن»و«خ»:عن.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 عین»و هی تصحیف«من غیر تعیین»،کما فی المصدر.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سرّه:«التثنیة بطریق التوزیع،یعنی عموم من وجه و خصوص من وجه»(هدایة الطالب:384).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القواعد(مخطوط):الورقة 90 91،ذیل قول العلّامة:و إن قصدا معیّناً.</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النسخ:«فالمنع»،و کذا أثبته المامقانی قدّس سرّه فی غایة الآمال:467.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فی«ف»:لا تضرّ بالظواهر.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ترد«عدم»فی«ف».</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غیر«ش»:«هنا»،و صحّحت فی«ن»بما أثبتناه.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فی«ف»:«غیر متعیّن»،و فی«ص»:«من غیر تعیین»، و فی سائر النسخ:«من غیر متعیّن»،و شطب فی«ن»علی«من».</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 سقوط کلمةٍ هنا،مثل:«شخصاً»،کما أشار إلیه مصحّح«ص».</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2:152 153،و الخلاف 3:162 163،کتاب البیوع،المسألة 259 و 260.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و شرحها(الروضة البهیّة)3:267 268.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4:103 و 105.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الطباطبائی فی الریاض 1:515،و المحقّق النراقی فی المستند 2:376 377،و راجع مفتاح الکرامة 4:274 275.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النسخ:ترجیح.</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 فی الجواهر 23:222 223.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فی«ف»:متیقّن.</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فی«ف»:فیکفی فیه حینئذٍ.</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الآتیة.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261.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فخر المحقّقین فی الإیضاح 1:430،و راجع المبسوط 2:152،فصل فی بیع الصبرة و أحکامها.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3:201،و الروضة البهیّة 3:268،و المسالک 3:176،و حکاه عنهما و عمّن بعدهما السیّد العاملی فی مفتاح الکرامة 4:275.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السبزواری فی الکفایة:90،و الشیخ الکبیر کاشف الغطاء فی شرحه علی القواعد(مخطوط):الورقة 91،و السیّد العاملی فی مفتاح الکرامة 4:275.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متن الحدیث طبقاً لما ورد فی أکثر النسخ،و لم نتعرّض لبعض الاختلافات الموجودة فی«ص»و«ش»،علماً بأنّها تصحیحات أُجریت علی أساس التطبیق مع المصدر.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12:272،الباب 19 من أبواب عقد البیع و شروطه.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247 248.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غیر«ف»:بما.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قاله فی جامع الشتات 2:95،المسألة:72.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فی«ف»:«ملک المشتری».</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نسخة بدل«م»و«ع»:مثلاً.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نسخة بدل«م»و«ع»:مثلاً.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عبارة«منها أنّه»من«ش»و هامش«ن».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ترد«جزء»فی«ف».</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ترد«کلا أو بعضاً»فی«ف».</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فی«خ»بدل«جزئه»:«ضرره»،و فی نسخة بدل«م»،«ع»و«ص»: ضرّه.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فی«ف»:«للجزء حینئذٍ»،و فی نسخة بدل«م»،«ع»و«ص»:للجزء.</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2:53،و القواعد 1:131،و الدروس 3:239،و جامع المقاصد 4:168،و راجع مفتاح الکرامة 4:381 382.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بینهما صاحب الجواهر فی الجواهر 23:223.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258.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متعلّق ب«الفرق»،و«الإیجاب»عطف علی«الاعتبار»کما قاله الشهیدی فی هدایة الطالب:387.</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الظاهر:المبیع،کما فی مصحّحة«ن».</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ترد«و»فی«ف».</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4:382.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 غیر«ش»،و استدرکت فی«ن».</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فی«ش»:التلف.</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بدل«خ»،و فی«ش»و مصحّحة«ن»:«عدم قبض حقّهما»،و فی سائر النسخ:عدم قبضه.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غیر«ش»:تعیین.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فی«ف»،«ش»و مصحّحة«ن»،و فی سائر النسخ:لمالک.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فی«ف»:«الشهید الثانی»،راجع الدروس 3:239،و الروضة البهیّة 3: 360.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4:168.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فی«ف»:هذا،و یمکن.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مصحّحة«خ»:موضوعاً لحکم.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العبارة فی«ش»هکذا:«مصداقاً لهذا العنوان و عنوان الصاع»،و جاء فی هامش«ص»ما یلی:الظاهر أنّه سهو من قلمه الشریف، و حقّ العبارة أن یقول:«مصداقاً لهذا العنوان و لعنوان الصاع»،کما لا یخفی.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4:275.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فی غیرهما بدل«لا»:«إلّا»،و صحّحت فی«ن» بما أثبتناه.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کلام الشهید الثانی قدّس سرّه،راجع الروضة البهیّة 3:268.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1:127.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4:274،و لا توجد عندنا حواشی الشهید.</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التذکرة 1:469،و حکاه عنه السیّد العاملی فی مفتاح الکرامة 4:274،و فیه:إذا علما اشتمالها علی ذلک.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3:267.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4:274،و راجع الدروس 3:201 و 239،و اللمعة:113،و العبارة منقولة من اللمعة و شرحها(الروضة البهیّة) 3:267.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فی«ن»و«خ»،و فی سائر النسخ:بحصّة.</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کلام الشهید،و التعلیل من المؤلف قدّس سرّه.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فی«ش»:عن المبسوط و الخلاف.</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خلافه السیّد العاملی فی مفتاح الکرامة 4:274،کما حکی الصحّة عن ظاهر الدروس و اللمعة فی نفس ذلک الموضع،فراجع،و انظر المبسوط 2: 152،و إیضاح الفوائد 1:430.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بدل«ش»،و فی سائر النسخ:الضرر.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قیل»،و فی مصحّحة«ص»:«و لو قیل»،و القائل صاحب الجواهر فی الجواهر 22:423.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مصحّحة«ن»و«ص»،و فی سائر النسخ:الموجود.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فی«ف»بدل«إلّا»:لا.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2:34،و العلّامة فی التذکرة 1:469،و الشهید فی الدروس 3:195،و نسبه المحقّق السبزواری(فی الکفایة:90)إلی المشهور.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2:152،و الخلاف 3:162،کتاب البیع،المسألة 259،و حکاه عنهما السیّد العاملی فی مفتاح الکرامة 4:276.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السیاق رجوع ضمیر«قال»إلی صاحب الکفایة،و لیس الأمر کذلک. بل العبارات من قوله«و أمّا الرابع إلی و فیه نظر»من مفتاح الکرامة(انظر مفتاح الکرامة 4:276).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الضمائر الراجعة إلی«العین»وردت فی غیر«ش»مذکّرة،و صحّحت فی «ن»بما أثبتناه.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4:280،عن الأنماطی من الشافعیّة.</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فی«ف»،«ن»،«خ»،«م»و«ع»:التغییر،و صحّح فی«ن»بما فی المتن.</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غیر«ش»:«علیها»،و صحّحت فی«ن»بما أثبتناه.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غیر«ش»:«خلافها»،و صحّحت فی«ن»بما أثبتناه.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مصحّحة«ن»:تغیّرت.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2:501،المسالک 3:178.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مصحّحة«ن»:و ما.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مصحّحة«ن»:کان.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الظاهر:«التغیر»کما فی مصحّحة«ن».</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1:468.</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3:178.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و(9)المبسوط 2:77.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فی«م»،«ع»،«ص»و«ش»:ببیّنة.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غیر«ف»:«تبعه»،و صحّحت فی«ن»بما أثبتناه.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غیر«ف»:«برؤیة»،و صحّحت فی«ن»بما أثبتناه.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غیر«ش»:«ثبت»،و صحّحت فی«ن»بما أثبتناه.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1:467 468.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4:109.</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قوله:و یضعّف الأوّل.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صاحب الجواهر فی الجواهر 22:431.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فی«ف»بدل«أم لا»:و عدمه.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المناسب:کونها متّصفة.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المناسب:بکونها متّصفة.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مصحّحة«ن»:ملتزم.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حقّق ذلک فی مبحث الأصل المثبت،فی التنبیه السادس من تنبیهات الاستصحاب.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 تکون الأوصاف الملحوظة حین المشاهدة مأخوذة فی نفس المعقود علیه.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سرّه:قوله:«علی ما ینطبق علی الشیء الموجود إلی قوله-:إلی وقوع العقد»مضروب علیه[أی مشطوب علیه]فی نسخة المصنّف رحمه اللّٰه،(غایة الآمال:471)،و لم ترد هذه الفقرة فی«ف».</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ترد«بالأصل»فی«ف».</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تقرّر ذلک فی مبحث الأصل المثبت.</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هو وارد علی أصالة اللزوم»لم ترد فی«ف».</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فی«ف»:أحدهما:الشکّ فی تقیید.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بدل«خ»،«م»،«ع»و«ش»:الخاصّ.</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کآیة 29 من سورة النساء.</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لا.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2:113،الحدیث 309.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1:222،الحدیث 99.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ترد«له»فی«ف»و«ش».</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النسخ:الخارجة.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غیر«ف»:علی ما یطابق،و زیدت«لا»فی أکثر النسخ تصحیحاً،قال المامقانی قدّس سرّه:و الظاهر أنّ کلمة«لا»سقطت من قلم الناسخین،(غایة الآمال:471).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مصحّحة«ن»:بما التزم،هذا و لم نعثر علیه فی التذکرة،و لعلّه ینظر إلی ما تقدّم عن التذکرة فی الصفحة 275.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6:255،و فیه بعد نقل القولین من الجواز و اللزوم-: و الوجه،الأوّل،لنا:الأصل عدم اللزوم.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النسخ:أنّ.</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اللمعة الدمشقیة:113،و فیها:«و لو اختلفا فی التغیّر قدّم قول المشتری مع یمینه».و نسبه فی الروضة(3:271)إلی إطلاق العبارة.</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الأوّل فی الصفحة 274.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فی«ف»و«ش»بدل«أو»:و.</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فی«ف»و«ن»،و فی سائر النسخ:حقّه.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الظاهر:قیمة.</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فی«خ»و«ص»و مصحّحة سائر النسخ:عمّن علم.</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مصحّحة«ن»:ینزّه.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25:267.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فی«ف»:تقدیم.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 النسخ:تأخیره.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غیر«ف»:أو تحقق.</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2:19،و العلّامة فی القواعد 1:126،و الشهید فی الدروس 3:198،و انظر مفتاح الکرامة 4:231.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فی«خ»و«م»و«ع»و«ص»و«ش»،و فی«ف»بدل«القیمة»: «مراتب الصحیح»،و فی«ن»جمع بینهما و صحّحت العبارة هکذا:«یختلف بها قیمة مراتب الصحیح»،و فی نسخة بدل«م»و«ع»و«ص»:مراتب الصحیح.</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2:331.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2:19،و القواعد 1:126.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فخر المحقّقین فی إیضاح الفوائد 1:427،و الشهیدان فی الدروس 3: 998،و المسالک 3:179 و غیرهم،راجع مفتاح الکرامة 4:232.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12:279،الباب 25 من أبواب عقد البیع و شروطه،الحدیث الأوّل.</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فی«ش»:بغیر اختبارٍ.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فی«ش»:فیها.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کلام المفید قدّس سرّه،راجع المقنعة:609،و لم نعثر علی ما بعده فیها، نعم نقله العلّامة فی المختلف(5:560)بلفظ:«قال الشیخان»،و قال السیّد العاملی فی مفتاح الکرامة بعد نقل ما فی المقنعة:«و مثله عبارة النهایة حرفاً بحرف...»،و زاد بعد قوله:«و المتبایعان فیه بالخیار»:«فإن تراضیا بذلک لم یکن به بأس»،راجع مفتاح الکرامة 4:232.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ترد«انتهی»فی«ف».</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5:260،و لم نعثر علیه فیما بأیدینا من کتب القاضی.</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5:260،و انظر المراسم:180،و الکافی فی الفقه: 354،و الوسیلة:246.</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فی«ش»:لخیار المتبایعین.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5:262،و انظر المقنعة:609-610،و المراسم:180.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أیضاً فی المختلف 5:263،و انظر النهایة:404،و الکافی فی الفقه:354.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 القاضی و حکاه العلّامة أیضاً فی المختلف 5:263.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فی المصدر:أخلاه.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المصدر هکذا:و إنّما صار إلی هذا الإبهام عبارة الشیخین.</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5:263.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غیر«ف»زیادة:«کما»،و قد محیت فی«ن».</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هامش«ن»زیادة:بیعه.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غیر«ف»و«ن»:شرط.</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المقنعة:609-610.</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النهایة:404.</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فی«ف»:إلّا أن یخصّص.</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غیر«ن»و«ص»:کالمشاهد.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النسخ،و فی«ف»و هامش«م»:«للمشهور»،و فی«خ» و«ع»:للمحکی.</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288-289.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هامش«ن»:و الکلام خ.</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فی«ف»:الاعتماد.</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النافع:119.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هامش«خ»زیادة ما یلی:وفاقاً لکلّ من قال بعدم اعتبار الاختبار أو الوصف فی ما لا یفسده الاختبار.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ذکرهم فی الصفحات 290-291.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فی«ن»و«ص»:تعیّن.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فی«ن»زیادة:«أنّ»،تصحیحاً.</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2:135.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2:332.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فی«ن»زیادة:«و التذکرة»،استدراکاً.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مصحّحة«ن»:عنهم،و سیأتی نسبة المؤلف قدّس سرّه ذلک إلی من صرّح برجوع المشتری بتمام الثمن(انظر الصفحة 301).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2:332.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 و 531.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الثانی فی الروضة 3:277،و السیّد الطباطبائی فی الریاض 1: 516،و السیّد المجاهد فی المناهل:294،و کاشف الغطاء فی شرحه علی القواعد (مخطوط):الورقة 78.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غیر«ف»:حیث،و فی«ن»کتب علیها:حین خ.</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3:277.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فی«ف»:فیفسخ.</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هامش«خ»زیادة:فیکون الأرش هنا تمام الثمن.</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فی«ف»بدل«و أمّا»:و أنّه.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بدل«ص»و مصحّحة«ن»،و فی النسخ:ملکیّة.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مصحّحة«ن»:للثمن.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ترد«إلی»فی«خ».</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3:198،و اللمعة الدمشقیة:114.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النسخ:«رجع»،و الصواب ما أثبتناه من المصدر.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3:278-279.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اعترض علیه السیّد العاملی فی مفتاح الکرامة 4:235.</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فی شرحه علی القواعد(مخطوط):الورقة 79.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النهایة:404،و الوسیلة:247.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4:95-96،و المسالک 3:179.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مصحّحتی«ن»و«خ»:«فیسقط»،و فی سائر النسخ: لیسقط.</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 فی سائر النسخ و نسخة بدل«ن»:یتحقّق.</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22:439-440.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فی«ف»:ملخّصه.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النسخ،و فی«ش»:و فیه مواقع للنظر.</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2:332.</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 و 531.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1:19،و العلّامة فی القواعد 1:126،و انظر المناهل:294.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297.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بدل«ن»،و فی«ش»و مصحّحة«ن»:«و اختار»، و فی سائر النسخ:و اختاره.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فی«ف»بدل«أو»:و.</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بذلک الشیخان فی المقنعة:597،و المبسوط 2:127،و النهایة:392، و راجع للتفصیل مفتاح الکرامة 4:631-632.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فی«ص»بدل«أو»:و.</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فی«ن»شطب علی«أیضاً».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4:344.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السیّد العاملی فی مفتاح الکرامة 4:236.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الأتباع.</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فی قوله:«و اشتراط»بمعنی«مع».قاله الشهیدی قدّس سرّه فی هدایة الطالب:394.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290.</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اشتراط.</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2:510،و التذکرة 1:467،و الشهید فی الدروس 1:276، و الصیمری فی غایة المرام(مخطوط)1:288،و المحقّق الثانی فی جامع المقاصد 4:303،و انظر مفتاح الکرامة 4:292.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الطریحی فی مجمع البحرین 4:433،مادّة:«فأر».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النهایة؛لابن الأثیر 3:405،مادّة:«فأر».</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3:314،الباب 41 من أبواب لباس المصلّی،الحدیث 1 و 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ادّعاه العلّامة فی التذکرة 1:58،و الشهید فی الذکری:14،و السیّد العاملی فی المدارک 2:284،و انظر الجواهر 22:447.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288 و الصفحة السابقة.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فی«م»و«ص»:رفع.</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293.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فی«ف»:لا یعلم.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ذکره الشهید الثانی فی المسالک 3:182،و نسبه إلی جماعة.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ترد«به»فی«ف».</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غیرهما:بسبب.</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7) راجع التذکرة 1:471.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فی«ش»:لا نعنی.</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3:282.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18:487.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4:282.</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5:248 و 254.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مخطوط،و لا یوجد لدینا.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المقتصر:167.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4:110،و الروضة البهیّة 3:282.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النهایة:400-401.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5:248.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5:247،و لم نعثر علیه فیما بأیدینا من کتبه.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4:282.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3:155،کتاب البیوع،المسألة 245.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8:185-186.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الهدایة 1:129.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3:56.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4:282،و أُنظر غایة المراد 1:84-85.</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لدینا،نعم حکاه عنه السیّد العاملی فی مفتاح الکرامة 4:282.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التهذیب و الوسائل:«أُخرج شیء من السمک فیباع...».</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12:263،الباب 12 من أبواب عقد البیع و شروطه،الحدیث 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بروایة»،و صحّحت فی«ن»بما أثبتناه.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فی«خ»،«ص»و«ع»زیادة:قال.</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12:264،الباب 12 من أبواب عقد البیع و شروطه،الحدیث 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فی«ف»:«إنّما تصید»،و فی«ص»و«ش»:یصید.</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12:264،الباب 12 من أبواب عقد البیع و شروطه،الحدیث 6.</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مصححة«ن»زیادة:«إلی»،و فی«ص»زیادة:«لک»، و فی«ش»زیادة:«لک فی»،و فی الفقیه و الوسائل:لک منه.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السکُرُّجة بضمّ السین و الکاف و تشدید الراء-:إناء صغیر یؤکل فیه الشیء القلیل من الأدم،و هی فارسیة،راجع النهایة 2:384.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فی«ف»بدل«اشتر منّی»:اشتری.</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فی«ف»و«ش»:الاسکرجة.</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فی«ف»:الاسکرجة.</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12:259،الباب 8 من أبواب عقد البیع و شروطه،الحدیث 2، و الفقیه 3:224،الحدیث 3831.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فی«خ»،«م»و«ع»:ینقطع.</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12:259،الباب 8 من أبواب عقد البیع و شروطه،الحدیث الأوّل.</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غیر«ش»بدل«و»:أو.</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12:261،الباب 10 من أبواب عقد البیع و شروطه،الحدیث الأوّل.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مصحّحة«ن»:«أ نشتریه...نشتریه و نتقبّل...».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الوسائل بدل«به»:منه.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فی«ش»:علم.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12:264،الباب 12 من أبواب عقد البیع و شروطه،الحدیث 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نسخة بدل«ن»،و فی غیرهما:الاُسکرجة.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18:490.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3:169،کتاب البیوع،المسألة 276.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فی«ف»:بالجواز.</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310.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4:111،و المحقّق الأردبیلی فی مجمع الفائدة 8:188،و السیّد العاملی فی مفتاح الکرامة 4:284.</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فی«ف»بدل«من حیث»:مع.</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309.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المبسوط 2:99،و المهذّب 1:372-373،و القواعد 1:140، و الدروس 3:293-294 و غیرها.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غیر«ش»:«فیهما»،و صحّحت فی«ن»بما أثبتناه.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غیر«ش»:«بهما»،و صحّحت فی«ن»بما أثبتناه.</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308.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فی«ف»:«لأنّه»،و فی المصدر:لأنّه کما لا یصحّ.</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غیر«ش»بدل«ماله الذی ملّکه»:ما ملّکه.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مصححة«ن»:إبقاء ملکه.</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غیر«ف»:الشرط.</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 النسخ:یشترط.</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المصدر:المشتری.</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قاله فی الموضع الذی عنون الفرع السابق،تحت عنوان«فرع»،فراجع.</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فی«ف»زیادة:«باب»،و استدرکت فی«ن»أیضاً.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غیر«ش»:الشرط.</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4:385.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و شرحها(الروضة البهیّة)3:313.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النسخ:«اعتبار»،و صحّحت فی«ن»بما أثبتناه.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فی المبسوط 2:137.</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3:216-217.</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کلمة«به»من«ش»و مصحّحة«ن».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فی«ن»:«الباع»بالمهملة،و أثبتها المامقانی أیضاً کذلک،ثمّ قال ما لفظه: الظاهر أنّه أراد بالباع ساحة الدار،و إن لم أجده مصرّحاً به فی ما حضرنی من کتب اللغة،و الذی وجدته فی شرح القاموس هو:أنّ الباع قدر مدّ الیدین، و الباعة بالتاء ساحة الدار،فلعلّه رحمه اللّٰه اطّلع علی ما لم أطّلع علیه،أو أنّه وقع التحریف من قلم الناسخ،و فی بعض النسخ:«الباغ»بالغین المعجمة و هو أنسب بالغرض المسوق له الکلام،قال فی المصباح:الباغ:الکرم،لفظة أعجمیة استعملها الناس بالألف و اللام،انتهی(غایة الآمال:476).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4:112.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السابقة.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5:218،و فیه:إلّا أن یقال:إنّ المال تابع.</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غیر«ف»:قصبة.</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309.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5:248.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5:251.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22:445.</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فی«ف»:تؤمی.</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313-314.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الجهالة.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5:248.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فی«ف»:إلّا أن یستلزم.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الإیضاح،نعم حکاه عنه السیّد العاملی فی مفتاح الکرامة 4:294.</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النهایة:401.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نهایة الإحکام 3:536،و القواعد 1:129،و راجع مفتاح الکرامة 4: 294.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1:179.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اللمعة و شرحها(الروضة البهیّة)3:284.</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فی«ن»و«خ»:زیادته.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1:129،و الکفایة:91،و نسبه فی مجمع الفائدة(8:190) إلی ظاهر الشرائع.</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ذلک من صاحب الجواهر،راجع الجواهر 22:449،و سیأتی نقله فی الصفحة الآتیة عن کاشف الغطاء قدّس سرّه.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فی«ف»:صور.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کاشف الغطاء فی شرحه علی القواعد(مخطوط):الورقة 97.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صاحب الجواهر حیث جعل المناط الغرر،انظر الجواهر 22: 449.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فی«م»،«خ»و«ع»:الاستثناء.</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یتقدّم ذلک من المحقّق،بل من العلّامة وحده فی الصفحة السابقة،و لعلّه یستفاد من قوله:«و مثلها»بعد عبارة:«علی ما فی القواعد»،راجع الشرائع 2:19.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4:115،و المسالک 3:182.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النسخ:رطلاً.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فی«ش»:فالظاهر.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18:493.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غیر«ف»:«متساهل»،و صحّحت فی«ن»و«ص»بما أثبتناه.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به»من«ش»و مصحّحة«ن»،و فی المصدر و«ص»:بمثله.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المصدر:یدفع،و هو المناسب للسیاق.</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8:190.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18:494.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12:273،الباب 20 من أبواب عقد البیع و شروطه،الحدیث 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ترد«قیل»فی«ف».</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22:448.</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فی«ف»:بیع.</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فی«ن»:المنهیّ.</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کلمة«عن»من«ف»فقط،و الظاهر أنّ الصواب فی العبارة:لیس إلّا عن.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12:272،الباب 20 من أبواب عقد البیع و شروطه،الحدیث الأوّل.</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الإسناد:261،الحدیث 1035،و الوسائل 12:273،الباب 20 من أبواب عقد البیع،الحدیث 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غیر«ش»:النقیصة.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النهایة:401.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12:403،الباب 27 من أبواب أحکام العقود،الحدیث 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بها موثّقة حنان المتقدّمة فی الصفحة 327.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فی«ص»:علیکم.</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غیر«ف»و«ش»هکذا:«فهو بمنزلة قولک:علی أن تزیدنی علی کلّ عشرة رطلاً»،و صحّحت فی«ن»بما أثبتناه،قال المامقانی قدّس سرّه بعد إثبات ما أثبتناه-:«هکذا صحّح المصنّف رحمه اللّٰه هذه العبارة بخطّه»غایة الآمال: 477.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النهایة:401.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فی«ش»:علمنا.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فی«ش»فوق«عدم»:أحد ظ.</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فی«ش»و«خ»،و فی غیرهما:معهما،و صحّحت فی«ن»و«ص»بما أثبتناه.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غیر«ش»:إلیهما،و صحّحت فی«ن»و«ص»بما أثبتناه.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سائر النسخ بدل«له»:إلیه.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قوله:«و المحقق الثانی رحمهم اللّٰه»لم ترد فی«ف».</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النهایة:401،و الوسیلة:246،و القواعد 1:129،و التحریر 1: 179،و اللمعة و شرحها(الروضة البهیّة)3:284،و المسالک 3:182،و جامع المقاصد 4:115.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فی«م»،«ش»و«ص»:المصنوعة.</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فی«ن»و محتمل«ف»:«المظروف»،و فی سائر النسخ: الظروف.</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نسخة بدل«خ»زیادة:للمحافظة.</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3:284.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1:471.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فی«ع»:البیع.</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 الانضمام.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مصحّحة«ن»و نسخة بدل«خ»و«ع»:الذی.</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النسخ:وزنها.</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غیر«ف»،«ن»و«ش»:المبیع.</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12:254،الباب 4 من أبواب عقد البیع و شروطه،و غیره من الأبواب.</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فی«ص»:المجهول.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غیر«ص»:دلّ.</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فی«خ»و«ش»و مصحّحة«ن»،و فی سائر النسخ:أن یبیعه و ما فی ظرفه.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السیّد العاملی فی مفتاح الکرامة 4:754،و صاحب الجواهر فی الجواهر 23:234-235.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غیر«ف»بدل«ثمن»:من.</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غیرهما:«الرطل المظروف»،و صحّحت فی«ن» ب:الظرف و المظروف.</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النهایة:371.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 إیضاح النافع،نعم حکاه عنه السیّد العاملی فی مفتاح الکرامة 4:132.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18:19 و 23.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البقرة:267.</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فی«ن»و«ص»:نفقةٍ،و الصواب:«نفقته»،کما فی نسخة من المصدر.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12:283،الباب الأوّل من أبواب آداب التجارة،الحدیث 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12:283،الباب الأوّل من أبواب آداب التجارة،الحدیث 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المقنعة:590-591.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 الإنصاف»فی«ف».</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غیر«ف»و«ش»:«یتعارض»،و صحّحت فی«ن»بما أثبتناه.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فی«ف»:«یبتنی علیه»،و فی«م»و«ع»:یبتنی به.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1:40،باب سؤال العالم،الحدیث 1 و 2،و البحار 1:177- 178،الحدیث 58.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غیر«ش»:«من شعور»،إلّا أنّها صحّحت فی بعض النسخ بما فی المتن.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زیادة:«وجوب»،لکن شطب علیها فی«ن».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کلمة«لا»من«ش»و نسخة بدل«خ».</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فی«ص»:هذه.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یرد«الناس»فی غیر«ف»و«ش»و نسخة بدل«خ».</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12:282،الباب الأوّل من أبواب آداب التجارة،الحدیث الأوّل، و الصفحة 285،الباب 2 من الأبواب،الحدیث 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أی:مقام إرادة التصرّف فی مالٍ کان سابقاً للغیر.</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12:282،الباب الأوّل من أبواب آداب التجارة،الحدیث الأوّل.</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338.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حکایة هذا التوجیه بعینه فی کلام الفقهاء،نعم یظهر ممّا قاله المحقّق الأردبیلی فی مجمع الفائدة 8:116 و صاحب الجواهر فی الجواهر 22:451، و راجع مفتاح الکرامة 4:132،و فیه:بل قد یجب کما فی إیضاح النافع.</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صاحب الحدائق فی الحدائق 18:9 و 15 و غیره.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12:22،الباب 9 من أبواب مقدّمات التجارة،الحدیث 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3:156،الحدیث 3568،و الوسائل 12:49،الباب 28 من أبواب مقدّمات التجارة،الحدیث الأوّل.</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12:11،الباب 4 من أبواب مقدّمات التجارة،الحدیث 6.</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فی«ف»:«المستقلّ بتحصیله»،و فی سائر النسخ:«المستقل تحصیله»،و ما أثبتناه من المصدر و مصحّحة«ن».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النسخ:فیتوکّل علیها،و الصواب ما أثبتناه من المصدر.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 المصدر،و فی سائر النسخ:«و یکون»،و فی بعضها:فیکون.</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الحدائق و منیة المرید و الکافی،و فی النسخ:«و ارتفاع مکانی».</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فی«ف»و«خ»و نسخة بدل بعض النسخ،و فی سائر النسخ:أ فلا یستحی.</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المرید:62-63،و راجع الکافی 2:66،الحدیث 7.</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1:30،الحدیث 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الحدائق و الکافی بعد القسم:لا یؤثر عبد هواه علی هوای إلّا شتّتّ علیه أمره،و لبّست علیه دنیاه و شغلت قلبه بها،و لم اوته منها إلّا ما قدّرت له، و عزّتی و جلالی و عظمتی و نوری و علوّی و ارتفاع مکانی...إلخ.</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لکن فی النسخ:«زاعمة»،و قال المامقانی بعد أن أثبتها بالزای و العین المهملة-:فی نسخة من الحدائق و فی الوسائل المصحّحة علی خطّ المؤلف«راغمة»بالراء المهملة و العین المعجمة،و معنی الکلمة حینئذٍ:«ذلیلة منقادة»(غایة الآمال:478).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زیادة:«الحدیث»،و الظاهر أنّه لا وجه لها،لأنّ الحدیث مذکور بتمامه،راجع الکافی 2:335،الحدیث 2.</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18:9-12.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فی«ص»:ما ذکره.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 مصحّحة«ن»:لغیره.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نقله ابن أبی الحدید فی مقدّمة شرحه لنهج البلاغة 1:22،و عنه البحار 41:144.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ترد«ذلک»فی غیر«ف».</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غیر«ف»:المعینین.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الصفحة 342.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فی«ش»کتب فوق«الحجّ»:المستحبّ.</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المختلف 5:42 و لکن لم نعثر فی الکافی إلّا علیٰ هذه العبارة: «و یکره تلقّی الرکبان»،انظر الکافی فی الفقه:360.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أیضاً العلّامة فی المختلف،و لکن لم نعثر علیه فی ما بأیدینا من کتبه قدّس سرّه.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2:237.</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2:1005.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الطباطبائی فی الریاض(الطبعة الحجریة)1:521،و انظر الدروس 3:179،و لکن کلامه صریح فی الحرمة کما قاله السیّد العاملی فی مفتاح الکرامة 4:102.</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4:102 عن حواشیه الثلاثة.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الشیخ العلّامة فی المختلف 5:43،و السیّد العاملی فی مفتاح الکرامة 4:102،و أمّا عن ابن زهرة فلم نعثر علی الحکایة عنه بلفظ«لا یجوز»، بل حکی السیّد العاملی عنه فی مفتاح الکرامة 4:101 بلفظ«نهی».راجع المبسوط 2:160،و الخلاف 3:172،کتاب البیوع،المسألة 282،و الغنیة: 216،و فیه:«و نهی عن تلقّی الرکبان»کما حکاه السیّد العاملی عنه.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5:43.</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ترد«أی الکراهة»فی«ف».</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الإیضاح عندنا،و حکاه عنه السیّد العاملی فی مفتاح الکرامة 4:101.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2:517.</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ترد«لا تلقّ»فی النسخ،و استدرکت فی«ش»و«ص»من المصدر.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12:326،الباب 36 من أبواب آداب التجارة،الحدیث الأوّل.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 نسخة بدل«خ»:لا یتلقّ.</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فی«ن»و«ص»:«و لا یَبع»،و فی سائر النسخ:و لا بیع.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صدره فی الوسائل 12:326،الباب 36 من أبواب آداب التجارة، الحدیث 5،و ذیله فی الصفحة 327،الباب 37 من الأبواب،الحدیث الأوّل.</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12:326،الباب 36 من أبواب آداب التجارة،الحدیث 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 کتابه،نعم حکاه عنه العلّامة فی المختلف 5:44،و الشهید فی الدروس 3:179،و غیرهما.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المحدّث البحرانی فی الحدائق 18:58،و راجع المنتهی 2:1005، و فیه:فالبیع صحیح فی قول عامّة العلماء.</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فی«ش»:لموافقته.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المنتهی(2:1006)إلی علمائنا کما سیأتی عنه،و قال فی الحدائق: «الظاهر أنّه لا خلاف بین أصحابنا»،و راجع لسائر التعابیر مفتاح الکرامة 4:105.</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3:274،الحدیث 3990،و الوسائل 12:327،الباب 36 من أبواب آداب التجارة،الحدیث 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350،و هی روایة منهال القصّاب.</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2:1006.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فی«ش»:الوصول.</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التعبیر بعینه،نعم قال فی المسالک بعد أن ذکر قید جهل الرکب-:«کما یشعر به التعلیل»،و قال مثله فی الجواهر،و قال فی الحدائق بعد أن ذکر القید-:«أقول:و إلیه یشیر التعلیل فی روایة عروة...»،انظر المسالک 3:189،و الجواهر 22:473،و الحدائق 18:57.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عروة المتقدّم فی الصفحة 351.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5:348،باب النهی عن تلقّی السلع.</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النسخ:متلقّی.</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غیر«ش»:«فیثبت»،لکن صحّحت فی«ن»بما أثبتناه.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الجواهر 22:474،عن ظاهر المحکی عنه،و راجع السرائر 2: 238.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غیر«ف»و«ش»هکذا:و إن لم یکن غبن کإطلاق...إلخ.</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فی«ف»:یحرم.</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2:1004،و جامع المقاصد 4:39.</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12:337،الباب 49 من أبواب آداب التجارة،الحدیث 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الأخبار:284،و الوسائل 12:338،الباب 49 من أبواب آداب التجارة،الحدیث 4.</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المحیط:النجشُ أن تُواطِئَ رجلاً إذا أراد بیعاً أن تمدحه،أو أن یُرید الإنسان أن یبیع بیاعه فتساومه فیها بثمنٍ کثیرٍ لینظر إلیک ناظرٌ فیقع فیها...القاموس المحیط 2:289،مادّة«نجش». و قال الجوهری فی الصحاح:النَّجْش:أن تزاید فی المبیع لیقع غیرک و لیس من حاجتک.الصحاح 3:1021،مادّة«نجش». و قال الفیّومی فی المصباح المنیر:نجش الرجل نجشاً من باب قتل إذا زاد فی سِلعةٍ أکثر من ثمنها و لیس قصده أن یشتریها،بل لِیَغُرَّ غیره فیوقعه فیه،و کذلک فی النکاح و غیره،و الإسم النَّجَشُ.المصباح المنیر:594،مادّة«نجش».</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غیر«ف»:«یظهر»،و هذا أیضاً صحیح من باب الإفعال،و الضمیر المستتر یرجع إلی الدافع.</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زیادة کلمة«جواز»،و لذا شطب علیها فی«ن».</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غیر«ف»:«یظهر»،و هذا أیضاً صحیح کما تقدّم فی الهامش السابق.</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اعتقد»،و علی فرض صحّة ما أثبتناه من سائر النسخ، فالضمیر راجع إلی«مقدار المدفوع»أو راجع إلی«غیره»المتقدّم فی أوّل المسألة.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2:403.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النافع:118.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1:443-444.</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1:583.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النهایة:366.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2:223.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1:162.</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1:358.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3:138.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الکفایة:88.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3:171.</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18:237.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3:138.</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2:526.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2:20.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2:353-354.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غیر«ف»:المقنعة،و الصواب ظاهراً ما أثبتناه،راجع المقتصر:165.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غیر«ف»و«ش»:«الجواز»،و صحّحت فی«ن»بما أثبتناه.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4:110،و راجع المهذّب البارع 2: 353-354.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4:110،و راجع التنقیح 3:21.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غیر«ش»:«المأمور الدافع»،و صحّحت فی«خ»بما أثبتناه.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النسخ:مصحّحة.</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12:206،الباب 84 من أبواب ما یکتسب به،الحدیث 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الکتب المنقولة عنها أقوال الفقهاء فی الصفحة السابقة.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غیر«ف»:الفرض.</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3:555،الحدیث الأوّل،و الوسائل 12:206،الباب 84 من أبواب ما یکتسب به،الحدیث الأوّل.</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6:200،الباب 40 من أبواب المستحقّین للزکاة،الحدیث 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6:200،الباب 40 من أبواب المستحقّین للزکاة،الحدیث 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بدل«ن»،«ع»و«ش»:«السابقة»،و هی صحیحة ابن الحجّاج المتقدّمة فی الصفحة السابقة.</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النسخ:«فأمرها»،و فی نسخة بدل«خ»و مصحّحة«ن»ما أثبتناه.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المناسب:داعیة.</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2:635،مادّة:«حکر».و فی«ف»زیادة:و النهایة،و انظر النهایة لابن الأثیر 1:417،مادّة:«حکر».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المنیر:145،مادّة«حکر».</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2:195.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المقنعة:616.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الفقه:283.</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5:38.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عنها السیّد العاملی فی مفتاح الکرامة 4:107،راجع المقنع: 372،و الفقیه 3:265.</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3:115،ذیل الحدیث 408.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2:218.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1:346.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1:585.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1:160.</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1:409.</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3:218 و 298.</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2:42.</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لدینا،و نقله عنه السیّد العاملی فی مفتاح الکرامة 4:107.</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فی«ف»:للکفایة.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المصادر الحدیثیّة،و فی النسخ:جزءٌ.</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12:316،الباب 28 من أبواب آداب التجارة،الحدیث 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12:315،الباب 28 من أبواب آداب التجارة،الحدیث الأوّل.</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فی«ص»:إذا کان.</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5:165،الحدیث 3،و التهذیب 7:160،الحدیث 706،و عنهما فی الوسائل 12:315،الباب 28 من أبواب آداب التجارة،الحدیث 2 و ذیله.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المصدر:بموازین.</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زیادة:«و أسعار»،و فی الوسائل:واسعاً.</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البلاغة:438،الکتاب 53،و عنه فی الوسائل 12:315،الباب 27 من أبواب آداب التجارة،الحدیث 13.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12:313،الباب 27 من أبواب آداب التجارة،الحدیث 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للطوسی:676،الحدیث 1427 6،و عنه فی الوسائل 12:314، الباب 27 من أبواب آداب التجارة،الحدیث 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18:103،الباب 11 من أبواب صفات القاضی،الحدیث 13.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موضع ذکر هذا المطلب بالخصوص،لکن قال قدّس سرّه فی أوّل کتاب الصلاة عند ما تعرّض لروایة داود بن فرقد-:«و هذه الروایة و إن کانت مرسلة إلّا أنّ سندها إلی الحسن بن فضّال صحیح،و بنو فضّال ممّن أُمرنا بالأخذ بکتبهم و روایاتهم»،انظر کتاب الصلاة 1:36.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الکشّی فی موارد عدیدة من رجاله،انظر اختیار معرفة الرجال 2: 673،الرقم 705،و الصفحة 830،الرقم 1050.</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12:314،الباب 27 من أبواب آداب التجارة،الحدیث 11.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12:313،الباب 27 من أبواب آداب التجارة،الحدیث 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3:265،الحدیث 3954،و عنه فی الوسائل 12:313،الباب 27 من أبواب آداب التجارة،ذیل الحدیث 4.</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365،الصحیحة المحکیّة عن الکافی و التهذیب.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غیر«ف»و«ص»:الزیت.</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الإسناد:135،الحدیث 472،الوسائل 12:314،الباب 27 من أبواب آداب التجارة،الحدیث 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المصدر:ستّة أشیاء.</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الخصال:329،الحدیث 23،و الوسائل 12:314،الباب 27 من أبواب آداب التجارة،الحدیث 10.</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الرموز 1:455.</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2:238.</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8:26.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المقنع:372،و الفقیه 3:265،الحدیث 3954.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1:160.</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3:180،و الروضة البهیّة 3:299،و المسالک 3:192.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النافع(مخطوط)و لا یوجد لدینا،نعم حکاه عنه السیّد العاملی فی مفتاح الکرامة 4:107.</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2:195.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الوسیلة:260.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1:585.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2:514.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3:192.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التعلیل فی صحیحة الحلبی المتقدّمة فی الصفحة 365.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المصادر الحدیثیة،و فی سائر النسخ:فملعون.</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12:312،الباب 27 من أبواب آداب التجارة،الحدیث الأوّل.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366.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النهایة:374 و 375.</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القاضی،نعم حکاه عنه العلّامة فی المختلف 5:40، و السیّد العاملی فی مفتاح الکرامة 4:109.</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الوسیلة:260.</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المقنعة:616،و حکاه السیّد العاملی عنها و عن غیرها فی مفتاح الکرامة 4: 109.</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1:346،و مجمع الفائدة 8:25.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365.</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فی«ن»زیادة:«عدم»تصحیحاً،و وردت هذه الکلمة فی متن غایة الآمال:486،فراجع.</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هامش«خ».</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363.</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فی«ف»زیادة:بعضاً منه.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صحیحة الحلبی المتقدّمة فی الصفحة 365.</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ترد«منه»فی«ف».</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ترد«أو زوّار»فی«ف».</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غیر«ف»:«فی استخراج»،و صحّحت فی«ن»و«خ»بما أثبتناه.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التنقیح الرائع 2:42،و مفتاح الکرامة 4:109.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2:370.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2:42.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18:64.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الصفحة 367.</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2:239.</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2:195.</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المقنعة:616.</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السیّد العاملی فی مفتاح الکرامة 4:109.</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5:42.</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1:409.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المیسیّة،لا توجد لدینا،و لکن نقله عنه و عن الشهید الثانی،السیّد العاملی فی مفتاح الکرامة 4:109.</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3:299.</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فی«م»،«خ»،«ع»و«ص»بدل«و الجبر»:«فی الخبر»،و علی فرض صحّة هذه النسخ فالصواب فی الکلمة التی بعدها:«و نفی»،کما فی نسخة بدل «خ».</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12:30،الباب 13 من أبواب مقدّمات التجارة،الحدیث 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مصحّحتی«ن»و«ص»و المصدر،و فی سائر النسخ:قصّر.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12:27،الباب 12 من أبواب مقدّمات التجارة،الحدیث الأوّل.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الکافی و التهذیب:«مکابدته»،و فی الوسائل:مکائده.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وفاقاً للتهذیب،و فی الکافی:«و لم یحل من العبد»،و فی مصحّحة«ن»و الوسائل:«و لم یخل من العبد».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الحدیثیّة:بحذقه.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التهذیب:بحمقه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فی«ص»:«فاتق»،و فی مصحّحة«ن»:«فأقِلَّ»،و فی غیرها:«فاتو»،و الظاهر أنّها مصحّفة«فاتق»،و فی الکافی و التهذیب:«فافق»، و فی الوسائل:فأبق(فاتق اللّٰه،خ ل).</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6:322،الحدیث 883،و الکافی 5:81،الحدیث 9،و الوسائل 12:30،الباب 13 من أبواب مقدّمات التجارة،الحدیث 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12:30،الباب 13 من أبواب مقدّمات التجارة،الحدیث الأوّل.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فی«ن»و«ش»زیادة:«رزقه»استدراکاً.</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12:30،الباب 30 من أبواب مقدّمات التجارة،الحدیث 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فی«ص»:دعوة.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الطلاق:2 و 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ترد«تعالی»فی«ف»و«خ».</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ترد«صلّی اللّٰه علیه و آله»فی«ف»،«ن»و«خ».</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12:15،الباب 5 من أبواب مقدّمات التجارة،الحدیث 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342.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342 أیضاً.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آخر العبارة لم ترد فی«ف»،و ورد بدلها ما یلی:«قد تمّ بفضله و عونه المجلّد الأوّل من هذه النسخة الشریفة،و یتلوه إن شاء اللّٰه- الثانی فی الخیارات،و هو مع أنّه قد جمع الأهمّ من القواعد و شمل الأنفع و الأصحّ من المسائل و الأُصول و الشوارد،و أودع فیه من الثمرة کلّ لباب،و من النکت ما لا یوجد منتظماً فی کتاب،قد تضمّن من التحقیق کلّ شاردٍ،و من التدقیق کلّ وارد،و اندرج فیه من النوادر ما حلی وضعها،و حسن طرزها، یشهد به من مارس الصناعة،و یشاهده من تتبّع أقاویل الجماعة و کتب العلماء الأجلّة،بل هو مع أنّه کثیراً مقتصر علی مخزون الخاطر و مقترح القریحة، مشتمل علی تفصیل مجمل،و بسط موجز،و تقریر أسئلة،و تحریر أجوبة،و منع اعتراضات،و دفع معارضات،و کشف شبهات،و تحقیق حقّ،و إبطال باطل-ففیه فوائد باهرة و شواهد علی صدق المدّعی ظاهرة،یکاد من قوّة الحدس یستشفق الواقع من وراء حجابه و یستشهد المستور من وراء ستره و نقابه،فهو حینئذٍ قد بلغ الغایة القصوی و الدرجة العلیا،فللّه درّة دام ظلّه حیث أحسن و أجاد،نفعنا اللّٰه بوجوده و إفادته،و سائر المحصّلین،بمحمدٍ و آله الأمجاد،و الحمد للّٰه علی فضل الإتمام،و الصلاة و السلام علی النبیّ و آله أئمّة الأنام...».</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إلّا فی کلام فخر المحقّقین قدّس سرّه فی الإیضاح،الذی ذکره المؤلّف رحمه اللّٰه.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بذلک الفاضل المقداد فی التنقیح 2:43،و السیّد الطباطبائی فی الریاض 8:177،و صاحب الجواهر فی الجواهر 23:3.</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فی«ش»زیادة:«عرفاً».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17:527،الباب 11 من أبواب میراث الأزواج،الحدیث 1 و 2،و 13:336،الباب 4 من أبواب أحکام الهبات،الحدیث 6.</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منهم:الشهید قدّس سرّه فی القواعد و الفوائد 2:242،القاعدة 243،و الفاضل المقداد فی التنقیح 2:44،و المحقّق السبزواری فی کفایة الأحکام:92 بلفظ: «الأصل فی العقود اللزوم»و صاحب الجواهر فی الجواهر 23:3.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کتبه،عدا القواعد 2:64،و التذکرة التی ذکرها المؤلف قدّس سرّه.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الشهید الثانی فی تمهید القواعد:32،و صاحب الجواهر فی الجواهر 23:3 بلفظ:«و یمکن کونه بمعنی القاعدة».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بذلک العلّامة قدّس سرّه فی عبارته المتقدّمة عن التذکرة.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سرّه:«قد حکی هذا الوجه عن السیّد الصدر فی مقام توجیه مراد الشهید قدّس سرّه من قوله:"الأصل فی البیع اللزوم"کی یندفع عنه إیراد الفاضل التونی علیه بإنکاره الأصل،لأجل خیار المجلس»،(هدایة الطالب:406)،و راجع شرح الوافیة(مخطوط):323.</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الشهیدی إلی شارح الوافیة،انظر شرح الوافیة(مخطوط):323.</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الوافیة:198.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یصرّح بذلک،نعم یستفاد من عبارته،انظر جامع المقاصد 4:282.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1:515 و 524.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التذکرة 1:528.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غیر التذکرة 1:528.</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1:160.</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فی«ق»کُتب علی«التملیک»:«العقد».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هامش«ف»زیادة:«بل قد حُقِّق فی الأُصول:أن لا معنی للحکم الوضعی إلّا ما انتزع من الحکم التکلیفی».</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قدّس سرّه فی المختلف 6:255.</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یعنی:ما نشأ من عدم التفطّن.</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قائله.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المتقدّمة.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قوله تعالی: إِلاّٰ أَنْ تَکُونَ تِجٰارَةً عَنْ تَرٰاضٍ النساء:29.</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 قوله«لکنّ الإنصاف...إلخ»عبارة:«لکن یمکن أن یقال:إنّه إذا کان المفروض الشکّ فی تأثیر الفسخ فی رفع الآثار الثابتة بإطلاق الآیتین الأخیرتین لم یمکن التمسّک فی رفعه إلّا بالاستصحاب،و لا ینفع الإطلاق».و قد وردت هذه العبارة فی«ف»فی الهامش.</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البقرة:188.</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فی«ش»:«ثمرة».</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ظاهر«ق»:«بها»،و لعلّه من سهو القلم.</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2:113،الحدیث 309.</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1:222،الحدیث 99،و 457،الحدیث 198.</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2:68.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2:6،و فیه بعد الحکم بعدم جواز رجوع المقرض بعد قبض المستقرض هکذا:«صیانة لملکه».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المهور،الحدیث 4.</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8:383،و منهم المحدّث البحرانی فی الحدائق 19:4.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السجّادیة:166،من دعائه علیه السلام فی ذکر التوبة و طلبها.</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الزائر:446،و عنه فی البحار 102:104.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2:368،مادّة(الشرط).</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الوجه فیه الحکایة،و فی«ش»و مصحّحة بعض النسخ«ن»: «البیّعین».</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12:345-346،الباب الأوّل من أبواب الخیار،الحدیث 1،2 و 3،و 350،الباب 3 من الأبواب،الحدیث 6،و المستدرک 13:297-298، الباب الأوّل من أبواب الخیار،الحدیث 4،6 و 8،و 299،الباب 2 من الأبواب،الحدیث 3.</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4،و 348، الباب 2 من الأبواب،الحدیث 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3.</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14(المعنی الثالث من معانی الأصل).</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فی«ش»زیادة:«عن العین».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 أَوْفُوا بِالْعُقُودِ»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هامش«ف»زیادة:«فتأمّل».</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6:255.</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8:326،و الجواهر 28:223.</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لم یکن».</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الجائز»مشطوب علیها فی«ق».</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الدمشقیّة:127.</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الشرائع(2:21):«أمّا أقسامه فخمسة»،و قال فی المختصر النافع (121):«و أقسامه ستّة».و لم نقف علی قولٍ له بالسبعة.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2:64،التذکرة 1:515،و الإرشاد 1:374.</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12:345،الباب الأوّل من أبواب الخیار.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12:347،الباب الأوّل من أبواب الخیار،الحدیث 7.</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4:285،و المسالک 3:194-195.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بهذا«البعض»هو الوکیل فی التصرّف المالی،غایة الآمال:488.</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الأنوار:241.</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12:345،الباب الأوّل من أبواب الخیار،الأحادیث 1،5 و 350، الباب 3 من الأبواب نفسها،الحدیث 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29،الهامش الأوّل.</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فی«ش»:«شرعاً».</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فی«ش»زیادة:«فإنّ تلک المسألة فیما إذا ثبت للجانبین،و هذا فرض من جانب واحد».</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فی«ش»:«آخر».</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الوکیل فی إجراء لفظ العقد فقط،راجع الصفحة 28-29.</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المتقدّمة.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23:9.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3:22،المسألة 29 من کتاب البیوع.</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المتقدّمة.</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الثالث:399.</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فی«ق».</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ظاهرهم المحقّق التستری فی المقابس:240.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1:515-516.</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3:265،و المسالک 3:197-198.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4:545،و المحقّق التستری فی المقابس:241،و راجع تعلیقة المحقّق علی الإرشاد(مخطوط):253-254.</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 کتابه،نعم حکاه عنه السیّد العاملی فی مفتاح الکرامة 4: 545،و المحقّق التستری فی المقابس:241.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 ذلک فی مفتاح الکرامة 4:545،و المقابس:241.و راجع غایة المرام(مخطوط):288.</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1:165.</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1:481،و فیه:«و الأولی عدم الخیار هنا».</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8:389.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الأحکام:91،و فیه:«لا یخلو عن قوّة».</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19:13 و 16.</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التستری فی المقابس:241،و فیه:«و لعلّ القول الثانی أقوی».</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1:165،و جامع المقاصد 4:287.</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المحدّث البحرانی فی الحدائق 19:16.</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 ظاهر المسالک المحقّق التستری فی المقابس:240،و انظر المسالک 3:212.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فیه إلّا علی هذه العبارة:«و لو اشتری من یعتق علیه ثمّ ظهر علی عیب سابق فالوجه أنّ له الأرش خاصّة»انظر التحریر 1:184.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 الشهید فی الدروس 3:266.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اقتضاها السیاق.</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1:516،و فیه:«لکن النظر إلی جانب العتق أقوی».</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81 و 97.</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صاحب المقابس قدّس سرّه،کما سیأتی.</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8:23-25،و التحریر 1:165،و 2:77.</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3:266،و القواعد و الفوائد 2:247،القاعدة 244.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لعلّ الأصحّ:«المبیع»،کما فی«ش».</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الغنیة:217.</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یعنی:کلام المحقّق التستری فی المقابس:240.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ظاهر«ق»:«فما»،و لعلّه من سهو القلم.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کلام صاحب المقابس،راجع الصفحة 40.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ترد«و»فی«ش».</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علی مصرّحٍ بذلک بعد التتبّع فی الکتب الفقهیّة المتداولة،انظر مفتاح الکرامة 4:599.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لدینا«حواشی الشهید»لکن حکاه عنه السیّد العاملی فی مفتاح الکرامة 4:180.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1:414.</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12:345،الباب الأوّل من أبواب الخیار،الحدیث 1،2 و 3.</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4:133،و مفتاح الکرامة 4:319 و 549.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ثبوت الخیار ظاهر من أطلق علیه البیع و لم یصرّح بعدم سقوط الخیار.</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صرّح بثبوت الخیار فی المسألة الشهید فی الدروس 3:199،و المحقّق الثانی فی جامع المقاصد 4:65.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فی«ش»:«أو».</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الثالث:598.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1:516.</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4:287.</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1:516.</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الإرشاد(مخطوط):254،ذیل قول المصنّف:«و یثبت فی البیع خاصّة».</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مجمع الفائدة 8:388،بلفظ«عند الأصحاب»،و المسالک 3:211، بلفظ«لا خلاف فیه بین علمائنا».</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الغنیة:220.</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2:80-82،و فیه بعد الحکم بعدم دخوله فی الحوالة و الإجارة و العتق هکذا:«لأنّه یختصّ البیع»و«لأنّه لیس ببیع»و«لأنّ خیار المجلس یختصّ البیع».</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3:13-14،المسألة 12 من البیوع،و فیه بدل«الحوالة»:الجعالة.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1:356.</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العقود المذکورة فی کلام الشیخ بقوله:«و أمّا الوکالة و الودیعة و...».</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1:516.</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3:268.</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ترد«و»فی«ش».</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3:22،المسألة 29 من کتاب البیوع.</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2:80،81 و 82.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2:79 و 80.</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صرّح فی السرائر بدخول الخیارین فی هذه العقود،لأنّها جائزة فیجوز الفسخ فی کلّ وقت،و هو محتمل کلام الشیخ،فتأمّل».و قد وردت هذه الزیادة فی«ف»فی الهامش.و انظر السرائر 2:246.</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یعنی:«البیّعان بالخیار حتّی یفترقا»،الوسائل 12:345،الباب 1 من أبواب الخیار،الحدیث 1 3.</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1:511.</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1:518-519.</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2:79،و لکن لم یصرّح به.و فیه:«و أمّا الصرف فیدخله خیار المجلس».</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1:517.</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الغنیة:217.</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12:353،الباب 6 من أبواب الخیار،الحدیث 1،2 و 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فی«ش»:«بعموم».</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سرّه:«هذا الکلام و ما بعده من تضعیف التمسّک بعموم: «أَوْفُوا بِالْعُقُودِ» إشارة إلی دفع ما ذکره صاحب الجواهر رحمه اللّٰه».غایة الآمال: 490،و راجع الجواهر 23:12.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تمسّک به صاحب الجواهر،انظر الجواهر 23:12،و الآیة من سورة المائدة: 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فی«ش»زیادة:«بعد ذلک».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16:95،الباب 11 من أبواب المکاتبة،الحدیث الأوّل.</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فی«ق»:«الشروط».</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التذکرة 1:517،و راجع المغنی لابن قدامة 3:568.</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فی«ش»:«الشرط».</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 نسخة بدل«ش»:«للمشروط».</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فی«ش»زیادة:«أمّا».</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53.</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المثال فی الخلاف و التذکرة،راجع الخلاف 3:9 و 21،و المبسوط 2:83،و الغنیة:217،و التذکرة 1:516.</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رجوع الضمیر إلی«بطلان البیع»المستفاد من فحوی الکلام.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موضع بحثهم عن المسألة بخصوصها،نعم عدّ المحقّق التستری قدّس سرّه السبب السادس من منقّصات الملک:تعلّق حقّ النذر و شبهه، و نقل جملةً ممّا وقف علیه من کلمات الأصحاب فی کتاب الزکاة و الحجّ و العتق و النذر و الصید و الذباحة و غیر ذلک ممّا یرتبط بالمسألة،لکن لم ینقل عن أحدٍ القول ببطلان بیع منذور التصدّق،راجع المقابس:190.</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المقابس:194 عن الشهید الثانی قدّس سرّه فی مسألتی منذور التدبیر و منذور الحرّیة،و لکن لم نعثر علیه فی کتبه قدّس سرّه.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22.</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3:21،المسألة 28 من کتاب البیوع.</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الفقه:54،المسألة 195.</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5:63.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أراد بقوله:قبل العقد،قبل تمامه»،و وردت هذه العبارة فی هامش«ف»بلفظ:«و یراد بقوله...إلخ».</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1:517،و راجع المغنی لابن قدامة 3:568.</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ترد«استدلال»فی«ش»،و شطب علیها فی«ف».</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فی«ش»زیادة:«شرطاً».</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1:495.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56.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82 و 97.</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یعنی:ما ذکره آنفاً من فحوی سقوط الخیار بالتصرّف.</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مثل:ما دلّ علی أنّ سکوت البکر إجازة لنکاحها الفضولی،و سکوت المولی إجازة لنکاح العبد،راجع الوسائل 14:206،الباب 5 من أبواب عقد النکاح و أولیاء العقد،و 525،الباب 26 من أبواب نکاح العبید و الإماء.</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من نسبه إلی ظاهر الأکثر،نعم قال فی مفتاح الکرامة 4:544: «کما فی المبسوط و الخلاف و الغنیة و التحریر و التذکرة و الدروس و غیرها،و فی الغنیة و ظاهر الخلاف الإجماع علیه».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عن ظاهر الخلاف،و هو الحقّ؛لأنّ عبارته لیست صریحةً فی دعوی الإجماع،انظر الخلاف 3:21،المسألة 27 من کتاب البیوع.</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فی«ق»فوق«مطلقاً»:«علی الإطلاق».</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فی«ش»:«إرادة».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1:518.</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العاملی قدّس سرّه فی هذا المقام:«و من الغریب!أنّ المحقّق الثانی و الشهید الثانی نسبا هذا القول إلی الشیخ و تبعهما شیخنا صاحب الریاض،و هو خلاف ما صرّح به فی المبسوط و الخلاف و خلاف ما حکی عنهما فی المختلف و الإیضاح»مفتاح الکرامة 4:544.و مثله قال المحقّق التستری فی المقابس: 243،راجع المبسوط 2:82-83،و الخلاف 3:21،المسألة 27 من کتاب البیوع،و انظر جامع المقاصد 4:285،و المسالک 3:197.</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15:335،الباب 41 من أبواب مقدّمات الطلاق و شرائطه.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13:299،الباب 2 من أبواب الخیار،الحدیث 3.</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1:518.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117 و ما بعدها.</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3.</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الکرامة(4:543)عن التحریر و جامع المقاصد و المسالک،راجع التحریر 1:165،و جامع المقاصد 4:284،و المسالک 3:196.لکن لیس فی الأخیرین تصریح بذلک،نعم فیهما ما یفیده.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3:21،المسألة 26 من کتاب البیوع.</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به السیّد العاملی فی مفتاح الکرامة 4:542-543.</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السیّد الطباطبائی فی الریاض کما فی الجواهر 23:13،و راجع الریاض 8:180.</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فی«ق»:«منه».</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12:348،الباب 2 من أبواب خیار المجلس،الحدیث 2.</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ترد«الخارجی»فی«ش»،و شُطب علیها فی«ف».</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السابقة.</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11:296،الباب 56 من أبواب جهاد النفس،الحدیث 3،و 16: 144،الباب 16 من أبواب الأیمان،الحدیث 3 و 5،و فیها:«وضع»بدل «رفع».</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الثالث:308 و 331.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هذا لا یصحّ الاستدلال علیه».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الغنیة:217،و حکاه السیّد بحر العلوم فی المصابیح عنه و عن تعلیق الشرائع،انظر المصابیح(مخطوط):121.</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3.</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فی«ش»:«المستکشف عنه عن افتراقهما».و الأولی فی العبارة:المستکشف عنه بافتراقهما.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ظاهر«ق»أیضاً،و المناسب:«فیسقط».</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المتقدّمة.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اقتضاها السیاق.</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فی«ق»،و کتب فی«ف»فی الهامش.</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المقابس(242)عن العلّامة و ولده و السیّد عمید الدین و عن ظاهر المحقّق و الشهید،انظر الشرائع 2:21،و القواعد 2:65، و إیضاح الفوائد 1:483،و کنز الفوائد 1:447،و الدروس 3:266،و حکی عنهم ذلک فی المصابیح(مخطوط):122،و مفتاح الکرامة 4:551،أیضاً.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عنهم ذلک فی المصابیح(مخطوط):122،و مفتاح الکرامة 4:551، و المقابس:242،مع تفاوت فی النسبة من حیث التصریح فی بعض و الظهور فی آخر،انظر المبسوط 2:84،و جامع المقاصد 4:289،و الروضة 3:449، و المسالک 3:196،و الإرشاد 1:374.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1:166.</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3:26،المسألة 35 من کتاب البیوع.</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الفقه:55،المسألة 197،و حکاه عن ظاهره و ظاهر قبله السیّد العاملی فی مفتاح الکرامة 4:551،و التستری فی المقابس:242.</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المتقدّمة.</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 فی الصفحة المتقدّمة.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 فی الصفحة المتقدّمة.</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2:65.</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1:482-483.</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3:26،المسألة 35 من کتاب البیوع.</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الفقه:55،المسألة 197.</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4:551،و راجع التذکرة 1:518.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71.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4:288.</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73.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المقابس:242 عن ظاهره،و راجع کنز الفوائد 1:447،و فیه: اتفاقاً.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74-75.</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عبارته فی الصفحة 74.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75.</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ما بین المعقوفتین فی«ق»،نعم ورد فی هامش«ف».</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سقوط خیار المختار خاصّة،راجع الصفحة 74.</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قوله صلّی اللّٰه علیه و آله:«البیّعان بالخیار حتّی یفترقا».</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74-75.</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 فی الصفحة 73.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فی«ش»:«عنهما».</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2:84،و نسبه المحقّق التستری قدّس سرّه إلی ظاهر ابن زهرة و الفاضلین فی الشرائع و الإرشاد و فتوی الأخیر فی التحریر و الشهید الثانی فی الروضة،انظر المقابس:243.</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عنها المحقّق التستری فی المقابس:243،و الموجود فی التذکرة هکذا: «و إذا وجد التمکّن،هل هو علی الفور؟فیه ما سبق من الخلاف»،انظر التذکرة 1:518.</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2:83-84 و 96.</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1:517.</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علیه،و لعلّه یستفاد من عبارات المصابیح(المخطوط):123،و مفتاح الکرامة 4:547-548،و المقابس:243،و المناهل:337-338.</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4:548.</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3:24،المسألة 31 من کتاب البیوع،و جواهر الفقه:54-55، المسألة 196،و الکافی فی الفقه:353،و السرائر 2:247-248.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الأوّل.</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97،الثالث من مسقطات خیار الحیوان.</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فی«ش»:«للمشتری».</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12:348،الباب 3 من أبواب الخیار.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ترد«مثلاً»فی«ش».</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لم ترد«و»فی«ش»،و شطب علی«مع»فی«ف».</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1:519.</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المختلف 5:64،و الریاض 8:181،و مفتاح الکرامة 4:553- 554،و المستند 14:375 و غیرها.</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المقنعة:592،و المبسوط 2:78،و النهایة:386.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المقنع:365.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المختلف 5:64.</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الوسیلة:248.</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فی الفقه:353،و المهذّب 1:353،و الدروس 3:272، و الروضة 3:450،و جامع المقاصد 4:291.</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2:243-244،و الشرائع 2:22،و الجامع للشرائع:247 و 261، و النزهة:86،و المختلف 5:64،و الإیضاح 1:483،و التنقیح الرائع 2:45.</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فی الریاض 8:181،و المستند 14:375:علیه عامّة المتأخّرین.</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صاحب الجواهر فی الجواهر 23:24،و راجع الغنیة:219،و الدروس 3:272.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4.</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12:349،الباب 3 من أبواب الخیار،الحدیث 5،و 346،الباب الأوّل منها،الحدیث 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12:346،الباب الأوّل من أبواب الخیار،الحدیث 5.</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3:201،الحدیث 3761،و الوسائل 12:349،الباب 3 من أبواب الخیار،الحدیث الأوّل.</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فی«ق»:«الشروط»،و الظاهر أنّه سهو.</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الأوّل.</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فی«ق»زیادة«أو»،و لعلّها من سهو القلم.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12:350،الباب 3 من أبواب الخیار،الحدیث 9.</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الشهید فی غایة المراد 2:97.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الانتصار:433،المسألة 245.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12:349،الباب 3 من أبواب الخیار،الحدیث 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فی«ش»:«متقدّمة».</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المحقّق التستری فی المقابس:244،و احتمله فی الجواهر 23:27.</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3:200.</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3:68.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2:96-97.</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لدینا،لکن حکاه عنها السید العاملی فی مفتاح الکرامة 4:555.</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المقتصر:168-169.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الأردبیلی 8:392،و المحدّث البحرانی فی الحدائق 19:25 و 26،و المحقّق النراقی فی المستند 14:377،و قوّاه الشهید الثانی فی الروضة 3:450.</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3:200.</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12:345،الباب الأوّل من أبواب الخیار،الحدیث الأوّل.</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12:349،الباب 3 من أبواب الخیار،الحدیث 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12:349-350،الباب 3 من أبواب الخیار،الأحادیث 1، 4،5،8 و 9.</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صحیحة الفضیل المتقدّمة فی الصفحة 86.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الغنیة:219،و الکافی فی الفقه:353.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السیّد العاملی فی مفتاح الکرامة 4:558،و صاحب الجواهر فی الجواهر 23:24 إلی ظاهرها.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المقنعة:592-593.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ساقطة من النهایة المتداولة بین أیدینا.نعم،هی موجودة فی النهایة المطبوعة مع نکت النهایة 2:144-145،و المطبوعة ضمن الجوامع الفقهیّة: 336،و نقلها العلامة بلفظها فی المختلف 5:223.</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المراسم:175.</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12:349،الباب 3 من أبواب الخیار،الحدیث 5،و 346، الباب الأوّل من الأبواب،الحدیث 3 و 5.</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2:247.</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الاستدلال و ردّه فی مفتاح الکرامة 4:553،و الجواهر 23:28.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المناسب:«علیها».</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فی«ق»:للزوم،و لعلّه من سهو القلم.</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12:352،الباب 5 من أبواب الخیار،الحدیث 2 و 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فی«ش»:«ظاهر».</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المناسب:محمولة.</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ما بأیدینا من کتب معاصریه،نعم فی بعض الشروح:أنّه المحقّق الشیخ علی کاشف الغطاء قدّس سرّه فی تعلیقته علی اللمعة.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فی«ق»أیضاً،لکن ذکر الشهیدی بعد توجیه العبارة بصیغة الإثبات-: أنّ فی بعض النسخ المصحّحة«عدم اختصاص»،و وجّهه أیضاً بتوجیهٍ،راجع هدایة الطالب:433.</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83-84.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4:558.</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فی«ش»بدل«مقدار»:«باقی».</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السیّد العاملی فی مفتاح الکرامة 4:559.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فی الصفحة 51 و 61.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الأوّل.</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فی«ق»وفاقاً للتهذیب،و فی«ش»:«الثلاثة الأیّام»،وفاقاً للوسائل.</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فی«ق»:«یحدثها»،و هو سهو.</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فی«ش»:یرکبها.</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2.</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3.</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1:528.</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فی«ق»:«زهاد».</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97.</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12:352،الباب 5 من أبواب الخیار،الحدیث 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فی«ش»:«حقیقة».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فی«ش»:«دلالة».</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فی«ق»:«لا تشرب».</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99.</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4:283 و 291،و المسالک 3:197 و 201.</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104 و ما بعدها.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1:168،و الدروس 3:272.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12:359،الباب 12 من أبواب الخیار،الحدیث الأوّل.</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فی«ق»زیادة:«عندهم»،و لعلّ التکرار من سهو القلم.</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فی«ق»و«ف»:«فعلاً»،لکن شُطب علیه فی«ف»، و کتب أعلاه ما أثبتناه.</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23:66.</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فی«ق»،لکنّه موجود فی«ش»و المصدر،و فیما تقدّم فی الصفحة 100.</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3:227-228.</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المقنعة:599،و انظر 592 أیضاً.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المقنعة:593.</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2:139.</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الفقه:353.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2:277.</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98.</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التذکرة:529.</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1:184.</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الدروس:«للمختبر».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المصدر:أو ذهل عن کون المشتراة ذات خیار.</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4:305.</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4:304.</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4:560،و انظر جامع المقاصد 4: 291 و 304.</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99.</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99.</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 8:202،و مفتاح الکرامة 4:560.</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97-98.</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100.</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12:360،الباب 13 من أبواب الخیار،الحدیث الأوّل.</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7:25،الحدیث 107،و عنه فی الوسائل 12:360،الباب 13 من أبواب الخیار،ذیل الحدیث الأوّل.</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2:125-126.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الثانی فی الروضة 3:451،و قال السیّد المجاهد فی المناهل: 340 بعد نقل القولین فی التصرّفات المراد منها مجرّد الاختبار-:«و المسألة محلّ إشکال».و راجع الأقوال فی التصرّف للاستخبار،المقابس:247 أیضاً.</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السیّد المرتضی فی الانتصار:434،المسألة 246،و الشیخ فی الخلاف 3: 11 و 20،ذیل المسألة 7 و 25 من کتاب البیوع،و ابن زهرة فی الغنیة:218، و انظر مفتاح الکرامة 4:560.</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12:353-354،الباب 6 من أبواب الخیار،الحدیث 1،2 و 5،و المستدرک 13:300،الباب 5 من أبواب الخیار،الحدیث 1 و 3.</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12:353،الباب 6 من أبواب الخیار،الحدیث 2.</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12:354،الباب 6 من أبواب الخیار،الحدیث 5.</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12:353،الباب 6 من أبواب الخیار،الحدیث الأوّل.</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المقابس:246،و راجع مفتاح الکرامة 4:561 أیضاً.</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فی«ق»:«دائرتها»،و المناسب ما أثبتناه،کما فی«ش».</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من«بعض الأساطین»هو کاشف الغطاء قدّس سرّه،و لکن لم نعثر علیه فی شرحه علی القواعد.</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13:57،الباب 3 من أبواب السلف.</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13:58،الباب 3 من أبواب السلف،الحدیث 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الجواهر 23:32،و استدلّ به فی المصابیح(مخطوط):131 أیضاً.</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4:561،و راجع المقنعة:592، و الانتصار:438،المسألة 250،و الخلاف 3:20،المسألة 25،و الجواهر:54، المسألة 194،و الغنیة:219،و الکافی فی الفقه:353.</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فی«ش»:«الثانیة».</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أیضاً السیّد العاملی فی مفتاح الکرامة 4:561،و راجع الانتصار: 439 ذیل المسألة 250،و الغنیة:219،و الجواهر:54،المسألة 194.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أیضاً السیّد العاملی فی مفتاح الکرامة 4:561،و راجع الخلاف 3: 20،ذیل المسألة 25.</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الطباطبائی فی المصابیح(مخطوط):132،و صاحب الجواهر فی الجواهر 23:34،و انظر الدروس 3:269.</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صاحب الجواهر فی الجواهر 23:34،و انظر المصابیح(مخطوط): 132،و قال بعد نقل هذا القول-:«و هو الأقوی».</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فی الجواهر 23:33-34.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هامش«ن»زیادة:«التعلیل».</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4:562.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الرابع،الصفحة 189.</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13:443-450،الباب 54 و 55 و 56 من أبواب الوصایا.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12:348-350،الباب 3 من أبواب الخیار.</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للبیهقی 5:273،و کنز العمّال 4:59،الحدیث 9499،و الصفحة 91،الحدیث 9682.</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للبیهقی 5:273،و کنز العمّال 4:59،الحدیث 9499،و الصفحة 91،الحدیث 9682.</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فی«ش»:«جبرها».</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العلّامة فی التحریر 1:166،و المختلف 5:66،و الشهید الثانی فی المسالک 3:201،و السبزواری فی الکفایة:91،و السیّد الطباطبائی فی الریاض 8:188،و قال السیّد الطباطبائی فی المصابیح(مخطوط):132:«و ربما لاح ذلک من ظاهر الوسیلة و السرائر و الشرائع و النافع و الجامع و اللمعة،لتضمّنها اعتبار التعیین فی المدّة».</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الشهید فی المسالک 3:202،بلفظ:«قیل»،و لکن لم نعثر علی القائل.</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89-90.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ترد«عند الإطلاق»فی غیر«ق».</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عنهما ذلک الشهید فی الدروس 3:269،و راجع الخلاف 3:33، المسألة 44 من کتاب البیوع،و المبسوط 2:85،و السرائر 2:247.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92-93.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الأصحّ:«عدم تمامیّته»،کما فی«ش».</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فی«ش»زیادة:«معاً».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1:521.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 ذلک السیّد العاملی فی مفتاح الکرامة 4:562،و راجع التذکرة 1:521،و فیه:«عندنا».</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1:521.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فی«ش»:«تصرّف».</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الجواهر 23:34،و راجع الوسیلة:238.</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3:268.</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العاملی فی مفتاح الکرامة 4:562،و صاحب الجواهر فی الجواهر 23:35.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فی«ش»:«لمنع».</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111-114.</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جامع المقاصد 4:293،و المسالک 3:202،و مفتاح الکرامة 4: 565.</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111-112 و غیرها.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12:355،الباب 8 من أبواب الخیار،الحدیث الأوّل.</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12:355-356،الباب 8 من أبواب الخیار،الحدیث 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فی«ش»زیادة:«المؤقّت»،و الموجود فی المصادر الحدیثیّة:«للوقت».</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12:354،الباب 7 من أبواب الخیار،الحدیث الأوّل.</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2.</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8:189.</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128.</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127-128.</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الغنیة:215.</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حینئذٍ»فی«ش».</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المقابس:248،و المصابیح(مخطوط):137.</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2:22،و القواعد 2:66،و التذکرة 1:521.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59-60.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هامش«ف»:«الأمر الثانی»،و کذا فی الموارد الآتیة.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ترد«أن»فی«ش».</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 غیره:«بالعکس».</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3:269،و لم نعثر علیه فی حاشیة الشرائع للمحقّق الکرکی -لأنّ الموجود عندنا ناقص و لا علی الحاکی عنه،نعم جاء فی مفتاح الکرامة 4:565 هکذا:«و لا یحمل إطلاقه علی العین کما صرّح به الشهید و المحقّق الثانی فی حاشیته»،و الظاهر أنّ المراد حاشیته علی الإرشاد،لأنّه جاء فیها: «و لا یحمل الإطلاق علی عین الثمن»حاشیة الإرشاد(مخطوط):257.</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الآتیة.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128.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المتقدّمة.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فی«ش»:«صریحاً».</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روایة ابن میسرة المتقدّمة فی الصفحة 128.</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4:565،و المقابس:248،و المناهل:333.</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3:269.</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الثانی فی جامع المقاصد 4:292،و الشهید الثانی فی المسالک 3: 202.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علّله بذلک المحقّق الکرکی فی جامع المقاصد 4:292،و السیّد العاملی فی مفتاح الکرامة 4:565،و السیّد المجاهد فی المناهل:333،و المحقّق التستری فی المقابس:248.</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4:565،و السیّد المجاهد فی المناهل: 333.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الروایة فی الصفحة 128.</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جاء فیها:«لو قلنا:بأنّ مبدأ المدّة العقد و أسقطا الخیار مطلقاً قبل التفرّق سقط الخیاران:خیار المجلس و الشرط،و إن قلنا بالتفرّق سقط خیار المجلس دون خیار الشرط؛لأنّه غیر ثابت»التذکرة 1:520.</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12:351،الباب 4 و غیره من أبواب الخیار.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المجاهد فی المناهل:340،و راجع مجمع الفائدة 8:402 و 413، و کفایة الأحکام:92.</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فی«ش»زیادة:«أنّ الظاهر».</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127-128.</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التعلیل فی مجمع الفائدة 8:413،مع تفاوت فی الألفاظ،نعم حکاه عنه السیّد المجاهد فی المناهل:340 بالألفاظ المذکورة.</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المجاهد فی المناهل:341،و العبارة المحکیّة موجودة فی المصابیح(مخطوط):139،و قد نقل الشیخ حاصلها،کما قال.</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قول الشیخ فی أحکام الخیار،فی مسألة:أنّ المبیع یملک بالعقد.</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23:40،مع تفاوت فی بعض الألفاظ.</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133.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103.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104 و 107.</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129.</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فی«ش»:«تعیّنه».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لو قولاً».</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فی«ف»:«فالشأن».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ذکره السیّد العاملی فی مفتاح الکرامة 4:594،و صاحب الجواهر فی الجواهر 23:80.</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العاملی فی مفتاح الکرامة 5:595:«و قد یحتجّ له بروایة الحلبی "فإذا افترقا فقد وجب البیع"»،و أخبار أُخر أشار إلیها فی الجواهر 23:81.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الظاهر:«المبیع».</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الجزء السادس،الصفحة 144.</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فی«ف»:«علی البائع».</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الجزء السادس،الصفحة 176.</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صاحب الجواهر فی الجواهر 23:88.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128.</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الجزء السادس،الصفحة 178-181.</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لکن فی«ق»و«ف»بدل«البائع»:«المشتری»،و الظاهر أنّه من سهو القلم.</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175،مسألة أنّ المبیع فی ضمان من لیس له الخیار.</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2:141،المسألة 99.</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المناهل:334.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19:35 36.</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بعض الخاصّة فهو ابن الجنید کما نقله العلّامة فی المختلف 5:76،و أمّا العامّة فنسبه فی التذکرة 1:522،إلی أبی حنیفة و محمّد،و مثله فی الخلاف 3: 35،ذیل المسألة 47،من کتاب البیوع،و راجع الفتاوی الهندیّة 3:43.</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فی«ش»:«بمجرّد ردّ».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فی«ش»:«حاکم».</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المؤلّف قدّس سرّه الشقّ الآخر للإشکال؛اتّکالاً علی وضوحه،و هو عموم:«المؤمنون عند شروطهم».</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4:304 فی الضمان و الهبة و غیرهما، و السیّد المجاهد فی المناهل:336،و المحقّق التستری فی المقابس:248،و راجع مفتاح الکرامة 4:569 أیضاً.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عنها السیّد العاملی فی مفتاح الکرامة 4:568،راجع الشرائع 2: 23،و الإرشاد 1:375،و الدروس 3:268،و حاشیة الإرشاد(مخطوط): 260،و مجمع الفائدة 8:411،و کفایة الأحکام:92.</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1:168.</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3:268،و فیه:«المسلمون»بدل«المؤمنون»،و هو مطابق للمصدر،و راجع الحدیث فی الوسائل 12:353،الباب 6 من أبواب الخیار، الحدیثان 1 و 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4:568،و صاحب الجواهر فی الجواهر 23:64،و اللفظ للأوّل،و راجع الوسائل 12:353،الباب 6 من أبواب الخیار،الحدیثان 1 و 4 و غیرهما فی غیر الباب.</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10:292،و نهایة المرام 2:251،و کشف اللثام(الطبعة الحجریّة)2:185.</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قاله العلّامة فی التحریر 2:79.</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22.</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فی«ق»:«لا تقبل».</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2:81،و السرائر 2:246.</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3:212،و فیه:«محلّ وفاق».</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1:167،و جامع المقاصد 4:304.</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المرام(مخطوط)1:295،و فیه:«غیر جائز».</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الإجماع عنها السیّد العاملی فی مفتاح الکرامة 4:568،و راجع الخلاف 3:16،المسألة 17 من کتاب البیوع،و فیه:«..بلا خلاف»،و تعرّض للمسألة فی النکاح و حکم هناک أیضاً بالبطلان،و لکن لم یتعرّض للإجماع،راجع الخلاف 4:292،المسألة 59 من کتاب النکاح،و المبسوط 2:81،و السرائر 2:246،و جامع المقاصد 4:303،و المسالک 3:212،و فیه:«..محلّ وفاق».</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3:212،و حکاه السیّد المجاهد فی المناهل:336.</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4:568،و راجع السرائر 2:245، و الدروس 3:268.</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علّله بذلک فی جامع المقاصد 4:303،و مفتاح الکرامة 4:568- 569.</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9:150،الحدیث 612.</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13:297،الباب 3 من أبواب الوقوف،الحدیث 3.</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فی«ش»:«دلالتها».</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فی«ق»زیادة:«ما یظهر منه»،و الظاهر أنّها من سهو القلم.</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المقنعة:652،و الانتصار:468،المسألة 264،و النهایة:595.</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لعلّ وجه إفراد الضمیر باعتبار تقدیر«کلّ واحد»قبل «المشایخ الثلاثة».</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الحکایة عنهما فی الصفحة السابقة.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2:434.</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فی«ق»بدل«المتّهب»:«الواهب»،و هو سهو من القلم.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13:315،الباب 11 من أبواب الوقوف و الصدقات،و غیره من الأبواب.</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أی:من أقسام ما اختلف فیه.</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2:538.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2:80،و الخلاف 3:12،المسألة 10 من کتاب البیوع.</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150.</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فی مفتاح الکرامة 4:569،و راجع التذکرة 2:86،و فیه: «و کذا لو شرط الضامن الخیار لنفسه کان باطلاً»،و القواعد 2:155.</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2:80.</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المرام(مخطوط)1:295،و فیه:«و فی الراهن إشکال من أصالة الجواز..،و من منافاته لعقد الرهن؛لأنّه وثیقة لدین المرتهن،و مع حصول الخیار ینفی الفائدة».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1:167،و فیه:«و فی الراهن إشکال».</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2:79.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2:79،و الغنیة:220،و السرائر 2:244.</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المناسب:«من أنّ»،کما فی«ش».</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فی«ش»:«لا یبقی».</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2:67.</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 یدخله الخیار قطعاً.</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2:82.</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2:81،و التذکرة 1:522.</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2:81.</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فی«ش»زیادة:«الغبن».</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6:2172،مادة«غبن».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فی«ش»:«ما یساوی».</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کشف الصدق:481.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الغنیة:224،و المختلف 5:44.</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فی الدروس 3:275.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الشهید فی الدروس 3:275،بهذه العبارة:«و یظهر من کلام ابن الجنید».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فی«ش»:«یساوی».</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فی«ش»:«یساوی».</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البقرة:188.</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فی«ق»،لکن قال الشهیدی قدّس سرّه بعد أن ذکر العبارة بصیغة الإثبات و بیان الغرض منها-:«فما استشکل به سیّدنا الأُستاذ قدّس سرّه علی العبارة ناشٍ عن الغلط فی نسخته من حیث اشتمالها علی کلمة"لا"قبل"یخرج"»،هدایة الطالب:454،و راجع حاشیة السیّد الیزدی فی مبحث الخیارات:35،ذیل قول المؤلّف:إلّا أن یقال..</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فی«ش»:«معارضة».</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مصحّحة«ف»،و فی«ق»:«و عدم».</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استدلّ به فی الغنیة:224،و التنقیح الرائع 2:47،و الریاض 8:190 و غیرها.</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17:376،الباب الأوّل من أبواب موانع الإرث،الحدیث 10.</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11:141،و الجواهر 28:473 474.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2:536،و المختلف 6:427.</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1:485،و جامع المقاصد 4:294.</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الآتیة.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1:544،و لم نعثر علیه فی القواعد،راجع مبحث المرابحة فی القواعد 2:56.</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1:523،و فیه:«و لو دفع الغابن التفاوت احتمل سقوط خیار المغبون»،نعم فی القواعد(2:67):«و لو دفع الغابن التفاوت فلا خیار علی إشکال».</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النراقی فی المستند(14:391)بعد نسبته ذلک إلی«قیل»و أنّه احتمله بعض المتأخّرین-:«و هو الأقوی».</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 1:525.</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فی«ش»:«جزء المعوّض و تمام العوض».</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1:485،و جامع المقاصد 4:294 295.</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5:153،الحدیث 14،و عنه فی الوسائل 12:363،الباب 17 من أبواب الخیار،الحدیث الأوّل.</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5:153،الحدیث 15،و الوسائل 12:364،الباب 17 من أبواب الخیار،الحدیث 2.</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12:285،الباب 2 من أبواب الخیار،الحدیث 7.</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5:383،مادّة«رسل».</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1:166،و التذکرة 1:523.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1:510،و التحریر 1:171.</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فی«ش»:«وکیله».</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قد مرّ ذلک مشروحاً فی خیار المجلس».</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4:294.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3:204.</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فی«ش»:«إنّ مقتضی».</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فی«ش»:«الأمر الثانی».</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173.</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مالک،کما تقدم عن التذکرة آنفاً،و لکنّ المحکی عنه فی المغنی(3: 584):التحدید بالثلث.</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فی«ش»زیادة:«المستدلّ علیه فی أبواب الفقه».</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استدلّ به الفاضل المقداد فی التنقیح 1:132،و السیّد الطباطبائی فی الریاض 2:293.</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ما فی المثال،و لذا أسقطه مصحّح«ش».</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1:369 370.</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1:406،الحدیث 1276،و عنه فی الوسائل 2:998،الباب 26 من أبواب التیمّم،ذیل الحدیث الأوّل.</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فی«ق»بدل«فنفی»:«فیبقی»،لکنّه لا یلائم السیاق.</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فی«ش»بدل«لا یتحقّق»:«لا یکون».</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3:467،و المسالک 3:205،و جامع المقاصد 4:295.</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المولی أحمد بن محمّد التونی أخو المولی عبد اللّٰه التونی صاحب الوافیة، ذکره فی تعلیقه علی الروضة ذیل قول الشارح:«و المغبون إمّا البائع أو المشتری»،راجع الروضة البهیّة(الطبعة الحجریّة)1:378.</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2:59 60،المسألة 48.</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صاحب الجواهر فی الجواهر 23:44.</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فی«ش»:«منها».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2:22.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3:203.</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4:294.</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البعض.</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4:574.</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فی«ش»بدل«لأحدهما»:«فی المعاملة أصلاً».</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2:87،و الغنیة:224،و الشرائع 2:22.</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ظاهر المختصر 1:121،و الریاض 8:190.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2:22،و الإرشاد 1:374،و القواعد 2:67،و غایة المراد 2:99،و راجع مفتاح الکرامة 4:572.</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فی«ش»:«عدم سقوطه».</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تفصیل الأقوال فی جامع المقاصد 4:295،و الروضة 3:466، و الریاض 1:525،و مفتاح الکرامة 4:572.</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صرّح بذلک،نعم صرّح فی المسالک 3:206 و 207، و الجواهر 23:50،و غیرهما:بعدم سقوط خیار المغبون بتصرف الغابن،بل یفسخ و یرجع إلی المثل أو القیمة.</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1:522،و لکن لم یذکر فیه لفظ الحدیث.</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الغنیة:224.</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الکبری للبیهقی 5:348،باب النهی عن تلقّی السلع.</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فی«ف»علی هذه العبارة،و کتب بدلها فی الهامش:«فالأولی أن یقال».</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فی«ق»:«غیرها».</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فی«ش»زیادة:«تلک».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تردّد فیه المحقّق الثانی فی جامع المقاصد 4:297 و 318.</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عنده»من«ش»و المصدر.</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2:77.</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4:354.</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179 181.</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258.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فی«ش»:«فلا».</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فی«ن»شطب علی«لا».</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فی«ش»:«وجهان».</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فی«ش»:«إذ لا».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الثالث:172 173.</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الثالث:172-173.</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فی«ش»زیادة:«لأنّ مفهوم العقد معلّق علیها فی الواقع من دون تعلیق المتکلّم».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فی«ش»:«یختصّ».</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3:276،مع تقدیم و تأخیر فی بعض الألفاظ.</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المرام(مخطوط)1:288،و فیه:«و لو شرط فی العقد سقوط هذه الثلاثة(أی خیار العیب و الغبن و الرؤیة)بطل الشرط و العقد علی الخلاف».</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4:302 303.</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258 و ما بعدها.</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ادّعاه فی الجواهر 23:68،و راجع مفتاح الکرامة 4:588 و 600.</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فی«ش»زیادة:«عموم».</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فی«ش»:«فکذلک».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النراقی فی المستند 14:395،و لم نعثر علی غیره،نعم جاء فی مجمع الفائدة 8:404:«و أمّا تصرّف المغبون فی مال الغابن فیحتمل ذلک أیضاً؛لأنّ الجهل عذر»،و نحوه ما ورد فی الریاض 1:525.</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وردت العبارة فی«ق»،و وردت فی«ش»هکذا:«لکن الاستشکال من جهة ترک التصریح مع وجود الدلیل ممّا لا ینبغی».</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12:362،الباب 16 من أبواب الخیار.</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فی الغنیة:222،و المختلف 5:183،و راجع مفتاح الکرامة 4:626.</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فی«ش»:«العین».</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2:22.</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التذکرة 1:523،و الشهید فی غایة المراد 2:99،و الفاضل المقداد فی التنقیح 2:48،و ابن فهد الحلّی فی المهذّب البارع 2:376،و انظر مفتاح الکرامة 4:572.</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الثانی فی الروضة 3:465،و المحدث الکاشانی فی المفاتیح 3: 74،و السیّد الطباطبائی فی الریاض 1:525.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2:143.</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لا یبطل».</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4:318.</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اللمعة الدمشقیّة:128.</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فی«ش»زیادة:«المبیعة».</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البهیّة 3:466،و لکن لم نعثر فیه علی دعوی الإجماع،و لعلّها تستفاد من عبارة:«لکن لم أقف علی قائلٍ به».</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1:166.</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العاملی فی مفتاح الکرامة 4:572:«و قد صرّح الأکثر بأنّ المراد به المشتری»،و لم نعثر علی غیره،و راجع الشرائع 2:22،و المهذّب البارع 2:376،و اللمعة:128،و الریاض 8:192.</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الحلّی فی المهذّب البارع 2:376،و الشهید الثانی فی الروضة 3:471-472،و الصیمری فی غایة المرام(مخطوط)1:291-292.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فی غایة المرام(مخطوط)1:291،و فیه:«سواء کان وارداً علی العین..أو علی المنافع کالإجارة».</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فی المهذّب البارع 2:377.</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4:575.</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فی«ش»زیادة:«فتأمّل».</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فی«ش»:«حینه».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فی«ش»:الغیر،و فی«ف»شطب علی«المتصرّف».</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144-150.</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فی«ش»:«استشکل».</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 به صراحةً،نعم یظهر ممّن حکم بعدم سقوط خیار المغبون بتصرّف الغابن و أنّه یلزمه المثل أو القیمة بعد الفسخ،کما فی المهذّب البارع 2: 377،و جامع المقاصد 4:295،و المسالک 3:206 و غیرها.</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154.</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إن تعذّر».</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3:206،مع تفاوت فی بعض الألفاظ.</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فی«ش»زیادة:«باقیة».</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عبارة«فی العقد الجائز أو اللازم»فی«ش».</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و(2)لم یردا فی«ق».</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یردا فی«ق»</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الشتات 3:431 432،المسألة 203.</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2:96.</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إیضاح الفوائد 1:521،و جامع المقاصد 4:446،و مفتاح الکرامة 4:760.</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5:356.</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المسالک،نعم صرح به فی الروضة 3:469.</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2:173،و 3:260،و مفتاح الکرامة 6:61 و 383.</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5:356</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النهایة:«و فی حدیث إحیاء الموات:"لیس لعرقٍ ظالمٍ حقٌّ"هو أن یجیء الرجل إلی أرضٍ قد أحیاها رجل قبله فیغرس فیها غرساً غصباً لیستوجب به الأرض. و الروایة"لعرقٍ"بالتنوین،و هو علی حذف المضاف:أی لذی عرقٍ ظالمٍ، فجعل العِرْقَ نفسه ظالماً،و الحقّ لصاحبه،أو یکون الظالم من صفة صاحب العِرْق،و إن رُوی"عِرقِ"بالإضافة فیکون الظالم صاحب العرق،و الحقّ للعرق، و هو أحد عروق الشجرة». انظر النهایة لابن الأثیر:مادّة«عرق»،و انظر مجمع البحرین:المادّة نفسها.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2:257،الحدیث 6،و رواه فی الوسائل 17:311،الباب 3 من أبواب الغصب،الحدیث الأوّل عن الصادق علیه السلام.</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فی«ش»:«بعدم».</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تفصیل الأقوال فی مفتاح الکرامة 5:504،و المناهل:388 389، و الجواهر 26:277.</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فی«ش»:«التخلیص».</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المسالک،نعم هو موجود فی الروضة 3:469.</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فی«ق»:«کالمعدومة».</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 حصول الاشتراک قهراً لو کانا لمالکین،و من تغیّر حقیقته،فیکون کالتلف الرافع للخیار».</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2:263.</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الثانی فی المسالک 4:113،بلفظ:«و هو یتمّ علی القول بثبوته فی کلّ معاوضة».</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188.</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الثانی فی الروضة 3:473،و السیّد الطباطبائی فی الریاض 8: 192،و راجع مفتاح الکرامة 4:607.</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فی«ش»و«ف»:«قیمته».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3:257.</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الحاکی،و لا توجد لدینا حاشیة الشرائع فی هذا الموضوع.</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19:189 190.</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2:32،و العلّامة فی القواعد 2:87،و الإرشاد 1:381، و راجع مفتاح الکرامة 4:718.</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2:122.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التحریر 1:229 230.</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و عمّن بعده السیّد العاملی فی مفتاح الکرامة 4:570 571.</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2:47.</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النافع(مخطوط)لا یوجد لدینا.</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7:86.</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2:538.</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المرام(مخطوط)1:296،و فیه تصریح بعدم ثبوت الخیار فی الفرضین الأخیرین.</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عنهم فی الصفحة 147 148.</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الکبیر(المطبوع ضمن المغنی لابن قدامة)4:61،و فیه: «أحدها خیار المجلس و یثبت فی البیع و الصلح بمعناه و الإجارة و یثبت فی الصرف و السلم»،و راجع الخلاف 3:14،المسألة 14 من کتاب البیوع.</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فی«ش»زیادة:«بعد إلحاق غیرها بظهور عدم الفصل عند الأصحاب».</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فی«ش»زیادة:«إلّا أن یتمّ بعدم القول بالفصل».</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19:43،و مفتاح الکرامة 4:104،و المناهل:327.</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4:38.</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 1:525.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الدافع هو صاحب الجواهر فی الجواهر 23:44.</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فی«ش»:«فقد».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3:273،التنبیه العاشر من تنبیهات الاستصحاب.</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فی«ش»زیادة:«هذا».</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 هذا الوجه»فی«ش».</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عنه فی الصفحة 206.</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فیما لو بذل الغابن التفاوت،فی تقویة ما اختاره من عدم سقوط الخیار بالبذل و تعرّض لمسألة الفور و التراخی،لکن لم یتعرّض لهذا المستند،راجع المناهل:327.</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الشیخ علی آل کاشف الغطاء فی تعلیقته علی اللمعة(مخطوط)،مبحث خیار التأخیر.</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ترد«و»فی«ش».</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لقوله:«لمّا لم یجز».</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1:529.</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الصواب:«یُرجع»،کما فی المصدر.</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1:604.</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فی«ش»:«فیدفع».</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فی«ش»:«النقص».</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عنه فی الصفحة الماضیة.</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علیه،و لا علی الحاکی.</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1:605،مع تقدیم و تأخیر فی بعض العبارات.</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 السیّد العاملی فی مفتاح الکرامة 4:576،و راجع الانتصار: 437،المسألة 249،و الخلاف 3:20،المسألة 24،و جواهر الفقه:54،المسألة 193.</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مثل:الحدائق 19:44،و الریاض 1:525،و مستند الشیعة 14:397، و الجواهر 23:51.</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التخریج عنها آنفاً،و راجع تفصیل ذلک فی مفتاح الکرامة 4:576- 577.</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فی«ق»:«قبضه»،و هو من سهو القلم.</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12:357،الباب 9 من أبواب الخیار،الحدیث 3.</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4.</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فی«ش»و المصدر:«أن أقضی».</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12:356 357،الباب 9 من أبواب الخیار،الحدیث 2.</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12:356،الباب 9 من أبواب الخیار،الحدیث الأوّل.</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2:87،و فیه بدل«و إن لم یرتجع»:«و إن لم یجیء».</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هامش«ف»زیادة:«هذا».</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فی الدروس 3:274،و راجع المختلف 5:70.</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8:405 406.</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الکفایة:92،و فیه بعد نقل الخیار عن جماعة-:«و عن ظاهر ابن الجنید و الشیخ بطلان البیع،و لعلّ الأقرب الثانی».</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19:47 48،و راجع المختلف 5:71.</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حملهم الأخبار علی نفی اللزوم».</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218.</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 1:525.</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الجواهر،انظر الجواهر 23:53،و جاء فی المستند 14:398: «و أکثر تلک الأخبار و إن کانت مطلقة بالنسبة إلی إقباض المبیع و عدمه..».</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1:565.</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فی«ش»:«بذل له».</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274 275.</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فی«ش»زیادة:«لکنّه مشکلٌ،کدعوی شمولها و لو قلنا بارتفاع الضمان».</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صحیحة زرارة المتقدّمة فی الصفحة 219.</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218.</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فی«ش»بدل«بها»:«بتلک الروایة»،و استدلّ بها فی الجواهر 23:53.</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219.</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2:382.</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المرام(مخطوط)1:292.</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4:298.</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الغنیة:219 220.</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ترد«ما وجدته فی نسخة»فی«ش».</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الانتصار:437،المسألة 249،و الخلاف 3:20،المسألة 24 من البیوع،و لم نعثر علی نسخة جواهر الفقه المشار إلیها فی کلام المؤلف،نعم کتب فی المطبوعة ضمن الجوامع الفقهیّة:420 فوق کلمة«غیر»:ز ظ.</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الفقه:54،المسألة 193،و راجع مفتاح الکرامة 4:579،و لم نعثر علی العبارة فی غیره.</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هامش«ف»زیادة:«فی معقد إجماعهم».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2:87،و تقدّم فی الصفحة 219 أیضاً.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 فی الصفحة 224.</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217.</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فی الصفحة 218.</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فی الصفحة 218.</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219.</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218.</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لو فی ضمن أُمورٍ متعدّدة،کصاع من صبرة».</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فی«ش»بدل«المملّک له»:«حتّی یملّکه».</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فی«ش»زیادة:«فی».</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النسبة،نعم نسب فی مفتاح الکرامة 4:579،و الجواهر 23: 55 الإطلاق إلی الأکثر.</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ترد«نعم»فی«ش».</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3:273.</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223.</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2:277.</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فی«ش»:«أراد».</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فی«ش»:«أحدث».</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العاملی فی مفتاح الکرامة 4:579 580.</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فی«ش»زیادة:«الآخر».</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5:68 71.</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ترد«إن»فی«ش».</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المقنع:365.</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1:167.</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فصّله السیّد العاملی فی مفتاح الکرامة 4:579 580.</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فی«ش»:«للخیار».</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قاله المفصّل نقلاً بالمعنی.</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الأُمور التی قیل باعتبارها فی هذا الخیار،و قد تقدّم أوّلها فی الصفحة 230.</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5:70،و المقنع:365.</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5:70.</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12:357،الباب 9 من أبواب الخیار،الحدیث 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فی«ق»:«فیه».</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12:357،الباب 9 من أبواب الخیار،الحدیث 3.</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1:520.</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فی«ش»:«ضمن العقد».</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4:581،و راجع الدروس 3:276، و جامع المقاصد 4:302 303،و فیه بعد احتمال الصحّة-:«أنّه أظهر»، و حاشیة الإرشاد(مخطوط)،الصفحة 260.</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حکایة الإجماع.</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الطباطبائی فی المصابیح(مخطوط):131،و فیه:«و لا یسقط بإسقاطه فیها و لا بإحضار الثمن بعدها إلی أن قال:و إن حصل الشکّ به فیستصحب»و جعله فی الریاض 8:195،و مستند الشیعة 14:400 أظهر الوجهین.</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 فی الصفحة 104،ذیل البحث عن مسقطیّة خیار الحیوان بالتصرّف.</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1:523.</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کالدروس 3:274،و جامع المقاصد 4:298،و المسالک 3:208.</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212.</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ابن عمّار المتقدّمة فی الصفحة 218.</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8:195.</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3:212،الحدیث 591.</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مثل«الخراج بالضمان»الوارد فی عوالی اللآلی 1:219،الحدیث 89.</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 أنّ».</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السادس،الصفحة 179 181.</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الطباطبائی فی الریاض 1:526،و السیّد بحر العلوم فی المصابیح (مخطوط):130،و صاحب الجواهر فی الجواهر 23:58،لکنّ الموجود فی الخلاف الذی بأیدینا:«أنّ التلف فی الثلاثة من المبتاع»راجع الخلاف 3:20، المسألة 24 من البیوع.</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المقنعة:592.</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الانتصار:437،المسألة 249،و الغنیة:219 220.</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 فی الصفحة السابقة.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12:358،الباب 10 من أبواب الخیار،و فیه حدیثٌ واحد.</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النهایة:385 386.و فی«ش»و المصدر زیادة:«لأنّ الخیار له بعدها».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5:69 70.</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12:359،الباب 11 من أبواب الخیار،الحدیث الأوّل.</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فی«ش»:«بلیلة».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3:274،و فیه:«و هو ثابت للبائع عند انقضاء النهار».</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فی«ش»زیادة:«واحداً».</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الوسیلة:238.</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للشرائع:247.</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3:203،ذیل الحدیث 3767،و راجع الوسائل 12:359،الباب 11 من أبواب الخیار،الحدیث 2.</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العبارة المذکورة من کتاب النهایة المطبوع مستقلا،نعم وردت فی المطبوع ضمن الجوامع الفقهیّة:336،و المطبوع مع نکت النهایة(للمحقّق الحلّی) 2:142،و محلّها باب الشرط فی العقود من کتاب المتاجر.</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2:282.</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التحریر 1:167.</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الجامع للشرائع:247،و القواعد 2:67،و الإرشاد 1:374.</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2:23،و القواعد 2:67،و الإرشاد 1:374 و غیرها.</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فی«ش»:«بالبیع».</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228.</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فی«ش»زیادة:«الفقیه».</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الغنیة:219 220.</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فی«ق»:«لا دفع ضررٍ»،و شطب علیها فی«ف»،و صحّحت فی«ن»بما أثبتناه.</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12:361،الباب 15 من أبواب الخیار،الحدیث الأوّل.</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12:362،الباب 15 من أبواب الخیار،الحدیث 2.</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19:57.</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5:223،الحدیث 2،و التهذیب 7:79،الحدیث 339،و عنهما فی الوسائل 12:265،الباب 12 من أبواب عقد البیع و شروطه،الحدیث 8.</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المحدّث البحرانی فی الحدائق 19:58.</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ترد«حینئذ»فی«ش».</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الوسیلة:240.</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4:301.</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المسالک 3:219،و مجمع الفائدة 8:410،و الحدائق 19:58.</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التذکرة 1:467 و 524،و النهایة 2:499 500،و مفتاح الکرامة 4:290 291.</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المقنعة:594 و 609،و المبسوط 2:76.</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2:241.</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1:467 و 523.</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4:301.</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1:552.</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1:553.</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2:501.</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3:178.</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2:25،و القواعد 2:26،و الدروس 3:276،و الروضة 3: 462.</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التذکرة 1:467 عن أحمد و الشافعی فی أحد الوجهین،و راجع مفتاح الکرامة 4:586.</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2:242.</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إلیها صریحاً فی مفتاح الکرامة 4:586،و الجواهر 23:94.اُنظر المقنعة:594،و النهایة:391،و المراسم:180.</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8:183.</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فی القواعد 2:93،و الشهید فی الدروس 3:214 215، و الشهید الثانی فی المسالک 3:273،و راجع تفصیل القائلین بالبطلان فی مفتاح الکرامة 4:732.</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الشهیدی:«و أمّا الدافع،ففی بعض الحواشی:أنّه صاحب الجواهر، و الظاهر أنّه اشتباه من المحشّی؛لأنّ الموجود فیه خالٍ عن قوله:"و إنّ أقصی ما هناک کونه من باب تعارض الإشارة و الوصف"-إلی أن قال:-و الظاهر أنّ الدافع هو الشیخ علی آل کاشف الغطاء قدّس سرّه فی محکیّ تعلیقه علی خیارات اللمعة،فإنّه عین عبارته المحکیّة عنه»،هدایة الطالب:494،و راجع الجواهر 23:94 أیضاً.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8:183.</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2:501.</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ظاهر«ق»بدل«فی»:«من».</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فی«ش»:«بتبعیض».</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سیجیء بعض الکلام فی مسألة الشرط الفاسد إن شاء اللّٰه»و راجع تفصیل المسألة فی الجزء الثالث من المکاسب:513 و 531.</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الحدائق 19:59 إلی ظاهر کلام أکثر الأصحاب،و لم نعثر علی غیره.</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2:508.</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245.</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 فی خیار الغبن،راجع الصفحة 209 212.</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213 و ما بعدها.</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 و 533.</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4:586 بلفظ«و فی التذکرة و غیرها» و لکن لم نعثر علی غیر التذکرة.</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1:467.</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فی الدروس 3:276،و المحقّق الثانی فی جامع المقاصد 4:303، و المحقّق النراقی فی المستند 14:408،و راجع مفتاح الکرامة 4:292.</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2:507.</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المحدّث الکاشانی فی المفاتیح 3:72.</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 فی هذا المبحث،نعم قال به جماعة فی مبحث الشرط الفاسد،منهم الفاضل الآبی فی کشف الرموز 1:474،بعد نقله عن الشیخ فی المبسوط،راجع مفتاح الکرامة 4:732.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4:303.</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3:198،و راجع المبسوط 2:138،و الوسیلة:247 و 255، و إصباح الشیعة:224،و المهذّب 1:392.</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3:198.</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ظاهر«ق»أو محتملة:«بثبوت».</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التحریر 1:177.</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3:198 و 276،حیث حکم ببطلان العقد لو تبرّأ البائع أو شرط رفع الخیار فی خیار الرؤیة،و الصفحة 282 حیث حکم بأنّ من مسقطات خیار العیب التبرّی من العیب.</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4:292 و 624.</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المناسب:«صحّتها و فسادها».</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فی«ش»:«رفع».</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فی«ش»زیادة:«هذا مع إمکان التزام فساد اشتراط عدم الخیار،علی تقدیر فقد الصفات المعتبر علمها فی البیع،خرج اشتراط التبرّی من العیوب بالنصّ و الإجماع،لأنّ قاعدة«نفی الغرر»قابلة للتخصیص،کما أشرنا إلیه سابقاً».</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زیادة:«علی الرضا».</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23:96.</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فی«ش»:«عدم الظهور علی الوصف».</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19:59.</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فی«ق»بعد کلمات شطب علیها زیادة:«و لا یخفی ضعفه».</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254.</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فی«ش»:«صفة».</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1:467.</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5:297.</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1:537.</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الظاهر:«المبیع».</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ظاهر«ق»:«یعمّهما».</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فی«ش»:«تغییر».</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2:77.</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1:352.</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للشرائع:256 257.</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2:68،و التحریر 1:167،و التذکرة 1:524.</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4:302.</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5:73.</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1:524.</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فی«ق»:«أن یقضی».</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الأحکام:93،و لکن فیه:«لا أعرف خلافاً بینهم فی أنّ إطلاق..».</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 کلمة غیر مقروّة،و لعلّها«لا الإطلاق».</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فی«ش»زیادة:«فتأمّل».</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منهم:الشهید الثانی فی المسالک 3:282،و المحدّث البحرانی فی الحدائق 19:79،و فی الجواهر 23:235 بعد نسبته إلی صریح جماعة قال:«بل لم أجد قائلاً بغیره».</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12:418،الباب 6 من أبواب العیوب،الحدیث الأوّل.</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3:282.</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فی«ش»بدل«ممنوعة»:«کما تری».</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280 و 293 و ما بعدها.</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12:362،الباب 16 من أبواب الخیار،و الصفحة 413، الباب 4 من أبواب أحکام العیوب.</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المناسب:«معیبة»،و فی المصدر:«فإن خرج فی السلعة عیب».</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علیه السلام:253.</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19:64.</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الأولی حذف«لا».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1:528.</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الجواهر فی الجواهر 23:294.</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2:131 132.</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النهایة:393.</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2:126 140.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الأخبار المطلقة،بل الأخبار کما ذکره الشیخ فی الصفحة 275 مخصوصة بالأرش فی صورة التصرّف المانع عن الردّ،نعم نقل فی الموضع المذکور عن الفقه الرضوی ما یدلّ علی التخییر.</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1:467 و 533.</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1:532،و المختلف 5:188.</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الثانی فی المسالک 3:286،و صاحب الجواهر فی الجواهر 23: 237.</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2:49،و التذکرة 1:513،و القواعد 2:39،و المختلف 5: 119 120.</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1:525.</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2:302.</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3:283،و لکن لیس فیه دعوی الإجماع أو نفی الخلاف،نعم قال فی الصفحة 201 فی خیار الحیوان:«لا خلاف فی سقوطه بالتصرّف».</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286 289.</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الغنیة:222.</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لم یتبیّن له»،و اختلفت المصادر الحدیثیّة فیها.</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فی«ش»بدل«و»:«ثمّ».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1:525،و الروایة أوردها فی الوسائل 12:362،الباب 16 من أبواب الخیار،الحدیث 2.</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12:363،الباب 16 من أبواب الخیار،الحدیث 3.</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12:413،الباب 3 من أبواب أحکام العیوب،و فیه حدیث واحد.</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ردّ المملوک فی أحداث السنة».</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قوله:«لإطلاق».</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مرسلة جمیل المتقدّمة فی الصفحة السابقة.</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صحیحة زرارة المتقدّمة فی الصفحة السابقة أیضاً.</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12:351،الباب 4 من أبواب الخیار،الحدیث 1 3،و راجع الصفحة 97 98.</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فی الحیوان»فی«ش».</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فی«ق»:«مشکل».</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فی«ش»زیادة:«فلا یتقیّد بالتصرّف الدالّ علیه».</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فی«ش»زیادة:«هناک».</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100 102.</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280.</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المقنعة:597.</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النهایة:393،لکن مع تفاوت فی الألفاظ.</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2:139.</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2:277.</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المعرفة»فی«ش»و المصدر.</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المصدر:«الردّ».</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الوسیلة:256.</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1:529.</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4:332،و المسالک 3:283 284.</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1:184.</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التحریر 1:183،و القواعد 2:74،و الدروس 3:283.</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97.</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2:36.</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2:40.</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5:178 179.</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أقصی».</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 ضمن کلام العلّامة.</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97 98.</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12:414 415،الباب 3 من أبواب أحکام العیوب.</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التذکرة و السرائر فی الصفحة 279،و راجع الغنیة:222،و مفتاح الکرامة 4:626.</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12:413،الباب 3 من أبواب العیوب،و فیه حدیث واحد.</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النصّ،نعم یستفاد ممّا ورد باشتراط رد الجاریة بعدم الوطء،راجع الوسائل 12:414 415،الباب 4 من أبواب أحکام العیوب.</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12:411،الباب 2 من أبواب العیوب.</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فی«ش»زیادة:«حیث».</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بدل«لو»:«إن».</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فی«ش»زیادة:«للثوب».</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فی«ش»هکذا:«إذا علمه ما لم یکن وطء الجاریة».</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4:626،و لم نعثر علیه فی المبسوط.</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2:139.</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فی المقنعة:597 598،و لم نعثر علی جمیع ما ذکر فی المبسوط، نعم ذکر فیه حکم العیب بعد العتق،راجع المبسوط 2:132،و لکن ذکره تماماً و صریحاً فی النهایة:393 394.</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فی«ش»زیادة:«أخذ».</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280.</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قال».</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2:299.</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4:342 و 291.</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مرسلة جمیل المتقدّمة فی الصفحة 280.</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3:286.</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2:131.</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12:414 415،الباب 4 من أبواب العیوب.</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288.</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1:526.</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286.</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الآتیة،فی صحیحة ابن مسلم و روایة میسّر.</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14:446،الباب 4 من أبواب المتعة،الحدیث 2 و 4.</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12:414،الباب 4 من أبواب أحکام العیوب،الحدیث 3.</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12:414،الباب 4 من أبواب أحکام العیوب،الحدیث 4.</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12:415،الباب 4 من أبواب أحکام العیوب،الحدیث 8.</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المصدر:«ما بین الصحّة و الداء».</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12:414،الباب 4 من أبواب أحکام العیوب،الحدیث 2.</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12:415،الباب 4 من أبواب أحکام العیوب،الحدیث 7.</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3:287 288،و فیه بعد بیان المقدّمة الخامسة من مقدّمات تحریر المسألة التی منها:أنّ الحمل فی الأمة عیب-:«و هذه المقدّمات کلّها إجماعیّة».</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فی الوسائل:«معها»،و فی الکافی و التهذیب و الاستبصار:علیه.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12:416،الباب 5 من أبواب أحکام العیوب،الحدیث الأوّل، و الصفحة 414،الباب 4 من أبواب أحکام العیوب،الحدیث الأوّل أیضاً.</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12:416،الباب 5 من أبواب أحکام العیوب،الحدیث 3.</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5:214،ذیل الحدیث 3،و عنه فی الوسائل 12:416،الباب 5 من أبواب أحکام العیوب،الحدیث 4.</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12:417،الباب 5 من أبواب أحکام العیوب،الحدیث 9.</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12:416،الباب 5 من أبواب أحکام العیوب،الحدیث 5.</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12:417،الباب 5 من أبواب أحکام العیوب،الحدیث 6.</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12:417،الباب 5 من أبواب أحکام العیوب،الحدیث 7.</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4:634،و راجع الانتصار:439، المسألة 251.</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2:298.</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5:178 179.</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5:179.</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 المصدر.</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النهایة:393.</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2:127.</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الوسیلة:256.</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فی«ش»زیادة:«أیضاً».</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8:264 265.</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فی«ش»بدل«أقول»:«و الإنصاف أنّ».</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فی«ش»زیادة:«أُخر».</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12:362،الباب 16 من أبواب أحکام الخیار.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12:414 415،الباب 4 من أبواب أحکام العیوب.</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294.</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صحیحة ابن مسلم المتقدّمة فی الصفحة 294.</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فی«ش»:«تشبّهاً».</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12:411،الباب 2 من أبواب العیوب.</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12:362،الباب 16 من أبواب أحکام الخیار.</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12:413،الباب 4 من أبواب أحکام العیوب.</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12:350 351،الباب 4 من أبواب الخیار،الحدیث الأوّل.</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12:363،الباب 16 من أبواب الخیار،الحدیث 3.</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الثانی فی جامع المقاصد 4:337.</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عنهما فی الصفحة 294.</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2:298.</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293.</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الثانی فی جامع المقاصد 4:337،و الشهید الثانی فی المسالک 3:288.</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7:63،ذیل الحدیث 272.</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3:280،و راجع الفقیه 3:131،الحدیث 3820.</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روایة عبد الرحمن المتقدّمة فی الصفحة 294.</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 علیه صحیحة ابن مسلم المتقدّمة فی الصفحة 294.</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صریح صحیحة ابن سنان المتقدّمة فی الصفحة 293.</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صریح الانتصار:439،المسألة 251،و الغنیة:222،و الدروس 3: 279،و راجع مفتاح الکرامة 4:634.</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قوله:«و استدلّ العلّامة فی التذکرة علی أصل الحکم»فی الصفحة 304،مفقود من نسخة«ق».</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سرّه:«الظاهر أنّ قوله:"فی أنّه"فی الموضع الثانی غلط فی العبارة؛إذ قضیّته عدم الخلاف فی ثبوت الأرش فیه،و هو منافٍ لقوله:"علی الخلاف"الآتی فی أحکام القبض»،هدایة الطالب:513.</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غیر«ش»:«المتقدّم»،إلّا أنّه صحّح فی«ن»بما أثبتناه.و المظنون:أنّ ما فی الأصل مطابق لما فی أکثر النسخ.و لعلّ المؤلّف قدّس سرّه کتب«أحکام القبض»قبل«القول فی الخیارات»،ثمّ نضدت الأوراق کذلک.</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غیر«ش»:«السابق»،و الکلام فیه و فیما یأتی أیضاً نفس الکلام المتقدّم فی الهامش السابق.</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غیر«ش»:«ما تقدّم».</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الحکایة ما سینقله عن الدروس،و لیس فیه النقل عن المحقّق فی درسه،بل فیه الخلاف بین ابن نما و تلمیذه المحقّق فی المسألة،و یبدو أنّ منشأ هذه النسبة ما نقله صاحب الحدائق(19:110)حیث قال:«المنقول عن المحقّق فی الدرس علی ما نقله فی الدروس..»،نعم قال الشهید فی غایة المراد (2:63)بعد أن نقل قول المحقّق-:«و نقل عن شیخه ابن نما فی الدرس، الثانی..».</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3:289.</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الدمشقیة:118 119.</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فی«ش»:«بالخیارات»،و فی مصحّحة«ن»:«بخیار عیب».</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اللمعة:119،و راجع الشرائع 2:57،و فیه:«و لو حدث فیه من غیر جهة المشتری لم یکن ذلک العیب مانعاً من الردّ بأصل الخیار،و هل یلزم البائع أرشه؟ فیه تردّد،و الظاهر لا».</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صاحب الجواهر فی الجواهر 23:242.</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4:626.</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الغنیة:222.</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2:75.</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جامع المقاصد 4:341،و مفتاح الکرامة 4:640.</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4:342.</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فی«ف»:«لمجرّد».</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اعترف به الشهید الثانی فی المسالک 3:262.</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مرسلة جمیل المشار إلیها آنفاً.</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فی«ش»:«هذا»،و لکنّ المرسلة.</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فی«ش»بدل«بعدها»:«فی التذکرة».</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فی«ش»زیادة:«البائع».</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فی«ق»بدل«فی»:«بین»،و الظاهر أنّه من سهو القلم.</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المقنعة:597.</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1:183.</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3:284.</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3:496،و راجع مفتاح الکرامة 4:627.</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مرسلة جمیل المتقدّمة فی الصفحة 280.</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2:132.</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الصفحة 276.</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فی«ش»:«بأخذ».</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12:414 415،الباب 4 من أبواب أحکام العیوب.</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1:536.</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3:284.</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 أحد العوضین».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الظاهر:«من بائع»،کما فی«ش».</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الشیخ فی الخلاف 3:110،المسألة 180 من کتاب البیوع،و السیّد ابن زهرة الحلبی فی الغنیة:223،و راجع مفتاح الکرامة 4:629 630.</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 علیه مرسلة جمیل المتقدّمة فی الصفحة 280.</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صاحب الجواهر فی الجواهر 23:248.</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فی«ش»:«مع جوابه».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فی«ق»:«صریحة».</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فی«ش»بدل«ذی خیار بین»:«ذی الخیار أجزاء».</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فی«ش»:«للخیار».</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النصوص الواردة فی الردّ،الوسائل 12:411 419،الباب 2 و 3 و 7،و غیرها من أبواب أحکام العیوب.</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ظاهر«ق»،و فی«ش»:البیع.</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المرسلة فی الصفحة 280.</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سره:«لم یتقدم لهذا ذکر فی السابق،و لعل فی النسخة تقدیما و تأخیرا و کان العبارة فی الأصل هکذا:فالعمدة فی المسألة مضافاً إلی ما تقدّم من ظهور الإجماع أنّ مرجع..إلخ»،هدایة الطالب:520.</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1:536.</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فی«ش»بدل«المجوّز لردّ»:«و معه یجوز ردّ».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لا یخفی أنّ الصورة الثانیة بحسب التقسیم المتقدّم فی أوّل البحث إنّما کانت صورة تعدّد البائع،لکن المؤلف قدّس سرّه عکس الترتیب،و أمّا مصحّح«ش» فقد عکس العدد فکتب هنا:«و أمّا الثالث»،و فی الصورة الآتیة:«و أمّا الثانی».</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الکرامة(4:630)عن المختلف و إیضاح النافع و المسالک و المفاتیح.راجع المختلف 5:186،و المسالک 3:286، و المفاتیح 3:71،و إیضاح النافع(مخطوط)لا یوجد لدینا.</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1:536.</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3:286.</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3:333،المسألة 10 من کتاب الشرکة،و المبسوط 2:351.</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5:187،و الشهید فی الدروس 3:285.</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کتبه،نعم حکاه عنه العلّامة فی المختلف 5: 187،و الشهید فی الدروس 3:285.</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2:345.</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جمال الدین أحمد بن موسی بن جعفر،أخو السیّد ابن طاوس،و أمّا کتابه البشری فلا یوجد لدینا،نعم حکاه عنه الفاضل الآبی فی کشف الرموز 1:477.</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1:536.</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1:494.</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1:274.</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4:334،و فیه:«لا یبعد الفرق بین..».</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3:286.</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2:351.</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العبارة بعینها فی النصوص،بل هی مستفادة من الروایات،راجع الوسائل 12:362،الباب 16 من أبواب الخیار،و غیره من أبواب أحکام العیوب.</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1:536.</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1:494،و مجمع الفائدة 8:436،و المسالک 3:286.</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فی«ش»:«الثانی»،و قد تقدّم الکلام فی وجه ذلک فی الهامش(3)من الصفحة 312.</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فی«ش»:«الثالثة».</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نفی».</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1:531.</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1:531.</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للشرائع:268.</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مثل به فی الدروس 3:288،و المسالک 3:284،و الجواهر 23:243.</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فی«ق»:«منهنّ»،و لعلّه من سهو القلم.</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280،و استدل به فی الجواهر 23:238.</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3:127 128،المسألة 213 من کتاب البیوع.</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الغنیة:221 222.</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1:525.</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فی الصفحة 349 350،و راجع الوسائل 12:420،الباب 8 من أبواب أحکام العیوب،و فیه حدیث واحد.</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2:296 297.</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5:170.</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مصحّحة«ف»:و قد ینسب إلی.</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السیّد العاملی فی مفتاح الکرامة 4:625،و راجع المختلف 5:170 171.</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4:625،و فیه:«مع أنّ القاضی فی الکامل وافق».</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3:282.</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المهور،ذیل الحدیث 4.</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1:525.</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1:467 و 533،و تقدم فی الصفحة 258 أیضاً.</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فیها،و نقل عنها سابقاً فی خیار الرؤیة:«أنّه فاسد و مفسد»،راجع الصفحة 259.</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4:303.</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کلمة«البراءة»فی«ق».</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سره:«ضمیر"معناه"راجع إلی"العهدة"،و یجوز تذکیر الضمیر إذا کانت التاء فی المرجع مصدریة.و أما ضمیر"مرجعه"فهو راجع إلی "التبرّی"لا إلی"العهدة"،هذا بناءً علی کون النسخة:"و معناه تعهّد سلامته من العیوب"،و أمّا بناءً علی کونها:"و معناه عدم تعهّد سلامته من العیوب" فضمیر معناه راجع إلی التبرّی»،هدایة الطالب:524.</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ترد«عدم»فی«ش».</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322.</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12:351 و 355،الباب 5 و 8 من أبواب الخیار.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3:283.</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1:527 و 541.</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4:352.</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3:293.</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 ما یلی: «نعم،هذا داخل فی فروع القاعدة التی اخترعها الشافعی،و هو:أنّ الزائل العائد کالذی لم یزل أو کالذی لم یعد.لکن عرفت مراراً أنّ المرجع فی ذلک هی الأدلّة و لا منشأ لهذه القاعدة».</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الوسیلة:257.</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فی الصفحة 318.</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استشکل فیه الشهیدان فی الدروس 3:288،و المسالک 3:284،و راجع مفتاح الکرامة 4:613.</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23:96،و جاء فیه حول خیار تخلّف الوصف:«و سقوطه بالتصرف قبل العلم به نحو ما سمعته فی الغبن و بعده یسقط إن دلّ علی الرضا، و إلّا فلا»،و نسبه فی مفتاح الکرامة(4:586)إلی ظاهر الأکثر.</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فی«ش»:«المبیع».</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280.</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306.</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 بها یدفع»:«و هی المرجع بعد».</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فی«ش»:«بنقله».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قدس سرّه:«یعنی بهما:التصرّف و حدوث العیب بعد القبض،و إنّما عبّر عنهما بمانعی الردّ مع أنّه جعل المسقطات أربعة،لأنّ"الإسقاط"الّذی هو أحدها إنّما هو من قبیل المسقط لا المانع،و"تلف العین"الّذی هو ثالثها لا یبقی معه موضوعٌ للردِّ حتّی یُعدّ مانعاً؛و جعل الأوّل أوّلاً لتقدّمه فی کلامه،و الثانی ثانیاً لتأخّره فیه»،هدایة الطالب:526.</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318.</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فی«ش»:«لزم العقد».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فی«ش»زیادة:«نعم،التصرف قبل العلم لا یسقط خیار الشرط،کما تقدّم».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327 328.</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1:531.</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فی«ش»زیادة:«کما هو الحکم فی غیر الربویّین إذا حصل العیب عنده».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فی«ق»زیادة:«ملک»،و الظاهر أنّها من سهو القلم.</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فی«ش»زیادة:«الربویة».</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فی«ش»زیادة:«نعم هذا یصحّ فی غیر الربویین؛لأنّ وصف الصحّة فیه یقابل بجزءٍ من الثمن فیرد المشتری قیمة العیب الحادث عنده لیأخذ الثمن المقابل لنفس المبیع مع الصحّة».</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2:79،و التذکرة 1:531،و المحقق الثانی فی جامع المقاصد 4:363.</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2:133.</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المتقدّمة.</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1:183.</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3:288.</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4:365.</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فی«ش»هکذا:«بین شیءٍ منه و بین صحّة البیع».</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 بدل«ترک»:«تأخیر».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الغنیة:221-222.</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فی«ش»زیادة:«له»،و شطب علیها فی«ق».</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 قوله:«مع أنّ..»إلی هنا وردت فی«ش»هکذا:«و هذا أحد القولین منسوب إلی الشافعی»،راجع التذکرة 1:529 و 530،و المغنی 4: 160.</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283 284.</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283.</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الکفایة:94،و فیه:«و مستنده عموم أدلة الخیار من غیر تقییدٍ،و خصوص بعض الأخبار».</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332.</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أی:فی عدم سقوط الخیار بالتراخی.</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3:302،و الحدائق 19:117.</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1:529،و فیه:«لو علم بالعیب و أهمل المطالبة لحظةً هل یسقط الرد؟الأقرب أنّه لا یسقط».</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الأحکام:94.</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ترد«بل نفی الخلاف»فی«ش».</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المناسب:«و نِعْمَ».</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فی«ش»:«نعم فی الریاض أنّه».</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8:260.</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1:529،و فیه:«لأنّ الأصل بقاء ما ثبت».</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2:138.</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3:125،المسألة:211.</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2:126.</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2:56.</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1:183.</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1:525 و 538،و السرائر 2:296.</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2:36.</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4:333،و الشهید الثانی فی المسالک 3: 285،و راجع تفصیله فی مفتاح الکرامة 4:629.</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3:287.</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1:538.</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إلیها فی الصفحة المتقدّمة.</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2:297،و لکن لیس فیه نفی الخلاف،و لعلّ المراد من العبارة هکذا:«بغیر نقل خلاف»،و یؤیّده أنّه قال بعد الحکم فی موضعٍ منها بالاستحباب:«و قال بعض أصحابنا:بل ذلک واجب».</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4:629.</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فی«ش»بدل«منشؤه»:«نشأ»،و زیادة:«من دعوی صدق الغش و من».</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335.</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4:333.</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3:129 و 285.</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الکرامة(4:629)عن إیضاح النافع و المیسیة،و حکم به فی الجواهر 23:246،أیضاً.</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 جامع المقاصد.</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5:172.</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فی«ش»زیادة:«و لعلّه لأصالة عدم تسلیم البائع العین إلی المشتری علی الوجه المقصود،و عدم استحقاقه الثمن کلاّ و عدم لزوم العقد؛نظیر ما إذا ادّعی البائع تغیّر العین عند المشتری و أنکر المشتری،و قد تقدّم فی محلّه».</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الظاهر:«بما».</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ترد«بیّنة»فی«ق».</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4:355.</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4:659.</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18:215،الباب 25 من أبواب کیفیة الحکم،الحدیث 2.</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3:299.</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لدینا،نعم حکاه عنه السیّد العاملی فی مفتاح الکرامة 4:659.</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8:274.</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4:659.</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1:540.</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4:359.</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2:78 79.</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فی«ش»:«تنظّر».</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4:360.</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4:664 665.</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3:289.</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4:361.</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1:541،و القواعد 2:79.</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1:185.</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فی«ش»:«تقدیم».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1:499.</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3:289.</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فی«ق».</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فی«ش»:«العملیّة».</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هامش«ف»زیادة:«لکن للنظر فی إثبات أحد المتلازمین بالأصل الجاری فی الآخر مجالٌ،کما نبّهنا علیه مراراً».</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لقوله:«أمّا الأوّل»فی الصفحة 339.</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340،و راجع الصفحة 325 أیضاً.</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2:60 و 338.</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فی«ش»:«فی یده»،و فی«ق»:«فی ید المشتری فی یده».</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1:530.</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فی«ش»:«مشاهدٌ».</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3:289.</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فی«ش»زیادة:«بها».</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3:289.</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فی«ق»کلمةٌ غیر واضحة،لعلّها:«المتعیّن»،أو«المعیّن».</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12:420،الباب 8 من أبواب أحکام العیوب.</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8:437.</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الأحکام:94.</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19:91.</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فی«ق»،و فی«ش»:«کما یأتی»،و هذا هو المناسب للترتیب الموجود فی النسخ،حتّی نسخة الأصل و هی«ق»حیث إنّ«القول فی الشروط»یأتی متأخراً فی الجزء السادس الصفحة 11-،و الظاهر أنّ المؤلّف قدّس سرّه کتب«القول فی الشروط»قبل هذا الموضوع،ثمّ حصل تقدیم و تأخیر فی تنضید الأوراق. و یؤیّد هذا الاستظهار بدأ باب الشروط فی نسخة«ق»بالتحمید.</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339 340.</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لا یخفی عدم مجیء جواب«لو»،و هو«وجهان».</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الاختلاف فی الفسخ،و راجع المقسم فی الصفحة 339.</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3:286.</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الخبر،و قال السیّد الیزدی فی حاشیته علی الکتاب-فی الصفحة 95 ذیل قول المؤلف:«و یدلُّ علیه بعض الأخبار»:«أقول الظاهر أنّ نظره إلی ما ورد بهذا المعنی فیمن أقرّ ببیع مملوکه ثمّ جاء و ادّعی الرقیة، و إلّا فلم نرَ خبراً فی العتق علی ما وصفه بعد الفحص،فیکون لفظ"العتق" غلطاً من النسخة أو سهواً من القلم بدلاً عن لفظ"البیع"،و أمّا ما أشرنا إلیه فهو الخبر عن محمّد بن عبد اللّٰه الکاهلی،قال:قلت لأبی عبد اللّٰه: کان..إلخ»،راجع الوسائل 13:53،الباب 26 من أبواب بیع الحیوان،و فیه حدیث واحد.</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فی«ش»زیادة:«فروع».</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المصدر:«قدر القیمة».</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3:287.</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386 من الطبعة الحدیثة.</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326، رقم الترجمة 887.</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168، رقم الترجمة 618.</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366 من الطبعة الحدیثة.</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الصفحة 47، الطبعة الحدیثة.</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الفاضل الآبی هو حسن بن أبی طالب المعروف بالآبی تارة، و ابن الزینب اخری، من أجلاّء تلامیذ المحقق و قد فرغ من شرح کتاب استاذه (المختصر النافع) عام 672، و له آراء خاصّة فی الفقه، منها:الف - انه لا تجوز الزیادة فی النکاح علی الأربع دائما کان العقد أو انقطاعا.ب - القول بالمضائقة فی القضاء.ج - انه لا یصح الاداء مع وجود القضاء فی الذّمة.</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الصفحة 4.</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الصفحة 25، و قد طبع هذا الکتاب فی مجلّد کبیر، و هو حسب تجزئة المؤلف فی ثلاثة اجزاء، و فرغ المؤلف عنه عام 986، و قد علّق علیه الوحید البهبهانی بعض التعالیق، و طبعا معا فی مجلد کبیر.</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الصفحة 25.</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الصفحة 28.</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المحقق البهبهانی: الصفحة 10.</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التکملة: ج 1، الصفحة 221.</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الصفحة 43.</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7، الصفحة 31.</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9، الصفحة 313.</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650.</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الوجیزة: الصفحة 6 طبع المکتبة الإسلامیة.</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البدایة فی علم الدرایة: الصفحة 142.</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طبعة عبد الرحیم: الصفحة 214.</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الخامسة، الصفحة 649.</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مشایخ الثقات: الصفحة 134-223، فی خصوص ابن أبی عمیر.</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ابواب الجنائز، الباب 77، الحدیث 19.</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الباب 67، الحدیث 2، الصفحة 77 من طبعة النجف.</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الفائدة الثالثة، الصفحة 25-26.</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الصفحة 178، الباب 142، الحدیث 2.</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تنقیح المقال للمامقانی: ج 2، الصفحة 117.</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الصفحة 453، الباب 210، الحدیث 4.</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5، الصفحة 380، الحدیث 1328.</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5، الصفحة 87، الحدیث 290.</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13، الباب 11 من ابواب بیع الثمار، الحدیث 4.</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ج 5، الصفحة 448.</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379 الطبعة الحدیثة.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الصفحة 112.</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336 الطبعة الحدیثة.</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350.</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ذکره فی عمل الاصحاب بما رواه حفص بن غیاث و نوح بن دراج و السکونی فی ج 1، الصفحة 380 من عدة الاصول.</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الوقوف علی روایته عنهم «مشایخ الثقات» القائمة المخصوصة لمشایخه.</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64-68.</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2، الصفحة 51. مراجعة.</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ص 65.</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338، الطبعة الحدیثة.</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16.</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242.</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الصفحة 23.</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455، الرقم 103.</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کتاب الجنائز، باب النوادر، الحدیث 20، الصفحة 355.</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345.</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دلائل الطرفین فی تنقیح المقال: ج 2، الصفحة 262، و قد بسط المحقّق الکلباسی الکلام فیه فی سماء المقال: ج 1، الصفحة 134-154.</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2، الصفحة 262.</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462، رقم الترجمة 425.</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345.</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676.</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5، الصفحة 32، رقم الحدیث 95، کتاب الحج باب ضروب الحج، و کتاب الاستبصار: ج 2، رقم الحدیث 513.</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448، رقم الترجمة 1210 من طبعة جماعة المدرسین بقم.</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التکملة: ج 2، الصفحة 630.</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الحدیث: ج 22، الصفحة 114.</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7، الصفحة 276، الحدیث 1171 من کتاب النکاح الباب 25، و الاستبصار:ج 3 الحدیث 575، و لیس لابن ابی عمیر روایة عن علی بن حدید، - حسب الظاهر - الا هذه الروایة، و هذه قرینة علی ان علی بن حدید معاصره، لا المروی عنه فقد روی الحسین عنهما جمیعا. لاحظ تفصیل طبقات الرواة لمعجم رجال الحدیث: ج 22، الصفحة 293 کما سیوافیک بیانه.</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282.</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402.</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115.</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234، و نحوه فی القسم الثانی المختص بالضعفاء.</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الصفحة 40 ابواب المیاه، باب البئر تقع فیه الفأرة، الحدیث 70.</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الصفحة 95 باب النهی عن بیع الذهب بالفضة نسیئة، الحدیث 325.</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237، و فی سند المروی فی رجال الکشی ضعف.</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418، ترجمة یونس بن عبد الرحمن.</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الصفحة 4، الباب 8 فی فضل الصلاة فی مسجد الکوفة و مسجد السهلة.</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الصفحة 4، و سیوافیک ان مضمون کلام صاحب کامل الزیارات لا یفید الا وثاقة مشایخه الذین یروی عنهم بلا واسطة، فلا دلالة لوقوعه فی اسناد کامل الزیارات علی وثاقة من لا یروی عنه بلا واسطة.</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القمی فی تفسیر قوله تعالی: مِنَ الْجِنَّةِ وَ النّاسِ.</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22، الصفحة 102.</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رقم الترجمة 717.</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22، الصفحة 292.</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کتاب فضل القرآن، الباب 13، الحدیث 18.</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کتاب المعیشة، الباب 5، الحدیث 5 و رواه الشیخ فی التهذیب: ج 9، الحدیث 398.</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الحدیث 561.</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کتاب المعیشة، الباب 5، الحدیث 9.</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کتاب الدیات، الباب 4، الحدیث 4.</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الجزء 4، باب تحریم الدماء و الاموال، الحدیث 206.</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1155.</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3، الحدیث 325.</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769.</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4، الباب 8 من أبواب السجود، الحدیث 6، نقلا عن معانی الاخبار للصدوق.</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8، الباب 63 من ابواب آداب السفر، الحدیث 3 نقلا عن معانی الاخبار.</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332.</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ج 1، ص 191.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رقم الترجمة 594.</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رقم الترجمة 465.</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رقم الترجمة 50.</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القسم الثانی باب «عبد اللّه» رقم الترجمة 9.</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4 فی النوادر رقم الحدیث 850.</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524، و رجال الکشی: الصفحة 433، طبعة الاعلمی.</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5، الصفحة 32، الحدیث 95 من ابواب ضروب الحج.</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104 باب النهی عن الجسم و الصورة، الحدیث 1.</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رقم الترجمة 310 و 332.</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الشیخ الطوسی: الصفحة 46، طبعة النجف.</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الصفحة 61، طبعة الاعلمی بیروت.</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الصفحة 259 الحدیث 4 طبعة الغفاری.</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الحدیث 4، الصفحة 19 من الطبعة الحجریة القدیمة.</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رقم الترجمة 310.</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8، الصفحة 262 الحدیث 953، و لا یخفی أنّ سؤال الحکم الشرعی عن أبی الحسن - علیه السلام - یعرب عن اعتقاده بإمامته و کونه کأبیه إماما و قدوة.</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الصفحة 531 کتاب الزی و التجمل، باب النوادر، الحدیث 7.</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315.</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332.</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258.</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11، الصفحة 431.</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کتاب المواریث باب میراث الولد، الحدیث 4، و مستدرک الوسائل الجزء 17، الباب 5 من ابواب میراث الابوین، الحدیث 2.</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604.</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ابو العباس الطیالسی و قد یکنی بابی محمد فلا تغفل.</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الرقم 721.</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(طبعة النجف) الصفحة 210، و لاحظ ما ورد حول قتله من الروایات فی تنقیح المقال الجزء الثالث، الصفحة 230.</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1114.</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180.</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کتاب الحج، باب بدء البیت و الطواف، الحدیث 2.</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8 باب التدبیر، الحدیث 953، الصفحة 262.</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کتاب الاطعمة باب الشواء و الکباب، الحدیث 4.</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کتاب الاطعمة باب القرع، الحدیث 4، الصفحة 371.</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الصفحة 476، الحدیث 483.</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939.</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الطبعة الحجریة، الصفحة 16.</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ابن مهزیار فی أیام إمامة الإمام الحسن العسکری - علیه السلام -، روی الکلینی مکاتبته عنه فی الحج لاحظ ج 4، الصفحة 30 باب بلا عنوان بعد باب الحج عن المخالف، و قد تقلد الإمام العسکری - علیه السلام - الحکم بعد وفاة أبیه عام 254 ه، و علی ذلک یکون موت ابن مهزیار حوالی تلک السنة.</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 باب 4 من ابواب الوضوء، الحدیث 4.</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 باب 22 من ابواب غسل المیت، الحدیث 1.</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 باب 24 من ابواب غسل المیت الحدیث 6 و الظاهر سقوط الواسطة بین احمد بن محمد بن عیسی، و عبد الرحمن بن سالم و هو احمد بن محمد بن ابی نصر، کما فی الاستبصار الرقم (730) و یشهد بذلک السندان السابقان.</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کتاب النکاح باب الاوقات التی یکره فیها الباه، الصفحة 497.</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629.</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الرقم 711.</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80، و مشایخ الثقات: الصفحة 41.</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مشایخ الثقات: الصفحة 44-45.</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887.</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14، طبعة النجف. و نقل النجاشی فی فهرسه (الرقم: 490) قریبا منه فی حق سهل بن زیاد الآدمی، و ان ابن عیسی اخرجه من قم و کان یشهد علیه بالغلو و الکذب.</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الرقم 55.</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کتاب فضل العلم، الباب الثانی، الحدیث 5 الصفحة 33.</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888، و رجال الکشی: الصفحة 428.</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کتاب فضل العلم، باب الرد الی الکتاب و السنة، الحدیث 21، الصفحة 59.</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کتاب الایمان و الکفر، باب الاعتراف بالذنوب، الحدیث 7، الصفحة 427.</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56.</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200، و رجال ابن داود: الصفحة 231 و ذکراه فی القسم الثانی.</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باب حسن الخلق، 101، الحدیث 12.</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276.</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207-208.</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الشلمغانی المعروف بابن ابی العزاقر و قد خرج التوقیع بلعنه علی ید الشیخ ابی القاسم الحسین بن روح فی ذی الحجة من شهور سنة 312 و له کتاب «التکلیف».</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للشیخ الطوسی: الصفحة 239 طبعة النجف.</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الشیخ الانصاری: الصفحة 1.</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العاشرة، الصفحة 777.</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ضبطه فی الایضاح علی ما نقله قاموس الرجال و الفقحة من النبت الزهرة، کما ضبطه فی الخلاصة: الصفحة 32، و رجال ابن داود ب «قفة العلم».</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304.</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3 باب الصلاة فی السفینة، الحدیث 897، الصفحة 296.</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533.</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العاشرة، الصفحة 777.</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933.</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الصفحة 118، الرقم 392.</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الشیخ الانصاری عند البحث عن الولایة، لاحظ: الصفحة 60 من المکاسب طبعة تبریز.</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313. ابو علی محمد بن همام البغدادی (المتوفی عام 333) و ابو غالب الزراری هو مؤلف رسالة ابی غالب (المتوفی عام 368) و یروی النجاشی عنهما مع الواسطة کیف و قد تولد النجاشی عام 372 کما تقدم.</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207.</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178.</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1059.</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504.</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1185.</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العباس ابن نوح من مشایخ النجاشی.</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504.</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617.</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ذلک فی ترجمة جعفر بن مالک حیث تعجب النجاشی من نقل أبی علی ابن همام و ابی غالب الزراری عنه.</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و الظاهر افراد الضمیر فی الکل، لأن البحث فی النجاشی لا فی کل عالم رجالی، اللهم الا ان یرید المحدث النوری بهذه العبارة ان هذا المسلک لا یختص بالنجاشی، بل یعم کل من یعبر بهذه الالفاظ.</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504.</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2، الصفحة 90.</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502-503. و سقط فیه ک: «أبو محمد الحسن بن محمد بن یحیی».</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الصفحة 170-171.</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بن الولید القمی، جلیل القدر، عارف بالرجال، موثوق به، له کتب راجع فهرس الشیخ: الصفحة 184. و قال النجاشی فی فهرسه: «محمد بن الحسن بن احمد بن ولید ابو جعفر شیخ القمیین و فقیههم و متقدمهم و وجههم و یقال انه نزیل قم و ما کان</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هؤلاء الجماعة استثناها ابن الولید عن مشایخ مؤلف نوادر الحکمة و معناه ان غیر هؤلاء الواردین فی ذلک الکتاب ممن روی عنهم بلا واسطة محکوم بالصحة «رجال النجاشی: الرقم 939».</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«رأیه» و الظاهر ما أثبتناه من الریب بمعنی الشک، أی ما الذی أوجد الشک فی حقه.</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939.</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تکلمة الوحید البهبهانی و غیره.</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86، طبعة النجف، و الصفحة 74 طبعة بیروت.</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باب فی ما جاء عن الرضا - علیه السلام - من الاخبار المنثورة ذیل الحدیث 45، طبع طهران.</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2 الصفحة 76 فی ترجمة محمد بن احمد بن یحیی الأشعری القمی.</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8، الصفحة 41.</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896.</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318 و قال: کل ما یوصف به الناس من جمیل وفقه فهو فوقه، و له کتب حسان.</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الرقم 141 و ذکر الشیخ فی رجاله انه مات سنة 368، و قال العلامة فی الخلاصة: انه مات سنة 369 و یحتمل کون التسع مصحف «السبع».</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مقدمة کامل الزیارة بقلم العلامة محمد علی الغروی الاردوبادی، فقد حقق احوال المترجم و نقل عبائر العلماء فی حقه، و قال النجاشی: «روی عن ابیه و اخیه عن سعد» و مراده سعد بن عبد اللّه الاشعری القمی (المتوفی 301 و قیل 299) و لم یرو هو عن سعد الا حدیثین کما فی فهرس النجاشی فی ترجمة سعد الرقم 467، او اربعة احادیث کما فی ترجمة نفسه الرقم 318.</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کامل الزیارة: الصفحة 4.</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20، الصفحة 68.</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50.</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الباب 8، الصفحة 31.</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یتوهم ان المراد منه هو عمر بن سعد الوقاص و لیس بصحیح. کیف و هو من مشایخ نصر - بن مزاحم (المتوفی عام 212) و فی بعض النسخ «عمرو بن سعد» و فی آخر «عمر بن سعید» - Ẓ</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318.</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685.</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523.</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ابراهیم القمی: الجزء 1، ص 4.</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20، الفائدة السادسة، الصفحة 68.</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الجزء 1، المقدمة الثالثة، الصفحة 49-50.</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الجزء 18، الصفحة 54 فی ترجمة الکلینی، الرقم 12038.</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الجزء 11، الصفحة 194 فی ترجمته، الرقم 7816.</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260، الرقم 680.</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115، الرقم 382.</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 علیه السلام -: الصفحة 161، الطبعة القدیمة.</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 الصفحة 468-469 فی باب من لم یرو عنهم.</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الجزء 90 طبعة بیروت، و الجزء 93، طبعة ایران الصفحة 1-97.</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الجزء 1، الصفحة 26-27.</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الصفحة 424 فی اصحاب الهادی حرف المیم، الرقم 41.</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الذریعة و لم نجده فی رجال الکشی المطبوع بالعراق مثل ما فی المتن، و لم یعنونه مستقلا و انما جاء اسمه فی ترجمة ابی عبد اللّه بن خالد هکذا: قال نصر بن الصباح: لم یلق البرقی ابا بصیر بل بینهما قاسم بن حمزة.</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الجزء 4، الصفحة 308. بتصرف و تلخیص.</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طبعة علی الحجر تارة سنة 1313 و اخری مع تفسیر الإمام العسکری، و طبع اخیرا علی الحروف فی جزءین.</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448.</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الصفحة 122 فی اصحاب الباقر - علیه السلام - الرقم 4، و فی الصفحة 197 فی اصحاب الصادق - علیه السلام - الرقم 31.</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199، الرقم 104.</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الجزء السابع، الصفحة 325-326 فقد نقل الروایات الدالة علی رجوعه.</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الرقم 293.</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الصفحة 27، الطبعة الاخیرة.</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الطبعة الاخیرة.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4 الصفحة 308.</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الصفحة 351 سورة الحدید.</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الصفحة 160 سورة المائدة.</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الصفحة 104 سورة النور.</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الذریعة: ج 4، الصفحة 302-307.</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الصفحة 289 طبعة ایران.</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الصفحة 247.</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الصفحة 177.</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233، الصفحة 94.</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للشیخ: الصفحة 53.</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 الصفحة 2.</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770، و کتاب (الانوار المضیئة) مخطوط یوجد فی مکتبة السید میر حامد حسین، راجع الذریعة: ج 2، الصفحة 442.</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الصفحة 165-166 من الفصل الرابع.</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الصفحة 5-6 فی ضمن الوجه الاول.</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203-204.</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فی «باب من لم یرو عن الأئمة» الصفحة 442.</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الصفحة 6 فی ضمن الوجه التاسع.</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770.</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کما فی مستدرک الوسائل: ج 3، الصفحة 770.</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مصفّی المقال للعلامة الشیخ آغا بزرگ الطهرانی.</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773.</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52.</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770.</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الآمل: ج 1، الصفحة 83 لاحظ ترجمة «خلید بن اوفی».</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الشیخ: الصفحة 146، 178، 232، 249، 285، 294، 302.</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الوجادة نقل الحدیث بمجرّد وجوده فی کتاب من دون أن یکون له طریق الی نفس الکتاب.</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773.</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«و حکی جماعة من شیوخ القمیین عن ابن الولید انه قال: محمد بن اورمة طعن علیه بالغلو، فکل ما کان فی کتبه مما وجد فی کتب الحسین بن سعید و غیره فقل به و ما تفرد به فلا تعتمده» لاحظ فهرس النجاشی: الرقم 891.</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الصفحة 305.</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1، الصفحة 3-4.</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الصفحة 57 طبعة الهند.</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60.</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الصفحة 304-305 طبعة النجف.</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59.</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149.</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465، الرقم 23، فی باب من لم یرو عن الائمة.</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باب مولد الصاحب - علیه السلام -، الحدیث 14.</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القسم الاول، الصفحة 14.</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490.</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27، طبعة تبریز.</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108، الصفحة 75-76.</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الرابعة، الصفحة 532.</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الصفحة 34.</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1026.</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البحرین للمحدث البحرانی الطبعة القدیمة غیر المرقمة فی احوال شیخنا الکلینی و ذکر بعد هذا عدد سائر الکتب الثلاثة. و ما ذکره من الأرقام ینقص عند الجمع 78 حدیثا فلاحظ.</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الرابعة، الصفحة 541.</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الصفحة 6.</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کما فی مستدرک الوسائل: ج 3، الصفحة 541. لاحظ فتح الباری فی شرح احادیث البخاری: ج 1، الصفحة 465، الفصل العاشر فی عد احادیث الجامع.</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جامع الاصول: الجزء 12.</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الصفحة 338، الطبعة الحدیثة.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534-535.</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1059.</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532. و جاءت العبارة المذکورة فی المحجة المطبوعة (الصفحة 159) الی قوله «تحقیق منقولاته» و لیس من الجملة الاخیرة فیها اثر، نعم توجد فی النسخة المکتوبة المصححة بقلم المحدث النوری فی حاشیتها العبارة الاخیرة.</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2، الصفحة 71.</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532-533.</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للشیخ الطوسی: الصفحة 251-252 طبعة النجف.</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الصفحة 239-240 طبعة النجف.</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الکتاب لنفس الشیخ ابی القاسم الحسین بن روح، راجع الذریعة: ج 3، الصفحة 210.</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الصفحة 240 طبعة النجف.</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مقدمة المؤلف، الصفحة 22.</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الصفحة 22.</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الجزء الثانی، باب صوم التطوع و ثوابه، ذیل الحدیث 241.</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الجزء 2، باب ما جاء عن الرضا - علیه السلام - من الاخبار المنثورة، ذیل الحدیث 45.</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40-41.</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الرابعة من الخاتمة، الصفحة 540.</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الحدیث، ج 1 الصفحة 101-103.</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210، باب ان اهل الذکر الذین امر اللّه الخلق بسؤالهم هم الائمة علیهم السلام الحدیث 2 و 4.</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237.</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فهرس النجاشی: الصفحة 184، و کتاب الغیبة للشیخ الطوسی: الصفحة 201 عند ذکر التوقیعات، و اکمال الدین و اتمام النعمة: الصفحة 276.</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الصفحة 2-5.</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الخامسة، الصفحة 547.</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مشرق الشمسین للشیخ البهائی.</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البهبهانی: الصفحة 27، و فی العبارة حزازة.</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الجزء الثانی، باب ما جاء عن الرضا - علیه السلام - من الاخبار المنثورة، الحدیث 45.</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الفائدة الخامسة، الصفحة 718.</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الصفحة 174.</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حماد بن عیسی للصادق - علیه السلام - انی اعمل به و قرّره الإمام. روضة المتقین: ج 1، الصفحة 14.</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کتابه علی الصادق علیه السلام فصححه الإمام و مدحه. روضة المتقین: ج 1 الصفحة 14.</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ج 1، الصفحة 14.</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ج 1، الصفحة 29.</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ج 1، الصفحة 31.</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547 و 719، و لاحظ مقدمة الحدائق.</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الخلاف للمحقق البروجردی - قدس اللّه سرّه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10، الصفحة 25-29 من المشیخة.</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الثانی من جامع الرواة: الفائدة الرابعة من خاتمته، الصفحة 473، و نقله العلامة المامقانی فی خاتمة التنقیح.</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الفائدة السادسة، الصفحة 719.</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فی الفائدة الرابعة من الخاتمة، الصفحة 417.</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توضیحه ما ذکره المؤلف فی الفائدة الرابعة من خاتمة کتابه «جامع الرواة» الصفحة 473-475 و ما ذکرناه ملخص ما اورده المحقق البروجردی فی تصدیره علی کتاب «جامع الرواة» ج 1، الصفحة 266.</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الحدیث 549.</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12-15.</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تألیف الحافظ جلال الدین السیوطی: ج 6، الصفحة 379. و المراد من المحجلین هو المشرقون و المضیئون.</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147.</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23.</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الصفحة 150-190.</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الرقم 104.</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448.</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فیما نقلناه حول الزیدیة الی الملل و النحل: ج 1، الصفحة 154-161.</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22.</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الصفحة 38 من فرق الشیعة.</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78.</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61.</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166.</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167-168.</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63.</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89.</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167.</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62.</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88-89.</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الفرق: الصفحة 63.</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168-169.</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89-91.</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390، الرقم 329.</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402-403 الرقم 346 و 347.</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الفائدة الثانیة: الصفحة 40.</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هذه الروایات و اضرابهما الی رجال الکشی: الصفحة 246، رقم الترجمة 135.</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الصفحة 179-181.</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5، الصفحة 456 تحت عنوان: خروج المغیرة بن سعید فی نفر و ذکر الخبر عن مقتلهم.</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195-196، رقم الترجمة 103.</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الکشی: الصفحة 195-196.</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71-72.</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تفسیر احواله الی الملل و النحل: ج 1، الصفحة 176-177.</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الملل و النحل: ج 1، الصفحة 174-190.</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کتاب عبد اللّه بن سباء للعلامة العسکری.</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هشام بن حکم للعلامة الشیخ نعمة، فقد ألف کتابا فی ترجمة هشام بن حکم و نزه ساحته عن تلک المغالاة.</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المامقانی عن بعض معاصریه. لاحظ مقباس الهدایة: الصفحة 146.</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438.</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الصفحة 102-103.</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کتاب الحجة، الصفحة 183، الحدیث 7.</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178.</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178، الحدیث 5 و 10 و غیرهما من الروایات.</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347.</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266، الحدیث 4، و قد ذکر بعض الاجلّة موارد اخر من هذا القبیل</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234، طبعة عبده.</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احادیث الشیعة: ج 1، المقدمة، الصفحة 17.</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الصفحة 114، و رواه فی الاختصاص عن عبد اللّه بن مسکان. لاحظ البحار:ج 25، الصفحة 334.</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الاول: الصفحة 530-532.</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الصفحة 148.</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الصفحة 38-39 المطبوعة بآخر رجال الخاقانی.</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الصفحة 49 للمامقانی.</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المحقق البهبهانی.</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الجزء الثالث ص 376 طبعة مصر.</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الصفحة 150.</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الفائدة الثانیة: الصفحة 43.</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الفائدة الاولی الصفحة 269-271.</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الفصل 5، الصفحة 212-214.</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الجدیر بالذکر ان هذا الباب غیر باب الکنی الذی یعنون فیه الرجل بالکنیة و یذکر حاله کما ذکر فی قاموس الرجال: ج 11، الصفحة 171-172، و اضاف ان المتأخرین خلطوا بین الامرین و لم یفرقوا بین البابین.</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المذکور فی فهرس النجاشی. لکن ابن داود ذکره بعنوان ابراهیم بن زیاد نقلا عن الشیخ (الرجال: الصفحة 31، الرقم 19 من القسم الاول).</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271، الفائدة الثانیة. الرجال لابن داود: الصفحة 307. منتقی الجمان:ج 1، الصفحة 37، ذیل الفائدة السادسة.</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476. و فی رجال ابن داود: الرقم 686 من القسم الاول: «سائق الحاج».</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النجاشی فی فهرسه بالرقم 1223، و ابن داود فی رجاله بالرقم 1722. فما فی الفصل الخامس من خاتمة رجاله بان اسمه «خالد بن یزید» من هفوات قلمه الشریف.</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الرقم 482 من القسم الثانی. اما العلامة - قدس سره - فخلط عند ذکر ابی الخطاب فی خاتمة خلاصته و قال: «ابو الخطاب، ملعون یقال له مقلاص و محمد بن ابی زینب الرواسی. اسمه محمد بن ابی سارة» و فیه من الخطأ ما لا یخفی عصمنا اللّه من الزلل.</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الفائدة الثانیة. الصفحة 271، الرجال لابن داود: الصفحة 307.</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الرقم 538، من القسم الاول. فهرس النجاشی: الرقم 340. اما «ابو المعز» المذکور فی الخلاصة فلیس بصحیح قطعا.</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یعبر عنه بأبی محمد الحجال ایضا. کما فی الکشی: الرقم 497.</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الرقم 1296 من القسم الاول. فهرس النجاشی: الرقم 1050. فما فی خاتمة القسم الاول من الرجال: الصفحة 213، و خاتمة الخلاصة: الصفحة 269، من ثبت «ابی عبد اللّه» بدل «عبد اللّه» لعله سهو.</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10.</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261، الحدیث 2.</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541.</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1026.</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271. و فیها «الکمنذانی» بدل «الکمیذانی» و هو منسوب الی قریة من قری قم.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التستری: «الظاهر وقوع التحریف فیهما و اصلهما: علی بن محمد بن عبد اللّه ابن ابنته و احمد بن عبد اللّه ابن ابنه - قاموس الرجال: ج 11، الصفحة 42» مرجع الضمیر فی «بنته» و «ابنه» هو احمد بن محمد بن خالد البرقی.</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المحدث النوری ایضا فی المستدرک: ج 3، الصفحة 541 نقلا عن الخلاصة مع تفاوت یسیر: منها «علی بن الحسین السعد آبادی» بدل «علی بن الحسن».قال صاحب سماء المقال بعد نقل العدة الثانیة عن الخلاصة ما هذا لفظه: «و استظهر جدنا السید انه علی بن الحسین السعد آبادی، نظرا الی ما ذکره الشیخ فی رجاله من ان علی بن الحسین السعد آبادی روی عنه الکلینی و الزراری، و کان معلمه، و انه روی عن احمد بن محمد بن خالد، علی ما یظهر مما ذکره فی الفهرس. فانه بعد ذکر اسامی کتب البرقی، قال: اخبرنا بهذه الکتب کلها و بجمیع روایاته عدة من اصحابنا منهم الشیخ المفید و الغضائری و احمد بن عبدون و غیرهم عن احمد بن سلیمان الزراری، قال: حدثنا مؤدبی علی بن الحسین السعد آبادی ابو الحسن القمی، قال حدثنا احمد بن ابی عبد اللّه (البرقی)...» و یشهد علیه - أی علی استظهار السید -. ملاحظة الاسانید. راجع: سماء المقال: ج 1، الصفحة 78.</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صحیحه کما فی فهرس النجاشی: الصفحة 260، الرقم 682: «علی بن محمد بن ابراهیم المعروف بعلان». صرح بذلک ایضا المحقق التستری فی قاموس الرجال: ج 11، الصفحة 42.</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545، سماء المقال: ج 1، الصفحة 83.</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946.</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اول حدیث من کتاب العقل و الجهل، بهذا الاسناد: عدة من أصحابنا، منهم محمد بن یحیی العطار، عن احمد بن محمد... (الکافی: ج 1، الصفحة 10).</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ج 1، الصفحة 11، الحدیث 7: عدة من أصحابنا، أحمد بن محمد بن خالد.</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الصفحة 43.</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80.</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ج 6، الصفحة 183، کتاب العتق، باب المملوک بین شرکاء، الحدیث 5، الوسائل، ج 16، الصفحة 22 الحدیث 5.</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النجاشی، فی ترجمة أحمد بن محمّد بن عیسی عن استاذه أبی العباس أحمد بن علی بن نوح السیرافی انه قال: «اخبرنا بها - ای بکتب احمد بن محمد - ابو الحسن بن داود عن محمد بن یعقوب، عن علی بن ابراهیم و محمّد بن یحیی و علی بن موسی بن جعفر و داود بن کورة و احمد بن ادریس، عن أحمد بن محمّد بن عیسی بکتبه» (فهرس النجاشی: الصفحة 82، ذیل الرقم 198). و هؤلاء هم المذکورون بعنوان العدة عن ابن عیسی. و فی هذا تصریح بانهم کانوا طرق الکلینی الی کتب ابن عیسی.</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542.</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23، الحدیث 15.</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الصفحة 521، الحدیث 11.</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83-84. قاموس الرجال: ج 11، الصفحة 43.</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الکلینی فی اکثر الاسناد «عدة من اصحابنا عن احمد بن محمد بن خالد» و فی بعضها:</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الصفحة 96، الحدیث 16، و 17 من باب الشکر.</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الصفحة 98-99، الحدیث 27 و 28 و 29. و الصفحة 104-105 الحدیث 6 و 7 و الصفحة 121-122، الحدیث 2 و 3.</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الصفحة 124-125، الحدیث 1 و 2 و 3 من باب الحب فی اللّه و البغض فی اللّه.</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2، الصفحة 132.</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الصفحة 24-25.</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2، الصفحة 132.</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4، الصفحة 111، الحدیث 59.</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الصفحة 503، الحدیث 2 و 3.</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6، الصفحة 18، الباب 4، الحدیث 3.</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41.</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 للمولی صالح: ج 1، الصفحة 78 ذیل الحدیث 2.</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الصفحة 34 شرح الحدیث 8.</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الفائدة الثامنة، من الخاتمة فصل الکنی، الصفحة 98-99.</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51-52. و صرح بهذا التحریف فی الصفحة 42 ایضا.</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353، الرقم 947، و الصفحة 59 ذیل الرقمین 136-137.</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الصفحة 185، الحدیث 6.</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37، الحدیث 16 و الصفحة 506، ج 23، و الصفحة 527، ج 2</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287، الحدیث 5.</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287، الحدیث 4.</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12، الصفحة 140، الرقم 8389.</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فی کتاب الاطعمة (ج 6، الصفحة 242-379) الا علی تسعة و عشرین موردا روی فیها عن علی بن محمد بن بندار، عشرون منها «علی بن محمد بن بندار عن احمد بن ابی عبد اللّه»، و سبعة منها «علی بن محمد بن بندار عن ابیه»، و واحد منها «علی بن محمد بن بندار عن محمد بن عیسی»، و واحد منها «علی بن محمد بن بندار عن احمد بن محمد». و المراد من احمد بن محمد هو «احمد بن ابی عبد اللّه البرقی» کما لا یخفی. و ایضا روی فی ابواب الاطعمة فی موارد تسعة عن علی بن محمد بدون قید.</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12، الصفحة 138، الرقم 8384.</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الرقم 8439.</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82. قاموس الرجال: ج 11، الصفحة 43. و ایضا نقل فی سماء المقال: ج 1، الصفحة 199 عن صاحب «انتخاب الجید» ان کل ما ورد محمد بن الحسن بعد الکلینی، فهو الصفار.</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543-545.</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915 و 933.</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العلامة الکلباسی عد ستة عشر رجلا باسم محمد بن اسماعیل و تعجب من صاحب المعالم انه ذکر ان المشترکین سبعة رجال، کما ان المحقق الداماد انهاهم الی اثنی عشر رجلا و ادعی الشیخ البهائی انهم ثلاثة عشر.</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الصفحة 43-45.</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51.</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الصفحة 306.</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الصفحة 45.</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170-199.</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الرجال لابن داود: الفائدة الرابعة الصفحة 281، 307.</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142-143، الرقم 370 و 371.</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باب التکفین و التحنیط الصفحة 261.</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ج 1، الصفحة 447-448.</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4، شرح مشیخة الفقیه، الصفحة 125.</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90.</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88.</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المحقق الکلباسی عن جده السید و عن المحدث النوری موارد عدیدة من روایة ابراهیم عن ابن عثمان و اجاب عن اکثرها. فراجع: ج 1، الصفحة 86-91.</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الصفحة 144، الحدیث 5.</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ج 1، الصفحة 261.</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الصفحة 306.</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الصفحة 308.</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21، الصفحة 45.</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60.</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القسم الاول، باب الکنی، الصفحة 214.</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ج 21، الصفحة 47.</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یظهر هذا ایضا من العلامة الکلباسی فی سماء المقال. فانه بعد استظهار انصراف ابی بصیر الی یحیی، قال: «و لو تنزلنا عن انصرافها فهی مترددة بینه و بین لیث کما صرح به بعض المحققین» (سماء المقال ج 1، الصفحة، 115).</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101. فهرس رجال اختیار معرفة الرجال الصفحة 170. فهرس النجاشی، الصفحة 226 الرقم 595.</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381.</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الصفحة 169-174 بالرقم 285 الی 298. و الجدیر بالذکر ان اکثر الروایات الواردة فیها لیست فی شأن لیث، بل هی مرتبطة بیحیی بن أبی القاسم الاسدی منها الروایة برقم 289، 291، 292، 296، فراجع.</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174 الرقم 299.</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ترجمة عبد اللّه بن وضاح: «صاحب ابا بصیر یحیی بن القاسم کثیرا و عرف به» (الصفحة 215، الرقم 560).</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لیس لهذا الرجل ذکر فی رجال البرقی و لم یذکره العقیقی و ابن عقدة و ابن الغضائری الذین صنفوا فی الرجال و اخذ عنهم من جاء بعدهم.</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100.</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65-99. و للمؤلف - دام ظله - استظهارات لطیفة فی تصحیح العنوان المذکور فی الکشی.</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الصفحة 173 الرقم 296.</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اصحاب الباقر، باب الیاء، الرقم 17.</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الصفحة 390 الرقم 733. و ما فی هذه النسخة المطبوعة مطابق لما ذکره القهبائی.</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مجمع الرجال، الصفحة 98 - ج 5، الصفحة 149.</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الصفحة 232-233 الرقم 422.</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105.</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البختری بفتح الباء و التاء و سکون الخاء المعجمة و کسر الراء.</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321 الرقم 876.</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126.</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التستری: انما وثق ابن الغضائری حدیثه، و الکشی انما روی فیه اخبارا مختلفة و الشیخ و النجاشی اهملاه... و لکن الحق ترجیح اخبار مدحه (قاموس الرجال ج 11، الصفحة 119).</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الرجال، الصفحة 170 الحدیث 286.</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136 الحدیث 219.</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121.</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نفسه، الصفحة 122.</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القسم الاول، الباب 22، الصفحة 137.</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الرجال، الصفحة 138 الرقم 221.</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الرجال، الصفحة 174 الرقم 296.</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440 الرقم 1187. و صرح ایضا فی ترجمة عبد اللّه بن وضاح انه صاحب أبا بصیر یحیی بن القاسم (الصفحة 215 الرقم 560).</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الثانی فی المسالک: و ظاهر حال النجاشی انه اضبط الجماعة و اعرفهم بحال الرجال... و هذا مما اختص به النجاشی.</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الرجال، الصفحة 171 الرقم 291.</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الرقم 656.</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11، الصفحة 167.</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133.</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4، شرح المشیخة، الصفحة 18.</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55.</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 السند فی الفقیه بابی بصیر ما یقرب من ثمانین موردا و المراد به یحیی «معجم الرجال ج 20، الصفحة 274».</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ج 1، الصفحة 158، الباب 38 من کتاب الصلاة الحدیث 18: و سأل لیث المرادی ابا عبد اللّه - علیه السلام -... ج 2، الصفحة 216، الباب 117 الحدیث 13: و سأله لیث المرادی.</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ج 1، الصفحة 39، الفائدة الثامنة بتصرّف یسیر.</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ج 1، الصفحة 34-38 بتلخیص.</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440 الرقم 21. و قال بمثله فی احمد بن مسلمة (سلمة) (الصفحة 440 الرقم 22) و فی احمد بن الحسین بن مفلس الصفحة 441 الرقم 26 و فی محمد بن عباس بن عیسی الصفحة 449 الرقم 51 و فی یونس بن علی بن العطار الصفحة 517 الرقم 2 و غیرهم من الذین ذکرهم المحقق التستری فی مقدمة القاموس الصفحة 48-49 فراجع.</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نقل عن الفهرس فی قاموس الرجال ج 1، الصفحة 49 و ادعی صاحب الذریعة فی ج 2،</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51 الرقم 113.</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24، الصفحة 315.</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للوحید البهبهانی، الصفحة 33 (المطبوع مع رجال الخاقانی).</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125.</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الصفحة 34.</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24.</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516 الرقم 1.</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463 لرقم 8.</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قریب مما افاده الوحید فی فوائده الرجالیة، الصفحة 34 المطبوعة فی ذیل رجال الخاقانی، فراجع.</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49 الرقم 77.</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ترجمة الحسن بن سعید الاهوازی: «شارک اخاه فی تألیف الکتب الثلاثین المصنفة» (فهرس النجاشی، الصفحة 58 الرقم 136 و 137)، مع کونها من الاصول.</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42 الرقم 86.</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40 الرقم 82.</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69 الرقم 166.</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197 الرقم 524. و لمزید الاطلاع انظر الارقام التالیة فی نفس المصدر: 20، 21، 25، 27، 30، 36، 45، 72، 74، 76، 81، 85، 99، 125، 132، 133، 134، 139، 141 و غیرها.</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24، الصفحة 315.</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غرض الشیخ الطوسی عن تبدیل عنوان النوادر فی کتابه التهذیب بابواب الزیادات للارشاد الی انها مستدرکة لا شاذة.</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الصفحة 35.</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348 الرقم 939.</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الصفحة 33.</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50 الرقم 70. و النجاشی ترجمه بعنوان أحمد بن الحسن بن سعید.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188 الرقم 250.</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النجاشی، الصفحة 425 الرقم 1142.</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لکن ادعی فی الذریعة ان من تتبع الموارد یستنتج ان النوادر لیس اصلا مرویا. (الذریعة ج 24، الصفحة 318).</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«معاویة بن حکیم بن معاویة... له کتب، منها: کتاب الطلاق و کتاب الحیض و کتاب الفرائض و... و له نوادر» (فهرس النجاشی، الصفحة 412 الرقم 1098 و قال فی عباس بن معروف ان له کتاب الاداب و له نوادر (الصفحة 281 الرقم 743).</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الطبع الحجری، صفحة 224.</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128.</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الراشحة 29، الصفحة 98.</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بذلک صاحب الذریعة فی ج 2، الصفحة 128-130.</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الصفحة 25.</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الصفحة 26 (الطبعة الحدیثة، قم).</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الصفحة 166 و الذریعة ج 2، الصفحة 129 و ما فی المتن مطابق لما فی الثانی و لعل فی المطبوع سقطا.</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131.</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129.</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لابن شهر آشوب، الصفحة 3.</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للمجلسی الاول کلام فی هذا المجال لا بأس بذکره. قال: و الذی ظهر لنا من التتبع ان کتب جماعة اجمع الاصحاب علی تصحیح ما یصح عنهم أو من کان مثلهم کالحسین بن سعید کانت من الاصول و ان لم یذکروها بخصوصها، لاغناء نقل الاجماع او ما یقاربه عن ذلک. فانا تتبعنا ان مع کتبهم تصیر الاصول اربعمأة. فان الجماعة الذین ذکرهم الشیخ - رحمه اللّه علیه - ان لهم اصلا یقرب من مأتی رجل (روضة المتقین 14، الصفحة 342).</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131.</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126.</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535 (نقلا عن مشرق الشمسین).</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ج 14، الصفحة 40.</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385.</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الصفحة 36.</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2، الصفحة 130.</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1، الصفحة 27.</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للسیوطی، الصفحة 261، نقلا عن الذهبی.</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کتابنا «ابحاث فی الملل و النحل» ج 1، الصفحة 65-95.</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2، الصفحة 98.</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المصنوعة فی الاحادیث الموضوعة، ج 2، الصفحة 470، فی خاتمة الکتاب فی ضمن فوائد.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11، الصفحة 44، 45، نقله عن کتاب الاحداث لابی الحسن علی بن محمد بن ابی سیف المدائنی.</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«میزان الاعتدال» الصفحة «ز».</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حول هذا الکتاب من التلخیص و الاختصار کشف الظنون ج 2، الصفحة 330،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23CB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حوزه علمیه جدید پایه اول تا دهم جلد 9</dc:title>
  <dc:description/>
  <dc:subject/>
  <cp:keywords/>
  <cp:category/>
  <cp:lastModifiedBy/>
  <dcterms:created xsi:type="dcterms:W3CDTF">2026-08-24T16:33:37+03:30</dcterms:created>
  <dcterms:modified xsi:type="dcterms:W3CDTF">2026-08-24T16:33:37+03:30</dcterms:modified>
</cp:coreProperties>
</file>

<file path=docProps/custom.xml><?xml version="1.0" encoding="utf-8"?>
<Properties xmlns="http://schemas.openxmlformats.org/officeDocument/2006/custom-properties" xmlns:vt="http://schemas.openxmlformats.org/officeDocument/2006/docPropsVTypes"/>
</file>